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AC10" w14:textId="24D1E388" w:rsidR="00E47457" w:rsidRPr="00CB0607" w:rsidRDefault="20571FAB" w:rsidP="0055077E">
      <w:pPr>
        <w:pStyle w:val="Heading1"/>
      </w:pPr>
      <w:r>
        <w:t xml:space="preserve">Hingham </w:t>
      </w:r>
      <w:r w:rsidR="00CE0FF0">
        <w:t>Public Schools</w:t>
      </w:r>
    </w:p>
    <w:p w14:paraId="7F1243B7" w14:textId="0BA27B5F" w:rsidR="008E314D" w:rsidRPr="00CB0607" w:rsidRDefault="00FD0F0A" w:rsidP="00457876">
      <w:pPr>
        <w:pStyle w:val="Titlepagesubheading"/>
      </w:pPr>
      <w:bookmarkStart w:id="0" w:name="_Hlk101983091"/>
      <w:r>
        <w:t xml:space="preserve">Comprehensive </w:t>
      </w:r>
      <w:r w:rsidR="008E314D">
        <w:t>District Review Report</w:t>
      </w:r>
      <w:bookmarkEnd w:id="0"/>
      <w:r w:rsidR="008E314D">
        <w:t xml:space="preserve"> </w:t>
      </w:r>
    </w:p>
    <w:p w14:paraId="3575704A" w14:textId="1F628D16" w:rsidR="008E314D" w:rsidRPr="00CB0607" w:rsidRDefault="184140D2" w:rsidP="00457876">
      <w:pPr>
        <w:pStyle w:val="Titlepagedate"/>
      </w:pPr>
      <w:r>
        <w:t xml:space="preserve">April </w:t>
      </w:r>
      <w:r w:rsidR="00D84CF0">
        <w:t>20</w:t>
      </w:r>
      <w:r w:rsidR="4F363A81">
        <w:t>24</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5046D58B" w:rsidR="26918BE0" w:rsidRPr="00CB0607" w:rsidRDefault="00E34155" w:rsidP="00457876">
      <w:pPr>
        <w:pStyle w:val="Titlepagetext10pt"/>
      </w:pPr>
      <w:r>
        <w:t>135 Santilli Highway</w:t>
      </w:r>
    </w:p>
    <w:p w14:paraId="6DA8D26D" w14:textId="3BBEE20E" w:rsidR="26918BE0" w:rsidRPr="00CB0607" w:rsidRDefault="00E34155" w:rsidP="00457876">
      <w:pPr>
        <w:pStyle w:val="Titlepagetext10pt"/>
      </w:pPr>
      <w:r>
        <w:t>Everett</w:t>
      </w:r>
      <w:r w:rsidR="26918BE0" w:rsidRPr="00CB0607">
        <w:t xml:space="preserve">, MA </w:t>
      </w:r>
      <w:r w:rsidR="001B2E5F">
        <w:t>02149</w:t>
      </w:r>
    </w:p>
    <w:p w14:paraId="7CA72F40" w14:textId="4A091369" w:rsidR="26918BE0" w:rsidRPr="00CB0607" w:rsidRDefault="26918BE0" w:rsidP="00457876">
      <w:pPr>
        <w:pStyle w:val="Titlepagetext10pt"/>
      </w:pPr>
      <w:r w:rsidRPr="00CB0607">
        <w:t>781-338-3000</w:t>
      </w:r>
    </w:p>
    <w:p w14:paraId="33E67B60" w14:textId="7BE75C45" w:rsidR="26918BE0" w:rsidRPr="00CB0607" w:rsidRDefault="00000000" w:rsidP="00457876">
      <w:pPr>
        <w:pStyle w:val="Titlepagetext10pt"/>
        <w:rPr>
          <w:rFonts w:eastAsia="Calibri" w:cs="Arial"/>
          <w:b/>
          <w:bCs/>
        </w:rPr>
      </w:pPr>
      <w:hyperlink r:id="rId11" w:history="1">
        <w:r w:rsidR="26918BE0" w:rsidRPr="00CB0607">
          <w:t>www.doe.mass.edu</w:t>
        </w:r>
      </w:hyperlink>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7AF9AAE1" w14:textId="1F5EF69F" w:rsidR="00D67779" w:rsidRPr="00CB0607" w:rsidRDefault="00D67779" w:rsidP="00457876">
      <w:pPr>
        <w:pStyle w:val="Titlepagetext14pt"/>
      </w:pPr>
      <w:r w:rsidRPr="00CB0607">
        <w:t xml:space="preserve">Education Systems and Policy </w:t>
      </w:r>
    </w:p>
    <w:p w14:paraId="75CD3090" w14:textId="77777777" w:rsidR="008415C9" w:rsidRPr="00CB0607"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r w:rsidRPr="00CB0607" w:rsidDel="00281957">
        <w:t xml:space="preserve"> </w:t>
      </w:r>
    </w:p>
    <w:p w14:paraId="2A326DCB" w14:textId="23BDDE59" w:rsidR="00144555" w:rsidRPr="00CB0607" w:rsidRDefault="00144555" w:rsidP="00457876">
      <w:pPr>
        <w:pStyle w:val="Titlepagetext10pt"/>
      </w:pPr>
      <w:r w:rsidRPr="00CB0607">
        <w:t>202</w:t>
      </w:r>
      <w:r w:rsidR="006D04CC">
        <w:t>-</w:t>
      </w:r>
      <w:r w:rsidRPr="00CB0607">
        <w:t xml:space="preserve">403-5000 </w:t>
      </w:r>
    </w:p>
    <w:p w14:paraId="5CEDCF71" w14:textId="446BE90E" w:rsidR="002025EB" w:rsidRDefault="00000000" w:rsidP="00457876">
      <w:pPr>
        <w:pStyle w:val="Titlepagetext10pt"/>
      </w:pPr>
      <w:hyperlink r:id="rId12" w:history="1">
        <w:r w:rsidR="002025EB"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5A6D9F26" w14:textId="02C8E7BB" w:rsidR="009202EF" w:rsidRDefault="002E7525">
      <w:pPr>
        <w:pStyle w:val="TOC1"/>
        <w:rPr>
          <w:rFonts w:eastAsiaTheme="minorEastAsia"/>
          <w:noProof/>
          <w:kern w:val="2"/>
          <w:sz w:val="24"/>
          <w:szCs w:val="24"/>
          <w14:ligatures w14:val="standardContextual"/>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170157272" w:history="1">
        <w:r w:rsidR="009202EF" w:rsidRPr="00A22C30">
          <w:rPr>
            <w:rStyle w:val="Hyperlink"/>
            <w:noProof/>
          </w:rPr>
          <w:t>Executive Summary</w:t>
        </w:r>
        <w:r w:rsidR="009202EF">
          <w:rPr>
            <w:noProof/>
            <w:webHidden/>
          </w:rPr>
          <w:tab/>
        </w:r>
        <w:r w:rsidR="009202EF">
          <w:rPr>
            <w:noProof/>
            <w:webHidden/>
          </w:rPr>
          <w:fldChar w:fldCharType="begin"/>
        </w:r>
        <w:r w:rsidR="009202EF">
          <w:rPr>
            <w:noProof/>
            <w:webHidden/>
          </w:rPr>
          <w:instrText xml:space="preserve"> PAGEREF _Toc170157272 \h </w:instrText>
        </w:r>
        <w:r w:rsidR="009202EF">
          <w:rPr>
            <w:noProof/>
            <w:webHidden/>
          </w:rPr>
        </w:r>
        <w:r w:rsidR="009202EF">
          <w:rPr>
            <w:noProof/>
            <w:webHidden/>
          </w:rPr>
          <w:fldChar w:fldCharType="separate"/>
        </w:r>
        <w:r w:rsidR="00A21F05">
          <w:rPr>
            <w:noProof/>
            <w:webHidden/>
          </w:rPr>
          <w:t>1</w:t>
        </w:r>
        <w:r w:rsidR="009202EF">
          <w:rPr>
            <w:noProof/>
            <w:webHidden/>
          </w:rPr>
          <w:fldChar w:fldCharType="end"/>
        </w:r>
      </w:hyperlink>
    </w:p>
    <w:p w14:paraId="3A7F6293" w14:textId="0DCCF45E" w:rsidR="009202EF" w:rsidRDefault="00000000">
      <w:pPr>
        <w:pStyle w:val="TOC1"/>
        <w:rPr>
          <w:rFonts w:eastAsiaTheme="minorEastAsia"/>
          <w:noProof/>
          <w:kern w:val="2"/>
          <w:sz w:val="24"/>
          <w:szCs w:val="24"/>
          <w14:ligatures w14:val="standardContextual"/>
        </w:rPr>
      </w:pPr>
      <w:hyperlink w:anchor="_Toc170157273" w:history="1">
        <w:r w:rsidR="009202EF" w:rsidRPr="00A22C30">
          <w:rPr>
            <w:rStyle w:val="Hyperlink"/>
            <w:noProof/>
          </w:rPr>
          <w:t>Hingham Public Schools: District Review Overview</w:t>
        </w:r>
        <w:r w:rsidR="009202EF">
          <w:rPr>
            <w:noProof/>
            <w:webHidden/>
          </w:rPr>
          <w:tab/>
        </w:r>
        <w:r w:rsidR="009202EF">
          <w:rPr>
            <w:noProof/>
            <w:webHidden/>
          </w:rPr>
          <w:fldChar w:fldCharType="begin"/>
        </w:r>
        <w:r w:rsidR="009202EF">
          <w:rPr>
            <w:noProof/>
            <w:webHidden/>
          </w:rPr>
          <w:instrText xml:space="preserve"> PAGEREF _Toc170157273 \h </w:instrText>
        </w:r>
        <w:r w:rsidR="009202EF">
          <w:rPr>
            <w:noProof/>
            <w:webHidden/>
          </w:rPr>
        </w:r>
        <w:r w:rsidR="009202EF">
          <w:rPr>
            <w:noProof/>
            <w:webHidden/>
          </w:rPr>
          <w:fldChar w:fldCharType="separate"/>
        </w:r>
        <w:r w:rsidR="00A21F05">
          <w:rPr>
            <w:noProof/>
            <w:webHidden/>
          </w:rPr>
          <w:t>5</w:t>
        </w:r>
        <w:r w:rsidR="009202EF">
          <w:rPr>
            <w:noProof/>
            <w:webHidden/>
          </w:rPr>
          <w:fldChar w:fldCharType="end"/>
        </w:r>
      </w:hyperlink>
    </w:p>
    <w:p w14:paraId="43F57F36" w14:textId="6AC80B72" w:rsidR="009202EF" w:rsidRDefault="00000000">
      <w:pPr>
        <w:pStyle w:val="TOC1"/>
        <w:rPr>
          <w:rFonts w:eastAsiaTheme="minorEastAsia"/>
          <w:noProof/>
          <w:kern w:val="2"/>
          <w:sz w:val="24"/>
          <w:szCs w:val="24"/>
          <w14:ligatures w14:val="standardContextual"/>
        </w:rPr>
      </w:pPr>
      <w:hyperlink w:anchor="_Toc170157274" w:history="1">
        <w:r w:rsidR="009202EF" w:rsidRPr="00A22C30">
          <w:rPr>
            <w:rStyle w:val="Hyperlink"/>
            <w:noProof/>
          </w:rPr>
          <w:t>Leadership and Governance</w:t>
        </w:r>
        <w:r w:rsidR="009202EF">
          <w:rPr>
            <w:noProof/>
            <w:webHidden/>
          </w:rPr>
          <w:tab/>
        </w:r>
        <w:r w:rsidR="009202EF">
          <w:rPr>
            <w:noProof/>
            <w:webHidden/>
          </w:rPr>
          <w:fldChar w:fldCharType="begin"/>
        </w:r>
        <w:r w:rsidR="009202EF">
          <w:rPr>
            <w:noProof/>
            <w:webHidden/>
          </w:rPr>
          <w:instrText xml:space="preserve"> PAGEREF _Toc170157274 \h </w:instrText>
        </w:r>
        <w:r w:rsidR="009202EF">
          <w:rPr>
            <w:noProof/>
            <w:webHidden/>
          </w:rPr>
        </w:r>
        <w:r w:rsidR="009202EF">
          <w:rPr>
            <w:noProof/>
            <w:webHidden/>
          </w:rPr>
          <w:fldChar w:fldCharType="separate"/>
        </w:r>
        <w:r w:rsidR="00A21F05">
          <w:rPr>
            <w:noProof/>
            <w:webHidden/>
          </w:rPr>
          <w:t>10</w:t>
        </w:r>
        <w:r w:rsidR="009202EF">
          <w:rPr>
            <w:noProof/>
            <w:webHidden/>
          </w:rPr>
          <w:fldChar w:fldCharType="end"/>
        </w:r>
      </w:hyperlink>
    </w:p>
    <w:p w14:paraId="3C1E2457" w14:textId="5347691C" w:rsidR="009202EF" w:rsidRDefault="00000000">
      <w:pPr>
        <w:pStyle w:val="TOC1"/>
        <w:rPr>
          <w:rFonts w:eastAsiaTheme="minorEastAsia"/>
          <w:noProof/>
          <w:kern w:val="2"/>
          <w:sz w:val="24"/>
          <w:szCs w:val="24"/>
          <w14:ligatures w14:val="standardContextual"/>
        </w:rPr>
      </w:pPr>
      <w:hyperlink w:anchor="_Toc170157275" w:history="1">
        <w:r w:rsidR="009202EF" w:rsidRPr="00A22C30">
          <w:rPr>
            <w:rStyle w:val="Hyperlink"/>
            <w:noProof/>
          </w:rPr>
          <w:t>Curriculum and Instruction</w:t>
        </w:r>
        <w:r w:rsidR="009202EF">
          <w:rPr>
            <w:noProof/>
            <w:webHidden/>
          </w:rPr>
          <w:tab/>
        </w:r>
        <w:r w:rsidR="009202EF">
          <w:rPr>
            <w:noProof/>
            <w:webHidden/>
          </w:rPr>
          <w:fldChar w:fldCharType="begin"/>
        </w:r>
        <w:r w:rsidR="009202EF">
          <w:rPr>
            <w:noProof/>
            <w:webHidden/>
          </w:rPr>
          <w:instrText xml:space="preserve"> PAGEREF _Toc170157275 \h </w:instrText>
        </w:r>
        <w:r w:rsidR="009202EF">
          <w:rPr>
            <w:noProof/>
            <w:webHidden/>
          </w:rPr>
        </w:r>
        <w:r w:rsidR="009202EF">
          <w:rPr>
            <w:noProof/>
            <w:webHidden/>
          </w:rPr>
          <w:fldChar w:fldCharType="separate"/>
        </w:r>
        <w:r w:rsidR="00A21F05">
          <w:rPr>
            <w:noProof/>
            <w:webHidden/>
          </w:rPr>
          <w:t>18</w:t>
        </w:r>
        <w:r w:rsidR="009202EF">
          <w:rPr>
            <w:noProof/>
            <w:webHidden/>
          </w:rPr>
          <w:fldChar w:fldCharType="end"/>
        </w:r>
      </w:hyperlink>
    </w:p>
    <w:p w14:paraId="6B6502C2" w14:textId="126167DA" w:rsidR="009202EF" w:rsidRDefault="00000000">
      <w:pPr>
        <w:pStyle w:val="TOC1"/>
        <w:rPr>
          <w:rFonts w:eastAsiaTheme="minorEastAsia"/>
          <w:noProof/>
          <w:kern w:val="2"/>
          <w:sz w:val="24"/>
          <w:szCs w:val="24"/>
          <w14:ligatures w14:val="standardContextual"/>
        </w:rPr>
      </w:pPr>
      <w:hyperlink w:anchor="_Toc170157276" w:history="1">
        <w:r w:rsidR="009202EF" w:rsidRPr="00A22C30">
          <w:rPr>
            <w:rStyle w:val="Hyperlink"/>
            <w:noProof/>
          </w:rPr>
          <w:t>Assessment</w:t>
        </w:r>
        <w:r w:rsidR="009202EF">
          <w:rPr>
            <w:noProof/>
            <w:webHidden/>
          </w:rPr>
          <w:tab/>
        </w:r>
        <w:r w:rsidR="009202EF">
          <w:rPr>
            <w:noProof/>
            <w:webHidden/>
          </w:rPr>
          <w:fldChar w:fldCharType="begin"/>
        </w:r>
        <w:r w:rsidR="009202EF">
          <w:rPr>
            <w:noProof/>
            <w:webHidden/>
          </w:rPr>
          <w:instrText xml:space="preserve"> PAGEREF _Toc170157276 \h </w:instrText>
        </w:r>
        <w:r w:rsidR="009202EF">
          <w:rPr>
            <w:noProof/>
            <w:webHidden/>
          </w:rPr>
        </w:r>
        <w:r w:rsidR="009202EF">
          <w:rPr>
            <w:noProof/>
            <w:webHidden/>
          </w:rPr>
          <w:fldChar w:fldCharType="separate"/>
        </w:r>
        <w:r w:rsidR="00A21F05">
          <w:rPr>
            <w:noProof/>
            <w:webHidden/>
          </w:rPr>
          <w:t>26</w:t>
        </w:r>
        <w:r w:rsidR="009202EF">
          <w:rPr>
            <w:noProof/>
            <w:webHidden/>
          </w:rPr>
          <w:fldChar w:fldCharType="end"/>
        </w:r>
      </w:hyperlink>
    </w:p>
    <w:p w14:paraId="1D27AE8F" w14:textId="13579D03" w:rsidR="009202EF" w:rsidRDefault="00000000">
      <w:pPr>
        <w:pStyle w:val="TOC1"/>
        <w:rPr>
          <w:rFonts w:eastAsiaTheme="minorEastAsia"/>
          <w:noProof/>
          <w:kern w:val="2"/>
          <w:sz w:val="24"/>
          <w:szCs w:val="24"/>
          <w14:ligatures w14:val="standardContextual"/>
        </w:rPr>
      </w:pPr>
      <w:hyperlink w:anchor="_Toc170157277" w:history="1">
        <w:r w:rsidR="009202EF" w:rsidRPr="00A22C30">
          <w:rPr>
            <w:rStyle w:val="Hyperlink"/>
            <w:noProof/>
          </w:rPr>
          <w:t>Human Resources and Professional Development</w:t>
        </w:r>
        <w:r w:rsidR="009202EF">
          <w:rPr>
            <w:noProof/>
            <w:webHidden/>
          </w:rPr>
          <w:tab/>
        </w:r>
        <w:r w:rsidR="009202EF">
          <w:rPr>
            <w:noProof/>
            <w:webHidden/>
          </w:rPr>
          <w:fldChar w:fldCharType="begin"/>
        </w:r>
        <w:r w:rsidR="009202EF">
          <w:rPr>
            <w:noProof/>
            <w:webHidden/>
          </w:rPr>
          <w:instrText xml:space="preserve"> PAGEREF _Toc170157277 \h </w:instrText>
        </w:r>
        <w:r w:rsidR="009202EF">
          <w:rPr>
            <w:noProof/>
            <w:webHidden/>
          </w:rPr>
        </w:r>
        <w:r w:rsidR="009202EF">
          <w:rPr>
            <w:noProof/>
            <w:webHidden/>
          </w:rPr>
          <w:fldChar w:fldCharType="separate"/>
        </w:r>
        <w:r w:rsidR="00A21F05">
          <w:rPr>
            <w:noProof/>
            <w:webHidden/>
          </w:rPr>
          <w:t>31</w:t>
        </w:r>
        <w:r w:rsidR="009202EF">
          <w:rPr>
            <w:noProof/>
            <w:webHidden/>
          </w:rPr>
          <w:fldChar w:fldCharType="end"/>
        </w:r>
      </w:hyperlink>
    </w:p>
    <w:p w14:paraId="166074F3" w14:textId="4F04E6FB" w:rsidR="009202EF" w:rsidRDefault="00000000">
      <w:pPr>
        <w:pStyle w:val="TOC1"/>
        <w:rPr>
          <w:rFonts w:eastAsiaTheme="minorEastAsia"/>
          <w:noProof/>
          <w:kern w:val="2"/>
          <w:sz w:val="24"/>
          <w:szCs w:val="24"/>
          <w14:ligatures w14:val="standardContextual"/>
        </w:rPr>
      </w:pPr>
      <w:hyperlink w:anchor="_Toc170157278" w:history="1">
        <w:r w:rsidR="009202EF" w:rsidRPr="00A22C30">
          <w:rPr>
            <w:rStyle w:val="Hyperlink"/>
            <w:noProof/>
          </w:rPr>
          <w:t>Student Support</w:t>
        </w:r>
        <w:r w:rsidR="009202EF">
          <w:rPr>
            <w:noProof/>
            <w:webHidden/>
          </w:rPr>
          <w:tab/>
        </w:r>
        <w:r w:rsidR="009202EF">
          <w:rPr>
            <w:noProof/>
            <w:webHidden/>
          </w:rPr>
          <w:fldChar w:fldCharType="begin"/>
        </w:r>
        <w:r w:rsidR="009202EF">
          <w:rPr>
            <w:noProof/>
            <w:webHidden/>
          </w:rPr>
          <w:instrText xml:space="preserve"> PAGEREF _Toc170157278 \h </w:instrText>
        </w:r>
        <w:r w:rsidR="009202EF">
          <w:rPr>
            <w:noProof/>
            <w:webHidden/>
          </w:rPr>
        </w:r>
        <w:r w:rsidR="009202EF">
          <w:rPr>
            <w:noProof/>
            <w:webHidden/>
          </w:rPr>
          <w:fldChar w:fldCharType="separate"/>
        </w:r>
        <w:r w:rsidR="00A21F05">
          <w:rPr>
            <w:noProof/>
            <w:webHidden/>
          </w:rPr>
          <w:t>37</w:t>
        </w:r>
        <w:r w:rsidR="009202EF">
          <w:rPr>
            <w:noProof/>
            <w:webHidden/>
          </w:rPr>
          <w:fldChar w:fldCharType="end"/>
        </w:r>
      </w:hyperlink>
    </w:p>
    <w:p w14:paraId="0D734F52" w14:textId="5FFD83EC" w:rsidR="009202EF" w:rsidRDefault="00000000">
      <w:pPr>
        <w:pStyle w:val="TOC1"/>
        <w:rPr>
          <w:rFonts w:eastAsiaTheme="minorEastAsia"/>
          <w:noProof/>
          <w:kern w:val="2"/>
          <w:sz w:val="24"/>
          <w:szCs w:val="24"/>
          <w14:ligatures w14:val="standardContextual"/>
        </w:rPr>
      </w:pPr>
      <w:hyperlink w:anchor="_Toc170157279" w:history="1">
        <w:r w:rsidR="009202EF" w:rsidRPr="00A22C30">
          <w:rPr>
            <w:rStyle w:val="Hyperlink"/>
            <w:noProof/>
          </w:rPr>
          <w:t>Financial and Asset Management</w:t>
        </w:r>
        <w:r w:rsidR="009202EF">
          <w:rPr>
            <w:noProof/>
            <w:webHidden/>
          </w:rPr>
          <w:tab/>
        </w:r>
        <w:r w:rsidR="009202EF">
          <w:rPr>
            <w:noProof/>
            <w:webHidden/>
          </w:rPr>
          <w:fldChar w:fldCharType="begin"/>
        </w:r>
        <w:r w:rsidR="009202EF">
          <w:rPr>
            <w:noProof/>
            <w:webHidden/>
          </w:rPr>
          <w:instrText xml:space="preserve"> PAGEREF _Toc170157279 \h </w:instrText>
        </w:r>
        <w:r w:rsidR="009202EF">
          <w:rPr>
            <w:noProof/>
            <w:webHidden/>
          </w:rPr>
        </w:r>
        <w:r w:rsidR="009202EF">
          <w:rPr>
            <w:noProof/>
            <w:webHidden/>
          </w:rPr>
          <w:fldChar w:fldCharType="separate"/>
        </w:r>
        <w:r w:rsidR="00A21F05">
          <w:rPr>
            <w:noProof/>
            <w:webHidden/>
          </w:rPr>
          <w:t>46</w:t>
        </w:r>
        <w:r w:rsidR="009202EF">
          <w:rPr>
            <w:noProof/>
            <w:webHidden/>
          </w:rPr>
          <w:fldChar w:fldCharType="end"/>
        </w:r>
      </w:hyperlink>
    </w:p>
    <w:p w14:paraId="1BB6A361" w14:textId="688B1A21" w:rsidR="009202EF" w:rsidRDefault="00000000">
      <w:pPr>
        <w:pStyle w:val="TOC1"/>
        <w:rPr>
          <w:rFonts w:eastAsiaTheme="minorEastAsia"/>
          <w:noProof/>
          <w:kern w:val="2"/>
          <w:sz w:val="24"/>
          <w:szCs w:val="24"/>
          <w14:ligatures w14:val="standardContextual"/>
        </w:rPr>
      </w:pPr>
      <w:hyperlink w:anchor="_Toc170157280" w:history="1">
        <w:r w:rsidR="009202EF" w:rsidRPr="00A22C30">
          <w:rPr>
            <w:rStyle w:val="Hyperlink"/>
            <w:noProof/>
          </w:rPr>
          <w:t>Appendix A. Summary of Site Visit Activities</w:t>
        </w:r>
        <w:r w:rsidR="009202EF">
          <w:rPr>
            <w:noProof/>
            <w:webHidden/>
          </w:rPr>
          <w:tab/>
          <w:t>A-</w:t>
        </w:r>
        <w:r w:rsidR="009202EF">
          <w:rPr>
            <w:noProof/>
            <w:webHidden/>
          </w:rPr>
          <w:fldChar w:fldCharType="begin"/>
        </w:r>
        <w:r w:rsidR="009202EF">
          <w:rPr>
            <w:noProof/>
            <w:webHidden/>
          </w:rPr>
          <w:instrText xml:space="preserve"> PAGEREF _Toc170157280 \h </w:instrText>
        </w:r>
        <w:r w:rsidR="009202EF">
          <w:rPr>
            <w:noProof/>
            <w:webHidden/>
          </w:rPr>
        </w:r>
        <w:r w:rsidR="009202EF">
          <w:rPr>
            <w:noProof/>
            <w:webHidden/>
          </w:rPr>
          <w:fldChar w:fldCharType="separate"/>
        </w:r>
        <w:r w:rsidR="00A21F05">
          <w:rPr>
            <w:noProof/>
            <w:webHidden/>
          </w:rPr>
          <w:t>1</w:t>
        </w:r>
        <w:r w:rsidR="009202EF">
          <w:rPr>
            <w:noProof/>
            <w:webHidden/>
          </w:rPr>
          <w:fldChar w:fldCharType="end"/>
        </w:r>
      </w:hyperlink>
    </w:p>
    <w:p w14:paraId="48A6889E" w14:textId="4D057A1D" w:rsidR="009202EF" w:rsidRDefault="00000000">
      <w:pPr>
        <w:pStyle w:val="TOC1"/>
        <w:rPr>
          <w:rFonts w:eastAsiaTheme="minorEastAsia"/>
          <w:noProof/>
          <w:kern w:val="2"/>
          <w:sz w:val="24"/>
          <w:szCs w:val="24"/>
          <w14:ligatures w14:val="standardContextual"/>
        </w:rPr>
      </w:pPr>
      <w:hyperlink w:anchor="_Toc170157281" w:history="1">
        <w:r w:rsidR="009202EF" w:rsidRPr="00A22C30">
          <w:rPr>
            <w:rStyle w:val="Hyperlink"/>
            <w:noProof/>
          </w:rPr>
          <w:t xml:space="preserve">Appendix B. Districtwide Instructional Observation Report </w:t>
        </w:r>
        <w:r w:rsidR="009202EF">
          <w:rPr>
            <w:noProof/>
            <w:webHidden/>
          </w:rPr>
          <w:tab/>
          <w:t>B-</w:t>
        </w:r>
        <w:r w:rsidR="009202EF">
          <w:rPr>
            <w:noProof/>
            <w:webHidden/>
          </w:rPr>
          <w:fldChar w:fldCharType="begin"/>
        </w:r>
        <w:r w:rsidR="009202EF">
          <w:rPr>
            <w:noProof/>
            <w:webHidden/>
          </w:rPr>
          <w:instrText xml:space="preserve"> PAGEREF _Toc170157281 \h </w:instrText>
        </w:r>
        <w:r w:rsidR="009202EF">
          <w:rPr>
            <w:noProof/>
            <w:webHidden/>
          </w:rPr>
        </w:r>
        <w:r w:rsidR="009202EF">
          <w:rPr>
            <w:noProof/>
            <w:webHidden/>
          </w:rPr>
          <w:fldChar w:fldCharType="separate"/>
        </w:r>
        <w:r w:rsidR="00A21F05">
          <w:rPr>
            <w:noProof/>
            <w:webHidden/>
          </w:rPr>
          <w:t>1</w:t>
        </w:r>
        <w:r w:rsidR="009202EF">
          <w:rPr>
            <w:noProof/>
            <w:webHidden/>
          </w:rPr>
          <w:fldChar w:fldCharType="end"/>
        </w:r>
      </w:hyperlink>
    </w:p>
    <w:p w14:paraId="37D40112" w14:textId="56596C39" w:rsidR="009202EF" w:rsidRDefault="00000000">
      <w:pPr>
        <w:pStyle w:val="TOC1"/>
        <w:rPr>
          <w:rFonts w:eastAsiaTheme="minorEastAsia"/>
          <w:noProof/>
          <w:kern w:val="2"/>
          <w:sz w:val="24"/>
          <w:szCs w:val="24"/>
          <w14:ligatures w14:val="standardContextual"/>
        </w:rPr>
      </w:pPr>
      <w:hyperlink w:anchor="_Toc170157282" w:history="1">
        <w:r w:rsidR="009202EF" w:rsidRPr="00A22C30">
          <w:rPr>
            <w:rStyle w:val="Hyperlink"/>
            <w:noProof/>
          </w:rPr>
          <w:t>Appendix C. Resources to Support Implementation of DESE’s District Standards and Indicators</w:t>
        </w:r>
        <w:r w:rsidR="009202EF">
          <w:rPr>
            <w:noProof/>
            <w:webHidden/>
          </w:rPr>
          <w:tab/>
          <w:t>C-</w:t>
        </w:r>
        <w:r w:rsidR="009202EF">
          <w:rPr>
            <w:noProof/>
            <w:webHidden/>
          </w:rPr>
          <w:fldChar w:fldCharType="begin"/>
        </w:r>
        <w:r w:rsidR="009202EF">
          <w:rPr>
            <w:noProof/>
            <w:webHidden/>
          </w:rPr>
          <w:instrText xml:space="preserve"> PAGEREF _Toc170157282 \h </w:instrText>
        </w:r>
        <w:r w:rsidR="009202EF">
          <w:rPr>
            <w:noProof/>
            <w:webHidden/>
          </w:rPr>
        </w:r>
        <w:r w:rsidR="009202EF">
          <w:rPr>
            <w:noProof/>
            <w:webHidden/>
          </w:rPr>
          <w:fldChar w:fldCharType="separate"/>
        </w:r>
        <w:r w:rsidR="00A21F05">
          <w:rPr>
            <w:noProof/>
            <w:webHidden/>
          </w:rPr>
          <w:t>1</w:t>
        </w:r>
        <w:r w:rsidR="009202EF">
          <w:rPr>
            <w:noProof/>
            <w:webHidden/>
          </w:rPr>
          <w:fldChar w:fldCharType="end"/>
        </w:r>
      </w:hyperlink>
    </w:p>
    <w:p w14:paraId="5B39EA0D" w14:textId="74857634" w:rsidR="009202EF" w:rsidRDefault="00000000">
      <w:pPr>
        <w:pStyle w:val="TOC1"/>
        <w:rPr>
          <w:rFonts w:eastAsiaTheme="minorEastAsia"/>
          <w:noProof/>
          <w:kern w:val="2"/>
          <w:sz w:val="24"/>
          <w:szCs w:val="24"/>
          <w14:ligatures w14:val="standardContextual"/>
        </w:rPr>
      </w:pPr>
      <w:hyperlink w:anchor="_Toc170157283" w:history="1">
        <w:r w:rsidR="009202EF" w:rsidRPr="00A22C30">
          <w:rPr>
            <w:rStyle w:val="Hyperlink"/>
            <w:noProof/>
          </w:rPr>
          <w:t>Appendix D. Enrollment, Attendance, Expenditures</w:t>
        </w:r>
        <w:r w:rsidR="009202EF">
          <w:rPr>
            <w:noProof/>
            <w:webHidden/>
          </w:rPr>
          <w:tab/>
          <w:t>D-</w:t>
        </w:r>
        <w:r w:rsidR="009202EF">
          <w:rPr>
            <w:noProof/>
            <w:webHidden/>
          </w:rPr>
          <w:fldChar w:fldCharType="begin"/>
        </w:r>
        <w:r w:rsidR="009202EF">
          <w:rPr>
            <w:noProof/>
            <w:webHidden/>
          </w:rPr>
          <w:instrText xml:space="preserve"> PAGEREF _Toc170157283 \h </w:instrText>
        </w:r>
        <w:r w:rsidR="009202EF">
          <w:rPr>
            <w:noProof/>
            <w:webHidden/>
          </w:rPr>
        </w:r>
        <w:r w:rsidR="009202EF">
          <w:rPr>
            <w:noProof/>
            <w:webHidden/>
          </w:rPr>
          <w:fldChar w:fldCharType="separate"/>
        </w:r>
        <w:r w:rsidR="00A21F05">
          <w:rPr>
            <w:noProof/>
            <w:webHidden/>
          </w:rPr>
          <w:t>1</w:t>
        </w:r>
        <w:r w:rsidR="009202EF">
          <w:rPr>
            <w:noProof/>
            <w:webHidden/>
          </w:rPr>
          <w:fldChar w:fldCharType="end"/>
        </w:r>
      </w:hyperlink>
    </w:p>
    <w:p w14:paraId="57D4DEBF" w14:textId="2A96C32F" w:rsidR="009202EF" w:rsidRDefault="00000000">
      <w:pPr>
        <w:pStyle w:val="TOC1"/>
        <w:rPr>
          <w:rFonts w:eastAsiaTheme="minorEastAsia"/>
          <w:noProof/>
          <w:kern w:val="2"/>
          <w:sz w:val="24"/>
          <w:szCs w:val="24"/>
          <w14:ligatures w14:val="standardContextual"/>
        </w:rPr>
      </w:pPr>
      <w:hyperlink w:anchor="_Toc170157284" w:history="1">
        <w:r w:rsidR="009202EF" w:rsidRPr="00A22C30">
          <w:rPr>
            <w:rStyle w:val="Hyperlink"/>
            <w:noProof/>
          </w:rPr>
          <w:t>Appendix E. Student Performance Data</w:t>
        </w:r>
        <w:r w:rsidR="009202EF">
          <w:rPr>
            <w:noProof/>
            <w:webHidden/>
          </w:rPr>
          <w:tab/>
          <w:t>E-</w:t>
        </w:r>
        <w:r w:rsidR="009202EF">
          <w:rPr>
            <w:noProof/>
            <w:webHidden/>
          </w:rPr>
          <w:fldChar w:fldCharType="begin"/>
        </w:r>
        <w:r w:rsidR="009202EF">
          <w:rPr>
            <w:noProof/>
            <w:webHidden/>
          </w:rPr>
          <w:instrText xml:space="preserve"> PAGEREF _Toc170157284 \h </w:instrText>
        </w:r>
        <w:r w:rsidR="009202EF">
          <w:rPr>
            <w:noProof/>
            <w:webHidden/>
          </w:rPr>
        </w:r>
        <w:r w:rsidR="009202EF">
          <w:rPr>
            <w:noProof/>
            <w:webHidden/>
          </w:rPr>
          <w:fldChar w:fldCharType="separate"/>
        </w:r>
        <w:r w:rsidR="00A21F05">
          <w:rPr>
            <w:noProof/>
            <w:webHidden/>
          </w:rPr>
          <w:t>1</w:t>
        </w:r>
        <w:r w:rsidR="009202EF">
          <w:rPr>
            <w:noProof/>
            <w:webHidden/>
          </w:rPr>
          <w:fldChar w:fldCharType="end"/>
        </w:r>
      </w:hyperlink>
    </w:p>
    <w:p w14:paraId="6BA6D8CC" w14:textId="1C72200D"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p>
    <w:p w14:paraId="4CD42A87" w14:textId="77777777"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CB060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0F2D29E5" w:rsidR="008E314D" w:rsidRPr="00CB0607" w:rsidRDefault="04D86CCD" w:rsidP="008E314D">
      <w:pPr>
        <w:tabs>
          <w:tab w:val="left" w:pos="360"/>
          <w:tab w:val="left" w:pos="720"/>
          <w:tab w:val="left" w:pos="1080"/>
          <w:tab w:val="left" w:pos="1440"/>
          <w:tab w:val="left" w:pos="1800"/>
          <w:tab w:val="left" w:pos="2160"/>
          <w:tab w:val="left" w:pos="2520"/>
          <w:tab w:val="left" w:pos="2880"/>
        </w:tabs>
        <w:spacing w:line="240" w:lineRule="auto"/>
        <w:jc w:val="center"/>
      </w:pPr>
      <w:r>
        <w:t>Russell D. Johnston</w:t>
      </w:r>
      <w:r w:rsidR="005D7AE1">
        <w:t xml:space="preserve"> </w:t>
      </w:r>
    </w:p>
    <w:p w14:paraId="5F95BE93" w14:textId="41A5F9CC" w:rsidR="008E314D" w:rsidRPr="00CB0607" w:rsidRDefault="637F277E" w:rsidP="00177F96">
      <w:pPr>
        <w:tabs>
          <w:tab w:val="left" w:pos="360"/>
          <w:tab w:val="left" w:pos="720"/>
          <w:tab w:val="left" w:pos="1080"/>
          <w:tab w:val="left" w:pos="1440"/>
          <w:tab w:val="left" w:pos="1800"/>
          <w:tab w:val="left" w:pos="2160"/>
          <w:tab w:val="left" w:pos="2520"/>
          <w:tab w:val="left" w:pos="2880"/>
        </w:tabs>
        <w:spacing w:line="240" w:lineRule="auto"/>
        <w:jc w:val="center"/>
      </w:pPr>
      <w:r>
        <w:t xml:space="preserve">Acting </w:t>
      </w:r>
      <w:r w:rsidR="008E314D">
        <w:t>Commissioner</w:t>
      </w:r>
    </w:p>
    <w:p w14:paraId="26B707AB" w14:textId="41169C00" w:rsidR="001E776B" w:rsidRPr="00C829AA"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C829AA">
        <w:rPr>
          <w:rStyle w:val="bold"/>
        </w:rPr>
        <w:t xml:space="preserve">Published </w:t>
      </w:r>
      <w:r w:rsidR="001F07B6" w:rsidRPr="00C829AA">
        <w:rPr>
          <w:rStyle w:val="bold"/>
        </w:rPr>
        <w:t xml:space="preserve">August </w:t>
      </w:r>
      <w:r w:rsidR="00187366" w:rsidRPr="00C829AA">
        <w:rPr>
          <w:rStyle w:val="bold"/>
        </w:rPr>
        <w:t>2024</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CB0607" w:rsidRDefault="008E314D" w:rsidP="0066116F">
      <w:pPr>
        <w:pStyle w:val="BodyText"/>
        <w:jc w:val="center"/>
      </w:pPr>
      <w:r w:rsidRPr="00CB0607">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004C1845">
        <w:rPr>
          <w:snapToGrid w:val="0"/>
        </w:rPr>
        <w:t>135 Santilli Highway</w:t>
      </w:r>
      <w:r w:rsidRPr="00CB0607">
        <w:t xml:space="preserve">, </w:t>
      </w:r>
      <w:r w:rsidR="004C1845">
        <w:t>Everett</w:t>
      </w:r>
      <w:r w:rsidRPr="00CB0607">
        <w:t>, MA 0214</w:t>
      </w:r>
      <w:r w:rsidR="004C1845">
        <w:t>9</w:t>
      </w:r>
      <w:r w:rsidRPr="00CB0607">
        <w:t>. Phone: 781-338-6105.</w:t>
      </w:r>
    </w:p>
    <w:p w14:paraId="4361469B" w14:textId="2DA6EAF9" w:rsidR="001166A5" w:rsidRPr="00CB0607" w:rsidRDefault="001166A5" w:rsidP="0066116F">
      <w:pPr>
        <w:pStyle w:val="BodyTextposthead"/>
        <w:jc w:val="center"/>
      </w:pPr>
      <w:r w:rsidRPr="00CB0607">
        <w:t>© 202</w:t>
      </w:r>
      <w:r w:rsidR="004C1845">
        <w:t>4</w:t>
      </w:r>
      <w:r w:rsidRPr="00CB0607">
        <w:t xml:space="preserve"> Massachusetts Department of Elementary and Secondary Education</w:t>
      </w:r>
    </w:p>
    <w:p w14:paraId="05DE9136" w14:textId="623DDC6B" w:rsidR="001166A5" w:rsidRPr="0066116F" w:rsidRDefault="001166A5" w:rsidP="0066116F">
      <w:pPr>
        <w:pStyle w:val="BodyTextposthead"/>
        <w:jc w:val="center"/>
        <w:rPr>
          <w:i/>
          <w:iCs/>
          <w:spacing w:val="-4"/>
        </w:rPr>
      </w:pPr>
      <w:r w:rsidRPr="0066116F">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CB0607" w:rsidRDefault="001166A5" w:rsidP="0066116F">
      <w:pPr>
        <w:pStyle w:val="BodyTextposthead"/>
        <w:jc w:val="center"/>
      </w:pPr>
      <w:r w:rsidRPr="00CB0607">
        <w:t>This document printed on recycled paper</w:t>
      </w:r>
      <w:r w:rsidR="00D84CF0" w:rsidRPr="00CB0607">
        <w:t>.</w:t>
      </w: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5F6681F7" w:rsidR="008E314D" w:rsidRPr="00CB060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Pr>
          <w:snapToGrid w:val="0"/>
        </w:rPr>
        <w:t>135 Santilli Highway</w:t>
      </w:r>
      <w:r w:rsidR="008E314D" w:rsidRPr="00CB0607">
        <w:t xml:space="preserve">, </w:t>
      </w:r>
      <w:r>
        <w:t xml:space="preserve">Everett </w:t>
      </w:r>
      <w:r w:rsidR="008E314D" w:rsidRPr="00CB0607">
        <w:t>MA 0214</w:t>
      </w:r>
      <w:r>
        <w:t>9</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CB0607">
          <w:rPr>
            <w:rStyle w:val="Hyperlink"/>
          </w:rPr>
          <w:t>ww</w:t>
        </w:r>
        <w:r w:rsidR="008E314D" w:rsidRPr="00CA30EE">
          <w:rPr>
            <w:rStyle w:val="Hyperlink"/>
            <w:color w:val="0563C1"/>
          </w:rPr>
          <w:t>w.doe.m</w:t>
        </w:r>
        <w:r w:rsidR="008E314D"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CB0607" w:rsidRDefault="008D6102" w:rsidP="008D6102">
      <w:pPr>
        <w:pStyle w:val="Heading2"/>
      </w:pPr>
      <w:bookmarkStart w:id="1" w:name="_Toc101446225"/>
      <w:bookmarkStart w:id="2" w:name="_Toc170157272"/>
      <w:bookmarkStart w:id="3" w:name="_Toc350870260"/>
      <w:bookmarkStart w:id="4" w:name="_Toc273777167"/>
      <w:bookmarkStart w:id="5" w:name="_Toc277066425"/>
      <w:bookmarkStart w:id="6" w:name="_Toc337817149"/>
      <w:bookmarkStart w:id="7" w:name="_Toc101878649"/>
      <w:r w:rsidRPr="00CB0607">
        <w:lastRenderedPageBreak/>
        <w:t>Executive Summary</w:t>
      </w:r>
      <w:bookmarkEnd w:id="1"/>
      <w:bookmarkEnd w:id="2"/>
    </w:p>
    <w:p w14:paraId="38882FEA" w14:textId="502AA24D" w:rsidR="008672D4" w:rsidRDefault="000B1DD2" w:rsidP="00F17541">
      <w:pPr>
        <w:pStyle w:val="BodyText"/>
      </w:pPr>
      <w:bookmarkStart w:id="8" w:name="_Hlk40937737"/>
      <w:bookmarkStart w:id="9" w:name="_Toc104552856"/>
      <w:bookmarkEnd w:id="3"/>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comprehensive review of </w:t>
      </w:r>
      <w:r w:rsidR="00D52C79">
        <w:t>Hingham Public Schools</w:t>
      </w:r>
      <w:r w:rsidRPr="00CB0607">
        <w:t xml:space="preserve"> (</w:t>
      </w:r>
      <w:r w:rsidR="0054101D" w:rsidRPr="00CB0607">
        <w:t xml:space="preserve">hereafter, </w:t>
      </w:r>
      <w:r w:rsidR="00187366">
        <w:t>Hingham</w:t>
      </w:r>
      <w:r w:rsidRPr="00CB0607">
        <w:t xml:space="preserve">) in </w:t>
      </w:r>
      <w:r w:rsidR="00D52C79">
        <w:t>April</w:t>
      </w:r>
      <w:r w:rsidRPr="00CB0607">
        <w:t xml:space="preserve"> 20</w:t>
      </w:r>
      <w:r w:rsidR="00D52C79">
        <w:t>24</w:t>
      </w:r>
      <w:r w:rsidRPr="00CB0607">
        <w:t xml:space="preserve">. Data collection activities associated with the review </w:t>
      </w:r>
      <w:r w:rsidR="02F46E2F" w:rsidRPr="168806D2">
        <w:rPr>
          <w:rFonts w:ascii="Franklin Gothic Book" w:eastAsia="Franklin Gothic Book" w:hAnsi="Franklin Gothic Book" w:cs="Franklin Gothic Book"/>
        </w:rPr>
        <w:t>included interviews, focus groups, and document reviews and were</w:t>
      </w:r>
      <w:r w:rsidR="02F46E2F" w:rsidRPr="168806D2">
        <w:t xml:space="preserve"> </w:t>
      </w:r>
      <w:r w:rsidRPr="00CB0607">
        <w:t>focused on understanding how district systems, structures, and practices operate in support of district continuous improvement efforts. The review focused on the six standards (and related indicators) that DESE has identified as being important components of district effectiveness.</w:t>
      </w:r>
      <w:r w:rsidR="002A424E">
        <w:rPr>
          <w:rStyle w:val="FootnoteReference"/>
        </w:rPr>
        <w:footnoteReference w:id="2"/>
      </w:r>
    </w:p>
    <w:p w14:paraId="41D8CE26" w14:textId="3ACC5781" w:rsidR="000B1DD2" w:rsidRPr="00CB0607" w:rsidRDefault="002A424E" w:rsidP="00F17541">
      <w:pPr>
        <w:pStyle w:val="BodyText"/>
      </w:pPr>
      <w:r>
        <w:rPr>
          <w:rFonts w:ascii="Franklin Gothic Book" w:eastAsia="Franklin Gothic Book" w:hAnsi="Franklin Gothic Book" w:cs="Franklin Gothic Book"/>
        </w:rPr>
        <w:t>T</w:t>
      </w:r>
      <w:r w:rsidR="002A1FDC">
        <w:rPr>
          <w:rFonts w:ascii="Franklin Gothic Book" w:eastAsia="Franklin Gothic Book" w:hAnsi="Franklin Gothic Book" w:cs="Franklin Gothic Book"/>
        </w:rPr>
        <w:t>hree</w:t>
      </w:r>
      <w:r w:rsidR="008672D4" w:rsidRPr="00CB0607">
        <w:t xml:space="preserve"> observers, who focused primarily on instruction in the classroom, visited </w:t>
      </w:r>
      <w:r>
        <w:t>Hingham</w:t>
      </w:r>
      <w:r w:rsidRPr="00CB0607">
        <w:t xml:space="preserve"> </w:t>
      </w:r>
      <w:r w:rsidR="008672D4" w:rsidRPr="00CB0607">
        <w:t xml:space="preserve">during the week of </w:t>
      </w:r>
      <w:r w:rsidR="00D52C79">
        <w:t>April 22</w:t>
      </w:r>
      <w:r>
        <w:t>, 2024</w:t>
      </w:r>
      <w:r w:rsidR="008672D4" w:rsidRPr="00CB0607">
        <w:t xml:space="preserve">. The observers conducted </w:t>
      </w:r>
      <w:r w:rsidR="002A1FDC">
        <w:t>98</w:t>
      </w:r>
      <w:r w:rsidR="008672D4" w:rsidRPr="00CB0607">
        <w:t xml:space="preserve"> observations in a sample of classrooms across grade levels, focused on literacy, </w:t>
      </w:r>
      <w:r w:rsidR="008672D4">
        <w:t>English language arts (</w:t>
      </w:r>
      <w:r w:rsidR="008672D4" w:rsidRPr="00CB0607">
        <w:t>ELA</w:t>
      </w:r>
      <w:r w:rsidR="008672D4">
        <w:t>)</w:t>
      </w:r>
      <w:r w:rsidR="008672D4" w:rsidRPr="00CB0607">
        <w:t>, and mathematics. The Teachstone Classroom Assessment Scoring System (CLASS) protocol, developed by the Center for Advanced Study of Teaching and Learning at the University of Virginia,</w:t>
      </w:r>
      <w:r w:rsidR="008672D4" w:rsidRPr="00CB0607">
        <w:rPr>
          <w:rStyle w:val="FootnoteReference"/>
        </w:rPr>
        <w:footnoteReference w:id="3"/>
      </w:r>
      <w:r w:rsidR="008672D4" w:rsidRPr="00CB0607">
        <w:t xml:space="preserve"> guided all classroom observations in the district. These observations used the three grade-band levels of the CLASS protocols: K-3, Upper Elementary (4-5), and Secondary (6</w:t>
      </w:r>
      <w:r w:rsidR="008672D4" w:rsidRPr="00CB0607">
        <w:noBreakHyphen/>
        <w:t xml:space="preserve">12). Overall, for the K-5 grade band, instructional observations suggest </w:t>
      </w:r>
      <w:r w:rsidR="008672D4" w:rsidRPr="00866945">
        <w:t xml:space="preserve">generally </w:t>
      </w:r>
      <w:r w:rsidR="00866945">
        <w:t xml:space="preserve">strong evidence of </w:t>
      </w:r>
      <w:r w:rsidR="00866945" w:rsidRPr="00CB0607">
        <w:t>classroom organization</w:t>
      </w:r>
      <w:r w:rsidR="00866945">
        <w:t>,</w:t>
      </w:r>
      <w:r w:rsidR="00866945" w:rsidRPr="00CB0607">
        <w:t xml:space="preserve"> </w:t>
      </w:r>
      <w:r w:rsidR="00866945">
        <w:t xml:space="preserve">and generally </w:t>
      </w:r>
      <w:r w:rsidR="008672D4">
        <w:t>mixed</w:t>
      </w:r>
      <w:r w:rsidR="008672D4" w:rsidRPr="00CB0607">
        <w:t xml:space="preserve"> </w:t>
      </w:r>
      <w:r w:rsidR="008672D4">
        <w:t xml:space="preserve">evidence of </w:t>
      </w:r>
      <w:r w:rsidR="008672D4" w:rsidRPr="00CB0607">
        <w:t xml:space="preserve">emotional support, student engagement (Grades 4-5), and rigorous instructional support. </w:t>
      </w:r>
      <w:r w:rsidR="007C7939" w:rsidRPr="002C4A82">
        <w:t>In both the 6-8 and 9-12 grade bands, instructional observations provide</w:t>
      </w:r>
      <w:r w:rsidR="007C7939">
        <w:t xml:space="preserve"> evidence of strong classroom organization and moderate student engagement, as well as </w:t>
      </w:r>
      <w:r w:rsidR="007C7939" w:rsidRPr="002C4A82">
        <w:t xml:space="preserve">mixed evidence of consistently strong emotional </w:t>
      </w:r>
      <w:r w:rsidR="007C7939">
        <w:t xml:space="preserve">and </w:t>
      </w:r>
      <w:r w:rsidR="007C7939" w:rsidRPr="002C4A82">
        <w:t>instructional support</w:t>
      </w:r>
      <w:r w:rsidR="007C7939">
        <w:t>.</w:t>
      </w:r>
    </w:p>
    <w:p w14:paraId="294F0C09" w14:textId="28C9E3F7" w:rsidR="000B1DD2" w:rsidRDefault="00000000" w:rsidP="0066116F">
      <w:pPr>
        <w:pStyle w:val="Heading3"/>
        <w:rPr>
          <w:rStyle w:val="Hyperlink"/>
        </w:rPr>
      </w:pPr>
      <w:hyperlink w:anchor="_Leadership_and_Governance" w:history="1">
        <w:r w:rsidR="000B1DD2" w:rsidRPr="00B527CE">
          <w:rPr>
            <w:rStyle w:val="Hyperlink"/>
          </w:rPr>
          <w:t>Leadership and Governance</w:t>
        </w:r>
      </w:hyperlink>
    </w:p>
    <w:p w14:paraId="4F392BCD" w14:textId="14B1F419" w:rsidR="00E235BA" w:rsidRPr="008A639F" w:rsidRDefault="00E235BA" w:rsidP="00F17541">
      <w:pPr>
        <w:pStyle w:val="BodyTextposthead"/>
        <w:rPr>
          <w:b/>
          <w:bCs/>
          <w:shd w:val="clear" w:color="auto" w:fill="FFFFFF"/>
        </w:rPr>
      </w:pPr>
      <w:r w:rsidRPr="008A639F">
        <w:rPr>
          <w:shd w:val="clear" w:color="auto" w:fill="FFFFFF"/>
        </w:rPr>
        <w:t xml:space="preserve">Hingham, under the leadership of Superintendent Margaret Adams since 2022, </w:t>
      </w:r>
      <w:r w:rsidR="002A424E">
        <w:rPr>
          <w:shd w:val="clear" w:color="auto" w:fill="FFFFFF"/>
        </w:rPr>
        <w:t>has</w:t>
      </w:r>
      <w:r w:rsidRPr="008A639F">
        <w:rPr>
          <w:shd w:val="clear" w:color="auto" w:fill="FFFFFF"/>
        </w:rPr>
        <w:t xml:space="preserve"> a dedicated core team of central office staff and a broader administrative leadership team, including curriculum directors and principals. </w:t>
      </w:r>
      <w:r w:rsidR="002A424E">
        <w:rPr>
          <w:shd w:val="clear" w:color="auto" w:fill="FFFFFF"/>
        </w:rPr>
        <w:t>D</w:t>
      </w:r>
      <w:r w:rsidRPr="008A639F">
        <w:rPr>
          <w:shd w:val="clear" w:color="auto" w:fill="FFFFFF"/>
        </w:rPr>
        <w:t xml:space="preserve">istrict officials work collaboratively with the seven-member elected school committee, which oversees key functions such as hiring and evaluating the </w:t>
      </w:r>
      <w:r w:rsidR="002A424E">
        <w:rPr>
          <w:shd w:val="clear" w:color="auto" w:fill="FFFFFF"/>
        </w:rPr>
        <w:t>s</w:t>
      </w:r>
      <w:r w:rsidRPr="008A639F">
        <w:rPr>
          <w:shd w:val="clear" w:color="auto" w:fill="FFFFFF"/>
        </w:rPr>
        <w:t>uperintendent, budget development, policy establishment, collective bargaining, and promoting the district</w:t>
      </w:r>
      <w:r w:rsidR="002A424E">
        <w:rPr>
          <w:shd w:val="clear" w:color="auto" w:fill="FFFFFF"/>
        </w:rPr>
        <w:t>’</w:t>
      </w:r>
      <w:r w:rsidRPr="008A639F">
        <w:rPr>
          <w:shd w:val="clear" w:color="auto" w:fill="FFFFFF"/>
        </w:rPr>
        <w:t>s vision and goals. In alignment with these responsibilities, the school committee and interim superintendent</w:t>
      </w:r>
      <w:r w:rsidR="00C90F93">
        <w:rPr>
          <w:shd w:val="clear" w:color="auto" w:fill="FFFFFF"/>
        </w:rPr>
        <w:t xml:space="preserve"> (Adams, before official appointment as superintendent)</w:t>
      </w:r>
      <w:r w:rsidRPr="008A639F">
        <w:rPr>
          <w:shd w:val="clear" w:color="auto" w:fill="FFFFFF"/>
        </w:rPr>
        <w:t xml:space="preserve">, with input from an external vendor, developed a comprehensive three-year Strategic Plan (2022-2025) </w:t>
      </w:r>
      <w:r w:rsidR="00FA5863">
        <w:rPr>
          <w:shd w:val="clear" w:color="auto" w:fill="FFFFFF"/>
        </w:rPr>
        <w:t xml:space="preserve">that </w:t>
      </w:r>
      <w:r w:rsidRPr="008A639F">
        <w:rPr>
          <w:shd w:val="clear" w:color="auto" w:fill="FFFFFF"/>
        </w:rPr>
        <w:t>outlin</w:t>
      </w:r>
      <w:r w:rsidR="00FA5863">
        <w:rPr>
          <w:shd w:val="clear" w:color="auto" w:fill="FFFFFF"/>
        </w:rPr>
        <w:t>es</w:t>
      </w:r>
      <w:r w:rsidRPr="008A639F">
        <w:rPr>
          <w:shd w:val="clear" w:color="auto" w:fill="FFFFFF"/>
        </w:rPr>
        <w:t xml:space="preserve"> the district’s mission, core values, and strategic objectives. To implement this plan and other priorities, school principals receive support from instructional leadership teams. </w:t>
      </w:r>
    </w:p>
    <w:p w14:paraId="7273969D" w14:textId="5DF12218" w:rsidR="00E235BA" w:rsidRDefault="00E235BA" w:rsidP="00F17541">
      <w:pPr>
        <w:pStyle w:val="BodyText"/>
        <w:rPr>
          <w:shd w:val="clear" w:color="auto" w:fill="FFFFFF"/>
        </w:rPr>
      </w:pPr>
      <w:r w:rsidRPr="008A639F">
        <w:rPr>
          <w:shd w:val="clear" w:color="auto" w:fill="FFFFFF"/>
        </w:rPr>
        <w:t xml:space="preserve">The </w:t>
      </w:r>
      <w:r w:rsidR="00FA5863">
        <w:rPr>
          <w:shd w:val="clear" w:color="auto" w:fill="FFFFFF"/>
        </w:rPr>
        <w:t>s</w:t>
      </w:r>
      <w:r w:rsidRPr="008A639F">
        <w:rPr>
          <w:shd w:val="clear" w:color="auto" w:fill="FFFFFF"/>
        </w:rPr>
        <w:t xml:space="preserve">chool </w:t>
      </w:r>
      <w:r w:rsidR="00FA5863">
        <w:rPr>
          <w:shd w:val="clear" w:color="auto" w:fill="FFFFFF"/>
        </w:rPr>
        <w:t>c</w:t>
      </w:r>
      <w:r w:rsidRPr="008A639F">
        <w:rPr>
          <w:shd w:val="clear" w:color="auto" w:fill="FFFFFF"/>
        </w:rPr>
        <w:t>ommittee works closely with district and town leaders to comply with Massachusetts laws and regulations while fulfilling their fiduciary responsibilities. Their primary duties include (a)</w:t>
      </w:r>
      <w:r w:rsidR="00FA5863">
        <w:rPr>
          <w:shd w:val="clear" w:color="auto" w:fill="FFFFFF"/>
        </w:rPr>
        <w:t> </w:t>
      </w:r>
      <w:r w:rsidRPr="008A639F">
        <w:rPr>
          <w:shd w:val="clear" w:color="auto" w:fill="FFFFFF"/>
        </w:rPr>
        <w:t xml:space="preserve">hiring and evaluating the </w:t>
      </w:r>
      <w:r w:rsidR="00FA5863">
        <w:rPr>
          <w:shd w:val="clear" w:color="auto" w:fill="FFFFFF"/>
        </w:rPr>
        <w:t>s</w:t>
      </w:r>
      <w:r w:rsidRPr="008A639F">
        <w:rPr>
          <w:shd w:val="clear" w:color="auto" w:fill="FFFFFF"/>
        </w:rPr>
        <w:t>uperintendent</w:t>
      </w:r>
      <w:r w:rsidR="00FA5863">
        <w:rPr>
          <w:shd w:val="clear" w:color="auto" w:fill="FFFFFF"/>
        </w:rPr>
        <w:t>,</w:t>
      </w:r>
      <w:r w:rsidRPr="008A639F">
        <w:rPr>
          <w:shd w:val="clear" w:color="auto" w:fill="FFFFFF"/>
        </w:rPr>
        <w:t xml:space="preserve"> (b) developing an adequate budget</w:t>
      </w:r>
      <w:r w:rsidR="00FA5863">
        <w:rPr>
          <w:shd w:val="clear" w:color="auto" w:fill="FFFFFF"/>
        </w:rPr>
        <w:t>,</w:t>
      </w:r>
      <w:r w:rsidRPr="008A639F">
        <w:rPr>
          <w:shd w:val="clear" w:color="auto" w:fill="FFFFFF"/>
        </w:rPr>
        <w:t xml:space="preserve"> (c) establishing and reviewing policies</w:t>
      </w:r>
      <w:r w:rsidR="00FA5863">
        <w:rPr>
          <w:shd w:val="clear" w:color="auto" w:fill="FFFFFF"/>
        </w:rPr>
        <w:t>,</w:t>
      </w:r>
      <w:r w:rsidRPr="008A639F">
        <w:rPr>
          <w:shd w:val="clear" w:color="auto" w:fill="FFFFFF"/>
        </w:rPr>
        <w:t xml:space="preserve"> (d) monitoring policy execution</w:t>
      </w:r>
      <w:r w:rsidR="00FA5863">
        <w:rPr>
          <w:shd w:val="clear" w:color="auto" w:fill="FFFFFF"/>
        </w:rPr>
        <w:t>,</w:t>
      </w:r>
      <w:r w:rsidRPr="008A639F">
        <w:rPr>
          <w:shd w:val="clear" w:color="auto" w:fill="FFFFFF"/>
        </w:rPr>
        <w:t xml:space="preserve"> (e) conducting collective bargaining</w:t>
      </w:r>
      <w:r w:rsidR="00FA5863">
        <w:rPr>
          <w:shd w:val="clear" w:color="auto" w:fill="FFFFFF"/>
        </w:rPr>
        <w:t>,</w:t>
      </w:r>
      <w:r w:rsidRPr="008A639F">
        <w:rPr>
          <w:shd w:val="clear" w:color="auto" w:fill="FFFFFF"/>
        </w:rPr>
        <w:t xml:space="preserve"> and (f)</w:t>
      </w:r>
      <w:r w:rsidR="00FA5863">
        <w:rPr>
          <w:shd w:val="clear" w:color="auto" w:fill="FFFFFF"/>
        </w:rPr>
        <w:t> </w:t>
      </w:r>
      <w:r w:rsidRPr="008A639F">
        <w:rPr>
          <w:shd w:val="clear" w:color="auto" w:fill="FFFFFF"/>
        </w:rPr>
        <w:t xml:space="preserve">promoting the district’s vision and goals. The committee evaluates the </w:t>
      </w:r>
      <w:r w:rsidR="00FA5863">
        <w:rPr>
          <w:shd w:val="clear" w:color="auto" w:fill="FFFFFF"/>
        </w:rPr>
        <w:t>s</w:t>
      </w:r>
      <w:r w:rsidRPr="008A639F">
        <w:rPr>
          <w:shd w:val="clear" w:color="auto" w:fill="FFFFFF"/>
        </w:rPr>
        <w:t xml:space="preserve">uperintendent through a DESE-outlined process and maintains a collaborative relationship with town officials, regularly </w:t>
      </w:r>
      <w:r w:rsidRPr="008A639F">
        <w:rPr>
          <w:shd w:val="clear" w:color="auto" w:fill="FFFFFF"/>
        </w:rPr>
        <w:lastRenderedPageBreak/>
        <w:t>updating them on district activities and budget spending. Despite strong stakeholder engagement, including student representatives, teachers expressed concerns about being unheard during stalled collective bargaining negotiations. The committee remains committed to addressing these concerns while considering financial viability.</w:t>
      </w:r>
    </w:p>
    <w:p w14:paraId="00CC9C5C" w14:textId="2CD777A0" w:rsidR="00E235BA" w:rsidRPr="008A639F" w:rsidRDefault="00E235BA" w:rsidP="00F17541">
      <w:pPr>
        <w:pStyle w:val="BodyText"/>
        <w:rPr>
          <w:shd w:val="clear" w:color="auto" w:fill="FFFFFF"/>
        </w:rPr>
      </w:pPr>
      <w:r>
        <w:rPr>
          <w:shd w:val="clear" w:color="auto" w:fill="FFFFFF"/>
        </w:rPr>
        <w:t>In terms of strengths, the superintendent established a culture of collaboration between the district, the town, and the school committee. The school committee demonstrates a commitment to engaging various stakeholder groups through</w:t>
      </w:r>
      <w:r w:rsidR="00FA5863">
        <w:rPr>
          <w:shd w:val="clear" w:color="auto" w:fill="FFFFFF"/>
        </w:rPr>
        <w:t>out</w:t>
      </w:r>
      <w:r>
        <w:rPr>
          <w:shd w:val="clear" w:color="auto" w:fill="FFFFFF"/>
        </w:rPr>
        <w:t xml:space="preserve"> the district. </w:t>
      </w:r>
      <w:r w:rsidR="00FA5863">
        <w:rPr>
          <w:shd w:val="clear" w:color="auto" w:fill="FFFFFF"/>
        </w:rPr>
        <w:t>A</w:t>
      </w:r>
      <w:r>
        <w:rPr>
          <w:shd w:val="clear" w:color="auto" w:fill="FFFFFF"/>
        </w:rPr>
        <w:t xml:space="preserve">lignment </w:t>
      </w:r>
      <w:r w:rsidR="00FA5863">
        <w:rPr>
          <w:shd w:val="clear" w:color="auto" w:fill="FFFFFF"/>
        </w:rPr>
        <w:t xml:space="preserve">exists </w:t>
      </w:r>
      <w:r>
        <w:rPr>
          <w:shd w:val="clear" w:color="auto" w:fill="FFFFFF"/>
        </w:rPr>
        <w:t xml:space="preserve">between district and school improvement plans. </w:t>
      </w:r>
      <w:r w:rsidR="00B652EB">
        <w:t>The district demonstrates a commitment to employing a data-driven approach to strategic planning</w:t>
      </w:r>
      <w:r w:rsidR="00B652EB">
        <w:rPr>
          <w:shd w:val="clear" w:color="auto" w:fill="FFFFFF"/>
        </w:rPr>
        <w:t xml:space="preserve"> </w:t>
      </w:r>
      <w:r>
        <w:rPr>
          <w:shd w:val="clear" w:color="auto" w:fill="FFFFFF"/>
        </w:rPr>
        <w:t xml:space="preserve">The town and the district have a </w:t>
      </w:r>
      <w:r w:rsidR="00FA5863">
        <w:rPr>
          <w:shd w:val="clear" w:color="auto" w:fill="FFFFFF"/>
        </w:rPr>
        <w:t>m</w:t>
      </w:r>
      <w:r>
        <w:rPr>
          <w:shd w:val="clear" w:color="auto" w:fill="FFFFFF"/>
        </w:rPr>
        <w:t xml:space="preserve">emorandum of </w:t>
      </w:r>
      <w:r w:rsidR="00FA5863">
        <w:rPr>
          <w:shd w:val="clear" w:color="auto" w:fill="FFFFFF"/>
        </w:rPr>
        <w:t>u</w:t>
      </w:r>
      <w:r>
        <w:rPr>
          <w:shd w:val="clear" w:color="auto" w:fill="FFFFFF"/>
        </w:rPr>
        <w:t xml:space="preserve">nderstanding (MOU) to ensure the town will provide funding to the school for the district </w:t>
      </w:r>
      <w:r w:rsidR="00FA5863">
        <w:rPr>
          <w:shd w:val="clear" w:color="auto" w:fill="FFFFFF"/>
        </w:rPr>
        <w:t xml:space="preserve">for </w:t>
      </w:r>
      <w:r>
        <w:rPr>
          <w:shd w:val="clear" w:color="auto" w:fill="FFFFFF"/>
        </w:rPr>
        <w:t xml:space="preserve">the next four years. The district also has several </w:t>
      </w:r>
      <w:r w:rsidR="00764C5B">
        <w:rPr>
          <w:shd w:val="clear" w:color="auto" w:fill="FFFFFF"/>
        </w:rPr>
        <w:t>areas</w:t>
      </w:r>
      <w:r>
        <w:rPr>
          <w:shd w:val="clear" w:color="auto" w:fill="FFFFFF"/>
        </w:rPr>
        <w:t xml:space="preserve"> for growth</w:t>
      </w:r>
      <w:r w:rsidR="00FA5863">
        <w:rPr>
          <w:shd w:val="clear" w:color="auto" w:fill="FFFFFF"/>
        </w:rPr>
        <w:t>,</w:t>
      </w:r>
      <w:r>
        <w:rPr>
          <w:shd w:val="clear" w:color="auto" w:fill="FFFFFF"/>
        </w:rPr>
        <w:t xml:space="preserve"> including clarifying the roles and responsibilities of the school committee for the public, establishing effective districtwide mechanisms for meaningful stakeholder feedback, </w:t>
      </w:r>
      <w:r w:rsidR="002A005F">
        <w:t>e</w:t>
      </w:r>
      <w:r w:rsidR="002A005F" w:rsidRPr="00F95841">
        <w:t xml:space="preserve">nhancing the </w:t>
      </w:r>
      <w:r w:rsidR="002A005F">
        <w:t>ability</w:t>
      </w:r>
      <w:r w:rsidR="002A005F" w:rsidRPr="00F95841">
        <w:t xml:space="preserve"> of both curriculum directors and school leaders to </w:t>
      </w:r>
      <w:r w:rsidR="002A005F">
        <w:t>improve</w:t>
      </w:r>
      <w:r w:rsidR="002A005F" w:rsidRPr="00F95841">
        <w:t xml:space="preserve"> instructional practices</w:t>
      </w:r>
      <w:r w:rsidR="002A005F">
        <w:t>, m</w:t>
      </w:r>
      <w:r w:rsidR="002A005F" w:rsidRPr="00E503A8">
        <w:t>eaningfu</w:t>
      </w:r>
      <w:r w:rsidR="002A005F">
        <w:t>lly engaging</w:t>
      </w:r>
      <w:r w:rsidR="002A005F" w:rsidRPr="00E503A8">
        <w:t xml:space="preserve"> school staff and parents in reflection and refinement of the strategic plan</w:t>
      </w:r>
      <w:r w:rsidR="002A005F">
        <w:rPr>
          <w:shd w:val="clear" w:color="auto" w:fill="FFFFFF"/>
        </w:rPr>
        <w:t xml:space="preserve"> </w:t>
      </w:r>
      <w:r>
        <w:rPr>
          <w:shd w:val="clear" w:color="auto" w:fill="FFFFFF"/>
        </w:rPr>
        <w:t>and providing meaningful opportunities for school staff to contribute to decision</w:t>
      </w:r>
      <w:r w:rsidR="00FA5863">
        <w:rPr>
          <w:shd w:val="clear" w:color="auto" w:fill="FFFFFF"/>
        </w:rPr>
        <w:t>-</w:t>
      </w:r>
      <w:r>
        <w:rPr>
          <w:shd w:val="clear" w:color="auto" w:fill="FFFFFF"/>
        </w:rPr>
        <w:t>making processes.</w:t>
      </w:r>
    </w:p>
    <w:bookmarkEnd w:id="8"/>
    <w:p w14:paraId="770E4914" w14:textId="5450BE1B" w:rsidR="000B1DD2" w:rsidRPr="00CB0607" w:rsidRDefault="002C3D55" w:rsidP="000B1DD2">
      <w:pPr>
        <w:pStyle w:val="Heading3"/>
      </w:pPr>
      <w:r>
        <w:fldChar w:fldCharType="begin"/>
      </w:r>
      <w:r>
        <w:instrText>HYPERLINK \l "_Curriculum_and_Instruction"</w:instrText>
      </w:r>
      <w:r>
        <w:fldChar w:fldCharType="separate"/>
      </w:r>
      <w:r w:rsidR="000B1DD2" w:rsidRPr="00B527CE">
        <w:rPr>
          <w:rStyle w:val="Hyperlink"/>
        </w:rPr>
        <w:t>Curriculum and Instruction</w:t>
      </w:r>
      <w:r>
        <w:rPr>
          <w:rStyle w:val="Hyperlink"/>
        </w:rPr>
        <w:fldChar w:fldCharType="end"/>
      </w:r>
    </w:p>
    <w:p w14:paraId="28459CDB" w14:textId="0B32D9D1" w:rsidR="00550DDF" w:rsidRPr="00550DDF" w:rsidRDefault="00550DDF" w:rsidP="00F17541">
      <w:pPr>
        <w:pStyle w:val="BodyTextposthead"/>
        <w:rPr>
          <w:shd w:val="clear" w:color="auto" w:fill="FFFFFF"/>
        </w:rPr>
      </w:pPr>
      <w:r w:rsidRPr="00550DDF">
        <w:rPr>
          <w:shd w:val="clear" w:color="auto" w:fill="FFFFFF"/>
        </w:rPr>
        <w:t xml:space="preserve">Hingham strives to </w:t>
      </w:r>
      <w:r w:rsidR="00483AA2">
        <w:rPr>
          <w:shd w:val="clear" w:color="auto" w:fill="FFFFFF"/>
        </w:rPr>
        <w:t>provide</w:t>
      </w:r>
      <w:r w:rsidR="00483AA2" w:rsidRPr="00550DDF">
        <w:rPr>
          <w:shd w:val="clear" w:color="auto" w:fill="FFFFFF"/>
        </w:rPr>
        <w:t xml:space="preserve"> </w:t>
      </w:r>
      <w:r w:rsidRPr="00550DDF">
        <w:rPr>
          <w:shd w:val="clear" w:color="auto" w:fill="FFFFFF"/>
        </w:rPr>
        <w:t>equitable, rigorous, and effective instruction aligned with the Massachusetts Curricula Frameworks through a structured curricular review process led by curriculum directors. This review process, conducted every seven years for each department, involves research, stakeholder input, and program piloting to ensure the selection of standards-aligned curricula, which have received favorable evaluations from C</w:t>
      </w:r>
      <w:r w:rsidR="00FA5863">
        <w:rPr>
          <w:shd w:val="clear" w:color="auto" w:fill="FFFFFF"/>
        </w:rPr>
        <w:t>URATE</w:t>
      </w:r>
      <w:r w:rsidR="00FA5863">
        <w:rPr>
          <w:rStyle w:val="FootnoteReference"/>
          <w:color w:val="000000" w:themeColor="text1"/>
          <w:shd w:val="clear" w:color="auto" w:fill="FFFFFF"/>
        </w:rPr>
        <w:footnoteReference w:id="4"/>
      </w:r>
      <w:r w:rsidRPr="00550DDF">
        <w:rPr>
          <w:shd w:val="clear" w:color="auto" w:fill="FFFFFF"/>
        </w:rPr>
        <w:t xml:space="preserve"> and EdReports. The district emphasizes inclusive instruction, with all educators having received professional development in the Universal Design for Learning (UDL) framework and ongoing revisions of unit guides at the middle and high school levels using UDL principles. Hingham </w:t>
      </w:r>
      <w:r w:rsidR="00FA5863">
        <w:rPr>
          <w:shd w:val="clear" w:color="auto" w:fill="FFFFFF"/>
        </w:rPr>
        <w:t xml:space="preserve">also </w:t>
      </w:r>
      <w:r w:rsidRPr="00550DDF">
        <w:rPr>
          <w:shd w:val="clear" w:color="auto" w:fill="FFFFFF"/>
        </w:rPr>
        <w:t xml:space="preserve">prioritizes equity by expanding advanced coursework options at the high school and offering various enrichment and accelerated learning opportunities. </w:t>
      </w:r>
    </w:p>
    <w:p w14:paraId="242E0C43" w14:textId="22891D4E" w:rsidR="00550DDF" w:rsidRPr="00DE5DB4" w:rsidRDefault="00550DDF" w:rsidP="00F17541">
      <w:pPr>
        <w:pStyle w:val="BodyText"/>
        <w:rPr>
          <w:spacing w:val="-1"/>
          <w:shd w:val="clear" w:color="auto" w:fill="FFFFFF"/>
        </w:rPr>
      </w:pPr>
      <w:r w:rsidRPr="00DE5DB4">
        <w:rPr>
          <w:spacing w:val="-1"/>
          <w:shd w:val="clear" w:color="auto" w:fill="FFFFFF"/>
        </w:rPr>
        <w:t>Hingham has several strengths related to curriculum and instruction, including regular and structured curricula</w:t>
      </w:r>
      <w:r w:rsidR="00FA5863" w:rsidRPr="00DE5DB4">
        <w:rPr>
          <w:spacing w:val="-1"/>
          <w:shd w:val="clear" w:color="auto" w:fill="FFFFFF"/>
        </w:rPr>
        <w:t>r</w:t>
      </w:r>
      <w:r w:rsidRPr="00DE5DB4">
        <w:rPr>
          <w:spacing w:val="-1"/>
          <w:shd w:val="clear" w:color="auto" w:fill="FFFFFF"/>
        </w:rPr>
        <w:t xml:space="preserve"> reviews, curriculum directors who provide </w:t>
      </w:r>
      <w:r w:rsidRPr="00DE5DB4">
        <w:rPr>
          <w:spacing w:val="-1"/>
        </w:rPr>
        <w:t>multiple supports to school staff, the prioritization of UDL and inclusive practices, and the extensive range of rigorous learning experiences available at the high school.</w:t>
      </w:r>
      <w:r w:rsidR="00B94F60" w:rsidRPr="00DE5DB4">
        <w:rPr>
          <w:spacing w:val="-1"/>
          <w:shd w:val="clear" w:color="auto" w:fill="FFFFFF"/>
        </w:rPr>
        <w:t xml:space="preserve"> </w:t>
      </w:r>
      <w:r w:rsidRPr="00DE5DB4">
        <w:rPr>
          <w:spacing w:val="-1"/>
        </w:rPr>
        <w:t xml:space="preserve">Areas for growth include </w:t>
      </w:r>
      <w:r w:rsidR="0043412C">
        <w:rPr>
          <w:spacing w:val="-1"/>
          <w:shd w:val="clear" w:color="auto" w:fill="FFFFFF"/>
        </w:rPr>
        <w:t>increasing access</w:t>
      </w:r>
      <w:r w:rsidR="006548FC">
        <w:rPr>
          <w:spacing w:val="-1"/>
          <w:shd w:val="clear" w:color="auto" w:fill="FFFFFF"/>
        </w:rPr>
        <w:t xml:space="preserve"> to curricular supports for students with disabilities</w:t>
      </w:r>
      <w:r w:rsidR="002C492D">
        <w:rPr>
          <w:spacing w:val="-1"/>
          <w:shd w:val="clear" w:color="auto" w:fill="FFFFFF"/>
        </w:rPr>
        <w:t>;</w:t>
      </w:r>
      <w:r w:rsidR="00FA5863" w:rsidRPr="00DE5DB4">
        <w:rPr>
          <w:spacing w:val="-1"/>
          <w:shd w:val="clear" w:color="auto" w:fill="FFFFFF"/>
        </w:rPr>
        <w:t xml:space="preserve"> </w:t>
      </w:r>
      <w:r w:rsidR="0091201E">
        <w:t>ensuring all students, especially elementary students, have access to science curricula that meets expectations on CURATE or EdReports</w:t>
      </w:r>
      <w:r w:rsidR="002C492D">
        <w:t>;</w:t>
      </w:r>
      <w:r w:rsidR="006548FC">
        <w:t xml:space="preserve"> providing sufficient </w:t>
      </w:r>
      <w:r w:rsidR="00D1090C">
        <w:t xml:space="preserve">instructional guidance </w:t>
      </w:r>
      <w:r w:rsidR="00B34FDB">
        <w:t>to middle and high school teachers</w:t>
      </w:r>
      <w:r w:rsidR="002C492D">
        <w:t xml:space="preserve">; </w:t>
      </w:r>
      <w:r w:rsidRPr="00DE5DB4">
        <w:rPr>
          <w:spacing w:val="-1"/>
          <w:shd w:val="clear" w:color="auto" w:fill="FFFFFF"/>
        </w:rPr>
        <w:t xml:space="preserve">revising the instructional calendar to better support </w:t>
      </w:r>
      <w:r w:rsidR="00FA5863" w:rsidRPr="00DE5DB4">
        <w:rPr>
          <w:spacing w:val="-1"/>
          <w:shd w:val="clear" w:color="auto" w:fill="FFFFFF"/>
        </w:rPr>
        <w:t>social-emotional learning</w:t>
      </w:r>
      <w:r w:rsidR="002C492D">
        <w:rPr>
          <w:spacing w:val="-1"/>
          <w:shd w:val="clear" w:color="auto" w:fill="FFFFFF"/>
        </w:rPr>
        <w:t>;</w:t>
      </w:r>
      <w:r w:rsidRPr="00DE5DB4">
        <w:rPr>
          <w:spacing w:val="-1"/>
          <w:shd w:val="clear" w:color="auto" w:fill="FFFFFF"/>
        </w:rPr>
        <w:t xml:space="preserve"> </w:t>
      </w:r>
      <w:r w:rsidRPr="00DE5DB4">
        <w:rPr>
          <w:spacing w:val="-1"/>
        </w:rPr>
        <w:t>,</w:t>
      </w:r>
      <w:r w:rsidR="00FA5863" w:rsidRPr="00DE5DB4">
        <w:rPr>
          <w:spacing w:val="-1"/>
        </w:rPr>
        <w:t>i</w:t>
      </w:r>
      <w:r w:rsidRPr="00DE5DB4">
        <w:rPr>
          <w:spacing w:val="-1"/>
        </w:rPr>
        <w:t>mproving the accessibility of noncore classes, particularly for students receiving instructional interventions</w:t>
      </w:r>
      <w:r w:rsidR="002C492D">
        <w:rPr>
          <w:spacing w:val="-1"/>
        </w:rPr>
        <w:t>;</w:t>
      </w:r>
      <w:r w:rsidR="00F82254">
        <w:rPr>
          <w:spacing w:val="-1"/>
        </w:rPr>
        <w:t xml:space="preserve"> and </w:t>
      </w:r>
      <w:r w:rsidR="00666FE5">
        <w:rPr>
          <w:spacing w:val="-1"/>
        </w:rPr>
        <w:t xml:space="preserve">enhancing </w:t>
      </w:r>
      <w:r w:rsidR="00091B32">
        <w:rPr>
          <w:spacing w:val="-1"/>
        </w:rPr>
        <w:t>communication</w:t>
      </w:r>
      <w:r w:rsidR="00666FE5">
        <w:rPr>
          <w:spacing w:val="-1"/>
        </w:rPr>
        <w:t xml:space="preserve"> about available courses and opportunities for all students</w:t>
      </w:r>
      <w:r w:rsidR="00091B32">
        <w:rPr>
          <w:spacing w:val="-1"/>
        </w:rPr>
        <w:t>, particularly the dual enrollment program</w:t>
      </w:r>
      <w:r w:rsidRPr="00DE5DB4">
        <w:rPr>
          <w:spacing w:val="-1"/>
        </w:rPr>
        <w:t xml:space="preserve">. </w:t>
      </w:r>
    </w:p>
    <w:p w14:paraId="65498654" w14:textId="3E760A2A" w:rsidR="000B1DD2" w:rsidRPr="00CB0607" w:rsidRDefault="00000000" w:rsidP="000B1DD2">
      <w:pPr>
        <w:pStyle w:val="Heading3"/>
        <w:rPr>
          <w:rFonts w:cstheme="minorHAnsi"/>
          <w:color w:val="000000" w:themeColor="text1"/>
        </w:rPr>
      </w:pPr>
      <w:hyperlink w:anchor="_Assessment" w:history="1">
        <w:r w:rsidR="000B1DD2" w:rsidRPr="00B527CE">
          <w:rPr>
            <w:rStyle w:val="Hyperlink"/>
            <w:bdr w:val="none" w:sz="0" w:space="0" w:color="auto" w:frame="1"/>
          </w:rPr>
          <w:t>Assessment</w:t>
        </w:r>
      </w:hyperlink>
    </w:p>
    <w:p w14:paraId="54FEB661" w14:textId="62E2AAF8" w:rsidR="00DD20F8" w:rsidRPr="00DE5DB4" w:rsidRDefault="00DD20F8" w:rsidP="00F17541">
      <w:pPr>
        <w:pStyle w:val="BodyTextposthead"/>
        <w:rPr>
          <w:spacing w:val="-1"/>
        </w:rPr>
      </w:pPr>
      <w:r w:rsidRPr="00DE5DB4">
        <w:rPr>
          <w:spacing w:val="-1"/>
        </w:rPr>
        <w:t xml:space="preserve">Hingham employs a diverse range of assessment tools across various school levels to monitor and support student progress. At the elementary level (K-5), teachers administer benchmark assessments such as Acadience </w:t>
      </w:r>
      <w:r w:rsidR="00D15EEA" w:rsidRPr="00DE5DB4">
        <w:rPr>
          <w:spacing w:val="-1"/>
        </w:rPr>
        <w:t>DIBELS (</w:t>
      </w:r>
      <w:bookmarkStart w:id="10" w:name="_Hlk107059285"/>
      <w:r w:rsidR="00D15EEA" w:rsidRPr="00DE5DB4">
        <w:rPr>
          <w:spacing w:val="-1"/>
        </w:rPr>
        <w:t>Dynamic Indicators of Basic Early Literacy Skills</w:t>
      </w:r>
      <w:bookmarkEnd w:id="10"/>
      <w:r w:rsidR="00D15EEA" w:rsidRPr="00DE5DB4">
        <w:rPr>
          <w:spacing w:val="-1"/>
        </w:rPr>
        <w:t>)</w:t>
      </w:r>
      <w:r w:rsidRPr="00DE5DB4">
        <w:rPr>
          <w:spacing w:val="-1"/>
        </w:rPr>
        <w:t xml:space="preserve"> for ELA and i-Ready diagnostics for both ELA and mathematics thrice annually, alongside additional dyslexia screeners for Grades 1-2 and decoding surveys for Grades 3-5. The Everyday Math </w:t>
      </w:r>
      <w:r w:rsidR="00D15EEA" w:rsidRPr="00DE5DB4">
        <w:rPr>
          <w:spacing w:val="-1"/>
        </w:rPr>
        <w:t>u</w:t>
      </w:r>
      <w:r w:rsidRPr="00DE5DB4">
        <w:rPr>
          <w:spacing w:val="-1"/>
        </w:rPr>
        <w:t xml:space="preserve">nit assessment is for mathematics. These assessments facilitate the implementation of the </w:t>
      </w:r>
      <w:r w:rsidR="00D15EEA" w:rsidRPr="00DE5DB4">
        <w:rPr>
          <w:spacing w:val="-1"/>
        </w:rPr>
        <w:t>m</w:t>
      </w:r>
      <w:r w:rsidRPr="00DE5DB4">
        <w:rPr>
          <w:spacing w:val="-1"/>
        </w:rPr>
        <w:t>ulti</w:t>
      </w:r>
      <w:r w:rsidR="00D15EEA" w:rsidRPr="00DE5DB4">
        <w:rPr>
          <w:spacing w:val="-1"/>
        </w:rPr>
        <w:t>t</w:t>
      </w:r>
      <w:r w:rsidRPr="00DE5DB4">
        <w:rPr>
          <w:spacing w:val="-1"/>
        </w:rPr>
        <w:t xml:space="preserve">iered </w:t>
      </w:r>
      <w:r w:rsidR="00D15EEA" w:rsidRPr="00DE5DB4">
        <w:rPr>
          <w:spacing w:val="-1"/>
        </w:rPr>
        <w:t>s</w:t>
      </w:r>
      <w:r w:rsidRPr="00DE5DB4">
        <w:rPr>
          <w:spacing w:val="-1"/>
        </w:rPr>
        <w:t xml:space="preserve">ystem of </w:t>
      </w:r>
      <w:r w:rsidR="00D15EEA" w:rsidRPr="00DE5DB4">
        <w:rPr>
          <w:spacing w:val="-1"/>
        </w:rPr>
        <w:t>s</w:t>
      </w:r>
      <w:r w:rsidRPr="00DE5DB4">
        <w:rPr>
          <w:spacing w:val="-1"/>
        </w:rPr>
        <w:t xml:space="preserve">upports (MTSS), with teachers and specialists using the data to determine interventions and monitor progress, </w:t>
      </w:r>
      <w:r w:rsidR="00D15EEA" w:rsidRPr="00DE5DB4">
        <w:rPr>
          <w:spacing w:val="-1"/>
        </w:rPr>
        <w:t>which earns</w:t>
      </w:r>
      <w:r w:rsidRPr="00DE5DB4">
        <w:rPr>
          <w:spacing w:val="-1"/>
        </w:rPr>
        <w:t xml:space="preserve"> positive feedback from educators and school leaders. At the middle school level, </w:t>
      </w:r>
      <w:r w:rsidR="00D15EEA" w:rsidRPr="00DE5DB4">
        <w:rPr>
          <w:spacing w:val="-1"/>
        </w:rPr>
        <w:t>six</w:t>
      </w:r>
      <w:r w:rsidRPr="00DE5DB4">
        <w:rPr>
          <w:spacing w:val="-1"/>
        </w:rPr>
        <w:t xml:space="preserve">th graders </w:t>
      </w:r>
      <w:r w:rsidR="00943E5C">
        <w:rPr>
          <w:spacing w:val="-1"/>
        </w:rPr>
        <w:t>take</w:t>
      </w:r>
      <w:r w:rsidR="00943E5C" w:rsidRPr="00DE5DB4">
        <w:rPr>
          <w:spacing w:val="-1"/>
        </w:rPr>
        <w:t xml:space="preserve"> </w:t>
      </w:r>
      <w:r w:rsidRPr="00DE5DB4">
        <w:rPr>
          <w:spacing w:val="-1"/>
        </w:rPr>
        <w:t>i-Ready diagnostics for math</w:t>
      </w:r>
      <w:r w:rsidR="00D15EEA" w:rsidRPr="00DE5DB4">
        <w:rPr>
          <w:spacing w:val="-1"/>
        </w:rPr>
        <w:t>ematics</w:t>
      </w:r>
      <w:r w:rsidRPr="00DE5DB4">
        <w:rPr>
          <w:spacing w:val="-1"/>
        </w:rPr>
        <w:t xml:space="preserve">, and students in Grades 6-8 requiring Tier 2 or 3 interventions </w:t>
      </w:r>
      <w:r w:rsidR="00943E5C">
        <w:rPr>
          <w:spacing w:val="-1"/>
        </w:rPr>
        <w:t>take</w:t>
      </w:r>
      <w:r w:rsidRPr="00DE5DB4">
        <w:rPr>
          <w:spacing w:val="-1"/>
        </w:rPr>
        <w:t xml:space="preserve"> i-Ready and easyCBM</w:t>
      </w:r>
      <w:r w:rsidR="00943E5C">
        <w:rPr>
          <w:spacing w:val="-1"/>
        </w:rPr>
        <w:t xml:space="preserve"> assessments to monitor their progress</w:t>
      </w:r>
      <w:r w:rsidRPr="00DE5DB4">
        <w:rPr>
          <w:spacing w:val="-1"/>
        </w:rPr>
        <w:t>. Both middle and high schools emphasize standardized tests</w:t>
      </w:r>
      <w:r w:rsidR="00D15EEA" w:rsidRPr="00DE5DB4">
        <w:rPr>
          <w:spacing w:val="-1"/>
        </w:rPr>
        <w:t>,</w:t>
      </w:r>
      <w:r w:rsidRPr="00DE5DB4">
        <w:rPr>
          <w:spacing w:val="-1"/>
        </w:rPr>
        <w:t xml:space="preserve"> such as the STAMP</w:t>
      </w:r>
      <w:r w:rsidR="00643239" w:rsidRPr="00DE5DB4">
        <w:rPr>
          <w:spacing w:val="-1"/>
        </w:rPr>
        <w:t xml:space="preserve"> (Standard Based Measures of Proficiency)</w:t>
      </w:r>
      <w:r w:rsidRPr="00DE5DB4">
        <w:rPr>
          <w:spacing w:val="-1"/>
        </w:rPr>
        <w:t xml:space="preserve">, </w:t>
      </w:r>
      <w:r w:rsidR="00D15EEA" w:rsidRPr="00DE5DB4">
        <w:rPr>
          <w:spacing w:val="-1"/>
        </w:rPr>
        <w:t xml:space="preserve">the </w:t>
      </w:r>
      <w:bookmarkStart w:id="11" w:name="_Hlk159514596"/>
      <w:r w:rsidR="00D15EEA" w:rsidRPr="00DE5DB4">
        <w:rPr>
          <w:spacing w:val="-1"/>
        </w:rPr>
        <w:t>Massachusetts Comprehensive Assessment System</w:t>
      </w:r>
      <w:bookmarkEnd w:id="11"/>
      <w:r w:rsidR="00D15EEA" w:rsidRPr="00DE5DB4">
        <w:rPr>
          <w:spacing w:val="-1"/>
        </w:rPr>
        <w:t xml:space="preserve"> (</w:t>
      </w:r>
      <w:r w:rsidRPr="00DE5DB4">
        <w:rPr>
          <w:spacing w:val="-1"/>
        </w:rPr>
        <w:t>MCAS</w:t>
      </w:r>
      <w:r w:rsidR="00D15EEA" w:rsidRPr="00DE5DB4">
        <w:rPr>
          <w:spacing w:val="-1"/>
        </w:rPr>
        <w:t>)</w:t>
      </w:r>
      <w:r w:rsidRPr="00DE5DB4">
        <w:rPr>
          <w:spacing w:val="-1"/>
        </w:rPr>
        <w:t xml:space="preserve">, and </w:t>
      </w:r>
      <w:r w:rsidR="00D15EEA" w:rsidRPr="00DE5DB4">
        <w:rPr>
          <w:spacing w:val="-1"/>
        </w:rPr>
        <w:t>Advanced Placement (</w:t>
      </w:r>
      <w:r w:rsidRPr="00DE5DB4">
        <w:rPr>
          <w:spacing w:val="-1"/>
        </w:rPr>
        <w:t>AP</w:t>
      </w:r>
      <w:r w:rsidR="00D15EEA" w:rsidRPr="00DE5DB4">
        <w:rPr>
          <w:spacing w:val="-1"/>
        </w:rPr>
        <w:t>)</w:t>
      </w:r>
      <w:r w:rsidRPr="00DE5DB4">
        <w:rPr>
          <w:spacing w:val="-1"/>
        </w:rPr>
        <w:t xml:space="preserve"> exam</w:t>
      </w:r>
      <w:r w:rsidR="00D15EEA" w:rsidRPr="00DE5DB4">
        <w:rPr>
          <w:spacing w:val="-1"/>
        </w:rPr>
        <w:t>ination</w:t>
      </w:r>
      <w:r w:rsidRPr="00DE5DB4">
        <w:rPr>
          <w:spacing w:val="-1"/>
        </w:rPr>
        <w:t xml:space="preserve">s. The district places a strong emphasis on using data to inform instruction and address achievement gaps. </w:t>
      </w:r>
      <w:r w:rsidR="00D15EEA" w:rsidRPr="00DE5DB4">
        <w:rPr>
          <w:spacing w:val="-1"/>
        </w:rPr>
        <w:t xml:space="preserve">Although </w:t>
      </w:r>
      <w:r w:rsidRPr="00DE5DB4">
        <w:rPr>
          <w:spacing w:val="-1"/>
        </w:rPr>
        <w:t>data use at the elementary level is well</w:t>
      </w:r>
      <w:r w:rsidR="00D15EEA" w:rsidRPr="00DE5DB4">
        <w:rPr>
          <w:spacing w:val="-1"/>
        </w:rPr>
        <w:t xml:space="preserve"> </w:t>
      </w:r>
      <w:r w:rsidRPr="00DE5DB4">
        <w:rPr>
          <w:spacing w:val="-1"/>
        </w:rPr>
        <w:t xml:space="preserve">developed through </w:t>
      </w:r>
      <w:r w:rsidR="00D15EEA" w:rsidRPr="00DE5DB4">
        <w:rPr>
          <w:spacing w:val="-1"/>
        </w:rPr>
        <w:t>p</w:t>
      </w:r>
      <w:r w:rsidRPr="00DE5DB4">
        <w:rPr>
          <w:spacing w:val="-1"/>
        </w:rPr>
        <w:t xml:space="preserve">rofessional </w:t>
      </w:r>
      <w:r w:rsidR="00D15EEA" w:rsidRPr="00DE5DB4">
        <w:rPr>
          <w:spacing w:val="-1"/>
        </w:rPr>
        <w:t>l</w:t>
      </w:r>
      <w:r w:rsidRPr="00DE5DB4">
        <w:rPr>
          <w:spacing w:val="-1"/>
        </w:rPr>
        <w:t xml:space="preserve">earning </w:t>
      </w:r>
      <w:r w:rsidR="00D15EEA" w:rsidRPr="00DE5DB4">
        <w:rPr>
          <w:spacing w:val="-1"/>
        </w:rPr>
        <w:t>c</w:t>
      </w:r>
      <w:r w:rsidRPr="00DE5DB4">
        <w:rPr>
          <w:spacing w:val="-1"/>
        </w:rPr>
        <w:t>ommunities (PLCs), the middle and high schools face challenges such as limited common planning time and a need for data coaching. Professional development on data usage is inconsistent across the district, with a noted need for more structured training opportunities.</w:t>
      </w:r>
    </w:p>
    <w:p w14:paraId="15A57E3C" w14:textId="0135FD86" w:rsidR="00DD20F8" w:rsidRPr="00DD20F8" w:rsidRDefault="00DD20F8" w:rsidP="00F17541">
      <w:pPr>
        <w:pStyle w:val="BodyText"/>
      </w:pPr>
      <w:r w:rsidRPr="00DD20F8">
        <w:t>In terms of strengths, at the elementary level</w:t>
      </w:r>
      <w:r w:rsidR="00D15EEA">
        <w:t>,</w:t>
      </w:r>
      <w:r w:rsidRPr="00DD20F8">
        <w:t xml:space="preserve"> the district has a variety of assessments to determine needed interventions and monitor student progress, uses data to analyze and close achievement gaps, </w:t>
      </w:r>
      <w:r w:rsidR="00D15EEA" w:rsidRPr="00DD20F8">
        <w:t>u</w:t>
      </w:r>
      <w:r w:rsidR="00D15EEA">
        <w:t>ses</w:t>
      </w:r>
      <w:r w:rsidR="00D15EEA" w:rsidRPr="00DD20F8">
        <w:t xml:space="preserve"> </w:t>
      </w:r>
      <w:r w:rsidRPr="00DD20F8">
        <w:t xml:space="preserve">PLCs to strengthen data use practices, and shares data with students and families in meaningful and appropriate ways. With regard </w:t>
      </w:r>
      <w:r w:rsidR="00A6485C">
        <w:t>to</w:t>
      </w:r>
      <w:r w:rsidR="00A6485C" w:rsidRPr="00DD20F8">
        <w:t xml:space="preserve"> </w:t>
      </w:r>
      <w:r w:rsidRPr="00DD20F8">
        <w:t>area</w:t>
      </w:r>
      <w:r w:rsidR="00D15EEA">
        <w:t>s</w:t>
      </w:r>
      <w:r w:rsidRPr="00DD20F8">
        <w:t xml:space="preserve"> for growth, the district has yet to establish progress monitoring at the secondary level particularly for students</w:t>
      </w:r>
      <w:r w:rsidR="0095200F">
        <w:t xml:space="preserve"> with di</w:t>
      </w:r>
      <w:r w:rsidR="0020547E">
        <w:t>sabilities</w:t>
      </w:r>
      <w:r w:rsidRPr="00DD20F8">
        <w:t>, providing teachers at the middle and high schools sufficient time and coaching on data analysis and usage, and establishing protocols for data sharing between teachers and support staff.</w:t>
      </w:r>
    </w:p>
    <w:p w14:paraId="05B6D72B" w14:textId="149183DD" w:rsidR="000B1DD2" w:rsidRPr="00CB0607" w:rsidRDefault="00000000" w:rsidP="000B1DD2">
      <w:pPr>
        <w:pStyle w:val="Heading3"/>
      </w:pPr>
      <w:hyperlink w:anchor="_Human_Resources_and" w:history="1">
        <w:r w:rsidR="000B1DD2" w:rsidRPr="00B527CE">
          <w:rPr>
            <w:rStyle w:val="Hyperlink"/>
          </w:rPr>
          <w:t>Human Resources and Professional Development</w:t>
        </w:r>
      </w:hyperlink>
    </w:p>
    <w:p w14:paraId="68010D86" w14:textId="51A6F868" w:rsidR="00671D0C" w:rsidRDefault="00671D0C" w:rsidP="00F17541">
      <w:pPr>
        <w:pStyle w:val="BodyTextposthead"/>
      </w:pPr>
      <w:r w:rsidRPr="00447176">
        <w:t>Hingham</w:t>
      </w:r>
      <w:r>
        <w:t>’</w:t>
      </w:r>
      <w:r w:rsidRPr="00447176">
        <w:t>s</w:t>
      </w:r>
      <w:r>
        <w:t xml:space="preserve"> human resource department manages recruitment, retention, </w:t>
      </w:r>
      <w:r w:rsidR="00DE3EC6">
        <w:t xml:space="preserve">and </w:t>
      </w:r>
      <w:r>
        <w:t xml:space="preserve">evaluations and collaborates with district and school leaders on matters pertaining to professional learning. </w:t>
      </w:r>
      <w:r w:rsidRPr="00447176">
        <w:t>The human resources department works in collaboration with district and school leaders to determine needed positions, posts positions across a variety of platforms, oversees the onboarding process, and completes the orientation process. The district has emphasized antibias i</w:t>
      </w:r>
      <w:r w:rsidR="00DE3EC6">
        <w:t>n</w:t>
      </w:r>
      <w:r w:rsidRPr="00447176">
        <w:t xml:space="preserve"> hiring and has set goals to increase hiring a diverse workforce. The district also has a </w:t>
      </w:r>
      <w:r w:rsidR="00484545" w:rsidRPr="00447176">
        <w:t>well-established</w:t>
      </w:r>
      <w:r w:rsidRPr="00447176">
        <w:t xml:space="preserve"> mentor program for new hires. At the time of the site visit, the roles of human resource director and coordinator were </w:t>
      </w:r>
      <w:r w:rsidR="00484545" w:rsidRPr="00447176">
        <w:t>vacant,</w:t>
      </w:r>
      <w:r w:rsidRPr="00447176">
        <w:t xml:space="preserve"> and the superintendent and </w:t>
      </w:r>
      <w:r w:rsidR="00DE3EC6">
        <w:t>d</w:t>
      </w:r>
      <w:r w:rsidRPr="00447176">
        <w:t xml:space="preserve">irector of </w:t>
      </w:r>
      <w:r w:rsidR="00DE3EC6">
        <w:t>b</w:t>
      </w:r>
      <w:r w:rsidRPr="00447176">
        <w:t xml:space="preserve">usiness and </w:t>
      </w:r>
      <w:r w:rsidR="00DE3EC6">
        <w:t>s</w:t>
      </w:r>
      <w:r w:rsidRPr="00447176">
        <w:t xml:space="preserve">upport </w:t>
      </w:r>
      <w:r w:rsidR="00DE3EC6">
        <w:t>s</w:t>
      </w:r>
      <w:r w:rsidRPr="00447176">
        <w:t>ervices were fulfilling the duties of human resources.</w:t>
      </w:r>
      <w:r>
        <w:t xml:space="preserve"> </w:t>
      </w:r>
    </w:p>
    <w:p w14:paraId="7A4B4195" w14:textId="0FF8D42A" w:rsidR="00671D0C" w:rsidRPr="00797066" w:rsidRDefault="00671D0C" w:rsidP="00F17541">
      <w:pPr>
        <w:pStyle w:val="BodyText"/>
        <w:rPr>
          <w:rFonts w:cs="Times New Roman (Body CS)"/>
          <w:kern w:val="2"/>
          <w14:ligatures w14:val="standardContextual"/>
        </w:rPr>
      </w:pPr>
      <w:r>
        <w:t>Hingham has several strengths related to human resources and professional development, including the development of a comprehensive hiring handbook, alignment between the district’s strategic plan and the professional development plan, and a highly structured school-based mentorship program.</w:t>
      </w:r>
      <w:r w:rsidR="00B94F60">
        <w:t xml:space="preserve"> </w:t>
      </w:r>
      <w:r w:rsidRPr="00797066">
        <w:rPr>
          <w:rFonts w:cs="Times New Roman (Body CS)"/>
          <w:kern w:val="2"/>
          <w14:ligatures w14:val="standardContextual"/>
        </w:rPr>
        <w:t xml:space="preserve">Areas for growth include </w:t>
      </w:r>
      <w:r>
        <w:rPr>
          <w:rFonts w:cs="Times New Roman (Body CS)"/>
          <w:kern w:val="2"/>
          <w14:ligatures w14:val="standardContextual"/>
        </w:rPr>
        <w:t>e</w:t>
      </w:r>
      <w:r w:rsidRPr="00797066">
        <w:rPr>
          <w:rFonts w:cs="Times New Roman (Body CS)"/>
          <w:kern w:val="2"/>
          <w14:ligatures w14:val="standardContextual"/>
        </w:rPr>
        <w:t xml:space="preserve">nsuring appropriate staffing for district human resources needs, </w:t>
      </w:r>
      <w:r>
        <w:rPr>
          <w:rFonts w:cs="Times New Roman (Body CS)"/>
          <w:kern w:val="2"/>
          <w14:ligatures w14:val="standardContextual"/>
        </w:rPr>
        <w:t>e</w:t>
      </w:r>
      <w:r w:rsidRPr="00797066">
        <w:rPr>
          <w:rFonts w:cs="Times New Roman (Body CS)"/>
          <w:kern w:val="2"/>
          <w14:ligatures w14:val="standardContextual"/>
        </w:rPr>
        <w:t xml:space="preserve">nsuring </w:t>
      </w:r>
      <w:r w:rsidR="00DE3EC6">
        <w:rPr>
          <w:rFonts w:cs="Times New Roman (Body CS)"/>
          <w:kern w:val="2"/>
          <w14:ligatures w14:val="standardContextual"/>
        </w:rPr>
        <w:t xml:space="preserve">that </w:t>
      </w:r>
      <w:r w:rsidRPr="00797066">
        <w:rPr>
          <w:rFonts w:cs="Times New Roman (Body CS)"/>
          <w:kern w:val="2"/>
          <w14:ligatures w14:val="standardContextual"/>
        </w:rPr>
        <w:t xml:space="preserve">mandated formal educator evaluations and informal instructional observations occur </w:t>
      </w:r>
      <w:r w:rsidRPr="00797066">
        <w:rPr>
          <w:rFonts w:cs="Times New Roman (Body CS)"/>
          <w:kern w:val="2"/>
          <w14:ligatures w14:val="standardContextual"/>
        </w:rPr>
        <w:lastRenderedPageBreak/>
        <w:t xml:space="preserve">regularly, </w:t>
      </w:r>
      <w:r w:rsidR="008B724B">
        <w:rPr>
          <w:rFonts w:cs="Times New Roman (Body CS)"/>
          <w:kern w:val="2"/>
          <w14:ligatures w14:val="standardContextual"/>
        </w:rPr>
        <w:t xml:space="preserve">consistently providing constructive feedback during evaluations, </w:t>
      </w:r>
      <w:r w:rsidR="00484545">
        <w:rPr>
          <w:rFonts w:cs="Times New Roman (Body CS)"/>
          <w:kern w:val="2"/>
          <w14:ligatures w14:val="standardContextual"/>
        </w:rPr>
        <w:t>d</w:t>
      </w:r>
      <w:r w:rsidRPr="00797066">
        <w:rPr>
          <w:rFonts w:cs="Times New Roman (Body CS)"/>
          <w:kern w:val="2"/>
          <w14:ligatures w14:val="standardContextual"/>
        </w:rPr>
        <w:t xml:space="preserve">eveloping leadership opportunities for teachers, </w:t>
      </w:r>
      <w:r>
        <w:rPr>
          <w:rFonts w:cs="Times New Roman (Body CS)"/>
          <w:kern w:val="2"/>
          <w14:ligatures w14:val="standardContextual"/>
        </w:rPr>
        <w:t>and c</w:t>
      </w:r>
      <w:r w:rsidRPr="00797066">
        <w:rPr>
          <w:rFonts w:cs="Times New Roman (Body CS)"/>
          <w:kern w:val="2"/>
          <w14:ligatures w14:val="standardContextual"/>
        </w:rPr>
        <w:t>reating recognition structures for exemplary teachers</w:t>
      </w:r>
      <w:r w:rsidR="00484545">
        <w:rPr>
          <w:rFonts w:cs="Times New Roman (Body CS)"/>
          <w:kern w:val="2"/>
          <w14:ligatures w14:val="standardContextual"/>
        </w:rPr>
        <w:t>.</w:t>
      </w:r>
    </w:p>
    <w:p w14:paraId="2D5F1324" w14:textId="3E4B4BAC" w:rsidR="000B1DD2" w:rsidRPr="00CB0607" w:rsidRDefault="00000000" w:rsidP="000B1DD2">
      <w:pPr>
        <w:pStyle w:val="Heading3"/>
      </w:pPr>
      <w:hyperlink w:anchor="_Student_Support" w:history="1">
        <w:r w:rsidR="000B1DD2" w:rsidRPr="00B527CE">
          <w:rPr>
            <w:rStyle w:val="Hyperlink"/>
          </w:rPr>
          <w:t>Student Support</w:t>
        </w:r>
      </w:hyperlink>
    </w:p>
    <w:p w14:paraId="35532055" w14:textId="5E2A812B" w:rsidR="00665650" w:rsidRDefault="00665650" w:rsidP="00F17541">
      <w:pPr>
        <w:pStyle w:val="BodyTextposthead"/>
      </w:pPr>
      <w:r w:rsidRPr="00001F93">
        <w:t>The district demonstrate</w:t>
      </w:r>
      <w:r w:rsidR="00DE3EC6">
        <w:t>s</w:t>
      </w:r>
      <w:r w:rsidRPr="00001F93">
        <w:t xml:space="preserve"> a strong commitment to fostering a safe, equitable, and inclusive environment for its students, staff, and families. Following an </w:t>
      </w:r>
      <w:r w:rsidR="007F12EF">
        <w:t>e</w:t>
      </w:r>
      <w:r w:rsidRPr="00001F93">
        <w:t xml:space="preserve">quity </w:t>
      </w:r>
      <w:r w:rsidR="007F12EF">
        <w:t>a</w:t>
      </w:r>
      <w:r w:rsidRPr="00001F93">
        <w:t>udit in the 2022-</w:t>
      </w:r>
      <w:r w:rsidR="00DE3EC6">
        <w:t>20</w:t>
      </w:r>
      <w:r w:rsidRPr="00001F93">
        <w:t>23 school year, the district undert</w:t>
      </w:r>
      <w:r w:rsidR="00DE3EC6">
        <w:t>ook</w:t>
      </w:r>
      <w:r w:rsidRPr="00001F93">
        <w:t xml:space="preserve"> significant initiatives to implement culturally responsive and inclusive practices, such as professional development in cultural competency, the formation of an </w:t>
      </w:r>
      <w:r w:rsidR="00DE3EC6">
        <w:t>e</w:t>
      </w:r>
      <w:r w:rsidRPr="00001F93">
        <w:t xml:space="preserve">quity </w:t>
      </w:r>
      <w:r w:rsidR="00DE3EC6">
        <w:t>t</w:t>
      </w:r>
      <w:r w:rsidRPr="00001F93">
        <w:t xml:space="preserve">ask </w:t>
      </w:r>
      <w:r w:rsidR="00DE3EC6">
        <w:t>f</w:t>
      </w:r>
      <w:r w:rsidRPr="00001F93">
        <w:t xml:space="preserve">orce, and the introduction of a Tier 1 social-emotional learning curriculum in each school. </w:t>
      </w:r>
    </w:p>
    <w:p w14:paraId="50620A69" w14:textId="678749CE" w:rsidR="00665650" w:rsidRPr="00001F93" w:rsidRDefault="00665650" w:rsidP="00F17541">
      <w:pPr>
        <w:pStyle w:val="BodyText"/>
      </w:pPr>
      <w:r>
        <w:t xml:space="preserve">The </w:t>
      </w:r>
      <w:r w:rsidR="00333905">
        <w:t>district</w:t>
      </w:r>
      <w:r>
        <w:t xml:space="preserve"> has several strengths </w:t>
      </w:r>
      <w:r w:rsidR="001778BC">
        <w:t>related to student supports</w:t>
      </w:r>
      <w:r w:rsidR="00795EE2">
        <w:t>, including a commitment to</w:t>
      </w:r>
      <w:r w:rsidR="001778BC">
        <w:t xml:space="preserve"> </w:t>
      </w:r>
      <w:r w:rsidR="005761F1">
        <w:t xml:space="preserve">deepening staff understanding of </w:t>
      </w:r>
      <w:r w:rsidR="00E74715">
        <w:t xml:space="preserve">inclusive and culturally responsive practices, </w:t>
      </w:r>
      <w:r w:rsidR="005C4544">
        <w:t xml:space="preserve">dedication to strengthening </w:t>
      </w:r>
      <w:r w:rsidR="006B1832">
        <w:t xml:space="preserve">its MTSS and special education services, </w:t>
      </w:r>
      <w:r w:rsidR="00562032">
        <w:t>streamlining</w:t>
      </w:r>
      <w:r w:rsidR="006B1832">
        <w:t xml:space="preserve"> its communication platform to better en</w:t>
      </w:r>
      <w:r w:rsidR="00A00C23">
        <w:t xml:space="preserve">gage stakeholders, </w:t>
      </w:r>
      <w:r w:rsidR="00562032">
        <w:t xml:space="preserve">and meaningfully engaging parent leadership groups. </w:t>
      </w:r>
      <w:r w:rsidR="00D177AE">
        <w:t xml:space="preserve">With regard to areas for growth, the district could </w:t>
      </w:r>
      <w:r w:rsidR="008C535B">
        <w:t xml:space="preserve">enhance guidance </w:t>
      </w:r>
      <w:r w:rsidR="00C8676B">
        <w:t xml:space="preserve">for staff </w:t>
      </w:r>
      <w:r w:rsidR="008C535B">
        <w:t xml:space="preserve">to support students’ sense of belonging, </w:t>
      </w:r>
      <w:r w:rsidR="00577DFB">
        <w:t xml:space="preserve">strengthen the consistency and effectiveness of the MTSS process and </w:t>
      </w:r>
      <w:r w:rsidR="00DE3EC6">
        <w:t>instructional support teams (</w:t>
      </w:r>
      <w:r w:rsidR="00577DFB">
        <w:t>ISTs</w:t>
      </w:r>
      <w:r w:rsidR="00DE3EC6">
        <w:t>)</w:t>
      </w:r>
      <w:r w:rsidR="00577DFB">
        <w:t xml:space="preserve"> at secondary level</w:t>
      </w:r>
      <w:r w:rsidR="009F5E5B">
        <w:t xml:space="preserve">, increase the number and effectiveness of </w:t>
      </w:r>
      <w:r w:rsidR="001F62EE">
        <w:t>tiered academic interventions available at the secondary level</w:t>
      </w:r>
      <w:r w:rsidR="00AD25ED">
        <w:t xml:space="preserve">, </w:t>
      </w:r>
      <w:r w:rsidR="00107B4A">
        <w:t xml:space="preserve">rebuilt trust with </w:t>
      </w:r>
      <w:r w:rsidR="00AD25ED">
        <w:t>parents</w:t>
      </w:r>
      <w:r w:rsidR="003B3D85">
        <w:t xml:space="preserve"> and families</w:t>
      </w:r>
      <w:r w:rsidR="00AD25ED">
        <w:t xml:space="preserve"> </w:t>
      </w:r>
      <w:r w:rsidR="00DE3EC6">
        <w:t>when providing</w:t>
      </w:r>
      <w:r w:rsidR="005E23E7">
        <w:t xml:space="preserve"> special education services</w:t>
      </w:r>
      <w:r w:rsidR="000B41D5">
        <w:t xml:space="preserve">, </w:t>
      </w:r>
      <w:r w:rsidR="00107B4A">
        <w:t xml:space="preserve">implementing protocols identified in the 2023 special education report, </w:t>
      </w:r>
      <w:r w:rsidR="001E496D">
        <w:t xml:space="preserve">and provide more meaningful opportunities for </w:t>
      </w:r>
      <w:r w:rsidR="00740599">
        <w:t>students to contribute to decision making.</w:t>
      </w:r>
    </w:p>
    <w:p w14:paraId="202DC286" w14:textId="586E6819" w:rsidR="000B1DD2" w:rsidRPr="00CB0607" w:rsidRDefault="00000000" w:rsidP="000B1DD2">
      <w:pPr>
        <w:pStyle w:val="Heading3"/>
      </w:pPr>
      <w:hyperlink w:anchor="_Financial_and_Asset" w:history="1">
        <w:r w:rsidR="000B1DD2" w:rsidRPr="00B527CE">
          <w:rPr>
            <w:rStyle w:val="Hyperlink"/>
          </w:rPr>
          <w:t>Financial and Asset Management</w:t>
        </w:r>
      </w:hyperlink>
    </w:p>
    <w:bookmarkEnd w:id="9"/>
    <w:p w14:paraId="24E5F434" w14:textId="4C274461" w:rsidR="00F75B10" w:rsidRDefault="00B600CA" w:rsidP="00F17541">
      <w:pPr>
        <w:pStyle w:val="BodyTextposthead"/>
      </w:pPr>
      <w:r w:rsidRPr="000B0BAE">
        <w:t xml:space="preserve">District and town leaders collaborate to develop </w:t>
      </w:r>
      <w:r>
        <w:t>Hingham’s</w:t>
      </w:r>
      <w:r w:rsidRPr="000B0BAE">
        <w:t xml:space="preserve"> annual budget</w:t>
      </w:r>
      <w:r w:rsidR="00F75B10">
        <w:rPr>
          <w:i/>
          <w:iCs/>
        </w:rPr>
        <w:t>.</w:t>
      </w:r>
      <w:r w:rsidR="00DC62E4">
        <w:t xml:space="preserve"> </w:t>
      </w:r>
      <w:r w:rsidR="00D22408" w:rsidRPr="00D22408">
        <w:t xml:space="preserve">The town and district jointly manage certain capital planning and maintenance expenses and share auditing services. As part of a five-year capital plan, the district is currently prioritizing the planning of a new school, major renovations to an existing school, and addressing anticipated capital needs such as ADA </w:t>
      </w:r>
      <w:r w:rsidR="00DE3EC6">
        <w:t xml:space="preserve">(Americans with Disabilities Act) </w:t>
      </w:r>
      <w:r w:rsidR="00D22408" w:rsidRPr="00D22408">
        <w:t>compliance, new roof</w:t>
      </w:r>
      <w:r w:rsidR="00DE3EC6">
        <w:t>s</w:t>
      </w:r>
      <w:r w:rsidR="00D22408" w:rsidRPr="00D22408">
        <w:t xml:space="preserve"> for multiple buildings, and the replacement of aging HVAC </w:t>
      </w:r>
      <w:r w:rsidR="00DE3EC6">
        <w:t xml:space="preserve">(heating, ventilation, and air-conditioning) </w:t>
      </w:r>
      <w:r w:rsidR="00D22408" w:rsidRPr="00D22408">
        <w:t>systems.</w:t>
      </w:r>
      <w:r w:rsidR="00D22408">
        <w:t xml:space="preserve"> </w:t>
      </w:r>
      <w:r w:rsidR="00DE3EC6">
        <w:t>A</w:t>
      </w:r>
      <w:r w:rsidR="00DC62E4" w:rsidRPr="00DC62E4">
        <w:t xml:space="preserve"> nonbinding </w:t>
      </w:r>
      <w:r w:rsidR="00DE3EC6">
        <w:t>fiscal year 20</w:t>
      </w:r>
      <w:r w:rsidR="00DC62E4" w:rsidRPr="00DC62E4">
        <w:t>24-</w:t>
      </w:r>
      <w:r w:rsidR="00DE3EC6">
        <w:t>20</w:t>
      </w:r>
      <w:r w:rsidR="00DC62E4" w:rsidRPr="00DC62E4">
        <w:t>28 financial management plan</w:t>
      </w:r>
      <w:r w:rsidR="00DE3EC6">
        <w:t xml:space="preserve"> guides Hingham’s financial management—a plan </w:t>
      </w:r>
      <w:r w:rsidR="00DC62E4" w:rsidRPr="00DC62E4">
        <w:t xml:space="preserve">endorsed by the select board, </w:t>
      </w:r>
      <w:r w:rsidR="00DE3EC6">
        <w:t xml:space="preserve">the </w:t>
      </w:r>
      <w:r w:rsidR="00DC62E4" w:rsidRPr="00DC62E4">
        <w:t xml:space="preserve">school committee, </w:t>
      </w:r>
      <w:r w:rsidR="00DE3EC6">
        <w:t xml:space="preserve">the </w:t>
      </w:r>
      <w:r w:rsidR="00DC62E4" w:rsidRPr="00DC62E4">
        <w:t xml:space="preserve">superintendent, and </w:t>
      </w:r>
      <w:r w:rsidR="00DE3EC6">
        <w:t xml:space="preserve">the </w:t>
      </w:r>
      <w:r w:rsidR="00DC62E4" w:rsidRPr="00DC62E4">
        <w:t>town manager</w:t>
      </w:r>
      <w:r w:rsidR="00DE3EC6">
        <w:t>—that</w:t>
      </w:r>
      <w:r w:rsidR="00DC62E4" w:rsidRPr="00DC62E4">
        <w:t xml:space="preserve"> outlines the budget for the forthcoming school years. A </w:t>
      </w:r>
      <w:r w:rsidR="00DE3EC6">
        <w:t>d</w:t>
      </w:r>
      <w:r w:rsidR="00DC62E4" w:rsidRPr="00DC62E4">
        <w:t xml:space="preserve">irector for </w:t>
      </w:r>
      <w:r w:rsidR="00DE3EC6">
        <w:t>b</w:t>
      </w:r>
      <w:r w:rsidR="00DC62E4" w:rsidRPr="00DC62E4">
        <w:t xml:space="preserve">usiness and </w:t>
      </w:r>
      <w:r w:rsidR="00DE3EC6">
        <w:t>s</w:t>
      </w:r>
      <w:r w:rsidR="00DC62E4" w:rsidRPr="00DC62E4">
        <w:t xml:space="preserve">upport </w:t>
      </w:r>
      <w:r w:rsidR="00DE3EC6">
        <w:t>s</w:t>
      </w:r>
      <w:r w:rsidR="00DC62E4" w:rsidRPr="00DC62E4">
        <w:t>ervices leads district staff in gathering input from directors, principals, and other school leaders to understand individual school needs and priorities. The district provides publicly accessible budget-related presentations, including a five-year financial forecast, during the annual budgeting process</w:t>
      </w:r>
      <w:r w:rsidR="00D22408">
        <w:t>.</w:t>
      </w:r>
    </w:p>
    <w:p w14:paraId="0971D02F" w14:textId="4C66F59A" w:rsidR="009F4A95" w:rsidRPr="00DC62E4" w:rsidRDefault="009F4A95" w:rsidP="00F17541">
      <w:pPr>
        <w:pStyle w:val="BodyText"/>
      </w:pPr>
      <w:r w:rsidRPr="000B0BAE">
        <w:t>The district has several strengths related to financial and asset planning, including</w:t>
      </w:r>
      <w:r w:rsidR="00E81045">
        <w:t xml:space="preserve"> </w:t>
      </w:r>
      <w:r w:rsidR="00FE71D2">
        <w:t xml:space="preserve">user-friendly and </w:t>
      </w:r>
      <w:r w:rsidR="00B94F60">
        <w:t>publicly available</w:t>
      </w:r>
      <w:r w:rsidR="00E81045">
        <w:t xml:space="preserve"> </w:t>
      </w:r>
      <w:r w:rsidR="00666C0F">
        <w:t xml:space="preserve">budget documents, </w:t>
      </w:r>
      <w:r w:rsidR="00D726E9">
        <w:t xml:space="preserve">obtaining </w:t>
      </w:r>
      <w:r w:rsidR="00E84B23">
        <w:t>an operational override to support student needs</w:t>
      </w:r>
      <w:r w:rsidR="00D726E9">
        <w:t xml:space="preserve">, </w:t>
      </w:r>
      <w:r w:rsidR="006F5422">
        <w:t xml:space="preserve">and </w:t>
      </w:r>
      <w:r w:rsidR="00830BE5">
        <w:t xml:space="preserve">close collaboration between </w:t>
      </w:r>
      <w:r w:rsidR="003A4239">
        <w:t>district and town staff</w:t>
      </w:r>
      <w:r w:rsidR="006F5422">
        <w:t xml:space="preserve">. With regard to areas for growth, </w:t>
      </w:r>
      <w:r w:rsidR="00850287">
        <w:t xml:space="preserve">the district could </w:t>
      </w:r>
      <w:r w:rsidR="00BF541F">
        <w:t>regularly shar</w:t>
      </w:r>
      <w:r w:rsidR="00696576">
        <w:t>e</w:t>
      </w:r>
      <w:r w:rsidR="00BF541F">
        <w:t xml:space="preserve"> </w:t>
      </w:r>
      <w:r w:rsidR="00507A1B">
        <w:t xml:space="preserve">more information with the school committee around spending on </w:t>
      </w:r>
      <w:r w:rsidR="00131B64">
        <w:t>student groups</w:t>
      </w:r>
      <w:r w:rsidR="00507A1B">
        <w:t xml:space="preserve">, as well as </w:t>
      </w:r>
      <w:r w:rsidR="00B94F60">
        <w:t xml:space="preserve">spending information with school principals. </w:t>
      </w:r>
    </w:p>
    <w:p w14:paraId="7A47C448" w14:textId="2DE8D576" w:rsidR="003D6ECF" w:rsidRPr="00CB0607" w:rsidRDefault="00764C5B" w:rsidP="003D6ECF">
      <w:pPr>
        <w:pStyle w:val="Heading2"/>
      </w:pPr>
      <w:bookmarkStart w:id="12" w:name="_Toc170157273"/>
      <w:r>
        <w:lastRenderedPageBreak/>
        <w:t>Hingham</w:t>
      </w:r>
      <w:r w:rsidR="003D6ECF" w:rsidRPr="00CB0607">
        <w:t xml:space="preserve"> </w:t>
      </w:r>
      <w:r w:rsidR="00D30A74" w:rsidRPr="00CB0607">
        <w:t xml:space="preserve">Public Schools: </w:t>
      </w:r>
      <w:r w:rsidR="003D6ECF" w:rsidRPr="00CB0607">
        <w:t>District Review Overview</w:t>
      </w:r>
      <w:bookmarkEnd w:id="12"/>
    </w:p>
    <w:p w14:paraId="2E41F691" w14:textId="77777777" w:rsidR="003D6ECF" w:rsidRPr="00F17541" w:rsidRDefault="003D6ECF" w:rsidP="003D6ECF">
      <w:pPr>
        <w:pStyle w:val="Heading3"/>
      </w:pPr>
      <w:bookmarkStart w:id="13" w:name="_Toc273777149"/>
      <w:bookmarkStart w:id="14" w:name="_Toc277066412"/>
      <w:bookmarkStart w:id="15" w:name="_Toc338665638"/>
      <w:r w:rsidRPr="00CB0607">
        <w:t>Purpose</w:t>
      </w:r>
      <w:bookmarkEnd w:id="13"/>
      <w:bookmarkEnd w:id="14"/>
      <w:bookmarkEnd w:id="15"/>
    </w:p>
    <w:p w14:paraId="339CEE9F" w14:textId="4743E3A9" w:rsidR="003D6ECF" w:rsidRPr="00CB0607" w:rsidRDefault="003D6ECF" w:rsidP="003D6ECF">
      <w:pPr>
        <w:pStyle w:val="BodyTextposthead"/>
      </w:pPr>
      <w:r w:rsidRPr="00CB0607">
        <w:t xml:space="preserve">Conducted under Chapter 15, Section 55A of the Massachusetts General Laws, </w:t>
      </w:r>
      <w:r w:rsidR="00D30A74" w:rsidRPr="00CB0607">
        <w:t xml:space="preserve">comprehensive </w:t>
      </w:r>
      <w:r w:rsidRPr="00CB0607">
        <w:t xml:space="preserve">district reviews support local school districts in establishing or strengthening a cycle of continuous improvement. Reviews </w:t>
      </w:r>
      <w:r w:rsidR="00D30A74" w:rsidRPr="00CB0607">
        <w:t xml:space="preserve">carefully </w:t>
      </w:r>
      <w:r w:rsidRPr="00CB0607">
        <w:t xml:space="preserve">consider the effectiveness of systemwide functions, </w:t>
      </w:r>
      <w:r w:rsidR="00D30A74" w:rsidRPr="00CB0607">
        <w:t>referring</w:t>
      </w:r>
      <w:r w:rsidRPr="00CB0607">
        <w:t xml:space="preserve"> to the six district standards used by DESE: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w:t>
      </w:r>
      <w:r w:rsidR="00786C41">
        <w:rPr>
          <w:rFonts w:cs="Calibri"/>
          <w:bCs/>
        </w:rPr>
        <w:t>T</w:t>
      </w:r>
      <w:r w:rsidRPr="00CB0607">
        <w:rPr>
          <w:rFonts w:cs="Calibri"/>
          <w:bCs/>
        </w:rPr>
        <w:t xml:space="preserve">he </w:t>
      </w:r>
      <w:r w:rsidR="00D30A74" w:rsidRPr="00CB0607">
        <w:rPr>
          <w:rFonts w:cs="Calibri"/>
          <w:bCs/>
        </w:rPr>
        <w:t xml:space="preserve">design of the comprehensive </w:t>
      </w:r>
      <w:r w:rsidRPr="00CB0607">
        <w:rPr>
          <w:rFonts w:cs="Calibri"/>
          <w:bCs/>
        </w:rPr>
        <w:t>district review promote</w:t>
      </w:r>
      <w:r w:rsidR="00D30A74" w:rsidRPr="00CB0607">
        <w:rPr>
          <w:rFonts w:cs="Calibri"/>
          <w:bCs/>
        </w:rPr>
        <w:t>s</w:t>
      </w:r>
      <w:r w:rsidRPr="00CB0607">
        <w:rPr>
          <w:rFonts w:cs="Calibri"/>
          <w:bCs/>
        </w:rPr>
        <w:t xml:space="preserve"> district reflection on its own performance and potential next steps. </w:t>
      </w:r>
      <w:r w:rsidRPr="00CB0607">
        <w:t xml:space="preserve">In addition to providing information to each district reviewed, DESE uses review reports to identify resources and/or technical assistance to provide to the district. </w:t>
      </w:r>
    </w:p>
    <w:p w14:paraId="267B0A5A" w14:textId="77777777" w:rsidR="003D6ECF" w:rsidRPr="00CB0607" w:rsidRDefault="003D6ECF" w:rsidP="003D6ECF">
      <w:pPr>
        <w:pStyle w:val="Heading3"/>
      </w:pPr>
      <w:bookmarkStart w:id="16" w:name="_Toc273777151"/>
      <w:bookmarkStart w:id="17" w:name="_Toc277066413"/>
      <w:bookmarkStart w:id="18" w:name="_Toc338665639"/>
      <w:r w:rsidRPr="00CB0607">
        <w:t>Methodology</w:t>
      </w:r>
      <w:bookmarkEnd w:id="16"/>
      <w:bookmarkEnd w:id="17"/>
      <w:bookmarkEnd w:id="18"/>
    </w:p>
    <w:p w14:paraId="6A0B0F11" w14:textId="7E0D244E" w:rsidR="009D0554" w:rsidRDefault="003D6ECF" w:rsidP="003D6ECF">
      <w:pPr>
        <w:pStyle w:val="BodyTextposthead"/>
      </w:pPr>
      <w:r w:rsidRPr="00CB0607">
        <w:t>A district review team consisting of AIR staff members and subcontractors, with expertise in each district standard, reviews documentation and extant data prior to conducting an on</w:t>
      </w:r>
      <w:r w:rsidR="00D30A74" w:rsidRPr="00CB0607">
        <w:t>-</w:t>
      </w:r>
      <w:r w:rsidRPr="00CB0607">
        <w:t>site visit. On</w:t>
      </w:r>
      <w:r w:rsidR="00D30A74" w:rsidRPr="00CB0607">
        <w:t>-</w:t>
      </w:r>
      <w:r w:rsidRPr="00CB0607">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CB0607">
        <w:t xml:space="preserve">Virtual interviews and focus groups also are conducted as needed. </w:t>
      </w:r>
      <w:r w:rsidR="00491ACB" w:rsidRPr="00CB0607">
        <w:t xml:space="preserve">Information about review activities and the site visit schedule is in Appendix </w:t>
      </w:r>
      <w:r w:rsidR="00491ACB">
        <w:t>A</w:t>
      </w:r>
      <w:r w:rsidR="00491ACB" w:rsidRPr="00CB0607">
        <w:t xml:space="preserve">. </w:t>
      </w:r>
      <w:r w:rsidRPr="00CB0607">
        <w:t xml:space="preserve">Team members also observe classroom instruction and collect data using the CLASS protocol. </w:t>
      </w:r>
      <w:r w:rsidR="005803A6" w:rsidRPr="00CB0607">
        <w:t>The Districtwide Instructional Observation Report</w:t>
      </w:r>
      <w:r w:rsidR="00006535">
        <w:t xml:space="preserve"> resulting from these classroom observations</w:t>
      </w:r>
      <w:r w:rsidR="005803A6" w:rsidRPr="00CB0607">
        <w:t xml:space="preserve"> is </w:t>
      </w:r>
      <w:r w:rsidR="009D0554">
        <w:t>i</w:t>
      </w:r>
      <w:r w:rsidR="005803A6" w:rsidRPr="00CB0607">
        <w:t xml:space="preserve">n Appendix </w:t>
      </w:r>
      <w:r w:rsidR="00006535">
        <w:t>B</w:t>
      </w:r>
      <w:r w:rsidR="005803A6" w:rsidRPr="00CB0607">
        <w:t>.</w:t>
      </w:r>
      <w:r w:rsidR="005803A6">
        <w:t xml:space="preserve"> </w:t>
      </w:r>
    </w:p>
    <w:p w14:paraId="5948E833" w14:textId="4D9D23E6" w:rsidR="003D6ECF" w:rsidRPr="00CB0607" w:rsidRDefault="003D6ECF" w:rsidP="0066116F">
      <w:pPr>
        <w:pStyle w:val="BodyText"/>
        <w:rPr>
          <w:color w:val="000080"/>
        </w:rPr>
      </w:pPr>
      <w:r w:rsidRPr="00CB0607">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CB0607">
        <w:t>,</w:t>
      </w:r>
      <w:r w:rsidRPr="00CB0607">
        <w:t xml:space="preserve"> before AIR finalizes and submits the report to DESE</w:t>
      </w:r>
      <w:r w:rsidRPr="00CB0607">
        <w:rPr>
          <w:color w:val="000080"/>
        </w:rPr>
        <w:t>. D</w:t>
      </w:r>
      <w:r w:rsidRPr="00CB0607">
        <w:t>ESE previews and then sends the report to the district for factual review before publishing it on the DESE website.</w:t>
      </w:r>
      <w:r w:rsidR="00C268FD">
        <w:t xml:space="preserve"> </w:t>
      </w:r>
      <w:r w:rsidR="00D3025F">
        <w:t xml:space="preserve">DESE also provides </w:t>
      </w:r>
      <w:r w:rsidR="00C268FD" w:rsidRPr="00CB0607">
        <w:t>additional resources to support implementation of DESE’s District Standards and Indicators</w:t>
      </w:r>
      <w:r w:rsidR="009D0554">
        <w:t>, summarized</w:t>
      </w:r>
      <w:r w:rsidR="00D3025F">
        <w:t xml:space="preserve"> in Appendix </w:t>
      </w:r>
      <w:r w:rsidR="00006535">
        <w:t>C</w:t>
      </w:r>
      <w:r w:rsidR="00C268FD" w:rsidRPr="00CB0607">
        <w:t>.</w:t>
      </w:r>
    </w:p>
    <w:p w14:paraId="5D00CDA2" w14:textId="77777777" w:rsidR="003D6ECF" w:rsidRPr="00CB0607" w:rsidRDefault="003D6ECF" w:rsidP="003D6ECF">
      <w:pPr>
        <w:pStyle w:val="Heading3"/>
      </w:pPr>
      <w:r w:rsidRPr="00CB0607">
        <w:t>Site Visit</w:t>
      </w:r>
    </w:p>
    <w:p w14:paraId="6CC586CD" w14:textId="28EE01C6" w:rsidR="00E9486D" w:rsidRPr="00CB0607" w:rsidRDefault="00E9486D" w:rsidP="00E9486D">
      <w:pPr>
        <w:pStyle w:val="BodyTextposthead"/>
      </w:pPr>
      <w:r w:rsidRPr="00CB0607">
        <w:t xml:space="preserve">The site visit to </w:t>
      </w:r>
      <w:r>
        <w:t>Hingham</w:t>
      </w:r>
      <w:r w:rsidRPr="00CB0607">
        <w:t xml:space="preserve"> </w:t>
      </w:r>
      <w:r w:rsidR="00BF51F1">
        <w:t>occurred</w:t>
      </w:r>
      <w:r w:rsidRPr="00CB0607">
        <w:t xml:space="preserve"> during the week of </w:t>
      </w:r>
      <w:r>
        <w:t>April 22</w:t>
      </w:r>
      <w:r w:rsidR="00BF51F1">
        <w:t>, 2023</w:t>
      </w:r>
      <w:r w:rsidRPr="00CB0607">
        <w:t xml:space="preserve">. The site visit included </w:t>
      </w:r>
      <w:r>
        <w:t>20</w:t>
      </w:r>
      <w:r w:rsidRPr="00CB0607">
        <w:t xml:space="preserve"> hours of interviews and focus groups with approximately </w:t>
      </w:r>
      <w:r>
        <w:t>100</w:t>
      </w:r>
      <w:r w:rsidRPr="00CB0607">
        <w:t xml:space="preserve"> stakeholders, including school committee members, district administrators, school staff, students, students’ families, and teachers’ association representatives. The review team conducted </w:t>
      </w:r>
      <w:r w:rsidR="00BF51F1">
        <w:t>seven</w:t>
      </w:r>
      <w:r w:rsidRPr="00CB0607">
        <w:t xml:space="preserve"> teacher focus groups with </w:t>
      </w:r>
      <w:r>
        <w:t>12</w:t>
      </w:r>
      <w:r w:rsidRPr="00CB0607">
        <w:t> elementary</w:t>
      </w:r>
      <w:r>
        <w:t xml:space="preserve"> </w:t>
      </w:r>
      <w:r w:rsidRPr="00CB0607">
        <w:t xml:space="preserve">school teachers, </w:t>
      </w:r>
      <w:r>
        <w:t>11</w:t>
      </w:r>
      <w:r w:rsidRPr="00CB0607">
        <w:t xml:space="preserve"> middle</w:t>
      </w:r>
      <w:r>
        <w:t xml:space="preserve"> </w:t>
      </w:r>
      <w:r w:rsidRPr="00CB0607">
        <w:t xml:space="preserve">school teachers, and </w:t>
      </w:r>
      <w:r>
        <w:t>14</w:t>
      </w:r>
      <w:r w:rsidRPr="00CB0607">
        <w:t xml:space="preserve"> high</w:t>
      </w:r>
      <w:r>
        <w:t xml:space="preserve"> </w:t>
      </w:r>
      <w:r w:rsidRPr="00CB0607">
        <w:t>school teachers</w:t>
      </w:r>
      <w:r>
        <w:t xml:space="preserve">; </w:t>
      </w:r>
      <w:r w:rsidR="00BF51F1">
        <w:t>two</w:t>
      </w:r>
      <w:r w:rsidRPr="00CB0607">
        <w:t> </w:t>
      </w:r>
      <w:r>
        <w:rPr>
          <w:rFonts w:ascii="Franklin Gothic Book" w:hAnsi="Franklin Gothic Book"/>
          <w:color w:val="000000"/>
          <w:shd w:val="clear" w:color="auto" w:fill="FFFFFF"/>
        </w:rPr>
        <w:t xml:space="preserve">focus groups with </w:t>
      </w:r>
      <w:r w:rsidR="00BF51F1">
        <w:t>five</w:t>
      </w:r>
      <w:r w:rsidRPr="00CB0607">
        <w:t> </w:t>
      </w:r>
      <w:r>
        <w:rPr>
          <w:rFonts w:ascii="Franklin Gothic Book" w:hAnsi="Franklin Gothic Book"/>
          <w:color w:val="000000"/>
          <w:shd w:val="clear" w:color="auto" w:fill="FFFFFF"/>
        </w:rPr>
        <w:t xml:space="preserve">middle school and </w:t>
      </w:r>
      <w:r w:rsidR="00BF51F1">
        <w:t>six</w:t>
      </w:r>
      <w:r w:rsidR="00DC509D">
        <w:t xml:space="preserve"> </w:t>
      </w:r>
      <w:r>
        <w:rPr>
          <w:rFonts w:ascii="Franklin Gothic Book" w:hAnsi="Franklin Gothic Book"/>
          <w:color w:val="000000"/>
          <w:shd w:val="clear" w:color="auto" w:fill="FFFFFF"/>
        </w:rPr>
        <w:t xml:space="preserve">high school students; and </w:t>
      </w:r>
      <w:r w:rsidR="00BF51F1">
        <w:t>one</w:t>
      </w:r>
      <w:r w:rsidRPr="00CB0607">
        <w:t> </w:t>
      </w:r>
      <w:r>
        <w:rPr>
          <w:rFonts w:ascii="Franklin Gothic Book" w:hAnsi="Franklin Gothic Book"/>
          <w:color w:val="000000"/>
          <w:shd w:val="clear" w:color="auto" w:fill="FFFFFF"/>
        </w:rPr>
        <w:t xml:space="preserve">family focus group with </w:t>
      </w:r>
      <w:r>
        <w:t>11</w:t>
      </w:r>
      <w:r w:rsidR="00BF51F1">
        <w:t> </w:t>
      </w:r>
      <w:r>
        <w:rPr>
          <w:rFonts w:ascii="Franklin Gothic Book" w:hAnsi="Franklin Gothic Book"/>
          <w:color w:val="000000"/>
          <w:shd w:val="clear" w:color="auto" w:fill="FFFFFF"/>
        </w:rPr>
        <w:t xml:space="preserve">parents. </w:t>
      </w:r>
      <w:r w:rsidRPr="00492429">
        <w:rPr>
          <w:rFonts w:ascii="Franklin Gothic Book" w:eastAsia="Franklin Gothic Book" w:hAnsi="Franklin Gothic Book" w:cs="Franklin Gothic Book"/>
        </w:rPr>
        <w:t>Data collection also included distributing a questionnaire to each principal to gather information on district and school processes and operations.</w:t>
      </w:r>
    </w:p>
    <w:p w14:paraId="70D14B53" w14:textId="7E2E96AE" w:rsidR="00E9486D" w:rsidRPr="00CB0607" w:rsidRDefault="00E9486D" w:rsidP="00E9486D">
      <w:pPr>
        <w:pStyle w:val="BodyText"/>
      </w:pPr>
      <w:r w:rsidRPr="00CB0607">
        <w:lastRenderedPageBreak/>
        <w:t xml:space="preserve">The site team also conducted </w:t>
      </w:r>
      <w:r>
        <w:t>98</w:t>
      </w:r>
      <w:r w:rsidRPr="00CB0607">
        <w:t xml:space="preserve"> observations of classroom instruction in </w:t>
      </w:r>
      <w:r w:rsidR="00BF51F1">
        <w:t>six</w:t>
      </w:r>
      <w:r w:rsidRPr="00CB0607">
        <w:t xml:space="preserve"> schools.</w:t>
      </w:r>
      <w:r w:rsidRPr="00CB0607">
        <w:rPr>
          <w:rStyle w:val="CommentReference"/>
        </w:rPr>
        <w:t xml:space="preserve"> </w:t>
      </w:r>
      <w:r w:rsidRPr="00CB0607">
        <w:t xml:space="preserve">Certified team members conducted instructional observations using the Teachstone CLASS protocol. </w:t>
      </w:r>
    </w:p>
    <w:p w14:paraId="2B77C53A" w14:textId="77777777" w:rsidR="003D6ECF" w:rsidRPr="00CB0607" w:rsidRDefault="003D6ECF" w:rsidP="003D6ECF">
      <w:pPr>
        <w:pStyle w:val="Heading3"/>
      </w:pPr>
      <w:r w:rsidRPr="00CB0607">
        <w:t>District Profile</w:t>
      </w:r>
    </w:p>
    <w:p w14:paraId="171EE430" w14:textId="37E8B4D9" w:rsidR="00BC0AE8" w:rsidRDefault="00BF51F1" w:rsidP="00BC0AE8">
      <w:pPr>
        <w:pStyle w:val="BodyTextposthead"/>
      </w:pPr>
      <w:r>
        <w:t xml:space="preserve">Hingham’s leadership team includes Superintendent </w:t>
      </w:r>
      <w:r w:rsidR="00BC0AE8">
        <w:t>Margaret Adams</w:t>
      </w:r>
      <w:r>
        <w:t xml:space="preserve"> (</w:t>
      </w:r>
      <w:r w:rsidR="00BC0AE8" w:rsidRPr="00CB0607">
        <w:t xml:space="preserve">appointed in </w:t>
      </w:r>
      <w:r w:rsidR="00BC0AE8" w:rsidRPr="00E513D4">
        <w:t>2022</w:t>
      </w:r>
      <w:r>
        <w:t>) and</w:t>
      </w:r>
      <w:r w:rsidR="00BC0AE8" w:rsidRPr="00CB0607">
        <w:t xml:space="preserve"> </w:t>
      </w:r>
      <w:r w:rsidR="00BC0AE8">
        <w:t xml:space="preserve">the </w:t>
      </w:r>
      <w:r>
        <w:t>a</w:t>
      </w:r>
      <w:r w:rsidR="00BC0AE8">
        <w:t xml:space="preserve">ssistant </w:t>
      </w:r>
      <w:r>
        <w:t>s</w:t>
      </w:r>
      <w:r w:rsidR="00BC0AE8">
        <w:t>uperintendent.</w:t>
      </w:r>
      <w:r w:rsidR="00BC0AE8" w:rsidRPr="00CB0607">
        <w:t xml:space="preserve"> The school committee </w:t>
      </w:r>
      <w:r>
        <w:t>has</w:t>
      </w:r>
      <w:r w:rsidR="00BC0AE8" w:rsidRPr="00CB0607">
        <w:t xml:space="preserve"> </w:t>
      </w:r>
      <w:r>
        <w:t xml:space="preserve">seven </w:t>
      </w:r>
      <w:r w:rsidR="00BC0AE8" w:rsidRPr="00CB0607">
        <w:t xml:space="preserve">members who are elected for </w:t>
      </w:r>
      <w:r>
        <w:t>three</w:t>
      </w:r>
      <w:r w:rsidR="00BC0AE8" w:rsidRPr="00764CEC">
        <w:t>-</w:t>
      </w:r>
      <w:r w:rsidR="00BC0AE8" w:rsidRPr="00CB0607">
        <w:t>year terms.</w:t>
      </w:r>
    </w:p>
    <w:p w14:paraId="2C6CB1A8" w14:textId="72FAB3EC" w:rsidR="00BC0AE8" w:rsidRPr="00CB0607" w:rsidRDefault="00BC0AE8" w:rsidP="00BC0AE8">
      <w:pPr>
        <w:pStyle w:val="BodyText"/>
      </w:pPr>
      <w:r w:rsidRPr="00CB0607">
        <w:t>In the 202</w:t>
      </w:r>
      <w:r>
        <w:t>3-</w:t>
      </w:r>
      <w:r w:rsidRPr="00CB0607">
        <w:t>202</w:t>
      </w:r>
      <w:r>
        <w:t>4</w:t>
      </w:r>
      <w:r w:rsidRPr="00CB0607">
        <w:t xml:space="preserve"> school year, there were</w:t>
      </w:r>
      <w:r w:rsidR="00771352">
        <w:t xml:space="preserve"> approximately</w:t>
      </w:r>
      <w:r w:rsidRPr="00CB0607">
        <w:t xml:space="preserve"> </w:t>
      </w:r>
      <w:r>
        <w:t>3</w:t>
      </w:r>
      <w:r w:rsidR="00771352">
        <w:t>20</w:t>
      </w:r>
      <w:r w:rsidRPr="00CB0607">
        <w:t xml:space="preserve"> teachers in the district, with </w:t>
      </w:r>
      <w:r>
        <w:t>3</w:t>
      </w:r>
      <w:r w:rsidR="00BF51F1">
        <w:t>,</w:t>
      </w:r>
      <w:r>
        <w:t>707</w:t>
      </w:r>
      <w:r w:rsidRPr="00CB0607">
        <w:t xml:space="preserve"> students enrolled in the district’s </w:t>
      </w:r>
      <w:r w:rsidR="00BF51F1">
        <w:t>six</w:t>
      </w:r>
      <w:r w:rsidRPr="00CB0607">
        <w:t xml:space="preserve"> schools. Table 1 provides an overview of student enrollment by school.</w:t>
      </w:r>
    </w:p>
    <w:p w14:paraId="60E8372C" w14:textId="06C6E139" w:rsidR="00BC0AE8" w:rsidRPr="00CB0607" w:rsidRDefault="00BC0AE8" w:rsidP="00BC0AE8">
      <w:pPr>
        <w:pStyle w:val="TableTitle0"/>
      </w:pPr>
      <w:r w:rsidRPr="00CB0607">
        <w:t>Table 1. Schools, Type, Grades Served, and Enrollment, 202</w:t>
      </w:r>
      <w:r>
        <w:t>3-</w:t>
      </w:r>
      <w:r w:rsidRPr="00CB0607">
        <w:t>202</w:t>
      </w:r>
      <w:r>
        <w:t>4</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BC0AE8" w:rsidRPr="00CB0607" w14:paraId="2F5D7DA3" w14:textId="77777777">
        <w:trPr>
          <w:cnfStyle w:val="100000000000" w:firstRow="1" w:lastRow="0" w:firstColumn="0" w:lastColumn="0" w:oddVBand="0" w:evenVBand="0" w:oddHBand="0" w:evenHBand="0" w:firstRowFirstColumn="0" w:firstRowLastColumn="0" w:lastRowFirstColumn="0" w:lastRowLastColumn="0"/>
        </w:trPr>
        <w:tc>
          <w:tcPr>
            <w:tcW w:w="3818" w:type="dxa"/>
            <w:hideMark/>
          </w:tcPr>
          <w:p w14:paraId="70DD0DA1" w14:textId="77777777" w:rsidR="00BC0AE8" w:rsidRPr="00CB0607" w:rsidRDefault="00BC0AE8">
            <w:pPr>
              <w:pStyle w:val="TableColHeadingLeft"/>
            </w:pPr>
            <w:r w:rsidRPr="00CB0607">
              <w:t xml:space="preserve">School </w:t>
            </w:r>
          </w:p>
        </w:tc>
        <w:tc>
          <w:tcPr>
            <w:tcW w:w="1994" w:type="dxa"/>
            <w:hideMark/>
          </w:tcPr>
          <w:p w14:paraId="6B60C7DB" w14:textId="77777777" w:rsidR="00BC0AE8" w:rsidRPr="00CB0607" w:rsidRDefault="00BC0AE8">
            <w:pPr>
              <w:pStyle w:val="TableColHeadingCtr-rev"/>
            </w:pPr>
            <w:r w:rsidRPr="00CB0607">
              <w:t>Type</w:t>
            </w:r>
          </w:p>
        </w:tc>
        <w:tc>
          <w:tcPr>
            <w:tcW w:w="1614" w:type="dxa"/>
            <w:hideMark/>
          </w:tcPr>
          <w:p w14:paraId="7AE00BD3" w14:textId="77777777" w:rsidR="00BC0AE8" w:rsidRPr="00CB0607" w:rsidRDefault="00BC0AE8">
            <w:pPr>
              <w:pStyle w:val="TableColHeadingCtr-rev"/>
            </w:pPr>
            <w:r w:rsidRPr="00CB0607">
              <w:t>Grades served</w:t>
            </w:r>
          </w:p>
        </w:tc>
        <w:tc>
          <w:tcPr>
            <w:tcW w:w="1918" w:type="dxa"/>
          </w:tcPr>
          <w:p w14:paraId="003293D2" w14:textId="77777777" w:rsidR="00BC0AE8" w:rsidRPr="00CB0607" w:rsidRDefault="00BC0AE8">
            <w:pPr>
              <w:pStyle w:val="TableColHeadingCtr-rev"/>
            </w:pPr>
            <w:r w:rsidRPr="00CB0607">
              <w:t>Enrollment</w:t>
            </w:r>
          </w:p>
        </w:tc>
      </w:tr>
      <w:tr w:rsidR="00BC0AE8" w:rsidRPr="00CB0607" w14:paraId="2C9337C6" w14:textId="77777777">
        <w:tc>
          <w:tcPr>
            <w:tcW w:w="3818" w:type="dxa"/>
          </w:tcPr>
          <w:p w14:paraId="30A99F59" w14:textId="583F9421" w:rsidR="00BC0AE8" w:rsidRPr="00F17541" w:rsidRDefault="0000797E" w:rsidP="00F17541">
            <w:pPr>
              <w:pStyle w:val="TableText"/>
            </w:pPr>
            <w:r>
              <w:t>East</w:t>
            </w:r>
            <w:r w:rsidRPr="00F17541">
              <w:t xml:space="preserve"> </w:t>
            </w:r>
            <w:r w:rsidR="00BC0AE8" w:rsidRPr="00F17541">
              <w:t xml:space="preserve">Elementary School </w:t>
            </w:r>
          </w:p>
        </w:tc>
        <w:tc>
          <w:tcPr>
            <w:tcW w:w="1994" w:type="dxa"/>
          </w:tcPr>
          <w:p w14:paraId="7652E5FB" w14:textId="77777777" w:rsidR="00BC0AE8" w:rsidRPr="00CB0607" w:rsidRDefault="00BC0AE8">
            <w:pPr>
              <w:pStyle w:val="TableTextCentered"/>
            </w:pPr>
            <w:r w:rsidRPr="00CB0607">
              <w:t>Elementary</w:t>
            </w:r>
          </w:p>
        </w:tc>
        <w:tc>
          <w:tcPr>
            <w:tcW w:w="1614" w:type="dxa"/>
          </w:tcPr>
          <w:p w14:paraId="654DC76A" w14:textId="03953B93" w:rsidR="00BC0AE8" w:rsidRPr="00CB0607" w:rsidRDefault="00312718">
            <w:pPr>
              <w:pStyle w:val="TableTextCentered"/>
            </w:pPr>
            <w:r>
              <w:t>P</w:t>
            </w:r>
            <w:r w:rsidR="00BC0AE8" w:rsidRPr="00CB0607">
              <w:t>K-5</w:t>
            </w:r>
          </w:p>
        </w:tc>
        <w:tc>
          <w:tcPr>
            <w:tcW w:w="1918" w:type="dxa"/>
            <w:shd w:val="clear" w:color="auto" w:fill="D9E2F3" w:themeFill="accent5" w:themeFillTint="33"/>
          </w:tcPr>
          <w:p w14:paraId="73E829A9" w14:textId="5620C674" w:rsidR="00BC0AE8" w:rsidRPr="00CB0607" w:rsidRDefault="00312718">
            <w:pPr>
              <w:pStyle w:val="TableTextCentered"/>
            </w:pPr>
            <w:r>
              <w:t>519</w:t>
            </w:r>
          </w:p>
        </w:tc>
      </w:tr>
      <w:tr w:rsidR="0000797E" w:rsidRPr="00CB0607" w14:paraId="1EEAD16E" w14:textId="77777777">
        <w:tc>
          <w:tcPr>
            <w:tcW w:w="3818" w:type="dxa"/>
          </w:tcPr>
          <w:p w14:paraId="46BDBC00" w14:textId="604D8918" w:rsidR="0000797E" w:rsidRPr="00F17541" w:rsidRDefault="007A3470" w:rsidP="00F17541">
            <w:pPr>
              <w:pStyle w:val="TableText"/>
            </w:pPr>
            <w:r>
              <w:t>Plymouth River Elementary School</w:t>
            </w:r>
          </w:p>
        </w:tc>
        <w:tc>
          <w:tcPr>
            <w:tcW w:w="1994" w:type="dxa"/>
          </w:tcPr>
          <w:p w14:paraId="77E21461" w14:textId="4E63C58F" w:rsidR="0000797E" w:rsidRPr="007A3470" w:rsidRDefault="007A3470">
            <w:pPr>
              <w:pStyle w:val="TableTextCentered"/>
              <w:rPr>
                <w:rFonts w:eastAsiaTheme="minorHAnsi" w:cstheme="minorBidi"/>
              </w:rPr>
            </w:pPr>
            <w:r w:rsidRPr="007A3470">
              <w:rPr>
                <w:rFonts w:eastAsiaTheme="minorHAnsi" w:cstheme="minorBidi"/>
              </w:rPr>
              <w:t>Elementary</w:t>
            </w:r>
          </w:p>
        </w:tc>
        <w:tc>
          <w:tcPr>
            <w:tcW w:w="1614" w:type="dxa"/>
          </w:tcPr>
          <w:p w14:paraId="3734B8E9" w14:textId="19772BFC" w:rsidR="0000797E" w:rsidRPr="007A3470" w:rsidRDefault="007A3470">
            <w:pPr>
              <w:pStyle w:val="TableTextCentered"/>
              <w:rPr>
                <w:rFonts w:eastAsiaTheme="minorHAnsi" w:cstheme="minorBidi"/>
              </w:rPr>
            </w:pPr>
            <w:r w:rsidRPr="007A3470">
              <w:rPr>
                <w:rFonts w:eastAsiaTheme="minorHAnsi" w:cstheme="minorBidi"/>
              </w:rPr>
              <w:t>K-5</w:t>
            </w:r>
          </w:p>
        </w:tc>
        <w:tc>
          <w:tcPr>
            <w:tcW w:w="1918" w:type="dxa"/>
            <w:shd w:val="clear" w:color="auto" w:fill="D9E2F3" w:themeFill="accent5" w:themeFillTint="33"/>
          </w:tcPr>
          <w:p w14:paraId="7CA69D3B" w14:textId="7464D2EC" w:rsidR="0000797E" w:rsidRPr="007A3470" w:rsidRDefault="007A3470">
            <w:pPr>
              <w:pStyle w:val="TableTextCentered"/>
              <w:rPr>
                <w:rFonts w:eastAsiaTheme="minorHAnsi" w:cstheme="minorBidi"/>
              </w:rPr>
            </w:pPr>
            <w:r w:rsidRPr="007A3470">
              <w:rPr>
                <w:rFonts w:eastAsiaTheme="minorHAnsi" w:cstheme="minorBidi"/>
              </w:rPr>
              <w:t>358</w:t>
            </w:r>
          </w:p>
        </w:tc>
      </w:tr>
      <w:tr w:rsidR="007A3470" w:rsidRPr="00CB0607" w14:paraId="0814C897" w14:textId="77777777">
        <w:tc>
          <w:tcPr>
            <w:tcW w:w="3818" w:type="dxa"/>
          </w:tcPr>
          <w:p w14:paraId="64175EF8" w14:textId="238217FF" w:rsidR="007A3470" w:rsidRDefault="009A07A0" w:rsidP="00F17541">
            <w:pPr>
              <w:pStyle w:val="TableText"/>
            </w:pPr>
            <w:r>
              <w:t>South Elementary School</w:t>
            </w:r>
          </w:p>
        </w:tc>
        <w:tc>
          <w:tcPr>
            <w:tcW w:w="1994" w:type="dxa"/>
          </w:tcPr>
          <w:p w14:paraId="6FA342CE" w14:textId="2DF3A359" w:rsidR="007A3470" w:rsidRPr="007A3470" w:rsidRDefault="009A07A0">
            <w:pPr>
              <w:pStyle w:val="TableTextCentered"/>
              <w:rPr>
                <w:rFonts w:eastAsiaTheme="minorHAnsi" w:cstheme="minorBidi"/>
              </w:rPr>
            </w:pPr>
            <w:r w:rsidRPr="00CB0607">
              <w:t>Elementary</w:t>
            </w:r>
          </w:p>
        </w:tc>
        <w:tc>
          <w:tcPr>
            <w:tcW w:w="1614" w:type="dxa"/>
          </w:tcPr>
          <w:p w14:paraId="6546DC8F" w14:textId="1C06D9B8" w:rsidR="007A3470" w:rsidRPr="007A3470" w:rsidRDefault="009A07A0">
            <w:pPr>
              <w:pStyle w:val="TableTextCentered"/>
              <w:rPr>
                <w:rFonts w:eastAsiaTheme="minorHAnsi" w:cstheme="minorBidi"/>
              </w:rPr>
            </w:pPr>
            <w:r>
              <w:rPr>
                <w:rFonts w:eastAsiaTheme="minorHAnsi" w:cstheme="minorBidi"/>
              </w:rPr>
              <w:t>K-5</w:t>
            </w:r>
          </w:p>
        </w:tc>
        <w:tc>
          <w:tcPr>
            <w:tcW w:w="1918" w:type="dxa"/>
            <w:shd w:val="clear" w:color="auto" w:fill="D9E2F3" w:themeFill="accent5" w:themeFillTint="33"/>
          </w:tcPr>
          <w:p w14:paraId="6A884039" w14:textId="30FE32E1" w:rsidR="007A3470" w:rsidRPr="007A3470" w:rsidRDefault="009A07A0">
            <w:pPr>
              <w:pStyle w:val="TableTextCentered"/>
              <w:rPr>
                <w:rFonts w:eastAsiaTheme="minorHAnsi" w:cstheme="minorBidi"/>
              </w:rPr>
            </w:pPr>
            <w:r>
              <w:rPr>
                <w:rFonts w:eastAsiaTheme="minorHAnsi" w:cstheme="minorBidi"/>
              </w:rPr>
              <w:t>493</w:t>
            </w:r>
          </w:p>
        </w:tc>
      </w:tr>
      <w:tr w:rsidR="007A3470" w:rsidRPr="00CB0607" w14:paraId="1071A6B6" w14:textId="77777777">
        <w:tc>
          <w:tcPr>
            <w:tcW w:w="3818" w:type="dxa"/>
          </w:tcPr>
          <w:p w14:paraId="6CF398E0" w14:textId="78D07734" w:rsidR="007A3470" w:rsidRDefault="0094635B" w:rsidP="00F17541">
            <w:pPr>
              <w:pStyle w:val="TableText"/>
            </w:pPr>
            <w:r>
              <w:t>William L. Foster Elementary School</w:t>
            </w:r>
          </w:p>
        </w:tc>
        <w:tc>
          <w:tcPr>
            <w:tcW w:w="1994" w:type="dxa"/>
          </w:tcPr>
          <w:p w14:paraId="583CAC81" w14:textId="5EB6EC87" w:rsidR="007A3470" w:rsidRPr="007A3470" w:rsidRDefault="0094635B">
            <w:pPr>
              <w:pStyle w:val="TableTextCentered"/>
              <w:rPr>
                <w:rFonts w:eastAsiaTheme="minorHAnsi" w:cstheme="minorBidi"/>
              </w:rPr>
            </w:pPr>
            <w:r w:rsidRPr="00CB0607">
              <w:t>Elementary</w:t>
            </w:r>
          </w:p>
        </w:tc>
        <w:tc>
          <w:tcPr>
            <w:tcW w:w="1614" w:type="dxa"/>
          </w:tcPr>
          <w:p w14:paraId="2AB2B6B1" w14:textId="1B635EC2" w:rsidR="007A3470" w:rsidRPr="007A3470" w:rsidRDefault="0094635B">
            <w:pPr>
              <w:pStyle w:val="TableTextCentered"/>
              <w:rPr>
                <w:rFonts w:eastAsiaTheme="minorHAnsi" w:cstheme="minorBidi"/>
              </w:rPr>
            </w:pPr>
            <w:r>
              <w:rPr>
                <w:rFonts w:eastAsiaTheme="minorHAnsi" w:cstheme="minorBidi"/>
              </w:rPr>
              <w:t>K-5</w:t>
            </w:r>
          </w:p>
        </w:tc>
        <w:tc>
          <w:tcPr>
            <w:tcW w:w="1918" w:type="dxa"/>
            <w:shd w:val="clear" w:color="auto" w:fill="D9E2F3" w:themeFill="accent5" w:themeFillTint="33"/>
          </w:tcPr>
          <w:p w14:paraId="2517785F" w14:textId="42FC65D6" w:rsidR="007A3470" w:rsidRPr="007A3470" w:rsidRDefault="0094635B">
            <w:pPr>
              <w:pStyle w:val="TableTextCentered"/>
              <w:rPr>
                <w:rFonts w:eastAsiaTheme="minorHAnsi" w:cstheme="minorBidi"/>
              </w:rPr>
            </w:pPr>
            <w:r>
              <w:rPr>
                <w:rFonts w:eastAsiaTheme="minorHAnsi" w:cstheme="minorBidi"/>
              </w:rPr>
              <w:t>391</w:t>
            </w:r>
          </w:p>
        </w:tc>
      </w:tr>
      <w:tr w:rsidR="00BC0AE8" w:rsidRPr="00CB0607" w14:paraId="73D0E510" w14:textId="77777777">
        <w:tc>
          <w:tcPr>
            <w:tcW w:w="3818" w:type="dxa"/>
          </w:tcPr>
          <w:p w14:paraId="26CF78AE" w14:textId="77777777" w:rsidR="00BC0AE8" w:rsidRPr="00F17541" w:rsidRDefault="00BC0AE8" w:rsidP="00F17541">
            <w:pPr>
              <w:pStyle w:val="TableText"/>
            </w:pPr>
            <w:r w:rsidRPr="00F17541">
              <w:t>Hingham Middle School</w:t>
            </w:r>
          </w:p>
        </w:tc>
        <w:tc>
          <w:tcPr>
            <w:tcW w:w="1994" w:type="dxa"/>
          </w:tcPr>
          <w:p w14:paraId="00556536" w14:textId="77777777" w:rsidR="00BC0AE8" w:rsidRPr="00CB0607" w:rsidRDefault="00BC0AE8">
            <w:pPr>
              <w:pStyle w:val="TableTextCentered"/>
            </w:pPr>
            <w:r w:rsidRPr="00CB0607">
              <w:t>Middle</w:t>
            </w:r>
          </w:p>
        </w:tc>
        <w:tc>
          <w:tcPr>
            <w:tcW w:w="1614" w:type="dxa"/>
          </w:tcPr>
          <w:p w14:paraId="67186C5B" w14:textId="77777777" w:rsidR="00BC0AE8" w:rsidRPr="00CB0607" w:rsidRDefault="00BC0AE8">
            <w:pPr>
              <w:pStyle w:val="TableTextCentered"/>
            </w:pPr>
            <w:r w:rsidRPr="00CB0607">
              <w:t>6-8</w:t>
            </w:r>
          </w:p>
        </w:tc>
        <w:tc>
          <w:tcPr>
            <w:tcW w:w="1918" w:type="dxa"/>
            <w:shd w:val="clear" w:color="auto" w:fill="D9E2F3" w:themeFill="accent5" w:themeFillTint="33"/>
          </w:tcPr>
          <w:p w14:paraId="2F01D18D" w14:textId="77777777" w:rsidR="00BC0AE8" w:rsidRPr="00CB0607" w:rsidRDefault="00BC0AE8">
            <w:pPr>
              <w:pStyle w:val="TableTextCentered"/>
            </w:pPr>
            <w:r>
              <w:t>846</w:t>
            </w:r>
          </w:p>
        </w:tc>
      </w:tr>
      <w:tr w:rsidR="00BC0AE8" w:rsidRPr="00CB0607" w14:paraId="7B14178E" w14:textId="77777777">
        <w:tc>
          <w:tcPr>
            <w:tcW w:w="3818" w:type="dxa"/>
          </w:tcPr>
          <w:p w14:paraId="2FF084A9" w14:textId="77777777" w:rsidR="00BC0AE8" w:rsidRPr="00F17541" w:rsidRDefault="00BC0AE8" w:rsidP="00F17541">
            <w:pPr>
              <w:pStyle w:val="TableText"/>
            </w:pPr>
            <w:r w:rsidRPr="00F17541">
              <w:t>Hingham High School</w:t>
            </w:r>
          </w:p>
        </w:tc>
        <w:tc>
          <w:tcPr>
            <w:tcW w:w="1994" w:type="dxa"/>
          </w:tcPr>
          <w:p w14:paraId="391E05D0" w14:textId="77777777" w:rsidR="00BC0AE8" w:rsidRPr="00CB0607" w:rsidRDefault="00BC0AE8">
            <w:pPr>
              <w:pStyle w:val="TableTextCentered"/>
            </w:pPr>
            <w:r w:rsidRPr="00CB0607">
              <w:t>High</w:t>
            </w:r>
          </w:p>
        </w:tc>
        <w:tc>
          <w:tcPr>
            <w:tcW w:w="1614" w:type="dxa"/>
          </w:tcPr>
          <w:p w14:paraId="4FD1BBCD" w14:textId="77777777" w:rsidR="00BC0AE8" w:rsidRPr="00CB0607" w:rsidRDefault="00BC0AE8">
            <w:pPr>
              <w:pStyle w:val="TableTextCentered"/>
            </w:pPr>
            <w:r w:rsidRPr="00CB0607">
              <w:t>9-12</w:t>
            </w:r>
          </w:p>
        </w:tc>
        <w:tc>
          <w:tcPr>
            <w:tcW w:w="1918" w:type="dxa"/>
            <w:shd w:val="clear" w:color="auto" w:fill="D9E2F3" w:themeFill="accent5" w:themeFillTint="33"/>
          </w:tcPr>
          <w:p w14:paraId="3C1E8D00" w14:textId="126704D5" w:rsidR="00BC0AE8" w:rsidRPr="00CB0607" w:rsidRDefault="00BC0AE8">
            <w:pPr>
              <w:pStyle w:val="TableTextCentered"/>
            </w:pPr>
            <w:r>
              <w:t>1</w:t>
            </w:r>
            <w:r w:rsidR="00BF51F1">
              <w:t>,</w:t>
            </w:r>
            <w:r>
              <w:t>100</w:t>
            </w:r>
          </w:p>
        </w:tc>
      </w:tr>
      <w:tr w:rsidR="00BC0AE8" w:rsidRPr="00CB0607" w14:paraId="4660115B" w14:textId="77777777">
        <w:tc>
          <w:tcPr>
            <w:tcW w:w="3818" w:type="dxa"/>
            <w:hideMark/>
          </w:tcPr>
          <w:p w14:paraId="4CD8ABA1" w14:textId="77777777" w:rsidR="00BC0AE8" w:rsidRPr="00F17541" w:rsidRDefault="00BC0AE8" w:rsidP="00F17541">
            <w:pPr>
              <w:pStyle w:val="TableSubheading"/>
            </w:pPr>
            <w:r w:rsidRPr="00CB0607">
              <w:t>Total</w:t>
            </w:r>
          </w:p>
        </w:tc>
        <w:tc>
          <w:tcPr>
            <w:tcW w:w="1994" w:type="dxa"/>
          </w:tcPr>
          <w:p w14:paraId="2F3D21DF" w14:textId="77777777" w:rsidR="00BC0AE8" w:rsidRPr="00CB0607" w:rsidRDefault="00BC0AE8" w:rsidP="00F17541">
            <w:pPr>
              <w:pStyle w:val="TableSubheadingCentered"/>
            </w:pPr>
          </w:p>
        </w:tc>
        <w:tc>
          <w:tcPr>
            <w:tcW w:w="1614" w:type="dxa"/>
          </w:tcPr>
          <w:p w14:paraId="57492E71" w14:textId="77777777" w:rsidR="00BC0AE8" w:rsidRPr="00CB0607" w:rsidRDefault="00BC0AE8" w:rsidP="00F17541">
            <w:pPr>
              <w:pStyle w:val="TableSubheadingCentered"/>
            </w:pPr>
          </w:p>
        </w:tc>
        <w:tc>
          <w:tcPr>
            <w:tcW w:w="1918" w:type="dxa"/>
            <w:shd w:val="clear" w:color="auto" w:fill="D9E2F3" w:themeFill="accent5" w:themeFillTint="33"/>
          </w:tcPr>
          <w:p w14:paraId="2D879B5D" w14:textId="2786C5C0" w:rsidR="00BC0AE8" w:rsidRPr="00C93239" w:rsidRDefault="00BC0AE8" w:rsidP="00F17541">
            <w:pPr>
              <w:pStyle w:val="TableSubheadingCentered"/>
            </w:pPr>
            <w:r>
              <w:t>3</w:t>
            </w:r>
            <w:r w:rsidR="00BF51F1">
              <w:t>,</w:t>
            </w:r>
            <w:r>
              <w:t>707</w:t>
            </w:r>
          </w:p>
        </w:tc>
      </w:tr>
    </w:tbl>
    <w:p w14:paraId="4F483645" w14:textId="4E67F8C9" w:rsidR="00BC0AE8" w:rsidRPr="00CB0607" w:rsidRDefault="00BC0AE8" w:rsidP="00BC0AE8">
      <w:pPr>
        <w:pStyle w:val="TableNote"/>
      </w:pPr>
      <w:r w:rsidRPr="00CB0607">
        <w:rPr>
          <w:i/>
          <w:iCs/>
        </w:rPr>
        <w:t xml:space="preserve">Note. </w:t>
      </w:r>
      <w:r w:rsidRPr="00CB0607">
        <w:t>Enrollment data as of October 1, 202</w:t>
      </w:r>
      <w:r>
        <w:t>3</w:t>
      </w:r>
      <w:r w:rsidRPr="00CB0607">
        <w:t xml:space="preserve">. </w:t>
      </w:r>
    </w:p>
    <w:p w14:paraId="4027E31B" w14:textId="62190DDF" w:rsidR="00BC0AE8" w:rsidRPr="00CB0607" w:rsidRDefault="00BC0AE8" w:rsidP="00BC0AE8">
      <w:pPr>
        <w:pStyle w:val="BodyText"/>
      </w:pPr>
      <w:r w:rsidRPr="00CB0607">
        <w:t>Between 20</w:t>
      </w:r>
      <w:r>
        <w:t>21</w:t>
      </w:r>
      <w:r w:rsidRPr="00CB0607">
        <w:t xml:space="preserve"> and 202</w:t>
      </w:r>
      <w:r>
        <w:t>4</w:t>
      </w:r>
      <w:r w:rsidRPr="00CB0607">
        <w:t xml:space="preserve">, overall student enrollment </w:t>
      </w:r>
      <w:r w:rsidRPr="00C54A66">
        <w:t>decreased</w:t>
      </w:r>
      <w:r w:rsidRPr="00CB0607">
        <w:t xml:space="preserve"> by </w:t>
      </w:r>
      <w:r>
        <w:t>187</w:t>
      </w:r>
      <w:r w:rsidRPr="00CB0607">
        <w:t xml:space="preserve"> students. Enrollment figures by race/ethnicity and high</w:t>
      </w:r>
      <w:r w:rsidR="00BF51F1">
        <w:t xml:space="preserve"> </w:t>
      </w:r>
      <w:r w:rsidRPr="00CB0607">
        <w:t>need</w:t>
      </w:r>
      <w:r w:rsidR="00BF51F1">
        <w:t>s</w:t>
      </w:r>
      <w:r w:rsidRPr="00CB0607">
        <w:t xml:space="preserve"> populations (i.e., students with disabilities, students </w:t>
      </w:r>
      <w:r>
        <w:t>from low-income families</w:t>
      </w:r>
      <w:r w:rsidRPr="00CB0607">
        <w:t xml:space="preserve">, and English learners </w:t>
      </w:r>
      <w:r>
        <w:t>[</w:t>
      </w:r>
      <w:r w:rsidRPr="00CB0607">
        <w:t>ELs</w:t>
      </w:r>
      <w:r>
        <w:t>]</w:t>
      </w:r>
      <w:r w:rsidRPr="00CB0607">
        <w:t xml:space="preserve"> and former ELs) compared with the state are in Tables</w:t>
      </w:r>
      <w:r w:rsidR="00BF51F1">
        <w:t> </w:t>
      </w:r>
      <w:r>
        <w:t>D</w:t>
      </w:r>
      <w:r w:rsidRPr="00CB0607">
        <w:t xml:space="preserve">1 and </w:t>
      </w:r>
      <w:r>
        <w:t>D</w:t>
      </w:r>
      <w:r w:rsidRPr="00CB0607">
        <w:t xml:space="preserve">2 in Appendix </w:t>
      </w:r>
      <w:r>
        <w:t>D</w:t>
      </w:r>
      <w:r w:rsidRPr="00CB0607">
        <w:t>.</w:t>
      </w:r>
      <w:r>
        <w:t xml:space="preserve"> </w:t>
      </w:r>
      <w:r w:rsidRPr="00CB0607">
        <w:t xml:space="preserve">Appendix </w:t>
      </w:r>
      <w:r>
        <w:t>D</w:t>
      </w:r>
      <w:r w:rsidRPr="00CB0607">
        <w:t xml:space="preserve"> </w:t>
      </w:r>
      <w:r>
        <w:t xml:space="preserve">also </w:t>
      </w:r>
      <w:r w:rsidRPr="00CB0607">
        <w:t xml:space="preserve">provides </w:t>
      </w:r>
      <w:r>
        <w:t xml:space="preserve">additional </w:t>
      </w:r>
      <w:r w:rsidRPr="00CB0607">
        <w:t>information about district enrollment, attendance, and expenditures.</w:t>
      </w:r>
    </w:p>
    <w:p w14:paraId="1FBF2E88" w14:textId="76360FD5" w:rsidR="00BC0AE8" w:rsidRDefault="00BC0AE8" w:rsidP="00F17541">
      <w:pPr>
        <w:pStyle w:val="BodyText"/>
      </w:pPr>
      <w:r w:rsidRPr="00641376">
        <w:t xml:space="preserve">In fiscal year 2022, the total in-district per-pupil expenditure for </w:t>
      </w:r>
      <w:r>
        <w:t>Hingham</w:t>
      </w:r>
      <w:r w:rsidRPr="00641376">
        <w:t xml:space="preserve"> was $</w:t>
      </w:r>
      <w:r>
        <w:t>18,625</w:t>
      </w:r>
      <w:r w:rsidRPr="00641376">
        <w:t>, which is $</w:t>
      </w:r>
      <w:r>
        <w:t>391</w:t>
      </w:r>
      <w:r w:rsidRPr="00641376">
        <w:t xml:space="preserve"> </w:t>
      </w:r>
      <w:r w:rsidRPr="00515AA5">
        <w:t>less</w:t>
      </w:r>
      <w:r w:rsidRPr="00641376">
        <w:t xml:space="preserve"> than the average in-district per-pupil expenditure in districts with similar demographics ($</w:t>
      </w:r>
      <w:r>
        <w:t>19</w:t>
      </w:r>
      <w:r w:rsidR="00BF51F1">
        <w:t>,</w:t>
      </w:r>
      <w:r>
        <w:t>016</w:t>
      </w:r>
      <w:r w:rsidRPr="00641376">
        <w:t>), and $</w:t>
      </w:r>
      <w:r>
        <w:t>3,078</w:t>
      </w:r>
      <w:r w:rsidRPr="00641376">
        <w:t xml:space="preserve"> </w:t>
      </w:r>
      <w:r w:rsidRPr="00922A72">
        <w:t>less</w:t>
      </w:r>
      <w:r w:rsidRPr="00641376">
        <w:t xml:space="preserve"> than the average in-district per-pupil expenditures in districts of similar wealth ($</w:t>
      </w:r>
      <w:r>
        <w:t>21,703</w:t>
      </w:r>
      <w:r w:rsidRPr="00641376">
        <w:t>).</w:t>
      </w:r>
      <w:r>
        <w:rPr>
          <w:rStyle w:val="FootnoteReference"/>
          <w:rFonts w:eastAsia="Franklin Gothic Book" w:cs="Tahoma"/>
        </w:rPr>
        <w:footnoteReference w:id="5"/>
      </w:r>
      <w:r w:rsidRPr="00641376">
        <w:t xml:space="preserve"> In-district per pupil expenditures for </w:t>
      </w:r>
      <w:r>
        <w:t>Hingham</w:t>
      </w:r>
      <w:r w:rsidRPr="00641376">
        <w:t xml:space="preserve"> were </w:t>
      </w:r>
      <w:r w:rsidRPr="00922A72">
        <w:t>$9</w:t>
      </w:r>
      <w:r>
        <w:t>29</w:t>
      </w:r>
      <w:r w:rsidRPr="00922A72">
        <w:t xml:space="preserve"> less</w:t>
      </w:r>
      <w:r w:rsidRPr="00641376">
        <w:t xml:space="preserve"> than the average state spending per pupil ($19,5</w:t>
      </w:r>
      <w:r>
        <w:t>54</w:t>
      </w:r>
      <w:r w:rsidRPr="00641376">
        <w:t>). Actual net school spending was greater than what is required by the Chapter 70 state education aid program, as shown in Table D4 in Appendix D.</w:t>
      </w:r>
    </w:p>
    <w:p w14:paraId="468C8E9C" w14:textId="77777777" w:rsidR="003D6ECF" w:rsidRPr="00CB0607" w:rsidRDefault="003D6ECF" w:rsidP="003D6ECF">
      <w:pPr>
        <w:pStyle w:val="Heading3"/>
      </w:pPr>
      <w:r w:rsidRPr="00CB0607">
        <w:t>School and Student Performance</w:t>
      </w:r>
    </w:p>
    <w:p w14:paraId="1713DE54" w14:textId="13DFC368" w:rsidR="002A4698" w:rsidRPr="000B0BAE" w:rsidRDefault="002A4698" w:rsidP="002A4698">
      <w:pPr>
        <w:pStyle w:val="BodyTextposthead"/>
      </w:pPr>
      <w:bookmarkStart w:id="19" w:name="_Hlk125965855"/>
      <w:r w:rsidRPr="66852790">
        <w:rPr>
          <w:rFonts w:ascii="Franklin Gothic Book" w:eastAsia="Franklin Gothic Book" w:hAnsi="Franklin Gothic Book" w:cs="Franklin Gothic Book"/>
          <w:color w:val="000000" w:themeColor="text1"/>
        </w:rPr>
        <w:t xml:space="preserve">The following section includes selected highlights regarding student performance in </w:t>
      </w:r>
      <w:r w:rsidR="00E009C6">
        <w:rPr>
          <w:rFonts w:ascii="Franklin Gothic Book" w:eastAsia="Franklin Gothic Book" w:hAnsi="Franklin Gothic Book" w:cs="Franklin Gothic Book"/>
          <w:color w:val="000000" w:themeColor="text1"/>
        </w:rPr>
        <w:t>Hingham</w:t>
      </w:r>
      <w:r w:rsidRPr="66852790">
        <w:rPr>
          <w:rFonts w:ascii="Franklin Gothic Book" w:eastAsia="Franklin Gothic Book" w:hAnsi="Franklin Gothic Book" w:cs="Franklin Gothic Book"/>
          <w:color w:val="000000" w:themeColor="text1"/>
        </w:rPr>
        <w:t xml:space="preserve">. This section is meant to provide a brief synopsis of data, not a comprehensive analysis of district </w:t>
      </w:r>
      <w:r w:rsidRPr="66852790">
        <w:rPr>
          <w:rFonts w:ascii="Franklin Gothic Book" w:eastAsia="Franklin Gothic Book" w:hAnsi="Franklin Gothic Book" w:cs="Franklin Gothic Book"/>
          <w:color w:val="000000" w:themeColor="text1"/>
        </w:rPr>
        <w:lastRenderedPageBreak/>
        <w:t xml:space="preserve">performance data. For additional details and data on district performance, please see Appendix E and </w:t>
      </w:r>
      <w:hyperlink r:id="rId21" w:history="1">
        <w:r w:rsidRPr="66852790">
          <w:rPr>
            <w:rStyle w:val="Hyperlink"/>
            <w:rFonts w:ascii="Franklin Gothic Book" w:eastAsia="Franklin Gothic Book" w:hAnsi="Franklin Gothic Book" w:cs="Franklin Gothic Book"/>
          </w:rPr>
          <w:t>School and District Profiles (mass.edu)</w:t>
        </w:r>
      </w:hyperlink>
      <w:r w:rsidRPr="66852790">
        <w:rPr>
          <w:rStyle w:val="normaltextrun"/>
          <w:rFonts w:ascii="Franklin Gothic Book" w:eastAsia="Franklin Gothic Book" w:hAnsi="Franklin Gothic Book" w:cs="Franklin Gothic Book"/>
          <w:color w:val="000000" w:themeColor="text1"/>
        </w:rPr>
        <w:t>.</w:t>
      </w:r>
    </w:p>
    <w:p w14:paraId="383AF3B2" w14:textId="575456C8" w:rsidR="00EA7654" w:rsidRPr="00901D6C" w:rsidRDefault="00EA7654" w:rsidP="00F17541">
      <w:pPr>
        <w:pStyle w:val="Heading4"/>
        <w:rPr>
          <w:bCs/>
        </w:rPr>
      </w:pPr>
      <w:r w:rsidRPr="00901D6C">
        <w:t>Achievement</w:t>
      </w:r>
    </w:p>
    <w:p w14:paraId="24971239" w14:textId="5387FA35" w:rsidR="008C27BE" w:rsidRPr="00597A63" w:rsidRDefault="008C27BE" w:rsidP="008C27BE">
      <w:pPr>
        <w:pStyle w:val="Bullet1"/>
      </w:pPr>
      <w:r w:rsidRPr="00597A63">
        <w:t>In Grades 3-8 in ELA and mathematics and in Grades 5 and 8 in science, the percentage of students meeting or exceeding expectations on the Next Generation Massachusetts Comprehensive Assessment System (MCAS) was higher than the state rate for each student group</w:t>
      </w:r>
      <w:r>
        <w:t xml:space="preserve"> (excluding Hispanic/Latino students</w:t>
      </w:r>
      <w:r w:rsidR="0040327F">
        <w:t>, whose data are not included in the three bullets below</w:t>
      </w:r>
      <w:r>
        <w:t>)</w:t>
      </w:r>
      <w:r w:rsidRPr="00597A63">
        <w:t xml:space="preserve">. </w:t>
      </w:r>
    </w:p>
    <w:p w14:paraId="52A2D5F8" w14:textId="77777777" w:rsidR="008C27BE" w:rsidRPr="00597A63" w:rsidRDefault="008C27BE" w:rsidP="008C27BE">
      <w:pPr>
        <w:pStyle w:val="Bullet2"/>
      </w:pPr>
      <w:r w:rsidRPr="00597A63">
        <w:t xml:space="preserve">ELA: the percentage of students meeting or exceeding expectations was between 17 and 35 percentage points higher than their statewide peers. </w:t>
      </w:r>
    </w:p>
    <w:p w14:paraId="4BF76CF3" w14:textId="77777777" w:rsidR="008C27BE" w:rsidRPr="00597A63" w:rsidRDefault="008C27BE" w:rsidP="008C27BE">
      <w:pPr>
        <w:pStyle w:val="Bullet2"/>
        <w:rPr>
          <w:rStyle w:val="eop"/>
        </w:rPr>
      </w:pPr>
      <w:r w:rsidRPr="00597A63">
        <w:t>Mathematics: the percentage of students meeting or exceeding expectations was between 17 and 38 percentage points higher than their statewide peers.</w:t>
      </w:r>
    </w:p>
    <w:p w14:paraId="6E1B88A8" w14:textId="77777777" w:rsidR="008C27BE" w:rsidRPr="00E016B9" w:rsidRDefault="008C27BE" w:rsidP="008C27BE">
      <w:pPr>
        <w:pStyle w:val="Bullet2"/>
      </w:pPr>
      <w:r w:rsidRPr="00E016B9">
        <w:t>Science: the percentage of students meeting or exceeding expectations was between 13 and 30 percentage points higher than their statewide peers.</w:t>
      </w:r>
    </w:p>
    <w:p w14:paraId="48C62844" w14:textId="77777777" w:rsidR="00615FD8" w:rsidRPr="00CD3887" w:rsidRDefault="00615FD8" w:rsidP="00615FD8">
      <w:pPr>
        <w:pStyle w:val="Bullet1"/>
      </w:pPr>
      <w:r w:rsidRPr="00CD3887">
        <w:t>In Grades 10 in ELA</w:t>
      </w:r>
      <w:r>
        <w:t>,</w:t>
      </w:r>
      <w:r w:rsidRPr="00CD3887">
        <w:t xml:space="preserve"> mathematics</w:t>
      </w:r>
      <w:r>
        <w:t>,</w:t>
      </w:r>
      <w:r w:rsidRPr="00CD3887">
        <w:t xml:space="preserve"> and science, the percentage of students meeting or exceeding expectations on the Next Generation MCAS was higher than the state rate for each student group. </w:t>
      </w:r>
    </w:p>
    <w:p w14:paraId="75038E0B" w14:textId="77777777" w:rsidR="00615FD8" w:rsidRPr="00CD3887" w:rsidRDefault="00615FD8" w:rsidP="00615FD8">
      <w:pPr>
        <w:pStyle w:val="Bullet2"/>
      </w:pPr>
      <w:r w:rsidRPr="00CD3887">
        <w:t xml:space="preserve">ELA: the percentage of students meeting or exceeding expectations was between 14 and 29 percentage points higher than their statewide peers. </w:t>
      </w:r>
    </w:p>
    <w:p w14:paraId="246D37EE" w14:textId="77777777" w:rsidR="00615FD8" w:rsidRPr="00CD3887" w:rsidRDefault="00615FD8" w:rsidP="00615FD8">
      <w:pPr>
        <w:pStyle w:val="Bullet2"/>
        <w:rPr>
          <w:rStyle w:val="eop"/>
        </w:rPr>
      </w:pPr>
      <w:r w:rsidRPr="00CD3887">
        <w:t>Mathematics: the percentage of students meeting or exceeding expectations was between 18 and 37 percentage points higher than their statewide peers.</w:t>
      </w:r>
    </w:p>
    <w:p w14:paraId="0D0769B9" w14:textId="320B0217" w:rsidR="00615FD8" w:rsidRPr="00CD3887" w:rsidRDefault="00615FD8" w:rsidP="00615FD8">
      <w:pPr>
        <w:pStyle w:val="Bullet2"/>
      </w:pPr>
      <w:r w:rsidRPr="00CD3887">
        <w:t>Science: the percentage of students meeting or exceeding expectations was between 11 and 39 percentage points higher than their statewide peers.</w:t>
      </w:r>
    </w:p>
    <w:p w14:paraId="35BAC5BB" w14:textId="77777777" w:rsidR="00006720" w:rsidRPr="00103016" w:rsidRDefault="00006720" w:rsidP="00006720">
      <w:pPr>
        <w:pStyle w:val="Bullet1"/>
      </w:pPr>
      <w:r w:rsidRPr="00103016">
        <w:t xml:space="preserve">Hispanic/Latino students in Hingham met or exceeded expectations on the </w:t>
      </w:r>
      <w:r>
        <w:t xml:space="preserve">2023 </w:t>
      </w:r>
      <w:r w:rsidRPr="00103016">
        <w:t xml:space="preserve">Next Generation MCAS at higher rates than their statewide peers in Grades 3-8 in ELA and mathematics, and in Grades 5 and 8 in science. </w:t>
      </w:r>
    </w:p>
    <w:p w14:paraId="59405EF0" w14:textId="77777777" w:rsidR="00006720" w:rsidRPr="00103016" w:rsidRDefault="00006720" w:rsidP="00006720">
      <w:pPr>
        <w:pStyle w:val="Bullet2"/>
      </w:pPr>
      <w:r w:rsidRPr="00103016">
        <w:t xml:space="preserve">ELA: the percentage of students meeting or exceeding expectations was 69 percent and was 47 percentage points higher than the state rate of 22 percent. </w:t>
      </w:r>
    </w:p>
    <w:p w14:paraId="15870C62" w14:textId="77777777" w:rsidR="00006720" w:rsidRPr="00E10292" w:rsidRDefault="00006720" w:rsidP="00006720">
      <w:pPr>
        <w:pStyle w:val="Bullet2"/>
        <w:rPr>
          <w:rStyle w:val="eop"/>
        </w:rPr>
      </w:pPr>
      <w:r w:rsidRPr="00E10292">
        <w:t>Mathematics: the percentage of students meeting or exceeding expectations was 70 percent and was 51 percentage points higher than the state rate of 19 percent.</w:t>
      </w:r>
    </w:p>
    <w:p w14:paraId="78F2D45B" w14:textId="45BA53C0" w:rsidR="00006720" w:rsidRPr="00E10292" w:rsidRDefault="00006720" w:rsidP="00006720">
      <w:pPr>
        <w:pStyle w:val="Bullet2"/>
      </w:pPr>
      <w:r w:rsidRPr="00E10292">
        <w:t>Science: the percentage of students meeting or exceeding expectations was 73 percent</w:t>
      </w:r>
      <w:r w:rsidR="003B45CB">
        <w:t xml:space="preserve">, which is </w:t>
      </w:r>
      <w:r w:rsidRPr="00E10292">
        <w:t>53 percentage points higher than the state rate of 20 percent.</w:t>
      </w:r>
    </w:p>
    <w:p w14:paraId="604803CD" w14:textId="3CB70B79" w:rsidR="00EA7654" w:rsidRPr="003451DB" w:rsidRDefault="00EA7654" w:rsidP="00F17541">
      <w:pPr>
        <w:pStyle w:val="Heading4"/>
        <w:rPr>
          <w:bCs/>
        </w:rPr>
      </w:pPr>
      <w:r w:rsidRPr="003451DB">
        <w:t>Growth</w:t>
      </w:r>
    </w:p>
    <w:p w14:paraId="45C6AD82" w14:textId="4F408578" w:rsidR="00EA7654" w:rsidRPr="00625ACF" w:rsidRDefault="00EA7654" w:rsidP="00F17541">
      <w:pPr>
        <w:pStyle w:val="Bullet1"/>
      </w:pPr>
      <w:r w:rsidRPr="00625ACF">
        <w:t xml:space="preserve">In </w:t>
      </w:r>
      <w:r w:rsidR="00C90F93">
        <w:t>G</w:t>
      </w:r>
      <w:r w:rsidRPr="00625ACF">
        <w:t>rades 3</w:t>
      </w:r>
      <w:r w:rsidR="00C90F93">
        <w:t>-</w:t>
      </w:r>
      <w:r w:rsidRPr="00625ACF">
        <w:t>8, in ELA and math</w:t>
      </w:r>
      <w:r w:rsidR="00D15EEA">
        <w:t>ematics</w:t>
      </w:r>
      <w:r w:rsidRPr="00625ACF">
        <w:t>, student growth percentiles (SGP)</w:t>
      </w:r>
      <w:r w:rsidR="00C90F93">
        <w:rPr>
          <w:rStyle w:val="FootnoteReference"/>
        </w:rPr>
        <w:footnoteReference w:id="6"/>
      </w:r>
      <w:r w:rsidRPr="00625ACF">
        <w:t xml:space="preserve"> were typical in 2023 for each student group with reportable data, except for Asian students</w:t>
      </w:r>
      <w:r>
        <w:t>,</w:t>
      </w:r>
      <w:r w:rsidRPr="00625ACF">
        <w:t xml:space="preserve"> who exceeded typical growth in</w:t>
      </w:r>
      <w:r>
        <w:t xml:space="preserve"> both</w:t>
      </w:r>
      <w:r w:rsidRPr="00625ACF">
        <w:t xml:space="preserve"> ELA and math</w:t>
      </w:r>
      <w:r w:rsidR="00D15EEA">
        <w:t>ematics</w:t>
      </w:r>
      <w:r w:rsidRPr="00625ACF">
        <w:t>.</w:t>
      </w:r>
    </w:p>
    <w:p w14:paraId="71FB2C7D" w14:textId="57B8883A" w:rsidR="00EA7654" w:rsidRPr="006C7FDB" w:rsidRDefault="002835F3" w:rsidP="00F17541">
      <w:pPr>
        <w:pStyle w:val="Bullet1"/>
      </w:pPr>
      <w:r>
        <w:lastRenderedPageBreak/>
        <w:t xml:space="preserve">Two groups, </w:t>
      </w:r>
      <w:r w:rsidR="00EA7654">
        <w:t>All students and White students</w:t>
      </w:r>
      <w:r w:rsidR="003D1CE8">
        <w:t>,</w:t>
      </w:r>
      <w:r w:rsidR="00EA7654">
        <w:t xml:space="preserve"> exceeded typical growth in math</w:t>
      </w:r>
      <w:r w:rsidR="00D15EEA">
        <w:t>ematics</w:t>
      </w:r>
      <w:r w:rsidR="00EA7654">
        <w:t xml:space="preserve"> in </w:t>
      </w:r>
      <w:r w:rsidR="00C85D6B">
        <w:t xml:space="preserve"> Grade 10</w:t>
      </w:r>
      <w:r w:rsidR="00EA7654">
        <w:t xml:space="preserve"> in 2023</w:t>
      </w:r>
      <w:r w:rsidR="00C90F93">
        <w:t>.</w:t>
      </w:r>
    </w:p>
    <w:p w14:paraId="4BE6B690" w14:textId="77777777" w:rsidR="00EA7654" w:rsidRPr="007B6248" w:rsidRDefault="00EA7654" w:rsidP="00F17541">
      <w:pPr>
        <w:pStyle w:val="Heading4"/>
      </w:pPr>
      <w:r w:rsidRPr="007B6248">
        <w:t>Other Indicators</w:t>
      </w:r>
    </w:p>
    <w:p w14:paraId="6CF69597" w14:textId="4DA33500" w:rsidR="00EA7654" w:rsidRPr="00744A58" w:rsidRDefault="00EA7654" w:rsidP="00F17541">
      <w:pPr>
        <w:pStyle w:val="Bullet1"/>
      </w:pPr>
      <w:r w:rsidRPr="00744A58">
        <w:t xml:space="preserve">Hingham’s four-year graduation rates in 2022 were above the state rates for each student group with reportable data by 3.6 </w:t>
      </w:r>
      <w:r w:rsidR="00C90F93">
        <w:t xml:space="preserve">percentage points </w:t>
      </w:r>
      <w:r w:rsidRPr="00744A58">
        <w:t>to 13.8 percentage points.</w:t>
      </w:r>
    </w:p>
    <w:p w14:paraId="4AD5B58B" w14:textId="1A2E958F" w:rsidR="00EA7654" w:rsidRPr="00EF2868" w:rsidRDefault="00EA7654" w:rsidP="00F17541">
      <w:pPr>
        <w:pStyle w:val="Bullet1"/>
      </w:pPr>
      <w:r w:rsidRPr="00EF2868">
        <w:t xml:space="preserve">The dropout rate for </w:t>
      </w:r>
      <w:r w:rsidR="00C90F93">
        <w:t>s</w:t>
      </w:r>
      <w:r w:rsidRPr="00EF2868">
        <w:t xml:space="preserve">tudents with </w:t>
      </w:r>
      <w:r w:rsidR="00C90F93">
        <w:t>di</w:t>
      </w:r>
      <w:r w:rsidRPr="00EF2868">
        <w:t xml:space="preserve">sabilities in Hingham was 0.0 percent in 2022 compared </w:t>
      </w:r>
      <w:r w:rsidR="00C90F93">
        <w:t>with</w:t>
      </w:r>
      <w:r w:rsidRPr="00EF2868">
        <w:t xml:space="preserve"> the state rate of 3.4 percent.</w:t>
      </w:r>
    </w:p>
    <w:p w14:paraId="03A280B9" w14:textId="082C4F17" w:rsidR="00EA7654" w:rsidRPr="005A2B2B" w:rsidRDefault="00EA7654" w:rsidP="00F17541">
      <w:pPr>
        <w:pStyle w:val="Bullet1"/>
      </w:pPr>
      <w:r>
        <w:t>In 2023, 87.8</w:t>
      </w:r>
      <w:r w:rsidRPr="005A2B2B">
        <w:t xml:space="preserve"> percent of students in Hingham complet</w:t>
      </w:r>
      <w:r>
        <w:t>ed</w:t>
      </w:r>
      <w:r w:rsidRPr="005A2B2B">
        <w:t xml:space="preserve"> advanced coursework</w:t>
      </w:r>
      <w:r>
        <w:t>,</w:t>
      </w:r>
      <w:r w:rsidRPr="005A2B2B">
        <w:t xml:space="preserve"> </w:t>
      </w:r>
      <w:r w:rsidR="00C90F93">
        <w:t xml:space="preserve">which is </w:t>
      </w:r>
      <w:r w:rsidRPr="005A2B2B">
        <w:t>22</w:t>
      </w:r>
      <w:r w:rsidR="00C90F93">
        <w:t> </w:t>
      </w:r>
      <w:r w:rsidRPr="005A2B2B">
        <w:t>percentage points higher than the state rate of 65.8 percent.</w:t>
      </w:r>
    </w:p>
    <w:bookmarkEnd w:id="19"/>
    <w:p w14:paraId="185F4753" w14:textId="2CC9D12D" w:rsidR="00EA7654" w:rsidRPr="00530943" w:rsidRDefault="00EA7654" w:rsidP="00F17541">
      <w:pPr>
        <w:pStyle w:val="Bullet1"/>
      </w:pPr>
      <w:r w:rsidRPr="00530943">
        <w:t xml:space="preserve">Plymouth River </w:t>
      </w:r>
      <w:r w:rsidR="00C90F93">
        <w:t xml:space="preserve">Elementary </w:t>
      </w:r>
      <w:r w:rsidRPr="00530943">
        <w:t xml:space="preserve">and South Elementary </w:t>
      </w:r>
      <w:r>
        <w:t xml:space="preserve">were </w:t>
      </w:r>
      <w:r w:rsidR="008B5655">
        <w:t xml:space="preserve">identified as </w:t>
      </w:r>
      <w:r w:rsidRPr="00530943">
        <w:t>Schools of Recognition</w:t>
      </w:r>
      <w:r>
        <w:t xml:space="preserve"> </w:t>
      </w:r>
      <w:r w:rsidR="008B5655">
        <w:t xml:space="preserve">via the state’s district and school accountability system </w:t>
      </w:r>
      <w:r>
        <w:t>in 2023</w:t>
      </w:r>
      <w:r w:rsidRPr="00530943">
        <w:t>.</w:t>
      </w:r>
    </w:p>
    <w:p w14:paraId="31ABE0F8" w14:textId="034039A4" w:rsidR="00A942D3" w:rsidRDefault="00A942D3" w:rsidP="00A942D3">
      <w:pPr>
        <w:pStyle w:val="Heading3"/>
      </w:pPr>
      <w:r>
        <w:t xml:space="preserve">Classroom Observations </w:t>
      </w:r>
    </w:p>
    <w:p w14:paraId="74798ECC" w14:textId="2B638691" w:rsidR="00FF2011" w:rsidRPr="00CB0607" w:rsidRDefault="00764C5B" w:rsidP="00FF2011">
      <w:pPr>
        <w:pStyle w:val="BodyTextposthead"/>
      </w:pPr>
      <w:r>
        <w:t>Three</w:t>
      </w:r>
      <w:r w:rsidR="00FF2011" w:rsidRPr="00CB0607">
        <w:t xml:space="preserve"> observers, who focused primarily on instruction in the classroom, visited </w:t>
      </w:r>
      <w:r w:rsidR="00242346">
        <w:t>Hingham</w:t>
      </w:r>
      <w:r w:rsidR="00242346" w:rsidRPr="00CB0607">
        <w:t xml:space="preserve"> </w:t>
      </w:r>
      <w:r w:rsidR="00FF2011" w:rsidRPr="00CB0607">
        <w:t xml:space="preserve">during the week of </w:t>
      </w:r>
      <w:r w:rsidR="00FF2011">
        <w:t>April 22</w:t>
      </w:r>
      <w:r w:rsidR="00187366" w:rsidRPr="00187366">
        <w:t>, 202</w:t>
      </w:r>
      <w:r w:rsidR="00187366">
        <w:t>4</w:t>
      </w:r>
      <w:r w:rsidR="00FF2011">
        <w:t>.</w:t>
      </w:r>
      <w:r w:rsidR="00FF2011" w:rsidRPr="00CB0607">
        <w:t xml:space="preserve"> The observers conducted</w:t>
      </w:r>
      <w:r w:rsidR="00D91942">
        <w:t xml:space="preserve"> </w:t>
      </w:r>
      <w:r w:rsidR="00FF2011">
        <w:t>98</w:t>
      </w:r>
      <w:r w:rsidR="00FF2011" w:rsidRPr="00CB0607">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766810A2" w14:textId="77777777" w:rsidR="00FF2011" w:rsidRPr="00CB0607" w:rsidRDefault="00FF2011" w:rsidP="00FF2011">
      <w:pPr>
        <w:pStyle w:val="BodyText"/>
      </w:pPr>
      <w:r w:rsidRPr="00CB0607">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152FFAE" w14:textId="77777777" w:rsidR="00FF2011" w:rsidRPr="00CB0607" w:rsidRDefault="00FF2011" w:rsidP="00F17541">
      <w:pPr>
        <w:pStyle w:val="Bullet1"/>
      </w:pPr>
      <w:r w:rsidRPr="00CB0607">
        <w:rPr>
          <w:rStyle w:val="Bodytextdemi0"/>
        </w:rPr>
        <w:t>Emotional Support</w:t>
      </w:r>
      <w:r w:rsidRPr="00163C7A">
        <w:rPr>
          <w:rFonts w:ascii="Franklin Gothic Demi" w:hAnsi="Franklin Gothic Demi"/>
        </w:rPr>
        <w:t>.</w:t>
      </w:r>
      <w:r w:rsidRPr="00CB0607">
        <w:t xml:space="preserve"> Describes the social-emotional functioning of the classroom, including teacher-student relationships and responsiveness to social-emotional needs.</w:t>
      </w:r>
    </w:p>
    <w:p w14:paraId="38276E2F" w14:textId="77777777" w:rsidR="00FF2011" w:rsidRPr="00CB0607" w:rsidRDefault="00FF2011" w:rsidP="00FF2011">
      <w:pPr>
        <w:pStyle w:val="Bullet1"/>
      </w:pPr>
      <w:r w:rsidRPr="00CB0607">
        <w:rPr>
          <w:rStyle w:val="Bodytextdemi0"/>
        </w:rPr>
        <w:t>Classroom Organization</w:t>
      </w:r>
      <w:r w:rsidRPr="00163C7A">
        <w:rPr>
          <w:rFonts w:ascii="Franklin Gothic Demi" w:hAnsi="Franklin Gothic Demi"/>
        </w:rPr>
        <w:t>.</w:t>
      </w:r>
      <w:r w:rsidRPr="00CB0607">
        <w:t xml:space="preserve"> Describes the management of students’ behavior, time, and attention in the classroom.</w:t>
      </w:r>
    </w:p>
    <w:p w14:paraId="5BBACED9" w14:textId="77777777" w:rsidR="00FF2011" w:rsidRPr="00CB0607" w:rsidRDefault="00FF2011" w:rsidP="00FF2011">
      <w:pPr>
        <w:pStyle w:val="Bullet1"/>
      </w:pPr>
      <w:r w:rsidRPr="00CB0607">
        <w:rPr>
          <w:rStyle w:val="Bodytextdemi0"/>
        </w:rPr>
        <w:t>Instructional Support</w:t>
      </w:r>
      <w:r w:rsidRPr="00163C7A">
        <w:rPr>
          <w:rFonts w:ascii="Franklin Gothic Demi" w:hAnsi="Franklin Gothic Demi"/>
        </w:rPr>
        <w:t>.</w:t>
      </w:r>
      <w:r w:rsidRPr="00CB0607">
        <w:t xml:space="preserve"> Describes the efforts to support cognitive and language development, including cognitive demand of the assigned tasks, the focus on higher order thinking skills, and the use of process-oriented feedback.</w:t>
      </w:r>
    </w:p>
    <w:p w14:paraId="289E4981" w14:textId="77777777" w:rsidR="00FF2011" w:rsidRPr="00CB0607" w:rsidRDefault="00FF2011" w:rsidP="00FF2011">
      <w:pPr>
        <w:pStyle w:val="BodyText"/>
      </w:pPr>
      <w:r w:rsidRPr="00CB0607">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5B769834" w14:textId="3F184ACC" w:rsidR="00FF2011" w:rsidRPr="00CB0607" w:rsidRDefault="00FF2011" w:rsidP="00FF2011">
      <w:pPr>
        <w:pStyle w:val="BodyText"/>
      </w:pPr>
      <w:r w:rsidRPr="00CB0607">
        <w:t xml:space="preserve">In </w:t>
      </w:r>
      <w:r w:rsidR="00242346">
        <w:t>Hingham</w:t>
      </w:r>
      <w:r w:rsidRPr="00CB0607">
        <w:t xml:space="preserve">, ratings are provided across three grade bands: K-5, 6-8, and 9-12. For each grade band, ratings are provided across the overarching domains, as well as at individual dimensions within </w:t>
      </w:r>
      <w:r w:rsidRPr="00CB0607">
        <w:lastRenderedPageBreak/>
        <w:t xml:space="preserve">those domains. The full report of findings from observations conducted in </w:t>
      </w:r>
      <w:r w:rsidR="00C90F93">
        <w:t>Hingham</w:t>
      </w:r>
      <w:r w:rsidR="00C90F93" w:rsidRPr="00CB0607">
        <w:t xml:space="preserve"> </w:t>
      </w:r>
      <w:r>
        <w:t>is</w:t>
      </w:r>
      <w:r w:rsidRPr="00CB0607">
        <w:t xml:space="preserve"> in Appendix</w:t>
      </w:r>
      <w:r w:rsidRPr="00CB0607">
        <w:rPr>
          <w:rFonts w:ascii="Arial" w:hAnsi="Arial" w:cs="Arial"/>
        </w:rPr>
        <w:t> </w:t>
      </w:r>
      <w:r>
        <w:t>B</w:t>
      </w:r>
      <w:r w:rsidRPr="00CB0607">
        <w:t xml:space="preserve">, and summary results are in Tables 17, 18, and 19 in this appendix. </w:t>
      </w:r>
    </w:p>
    <w:p w14:paraId="6FB9E186" w14:textId="1AB85303" w:rsidR="00FF2011" w:rsidRPr="00CB0607" w:rsidRDefault="00FF2011" w:rsidP="00FF2011">
      <w:pPr>
        <w:pStyle w:val="BodyText"/>
      </w:pPr>
      <w:r w:rsidRPr="00CB0607">
        <w:t xml:space="preserve">In summary, findings from the </w:t>
      </w:r>
      <w:r>
        <w:t>Hingham</w:t>
      </w:r>
      <w:r w:rsidRPr="00CB0607">
        <w:t xml:space="preserve"> observations were as follows:</w:t>
      </w:r>
    </w:p>
    <w:p w14:paraId="490DBB54" w14:textId="1DF60C61" w:rsidR="00FF2011" w:rsidRPr="00CB0607" w:rsidRDefault="00FF2011" w:rsidP="00FF2011">
      <w:pPr>
        <w:pStyle w:val="Bullet1"/>
      </w:pPr>
      <w:r w:rsidRPr="00CB0607">
        <w:rPr>
          <w:rStyle w:val="Bodytextdemi0"/>
        </w:rPr>
        <w:t>Emotional Support</w:t>
      </w:r>
      <w:r w:rsidRPr="00163C7A">
        <w:rPr>
          <w:rFonts w:ascii="Franklin Gothic Demi" w:hAnsi="Franklin Gothic Demi"/>
        </w:rPr>
        <w:t>.</w:t>
      </w:r>
      <w:r w:rsidRPr="00CB0607">
        <w:t xml:space="preserve"> Ratings were </w:t>
      </w:r>
      <w:r>
        <w:t xml:space="preserve">in the </w:t>
      </w:r>
      <w:r w:rsidRPr="00492429">
        <w:t>high</w:t>
      </w:r>
      <w:r w:rsidR="00DF3BE9" w:rsidRPr="00492429">
        <w:t>-</w:t>
      </w:r>
      <w:r w:rsidRPr="00492429">
        <w:t xml:space="preserve">middle </w:t>
      </w:r>
      <w:r w:rsidR="00C90F93">
        <w:t xml:space="preserve">range </w:t>
      </w:r>
      <w:r w:rsidRPr="00492429">
        <w:t>for</w:t>
      </w:r>
      <w:r w:rsidRPr="00CB0607">
        <w:t xml:space="preserve"> the K-5 and 6-8 grade bands </w:t>
      </w:r>
      <w:r>
        <w:t>(5.4</w:t>
      </w:r>
      <w:r w:rsidRPr="00CB0607">
        <w:t xml:space="preserve"> and </w:t>
      </w:r>
      <w:r w:rsidRPr="003C2CDD">
        <w:t>4.9,</w:t>
      </w:r>
      <w:r w:rsidRPr="00CB0607">
        <w:t xml:space="preserve"> respectively) and in the </w:t>
      </w:r>
      <w:r w:rsidRPr="003C2CDD">
        <w:t>middle</w:t>
      </w:r>
      <w:r w:rsidRPr="00CB0607">
        <w:t xml:space="preserve"> range for the 9-12 grade band </w:t>
      </w:r>
      <w:r>
        <w:t>(4.6).</w:t>
      </w:r>
    </w:p>
    <w:p w14:paraId="2ED863B4" w14:textId="61B84C63" w:rsidR="00FF2011" w:rsidRPr="00CB0607" w:rsidRDefault="00FF2011" w:rsidP="00FF2011">
      <w:pPr>
        <w:pStyle w:val="Bullet1"/>
      </w:pPr>
      <w:r w:rsidRPr="00CB0607">
        <w:rPr>
          <w:rStyle w:val="Bodytextdemi0"/>
        </w:rPr>
        <w:t>Classroom Organization</w:t>
      </w:r>
      <w:r w:rsidRPr="00163C7A">
        <w:rPr>
          <w:rFonts w:ascii="Franklin Gothic Demi" w:hAnsi="Franklin Gothic Demi"/>
        </w:rPr>
        <w:t>.</w:t>
      </w:r>
      <w:r w:rsidRPr="00CB0607">
        <w:t xml:space="preserve"> Ratings were in the </w:t>
      </w:r>
      <w:r w:rsidRPr="009C7DA7">
        <w:t>high</w:t>
      </w:r>
      <w:r w:rsidRPr="00CB0607">
        <w:t xml:space="preserve"> range</w:t>
      </w:r>
      <w:r>
        <w:t xml:space="preserve"> </w:t>
      </w:r>
      <w:r w:rsidRPr="00CB0607">
        <w:t>for all grade bands</w:t>
      </w:r>
      <w:r w:rsidR="00C90F93">
        <w:t xml:space="preserve"> </w:t>
      </w:r>
      <w:r w:rsidR="00C90F93" w:rsidRPr="009C7DA7">
        <w:t>(6.1</w:t>
      </w:r>
      <w:r w:rsidR="00C90F93">
        <w:t xml:space="preserve"> for K-5</w:t>
      </w:r>
      <w:r w:rsidR="00C90F93" w:rsidRPr="009C7DA7">
        <w:t>, 6.7</w:t>
      </w:r>
      <w:r w:rsidR="00C90F93">
        <w:t xml:space="preserve"> for 6-8</w:t>
      </w:r>
      <w:r w:rsidR="00C90F93" w:rsidRPr="009C7DA7">
        <w:t>, and 6.8</w:t>
      </w:r>
      <w:r w:rsidR="00C90F93">
        <w:t xml:space="preserve"> for 9-12</w:t>
      </w:r>
      <w:r w:rsidR="00C90F93" w:rsidRPr="009C7DA7">
        <w:t>)</w:t>
      </w:r>
      <w:r w:rsidRPr="00CB0607">
        <w:t>.</w:t>
      </w:r>
    </w:p>
    <w:p w14:paraId="3E75B03B" w14:textId="0F7C7E92" w:rsidR="00FF2011" w:rsidRDefault="00FF2011" w:rsidP="00FF2011">
      <w:pPr>
        <w:pStyle w:val="Bullet1"/>
      </w:pPr>
      <w:r w:rsidRPr="00CB0607">
        <w:rPr>
          <w:rStyle w:val="Bodytextdemi0"/>
        </w:rPr>
        <w:t>Instructional Support</w:t>
      </w:r>
      <w:r w:rsidRPr="00163C7A">
        <w:rPr>
          <w:rFonts w:ascii="Franklin Gothic Demi" w:hAnsi="Franklin Gothic Demi"/>
        </w:rPr>
        <w:t>.</w:t>
      </w:r>
      <w:r w:rsidRPr="00CB0607">
        <w:t xml:space="preserve"> Ratings were in the </w:t>
      </w:r>
      <w:r w:rsidRPr="00F73B9D">
        <w:t>low</w:t>
      </w:r>
      <w:r w:rsidR="00DF3BE9">
        <w:t>-</w:t>
      </w:r>
      <w:r>
        <w:t>middle</w:t>
      </w:r>
      <w:r w:rsidRPr="00CB0607">
        <w:t xml:space="preserve"> range</w:t>
      </w:r>
      <w:r>
        <w:t xml:space="preserve"> for all grade bands</w:t>
      </w:r>
      <w:r w:rsidR="00C90F93">
        <w:t xml:space="preserve"> (3.3 for K-5, 3.8 for 6-8, and 3.7 for 9-12)</w:t>
      </w:r>
      <w:r>
        <w:t>.</w:t>
      </w:r>
    </w:p>
    <w:p w14:paraId="43F697FB" w14:textId="32A5AE23" w:rsidR="00FF2011" w:rsidRPr="00CB0607" w:rsidRDefault="00FF2011" w:rsidP="00FF2011">
      <w:pPr>
        <w:pStyle w:val="Bullet1"/>
      </w:pPr>
      <w:r w:rsidRPr="00CB0607">
        <w:rPr>
          <w:rStyle w:val="Bodytextdemi0"/>
        </w:rPr>
        <w:t>Student Engagement</w:t>
      </w:r>
      <w:r w:rsidRPr="00163C7A">
        <w:rPr>
          <w:rFonts w:ascii="Franklin Gothic Demi" w:hAnsi="Franklin Gothic Demi"/>
        </w:rPr>
        <w:t>.</w:t>
      </w:r>
      <w:r w:rsidRPr="00CB0607">
        <w:t xml:space="preserve"> For Grades 4 and up, where student engagement was measured as an independent domain, ratings were in the </w:t>
      </w:r>
      <w:r w:rsidRPr="00F73B9D">
        <w:t>middle</w:t>
      </w:r>
      <w:r w:rsidRPr="00CB0607">
        <w:t xml:space="preserve"> range for </w:t>
      </w:r>
      <w:r w:rsidR="00C90F93">
        <w:t xml:space="preserve">all </w:t>
      </w:r>
      <w:r w:rsidR="00DF3BE9">
        <w:t>grade bands</w:t>
      </w:r>
      <w:r w:rsidRPr="00CB0607">
        <w:t xml:space="preserve"> </w:t>
      </w:r>
      <w:r>
        <w:t>(5.6</w:t>
      </w:r>
      <w:r w:rsidR="00C90F93">
        <w:t xml:space="preserve"> for K-5</w:t>
      </w:r>
      <w:r w:rsidR="00DF3BE9">
        <w:t>, 5.7</w:t>
      </w:r>
      <w:r w:rsidR="00C90F93">
        <w:t xml:space="preserve"> for 6-8</w:t>
      </w:r>
      <w:r w:rsidR="00DF3BE9">
        <w:t>, and 5.2</w:t>
      </w:r>
      <w:r w:rsidR="00C90F93">
        <w:t xml:space="preserve"> for 9-12</w:t>
      </w:r>
      <w:r>
        <w:t>).</w:t>
      </w:r>
      <w:r w:rsidRPr="00CB0607">
        <w:t xml:space="preserve"> </w:t>
      </w:r>
    </w:p>
    <w:p w14:paraId="7C3892B1" w14:textId="225CC3F7" w:rsidR="00A942D3" w:rsidRPr="0066116F" w:rsidRDefault="00FF2011" w:rsidP="008D6102">
      <w:pPr>
        <w:pStyle w:val="BodyText"/>
      </w:pPr>
      <w:r w:rsidRPr="002C4A82">
        <w:t xml:space="preserve">Overall, in the K-5 grade band, instructional observations </w:t>
      </w:r>
      <w:r>
        <w:t xml:space="preserve">provide evidence of strong classroom organization, moderate emotional support and student engagement (Grades 4-5), and generally mixed evidence of consistently rigorous instruction. </w:t>
      </w:r>
      <w:r w:rsidRPr="002C4A82">
        <w:t>In both the 6-8 and 9-12 grade bands, instructional observations provide</w:t>
      </w:r>
      <w:r>
        <w:t xml:space="preserve"> evidence of strong classroom organization and moderate student engagement, as well as </w:t>
      </w:r>
      <w:r w:rsidRPr="002C4A82">
        <w:t xml:space="preserve">mixed evidence of consistently strong emotional </w:t>
      </w:r>
      <w:r>
        <w:t xml:space="preserve">and </w:t>
      </w:r>
      <w:r w:rsidRPr="002C4A82">
        <w:t>instructional support</w:t>
      </w:r>
      <w:r>
        <w:t>.</w:t>
      </w:r>
      <w:r w:rsidRPr="002C4A82">
        <w:t xml:space="preserve"> </w:t>
      </w:r>
    </w:p>
    <w:p w14:paraId="5A4DB43F" w14:textId="77777777" w:rsidR="008D6102" w:rsidRPr="00CB0607" w:rsidRDefault="008D6102" w:rsidP="00D84912">
      <w:pPr>
        <w:pStyle w:val="Heading2"/>
      </w:pPr>
      <w:bookmarkStart w:id="20" w:name="_Leadership_and_Governance"/>
      <w:bookmarkStart w:id="21" w:name="_Toc101446227"/>
      <w:bookmarkStart w:id="22" w:name="_Toc170157274"/>
      <w:bookmarkStart w:id="23" w:name="_Toc350870261"/>
      <w:bookmarkEnd w:id="20"/>
      <w:r w:rsidRPr="00CB0607">
        <w:lastRenderedPageBreak/>
        <w:t>Leadership and Governance</w:t>
      </w:r>
      <w:bookmarkEnd w:id="21"/>
      <w:bookmarkEnd w:id="22"/>
    </w:p>
    <w:p w14:paraId="3368EA8F" w14:textId="65E984AB" w:rsidR="00ED4EB1" w:rsidRPr="00D34C5F" w:rsidRDefault="00ED4EB1" w:rsidP="00F17541">
      <w:pPr>
        <w:pStyle w:val="BodyText"/>
        <w:rPr>
          <w:rFonts w:ascii="Franklin Gothic Book" w:hAnsi="Franklin Gothic Book" w:cs="Segoe UI"/>
          <w:szCs w:val="24"/>
        </w:rPr>
      </w:pPr>
      <w:r>
        <w:t xml:space="preserve">Hingham is </w:t>
      </w:r>
      <w:r w:rsidR="00187366">
        <w:t>under the leadership of</w:t>
      </w:r>
      <w:r w:rsidRPr="00CB0607">
        <w:t xml:space="preserve"> </w:t>
      </w:r>
      <w:r>
        <w:t>Margaret Adams</w:t>
      </w:r>
      <w:r w:rsidR="00187366">
        <w:t>,</w:t>
      </w:r>
      <w:r w:rsidRPr="00CB0607">
        <w:t xml:space="preserve"> </w:t>
      </w:r>
      <w:r w:rsidR="00943E5C">
        <w:t>who was</w:t>
      </w:r>
      <w:r w:rsidRPr="00CB0607">
        <w:t xml:space="preserve"> appointed superintendent in </w:t>
      </w:r>
      <w:r>
        <w:t>2022</w:t>
      </w:r>
      <w:r w:rsidRPr="00CB0607">
        <w:t xml:space="preserve">. </w:t>
      </w:r>
      <w:r w:rsidRPr="00FE3352">
        <w:t xml:space="preserve">Supporting her </w:t>
      </w:r>
      <w:r w:rsidR="00E61A9A">
        <w:t>is</w:t>
      </w:r>
      <w:r w:rsidR="00E61A9A" w:rsidRPr="00FE3352">
        <w:t xml:space="preserve"> </w:t>
      </w:r>
      <w:r w:rsidRPr="00FE3352">
        <w:t xml:space="preserve">a core team of central office staff, including the </w:t>
      </w:r>
      <w:r w:rsidR="00C90F93">
        <w:t>a</w:t>
      </w:r>
      <w:r w:rsidRPr="00FE3352">
        <w:t xml:space="preserve">ssistant </w:t>
      </w:r>
      <w:r w:rsidR="00C90F93">
        <w:t>s</w:t>
      </w:r>
      <w:r w:rsidRPr="00FE3352">
        <w:t xml:space="preserve">uperintendent, the </w:t>
      </w:r>
      <w:r w:rsidR="00C90F93">
        <w:t>d</w:t>
      </w:r>
      <w:r w:rsidRPr="00FE3352">
        <w:t xml:space="preserve">irector of </w:t>
      </w:r>
      <w:r w:rsidR="00C90F93">
        <w:t>b</w:t>
      </w:r>
      <w:r w:rsidRPr="00FE3352">
        <w:t xml:space="preserve">usiness </w:t>
      </w:r>
      <w:r w:rsidR="00C90F93">
        <w:t>and</w:t>
      </w:r>
      <w:r w:rsidRPr="00FE3352">
        <w:t xml:space="preserve"> </w:t>
      </w:r>
      <w:r w:rsidR="00C90F93">
        <w:t>s</w:t>
      </w:r>
      <w:r w:rsidRPr="00FE3352">
        <w:t xml:space="preserve">upport </w:t>
      </w:r>
      <w:r w:rsidR="00C90F93">
        <w:t>s</w:t>
      </w:r>
      <w:r w:rsidRPr="00FE3352">
        <w:t xml:space="preserve">ervices, the </w:t>
      </w:r>
      <w:r w:rsidR="00C90F93">
        <w:t>d</w:t>
      </w:r>
      <w:r w:rsidRPr="00FE3352">
        <w:t xml:space="preserve">irector of </w:t>
      </w:r>
      <w:r w:rsidR="00C90F93">
        <w:t>s</w:t>
      </w:r>
      <w:r w:rsidRPr="00FE3352">
        <w:t xml:space="preserve">tudent </w:t>
      </w:r>
      <w:r w:rsidR="00C90F93">
        <w:t>s</w:t>
      </w:r>
      <w:r w:rsidRPr="00FE3352">
        <w:t xml:space="preserve">ervices, and the </w:t>
      </w:r>
      <w:r w:rsidR="00C90F93">
        <w:t>a</w:t>
      </w:r>
      <w:r w:rsidRPr="00FE3352">
        <w:t xml:space="preserve">ssistant </w:t>
      </w:r>
      <w:r w:rsidR="00C90F93">
        <w:t>d</w:t>
      </w:r>
      <w:r w:rsidRPr="00FE3352">
        <w:t xml:space="preserve">irector of </w:t>
      </w:r>
      <w:r w:rsidR="00C90F93">
        <w:t>s</w:t>
      </w:r>
      <w:r w:rsidRPr="00FE3352">
        <w:t xml:space="preserve">tudent </w:t>
      </w:r>
      <w:r w:rsidR="00C90F93">
        <w:t>s</w:t>
      </w:r>
      <w:r w:rsidRPr="00FE3352">
        <w:t xml:space="preserve">ervices, as well as a larger administrative leadership team consisting of central office staff, curriculum directors for each subject area, and principals. These district officials, particularly the superintendent, collaborate closely with the elected school committee members, who represent Hingham residents through their oversight of the district. </w:t>
      </w:r>
      <w:r w:rsidRPr="00CB0607">
        <w:t xml:space="preserve">The school committee has </w:t>
      </w:r>
      <w:r>
        <w:t>seven</w:t>
      </w:r>
      <w:r w:rsidRPr="00CB0607">
        <w:t xml:space="preserve"> members, each </w:t>
      </w:r>
      <w:r>
        <w:t>ser</w:t>
      </w:r>
      <w:r w:rsidRPr="00162F33">
        <w:t xml:space="preserve">ving a </w:t>
      </w:r>
      <w:r w:rsidR="00C90F93">
        <w:t>three</w:t>
      </w:r>
      <w:r w:rsidRPr="00162F33">
        <w:t>-year term.</w:t>
      </w:r>
      <w:r w:rsidRPr="00CB0607">
        <w:t xml:space="preserve"> </w:t>
      </w:r>
    </w:p>
    <w:p w14:paraId="5AFB33AF" w14:textId="4A93911A" w:rsidR="00ED4EB1" w:rsidRDefault="00ED4EB1" w:rsidP="00F17541">
      <w:pPr>
        <w:pStyle w:val="BodyText"/>
      </w:pPr>
      <w:r w:rsidRPr="007F6FA1">
        <w:t>According to the district’s website</w:t>
      </w:r>
      <w:r w:rsidR="006A2279">
        <w:t xml:space="preserve"> </w:t>
      </w:r>
      <w:r w:rsidR="006A2279" w:rsidRPr="004B6097">
        <w:rPr>
          <w:rFonts w:ascii="Franklin Gothic Book" w:hAnsi="Franklin Gothic Book" w:cs="Segoe UI"/>
        </w:rPr>
        <w:t>and interviews with school committee</w:t>
      </w:r>
      <w:r w:rsidR="006A2279">
        <w:rPr>
          <w:rFonts w:ascii="Franklin Gothic Book" w:hAnsi="Franklin Gothic Book" w:cs="Segoe UI"/>
        </w:rPr>
        <w:t xml:space="preserve"> members</w:t>
      </w:r>
      <w:r w:rsidR="006A2279" w:rsidRPr="004B6097">
        <w:rPr>
          <w:rFonts w:ascii="Franklin Gothic Book" w:hAnsi="Franklin Gothic Book" w:cs="Segoe UI"/>
        </w:rPr>
        <w:t xml:space="preserve"> and other district leaders</w:t>
      </w:r>
      <w:r w:rsidRPr="007F6FA1">
        <w:t xml:space="preserve">, the school committee </w:t>
      </w:r>
      <w:r w:rsidR="00C90F93">
        <w:t>ha</w:t>
      </w:r>
      <w:r w:rsidR="00C90F93" w:rsidRPr="007F6FA1">
        <w:t xml:space="preserve">s </w:t>
      </w:r>
      <w:r w:rsidRPr="007F6FA1">
        <w:t xml:space="preserve">five primary responsibilities: hiring and evaluating the performance of the </w:t>
      </w:r>
      <w:r w:rsidR="00C90F93">
        <w:t>s</w:t>
      </w:r>
      <w:r w:rsidRPr="007F6FA1">
        <w:t xml:space="preserve">uperintendent; developing a budget that adequately funds district needs; establishing and periodically reviewing educational goals and policies; conducting collective bargaining with all school department bargaining units; and supporting the development and promotion of the vision, mission, goals, and strategies of the school system. Aligned with the latter function, the school committee and </w:t>
      </w:r>
      <w:r w:rsidR="00C90F93">
        <w:t xml:space="preserve">the </w:t>
      </w:r>
      <w:r w:rsidRPr="007F6FA1">
        <w:t>interim superintendent</w:t>
      </w:r>
      <w:r w:rsidR="00333527">
        <w:t xml:space="preserve"> </w:t>
      </w:r>
      <w:r w:rsidR="004B6427">
        <w:t>(</w:t>
      </w:r>
      <w:r w:rsidR="00333527">
        <w:t xml:space="preserve">prior to </w:t>
      </w:r>
      <w:r w:rsidR="00C90F93">
        <w:t>official appointment as</w:t>
      </w:r>
      <w:r w:rsidR="00333527">
        <w:t xml:space="preserve"> super</w:t>
      </w:r>
      <w:r w:rsidR="004B6427">
        <w:t>intendent)</w:t>
      </w:r>
      <w:r w:rsidRPr="007F6FA1">
        <w:t>,</w:t>
      </w:r>
      <w:r>
        <w:t xml:space="preserve"> in consultation with an outside vendor</w:t>
      </w:r>
      <w:r w:rsidRPr="007F6FA1">
        <w:t xml:space="preserve">, crafted </w:t>
      </w:r>
      <w:r>
        <w:t>the district’s</w:t>
      </w:r>
      <w:r w:rsidRPr="007F6FA1">
        <w:t xml:space="preserve"> three-year</w:t>
      </w:r>
      <w:r>
        <w:t xml:space="preserve"> (2022-2025)</w:t>
      </w:r>
      <w:r w:rsidRPr="007F6FA1">
        <w:t xml:space="preserve"> Strategic Plan</w:t>
      </w:r>
      <w:r w:rsidR="00CC4BFD">
        <w:t xml:space="preserve">, which </w:t>
      </w:r>
      <w:r w:rsidRPr="007F6FA1">
        <w:t xml:space="preserve">clearly delineates the district’s overarching mission statement, core values, vision statement, theory of action, </w:t>
      </w:r>
      <w:r w:rsidR="00383668">
        <w:t>and</w:t>
      </w:r>
      <w:r w:rsidRPr="007F6FA1">
        <w:t xml:space="preserve"> strategic objectives and initiatives.</w:t>
      </w:r>
    </w:p>
    <w:p w14:paraId="71FAA234" w14:textId="14C3B0A4" w:rsidR="00ED4EB1" w:rsidRDefault="00ED4EB1" w:rsidP="00ED4EB1">
      <w:pPr>
        <w:pStyle w:val="BodyText"/>
      </w:pPr>
      <w:r w:rsidRPr="008050BB">
        <w:t>To execute the strategic plan and other priorities, each school principal receives support from instructional leadership teams compris</w:t>
      </w:r>
      <w:r w:rsidR="00383668">
        <w:t>ing</w:t>
      </w:r>
      <w:r w:rsidRPr="008050BB">
        <w:t xml:space="preserve"> principals, assistant principals, department heads (at the middle and high school levels), and lead teachers and instructional specialists at the elementary levels. </w:t>
      </w:r>
      <w:r w:rsidR="00383668">
        <w:t>Although</w:t>
      </w:r>
      <w:r w:rsidR="00383668" w:rsidRPr="008050BB">
        <w:t xml:space="preserve"> </w:t>
      </w:r>
      <w:r w:rsidRPr="008050BB">
        <w:t>leadership opportunities exist, teachers</w:t>
      </w:r>
      <w:r>
        <w:t xml:space="preserve"> and parents </w:t>
      </w:r>
      <w:r w:rsidRPr="008050BB">
        <w:t xml:space="preserve">expressed a need for </w:t>
      </w:r>
      <w:r>
        <w:t xml:space="preserve">more </w:t>
      </w:r>
      <w:r w:rsidRPr="008050BB">
        <w:t>opportunities to meaningfully contribute or provide stakeholder feedback to district decision</w:t>
      </w:r>
      <w:r w:rsidR="00383668">
        <w:t xml:space="preserve"> </w:t>
      </w:r>
      <w:r w:rsidRPr="008050BB">
        <w:t xml:space="preserve">making, including refining the district’s strategic plan and contributing to decisions </w:t>
      </w:r>
      <w:r w:rsidR="00383668">
        <w:t>about</w:t>
      </w:r>
      <w:r w:rsidR="00383668" w:rsidRPr="008050BB">
        <w:t xml:space="preserve"> </w:t>
      </w:r>
      <w:r w:rsidRPr="008050BB">
        <w:t>budget development and resource allocation.</w:t>
      </w:r>
    </w:p>
    <w:p w14:paraId="372D98BB" w14:textId="1FE84F90" w:rsidR="00ED4EB1" w:rsidRDefault="00ED4EB1" w:rsidP="00ED4EB1">
      <w:pPr>
        <w:pStyle w:val="BodyText"/>
        <w:rPr>
          <w:rFonts w:ascii="Franklin Gothic Demi" w:hAnsi="Franklin Gothic Demi"/>
        </w:rPr>
      </w:pPr>
      <w:r w:rsidRPr="00CB0607">
        <w:t xml:space="preserve">Table </w:t>
      </w:r>
      <w:r>
        <w:t>2</w:t>
      </w:r>
      <w:r w:rsidRPr="00CB0607">
        <w:t xml:space="preserve"> summarizes key strengths and areas for growth in leadership and governance.</w:t>
      </w:r>
    </w:p>
    <w:p w14:paraId="3E620D82" w14:textId="77777777" w:rsidR="00383668" w:rsidRDefault="00383668">
      <w:pPr>
        <w:spacing w:line="240" w:lineRule="auto"/>
        <w:rPr>
          <w:rFonts w:ascii="Franklin Gothic Demi" w:hAnsi="Franklin Gothic Demi"/>
        </w:rPr>
      </w:pPr>
      <w:r>
        <w:br w:type="page"/>
      </w:r>
    </w:p>
    <w:p w14:paraId="6B4910E0" w14:textId="5E9612F4" w:rsidR="00ED4EB1" w:rsidRPr="00CB0607" w:rsidRDefault="00ED4EB1" w:rsidP="00ED4EB1">
      <w:pPr>
        <w:pStyle w:val="TableTitle0"/>
      </w:pPr>
      <w:r w:rsidRPr="00CB0607">
        <w:lastRenderedPageBreak/>
        <w:t xml:space="preserve">Table </w:t>
      </w:r>
      <w:r>
        <w:t>2</w:t>
      </w:r>
      <w:r w:rsidRPr="00CB0607">
        <w:t>. Summary of Key Strengths and Areas for Growth: Leadership and Governance Standard</w:t>
      </w:r>
    </w:p>
    <w:tbl>
      <w:tblPr>
        <w:tblStyle w:val="MSVTable1"/>
        <w:tblW w:w="5000" w:type="pct"/>
        <w:tblLayout w:type="fixed"/>
        <w:tblLook w:val="04A0" w:firstRow="1" w:lastRow="0" w:firstColumn="1" w:lastColumn="0" w:noHBand="0" w:noVBand="1"/>
      </w:tblPr>
      <w:tblGrid>
        <w:gridCol w:w="1505"/>
        <w:gridCol w:w="4067"/>
        <w:gridCol w:w="3772"/>
      </w:tblGrid>
      <w:tr w:rsidR="00ED4EB1" w:rsidRPr="00CB0607" w14:paraId="0613AF0F" w14:textId="77777777" w:rsidTr="00383668">
        <w:trPr>
          <w:cnfStyle w:val="100000000000" w:firstRow="1" w:lastRow="0" w:firstColumn="0" w:lastColumn="0" w:oddVBand="0" w:evenVBand="0" w:oddHBand="0" w:evenHBand="0" w:firstRowFirstColumn="0" w:firstRowLastColumn="0" w:lastRowFirstColumn="0" w:lastRowLastColumn="0"/>
          <w:tblHeader/>
        </w:trPr>
        <w:tc>
          <w:tcPr>
            <w:tcW w:w="1505" w:type="dxa"/>
          </w:tcPr>
          <w:p w14:paraId="6D19647F" w14:textId="77777777" w:rsidR="00ED4EB1" w:rsidRPr="00CB0607" w:rsidRDefault="00ED4EB1">
            <w:pPr>
              <w:pStyle w:val="TableColHeadingCenter"/>
            </w:pPr>
            <w:r w:rsidRPr="00CB0607">
              <w:t>Indicator</w:t>
            </w:r>
          </w:p>
        </w:tc>
        <w:tc>
          <w:tcPr>
            <w:tcW w:w="4067" w:type="dxa"/>
          </w:tcPr>
          <w:p w14:paraId="0231578C" w14:textId="77777777" w:rsidR="00ED4EB1" w:rsidRPr="00CB0607" w:rsidRDefault="00ED4EB1">
            <w:pPr>
              <w:pStyle w:val="TableColHeadingCenter"/>
            </w:pPr>
            <w:r w:rsidRPr="00CB0607">
              <w:t>Strengths</w:t>
            </w:r>
          </w:p>
        </w:tc>
        <w:tc>
          <w:tcPr>
            <w:tcW w:w="3772" w:type="dxa"/>
          </w:tcPr>
          <w:p w14:paraId="39F84FA1" w14:textId="77777777" w:rsidR="00ED4EB1" w:rsidRPr="00CB0607" w:rsidRDefault="00ED4EB1">
            <w:pPr>
              <w:pStyle w:val="TableColHeadingCenter"/>
            </w:pPr>
            <w:r w:rsidRPr="00CB0607">
              <w:t>Areas for growth</w:t>
            </w:r>
          </w:p>
        </w:tc>
      </w:tr>
      <w:tr w:rsidR="00ED4EB1" w:rsidRPr="00CB0607" w14:paraId="080764E7" w14:textId="77777777" w:rsidTr="00383668">
        <w:trPr>
          <w:cnfStyle w:val="000000100000" w:firstRow="0" w:lastRow="0" w:firstColumn="0" w:lastColumn="0" w:oddVBand="0" w:evenVBand="0" w:oddHBand="1" w:evenHBand="0" w:firstRowFirstColumn="0" w:firstRowLastColumn="0" w:lastRowFirstColumn="0" w:lastRowLastColumn="0"/>
        </w:trPr>
        <w:tc>
          <w:tcPr>
            <w:tcW w:w="1505" w:type="dxa"/>
          </w:tcPr>
          <w:p w14:paraId="3C2F7537" w14:textId="5C9613C5" w:rsidR="00ED4EB1" w:rsidRPr="00CB0607" w:rsidRDefault="00000000">
            <w:pPr>
              <w:pStyle w:val="TableSubheading"/>
            </w:pPr>
            <w:hyperlink w:anchor="_School_Committee_Governance" w:history="1">
              <w:r w:rsidR="00ED4EB1" w:rsidRPr="00B527CE">
                <w:rPr>
                  <w:rStyle w:val="Hyperlink"/>
                </w:rPr>
                <w:t>School committee governance</w:t>
              </w:r>
            </w:hyperlink>
          </w:p>
        </w:tc>
        <w:tc>
          <w:tcPr>
            <w:tcW w:w="4067" w:type="dxa"/>
          </w:tcPr>
          <w:p w14:paraId="03B0A39D" w14:textId="77777777" w:rsidR="00ED4EB1" w:rsidRPr="00396307" w:rsidRDefault="00ED4EB1">
            <w:pPr>
              <w:pStyle w:val="TableBullet1"/>
            </w:pPr>
            <w:r>
              <w:t xml:space="preserve">The school committee demonstrates a </w:t>
            </w:r>
            <w:r w:rsidRPr="00D80D62">
              <w:t>commitment to engaging various stakeholders</w:t>
            </w:r>
            <w:r>
              <w:t>, including district leadership, parents, and community members,</w:t>
            </w:r>
            <w:r w:rsidRPr="00D80D62">
              <w:t xml:space="preserve"> on a regular basis</w:t>
            </w:r>
            <w:r>
              <w:t>.</w:t>
            </w:r>
          </w:p>
        </w:tc>
        <w:tc>
          <w:tcPr>
            <w:tcW w:w="3772" w:type="dxa"/>
          </w:tcPr>
          <w:p w14:paraId="42992403" w14:textId="0325FCDF" w:rsidR="00ED4EB1" w:rsidRPr="00396307" w:rsidRDefault="00C44FC6" w:rsidP="00383668">
            <w:pPr>
              <w:pStyle w:val="TableBullet1"/>
            </w:pPr>
            <w:r w:rsidRPr="00593A82">
              <w:t>Clarifying the roles and responsibilities of the school committee</w:t>
            </w:r>
            <w:r>
              <w:t xml:space="preserve"> for the community,</w:t>
            </w:r>
            <w:r w:rsidRPr="00593A82">
              <w:t xml:space="preserve"> fostering awareness of these delineated roles</w:t>
            </w:r>
            <w:r>
              <w:t>, and ensuring district responsiveness to community and family concerns</w:t>
            </w:r>
          </w:p>
        </w:tc>
      </w:tr>
      <w:tr w:rsidR="00ED4EB1" w:rsidRPr="00CB0607" w14:paraId="044F5363" w14:textId="77777777" w:rsidTr="00383668">
        <w:tc>
          <w:tcPr>
            <w:tcW w:w="1505" w:type="dxa"/>
          </w:tcPr>
          <w:p w14:paraId="1EB6B548" w14:textId="5A7DC685" w:rsidR="00ED4EB1" w:rsidRPr="00CB0607" w:rsidRDefault="00000000">
            <w:pPr>
              <w:pStyle w:val="TableSubheading"/>
            </w:pPr>
            <w:hyperlink w:anchor="_District_and_School" w:history="1">
              <w:r w:rsidR="00ED4EB1" w:rsidRPr="00B527CE">
                <w:rPr>
                  <w:rStyle w:val="Hyperlink"/>
                </w:rPr>
                <w:t>District and school leadership</w:t>
              </w:r>
            </w:hyperlink>
          </w:p>
        </w:tc>
        <w:tc>
          <w:tcPr>
            <w:tcW w:w="4067" w:type="dxa"/>
          </w:tcPr>
          <w:p w14:paraId="625549F2" w14:textId="6362ADB5" w:rsidR="00ED4EB1" w:rsidRPr="00396307" w:rsidRDefault="00ED4EB1">
            <w:pPr>
              <w:pStyle w:val="TableBullet1"/>
            </w:pPr>
            <w:r>
              <w:t xml:space="preserve">The </w:t>
            </w:r>
            <w:r w:rsidRPr="004B3AAB">
              <w:t>superintendent</w:t>
            </w:r>
            <w:r>
              <w:t xml:space="preserve"> </w:t>
            </w:r>
            <w:r w:rsidRPr="004B3AAB">
              <w:t>establish</w:t>
            </w:r>
            <w:r>
              <w:t xml:space="preserve">ed </w:t>
            </w:r>
            <w:r w:rsidRPr="004B3AAB">
              <w:t xml:space="preserve">a culture of collaboration and communication among district </w:t>
            </w:r>
            <w:r>
              <w:t xml:space="preserve">leadership </w:t>
            </w:r>
            <w:r w:rsidRPr="004B3AAB">
              <w:t>and with the town and school committee</w:t>
            </w:r>
            <w:r>
              <w:t>.</w:t>
            </w:r>
          </w:p>
        </w:tc>
        <w:tc>
          <w:tcPr>
            <w:tcW w:w="3772" w:type="dxa"/>
          </w:tcPr>
          <w:p w14:paraId="7D02AAFE" w14:textId="5BAEE986" w:rsidR="00ED4EB1" w:rsidRDefault="00ED4EB1">
            <w:pPr>
              <w:pStyle w:val="TableBullet1"/>
            </w:pPr>
            <w:r w:rsidRPr="00EF307E">
              <w:t>Establishing effective mechanisms for stakeholder feedback and integration into decision-making processes</w:t>
            </w:r>
          </w:p>
          <w:p w14:paraId="6A66C98F" w14:textId="2122035C" w:rsidR="00ED4EB1" w:rsidRPr="00396307" w:rsidRDefault="00ED4EB1">
            <w:pPr>
              <w:pStyle w:val="TableBullet1"/>
            </w:pPr>
            <w:r w:rsidRPr="00F95841">
              <w:t xml:space="preserve">Enhancing the </w:t>
            </w:r>
            <w:r w:rsidR="001641C9">
              <w:t>ability</w:t>
            </w:r>
            <w:r w:rsidR="00CE583B" w:rsidRPr="00F95841">
              <w:t xml:space="preserve"> </w:t>
            </w:r>
            <w:r w:rsidRPr="00F95841">
              <w:t xml:space="preserve">of both curriculum directors and school leaders to </w:t>
            </w:r>
            <w:r w:rsidR="00CE583B">
              <w:t>improve</w:t>
            </w:r>
            <w:r w:rsidR="00CE583B" w:rsidRPr="00F95841">
              <w:t xml:space="preserve"> </w:t>
            </w:r>
            <w:r w:rsidRPr="00F95841">
              <w:t>instructional practices</w:t>
            </w:r>
          </w:p>
        </w:tc>
      </w:tr>
      <w:tr w:rsidR="00ED4EB1" w:rsidRPr="00CB0607" w14:paraId="63E3CDAB" w14:textId="77777777" w:rsidTr="00383668">
        <w:trPr>
          <w:cnfStyle w:val="000000100000" w:firstRow="0" w:lastRow="0" w:firstColumn="0" w:lastColumn="0" w:oddVBand="0" w:evenVBand="0" w:oddHBand="1" w:evenHBand="0" w:firstRowFirstColumn="0" w:firstRowLastColumn="0" w:lastRowFirstColumn="0" w:lastRowLastColumn="0"/>
        </w:trPr>
        <w:tc>
          <w:tcPr>
            <w:tcW w:w="1505" w:type="dxa"/>
          </w:tcPr>
          <w:p w14:paraId="723EA7AC" w14:textId="06EF1799" w:rsidR="00ED4EB1" w:rsidRPr="00CB0607" w:rsidRDefault="00000000">
            <w:pPr>
              <w:pStyle w:val="TableSubheading"/>
            </w:pPr>
            <w:hyperlink w:anchor="_District_and_School_1" w:history="1">
              <w:r w:rsidR="00ED4EB1" w:rsidRPr="00B527CE">
                <w:rPr>
                  <w:rStyle w:val="Hyperlink"/>
                </w:rPr>
                <w:t>District and school improvement planning</w:t>
              </w:r>
            </w:hyperlink>
          </w:p>
        </w:tc>
        <w:tc>
          <w:tcPr>
            <w:tcW w:w="4067" w:type="dxa"/>
          </w:tcPr>
          <w:p w14:paraId="44711D77" w14:textId="108F01F5" w:rsidR="00ED4EB1" w:rsidRPr="00396307" w:rsidRDefault="00ED4EB1">
            <w:pPr>
              <w:pStyle w:val="TableBullet1"/>
            </w:pPr>
            <w:r>
              <w:t>The district demonstrates a commitment to employing a data-driven approach to strategic planning</w:t>
            </w:r>
            <w:r w:rsidR="00B652EB">
              <w:t>.</w:t>
            </w:r>
            <w:r>
              <w:t xml:space="preserve"> </w:t>
            </w:r>
            <w:r w:rsidR="00383668">
              <w:t>A</w:t>
            </w:r>
            <w:r w:rsidRPr="006B4ACD">
              <w:t xml:space="preserve">lignment </w:t>
            </w:r>
            <w:r w:rsidR="00383668">
              <w:t xml:space="preserve">exists </w:t>
            </w:r>
            <w:r w:rsidRPr="006B4ACD">
              <w:t>between the district improvement plan and all school improvement plans.</w:t>
            </w:r>
          </w:p>
        </w:tc>
        <w:tc>
          <w:tcPr>
            <w:tcW w:w="3772" w:type="dxa"/>
          </w:tcPr>
          <w:p w14:paraId="42842DF4" w14:textId="6E5CA448" w:rsidR="00ED4EB1" w:rsidRPr="00396307" w:rsidRDefault="00ED4EB1">
            <w:pPr>
              <w:pStyle w:val="TableBullet1"/>
            </w:pPr>
            <w:r w:rsidRPr="00E503A8">
              <w:t>Meaningfu</w:t>
            </w:r>
            <w:r>
              <w:t>lly engaging</w:t>
            </w:r>
            <w:r w:rsidRPr="00E503A8">
              <w:t xml:space="preserve"> school staff and parents in reflection and refinement of the strategic plan</w:t>
            </w:r>
          </w:p>
        </w:tc>
      </w:tr>
      <w:tr w:rsidR="00ED4EB1" w:rsidRPr="00CB0607" w14:paraId="0B3FCD4E" w14:textId="77777777" w:rsidTr="00383668">
        <w:tc>
          <w:tcPr>
            <w:tcW w:w="1505" w:type="dxa"/>
          </w:tcPr>
          <w:p w14:paraId="355605C5" w14:textId="14A81517" w:rsidR="00ED4EB1" w:rsidRPr="00CB0607" w:rsidRDefault="00000000">
            <w:pPr>
              <w:pStyle w:val="TableSubheading"/>
            </w:pPr>
            <w:hyperlink w:anchor="_Budget_Development" w:history="1">
              <w:r w:rsidR="00ED4EB1" w:rsidRPr="00B527CE">
                <w:rPr>
                  <w:rStyle w:val="Hyperlink"/>
                </w:rPr>
                <w:t>Budget development</w:t>
              </w:r>
            </w:hyperlink>
          </w:p>
        </w:tc>
        <w:tc>
          <w:tcPr>
            <w:tcW w:w="4067" w:type="dxa"/>
          </w:tcPr>
          <w:p w14:paraId="40281894" w14:textId="2EF0EB30" w:rsidR="00ED4EB1" w:rsidRPr="00CB0607" w:rsidRDefault="00ED4EB1">
            <w:pPr>
              <w:pStyle w:val="TableBullet1"/>
            </w:pPr>
            <w:r w:rsidRPr="00DE64A8">
              <w:t>A</w:t>
            </w:r>
            <w:r w:rsidR="00383668">
              <w:t>n</w:t>
            </w:r>
            <w:r w:rsidRPr="00DE64A8">
              <w:t xml:space="preserve"> MOU between the town and school district ensures that the town will provide funding for the school district</w:t>
            </w:r>
            <w:r w:rsidR="00383668">
              <w:t>.</w:t>
            </w:r>
            <w:r w:rsidRPr="00DE64A8">
              <w:t xml:space="preserve"> </w:t>
            </w:r>
          </w:p>
        </w:tc>
        <w:tc>
          <w:tcPr>
            <w:tcW w:w="3772" w:type="dxa"/>
          </w:tcPr>
          <w:p w14:paraId="5D43C094" w14:textId="594ACB60" w:rsidR="00ED4EB1" w:rsidRPr="00CB0607" w:rsidRDefault="00ED4EB1">
            <w:pPr>
              <w:pStyle w:val="TableBullet1"/>
            </w:pPr>
            <w:r>
              <w:t xml:space="preserve">Providing opportunities for school staff to contribute to decisions </w:t>
            </w:r>
            <w:r w:rsidR="00383668">
              <w:t xml:space="preserve">about </w:t>
            </w:r>
            <w:r>
              <w:t>budget development and resource allocation</w:t>
            </w:r>
          </w:p>
        </w:tc>
      </w:tr>
    </w:tbl>
    <w:p w14:paraId="29B3CD27" w14:textId="77777777" w:rsidR="00ED4EB1" w:rsidRDefault="00ED4EB1" w:rsidP="00ED4EB1">
      <w:pPr>
        <w:pStyle w:val="Heading3"/>
      </w:pPr>
      <w:bookmarkStart w:id="24" w:name="_School_Committee_Governance"/>
      <w:bookmarkEnd w:id="24"/>
      <w:r w:rsidRPr="00CB0607">
        <w:t>School Committee Governance</w:t>
      </w:r>
    </w:p>
    <w:p w14:paraId="71D22443" w14:textId="5A5C838C" w:rsidR="00ED4EB1" w:rsidRPr="00577F89" w:rsidRDefault="00ED4EB1" w:rsidP="00ED4EB1">
      <w:pPr>
        <w:pStyle w:val="BodyTextposthead"/>
        <w:rPr>
          <w:rFonts w:ascii="Franklin Gothic Book" w:hAnsi="Franklin Gothic Book" w:cs="Segoe UI"/>
        </w:rPr>
      </w:pPr>
      <w:r w:rsidRPr="004B6097">
        <w:rPr>
          <w:rFonts w:ascii="Franklin Gothic Book" w:hAnsi="Franklin Gothic Book" w:cs="Segoe UI"/>
        </w:rPr>
        <w:t>The school committee collaborates with district and town leaders to uphold Massachusetts laws and regulations and fulfill</w:t>
      </w:r>
      <w:r w:rsidR="00D41858">
        <w:rPr>
          <w:rFonts w:ascii="Franklin Gothic Book" w:hAnsi="Franklin Gothic Book" w:cs="Segoe UI"/>
        </w:rPr>
        <w:t xml:space="preserve"> its</w:t>
      </w:r>
      <w:r w:rsidRPr="004B6097">
        <w:rPr>
          <w:rFonts w:ascii="Franklin Gothic Book" w:hAnsi="Franklin Gothic Book" w:cs="Segoe UI"/>
        </w:rPr>
        <w:t xml:space="preserve"> fiduciary responsibilities to the district. According to the school committee’s website and interviews with school committee</w:t>
      </w:r>
      <w:r w:rsidR="005C3AFF">
        <w:rPr>
          <w:rFonts w:ascii="Franklin Gothic Book" w:hAnsi="Franklin Gothic Book" w:cs="Segoe UI"/>
        </w:rPr>
        <w:t xml:space="preserve"> members</w:t>
      </w:r>
      <w:r w:rsidRPr="004B6097">
        <w:rPr>
          <w:rFonts w:ascii="Franklin Gothic Book" w:hAnsi="Franklin Gothic Book" w:cs="Segoe UI"/>
        </w:rPr>
        <w:t xml:space="preserve"> and other district leaders, the primary responsibilities of the school committee </w:t>
      </w:r>
      <w:r w:rsidR="005C3AFF">
        <w:rPr>
          <w:rFonts w:ascii="Franklin Gothic Book" w:hAnsi="Franklin Gothic Book" w:cs="Segoe UI"/>
        </w:rPr>
        <w:t>include</w:t>
      </w:r>
      <w:r w:rsidR="005C3AFF" w:rsidRPr="004B6097">
        <w:rPr>
          <w:rFonts w:ascii="Franklin Gothic Book" w:hAnsi="Franklin Gothic Book" w:cs="Segoe UI"/>
        </w:rPr>
        <w:t xml:space="preserve"> </w:t>
      </w:r>
      <w:r w:rsidRPr="004B6097">
        <w:rPr>
          <w:rFonts w:ascii="Franklin Gothic Book" w:hAnsi="Franklin Gothic Book" w:cs="Segoe UI"/>
        </w:rPr>
        <w:t xml:space="preserve">hiring and evaluating the </w:t>
      </w:r>
      <w:r w:rsidR="00383668">
        <w:rPr>
          <w:rFonts w:ascii="Franklin Gothic Book" w:hAnsi="Franklin Gothic Book" w:cs="Segoe UI"/>
        </w:rPr>
        <w:t>s</w:t>
      </w:r>
      <w:r w:rsidRPr="004B6097">
        <w:rPr>
          <w:rFonts w:ascii="Franklin Gothic Book" w:hAnsi="Franklin Gothic Book" w:cs="Segoe UI"/>
        </w:rPr>
        <w:t>uperintendent</w:t>
      </w:r>
      <w:r w:rsidR="00383668">
        <w:rPr>
          <w:rFonts w:ascii="Franklin Gothic Book" w:hAnsi="Franklin Gothic Book" w:cs="Segoe UI"/>
        </w:rPr>
        <w:t>;</w:t>
      </w:r>
      <w:r w:rsidRPr="004B6097">
        <w:rPr>
          <w:rFonts w:ascii="Franklin Gothic Book" w:hAnsi="Franklin Gothic Book" w:cs="Segoe UI"/>
        </w:rPr>
        <w:t xml:space="preserve"> developing a budget that adequately funds district needs</w:t>
      </w:r>
      <w:r w:rsidR="00383668">
        <w:rPr>
          <w:rFonts w:ascii="Franklin Gothic Book" w:hAnsi="Franklin Gothic Book" w:cs="Segoe UI"/>
        </w:rPr>
        <w:t>;</w:t>
      </w:r>
      <w:r w:rsidRPr="004B6097">
        <w:rPr>
          <w:rFonts w:ascii="Franklin Gothic Book" w:hAnsi="Franklin Gothic Book" w:cs="Segoe UI"/>
        </w:rPr>
        <w:t xml:space="preserve"> establishing and periodically reviewing policies</w:t>
      </w:r>
      <w:r w:rsidR="00383668">
        <w:rPr>
          <w:rFonts w:ascii="Franklin Gothic Book" w:hAnsi="Franklin Gothic Book" w:cs="Segoe UI"/>
        </w:rPr>
        <w:t>;</w:t>
      </w:r>
      <w:r w:rsidRPr="004B6097">
        <w:rPr>
          <w:rFonts w:ascii="Franklin Gothic Book" w:hAnsi="Franklin Gothic Book" w:cs="Segoe UI"/>
        </w:rPr>
        <w:t xml:space="preserve"> monitoring the school’s execution of established policies</w:t>
      </w:r>
      <w:r w:rsidR="00383668">
        <w:rPr>
          <w:rFonts w:ascii="Franklin Gothic Book" w:hAnsi="Franklin Gothic Book" w:cs="Segoe UI"/>
        </w:rPr>
        <w:t>;</w:t>
      </w:r>
      <w:r>
        <w:rPr>
          <w:rFonts w:ascii="Franklin Gothic Book" w:hAnsi="Franklin Gothic Book" w:cs="Segoe UI"/>
        </w:rPr>
        <w:t xml:space="preserve"> </w:t>
      </w:r>
      <w:r w:rsidRPr="00503868">
        <w:rPr>
          <w:rFonts w:ascii="Franklin Gothic Book" w:hAnsi="Franklin Gothic Book" w:cs="Segoe UI"/>
        </w:rPr>
        <w:t>conduct</w:t>
      </w:r>
      <w:r w:rsidR="00383668">
        <w:rPr>
          <w:rFonts w:ascii="Franklin Gothic Book" w:hAnsi="Franklin Gothic Book" w:cs="Segoe UI"/>
        </w:rPr>
        <w:t>ing</w:t>
      </w:r>
      <w:r w:rsidRPr="00503868">
        <w:rPr>
          <w:rFonts w:ascii="Franklin Gothic Book" w:hAnsi="Franklin Gothic Book" w:cs="Segoe UI"/>
        </w:rPr>
        <w:t xml:space="preserve"> collective bargainin</w:t>
      </w:r>
      <w:r>
        <w:rPr>
          <w:rFonts w:ascii="Franklin Gothic Book" w:hAnsi="Franklin Gothic Book" w:cs="Segoe UI"/>
        </w:rPr>
        <w:t>g</w:t>
      </w:r>
      <w:r w:rsidR="00383668">
        <w:rPr>
          <w:rFonts w:ascii="Franklin Gothic Book" w:hAnsi="Franklin Gothic Book" w:cs="Segoe UI"/>
        </w:rPr>
        <w:t>;</w:t>
      </w:r>
      <w:r>
        <w:rPr>
          <w:rFonts w:ascii="Franklin Gothic Book" w:hAnsi="Franklin Gothic Book" w:cs="Segoe UI"/>
        </w:rPr>
        <w:t xml:space="preserve"> and s</w:t>
      </w:r>
      <w:r w:rsidRPr="00C433A2">
        <w:rPr>
          <w:rFonts w:ascii="Franklin Gothic Book" w:hAnsi="Franklin Gothic Book" w:cs="Segoe UI"/>
        </w:rPr>
        <w:t>upport</w:t>
      </w:r>
      <w:r>
        <w:rPr>
          <w:rFonts w:ascii="Franklin Gothic Book" w:hAnsi="Franklin Gothic Book" w:cs="Segoe UI"/>
        </w:rPr>
        <w:t>ing</w:t>
      </w:r>
      <w:r w:rsidRPr="00C433A2">
        <w:rPr>
          <w:rFonts w:ascii="Franklin Gothic Book" w:hAnsi="Franklin Gothic Book" w:cs="Segoe UI"/>
        </w:rPr>
        <w:t xml:space="preserve"> the development and promotion of the vision, mission, goals and strategies of the school system</w:t>
      </w:r>
      <w:r w:rsidR="00383668">
        <w:rPr>
          <w:rFonts w:ascii="Franklin Gothic Book" w:hAnsi="Franklin Gothic Book" w:cs="Segoe UI"/>
        </w:rPr>
        <w:t>.</w:t>
      </w:r>
      <w:r w:rsidRPr="004B6097">
        <w:rPr>
          <w:rFonts w:ascii="Franklin Gothic Book" w:hAnsi="Franklin Gothic Book" w:cs="Segoe UI"/>
        </w:rPr>
        <w:t xml:space="preserve"> Both district and town leaders described the school committee taking on a </w:t>
      </w:r>
      <w:r>
        <w:rPr>
          <w:rFonts w:ascii="Franklin Gothic Book" w:hAnsi="Franklin Gothic Book" w:cs="Segoe UI"/>
        </w:rPr>
        <w:t>“</w:t>
      </w:r>
      <w:r w:rsidRPr="004B6097">
        <w:rPr>
          <w:rFonts w:ascii="Franklin Gothic Book" w:hAnsi="Franklin Gothic Book" w:cs="Segoe UI"/>
        </w:rPr>
        <w:t>significant political role</w:t>
      </w:r>
      <w:r w:rsidR="00383668">
        <w:rPr>
          <w:rFonts w:ascii="Franklin Gothic Book" w:hAnsi="Franklin Gothic Book" w:cs="Segoe UI"/>
        </w:rPr>
        <w:t>,</w:t>
      </w:r>
      <w:r>
        <w:rPr>
          <w:rFonts w:ascii="Franklin Gothic Book" w:hAnsi="Franklin Gothic Book" w:cs="Segoe UI"/>
        </w:rPr>
        <w:t xml:space="preserve">” </w:t>
      </w:r>
      <w:r w:rsidRPr="004B6097">
        <w:rPr>
          <w:rFonts w:ascii="Franklin Gothic Book" w:hAnsi="Franklin Gothic Book" w:cs="Segoe UI"/>
        </w:rPr>
        <w:t xml:space="preserve">particularly when advocating for a $7.9 million operational budget override approved by voters in </w:t>
      </w:r>
      <w:r w:rsidRPr="00577F89">
        <w:t xml:space="preserve">spring 2023 to support several </w:t>
      </w:r>
      <w:r w:rsidR="00383668">
        <w:t>t</w:t>
      </w:r>
      <w:r w:rsidRPr="00577F89">
        <w:t xml:space="preserve">own departments and ensure </w:t>
      </w:r>
      <w:r w:rsidR="00383668">
        <w:t xml:space="preserve">the </w:t>
      </w:r>
      <w:r w:rsidR="00F82F4F">
        <w:t xml:space="preserve">preservation </w:t>
      </w:r>
      <w:r w:rsidR="00383668">
        <w:t xml:space="preserve">of </w:t>
      </w:r>
      <w:r w:rsidRPr="00577F89">
        <w:t>additional positions created during the pandemic.</w:t>
      </w:r>
    </w:p>
    <w:p w14:paraId="25C6090A" w14:textId="1361E4C6" w:rsidR="00ED4EB1" w:rsidRPr="00FC0CEC" w:rsidRDefault="00383668" w:rsidP="00A12C58">
      <w:pPr>
        <w:pStyle w:val="BodyText"/>
        <w:rPr>
          <w:rFonts w:ascii="Franklin Gothic Book" w:hAnsi="Franklin Gothic Book" w:cs="Segoe UI"/>
        </w:rPr>
      </w:pPr>
      <w:r>
        <w:t>Although</w:t>
      </w:r>
      <w:r w:rsidRPr="00577F89">
        <w:t xml:space="preserve"> </w:t>
      </w:r>
      <w:r w:rsidR="00ED4EB1" w:rsidRPr="00577F89">
        <w:t>school committee members acknowledged the importance of this successful override in demonstrating the public’s support for the district, they also articulated the challenges stemming</w:t>
      </w:r>
      <w:r w:rsidR="00ED4EB1" w:rsidRPr="00781977">
        <w:rPr>
          <w:rFonts w:ascii="Franklin Gothic Book" w:hAnsi="Franklin Gothic Book" w:cs="Segoe UI"/>
        </w:rPr>
        <w:t xml:space="preserve"> from increased public visibility.</w:t>
      </w:r>
      <w:r w:rsidR="00ED4EB1">
        <w:rPr>
          <w:rFonts w:ascii="Franklin Gothic Book" w:hAnsi="Franklin Gothic Book" w:cs="Segoe UI"/>
        </w:rPr>
        <w:t xml:space="preserve"> </w:t>
      </w:r>
      <w:r w:rsidR="000A4FFC">
        <w:rPr>
          <w:rFonts w:ascii="Franklin Gothic Book" w:hAnsi="Franklin Gothic Book" w:cs="Segoe UI"/>
        </w:rPr>
        <w:t>For example,</w:t>
      </w:r>
      <w:r w:rsidR="00ED4EB1">
        <w:rPr>
          <w:rFonts w:ascii="Franklin Gothic Book" w:hAnsi="Franklin Gothic Book" w:cs="Segoe UI"/>
        </w:rPr>
        <w:t xml:space="preserve"> </w:t>
      </w:r>
      <w:r w:rsidR="00FE5562">
        <w:rPr>
          <w:rFonts w:ascii="Franklin Gothic Book" w:hAnsi="Franklin Gothic Book" w:cs="Segoe UI"/>
        </w:rPr>
        <w:t xml:space="preserve">committee members described </w:t>
      </w:r>
      <w:r w:rsidR="00ED4EB1">
        <w:rPr>
          <w:rFonts w:ascii="Franklin Gothic Book" w:hAnsi="Franklin Gothic Book" w:cs="Segoe UI"/>
        </w:rPr>
        <w:t xml:space="preserve">a more hands-on role within the district </w:t>
      </w:r>
      <w:r>
        <w:rPr>
          <w:rFonts w:ascii="Franklin Gothic Book" w:hAnsi="Franklin Gothic Book" w:cs="Segoe UI"/>
        </w:rPr>
        <w:t>given</w:t>
      </w:r>
      <w:r w:rsidR="00ED4EB1">
        <w:rPr>
          <w:rFonts w:ascii="Franklin Gothic Book" w:hAnsi="Franklin Gothic Book" w:cs="Segoe UI"/>
        </w:rPr>
        <w:t xml:space="preserve"> the sudden turnover in the </w:t>
      </w:r>
      <w:r>
        <w:rPr>
          <w:rFonts w:ascii="Franklin Gothic Book" w:hAnsi="Franklin Gothic Book" w:cs="Segoe UI"/>
        </w:rPr>
        <w:t>s</w:t>
      </w:r>
      <w:r w:rsidR="00ED4EB1">
        <w:rPr>
          <w:rFonts w:ascii="Franklin Gothic Book" w:hAnsi="Franklin Gothic Book" w:cs="Segoe UI"/>
        </w:rPr>
        <w:t xml:space="preserve">uperintendent role in 2021-2022 and the onset of the pandemic. </w:t>
      </w:r>
      <w:r>
        <w:t>With</w:t>
      </w:r>
      <w:r w:rsidR="00ED4EB1" w:rsidRPr="00593A82">
        <w:t xml:space="preserve"> their visibility and increased involvement in district affairs, school committee members described often receiving </w:t>
      </w:r>
      <w:r w:rsidR="00ED4EB1" w:rsidRPr="00FC0CEC">
        <w:rPr>
          <w:rFonts w:ascii="Franklin Gothic Book" w:hAnsi="Franklin Gothic Book" w:cs="Segoe UI"/>
        </w:rPr>
        <w:t xml:space="preserve">outreach by parents regarding matters that fall under the district’s role. </w:t>
      </w:r>
      <w:r w:rsidR="00ED4EB1" w:rsidRPr="00593A82">
        <w:rPr>
          <w:rFonts w:ascii="Franklin Gothic Book" w:hAnsi="Franklin Gothic Book" w:cs="Segoe UI"/>
        </w:rPr>
        <w:t>As one school committee member explained,</w:t>
      </w:r>
    </w:p>
    <w:p w14:paraId="39559149" w14:textId="2A2F664E" w:rsidR="00ED4EB1" w:rsidRPr="00593A82" w:rsidRDefault="00ED4EB1" w:rsidP="00F17541">
      <w:pPr>
        <w:pStyle w:val="BlockQuote"/>
      </w:pPr>
      <w:r w:rsidRPr="00FC0CEC">
        <w:lastRenderedPageBreak/>
        <w:t>The public saw us doing more things during COVID</w:t>
      </w:r>
      <w:r w:rsidR="00383668">
        <w:t xml:space="preserve"> . . .</w:t>
      </w:r>
      <w:r w:rsidRPr="00FC0CEC">
        <w:t xml:space="preserve"> and that</w:t>
      </w:r>
      <w:r w:rsidR="00B46CA4">
        <w:t>’</w:t>
      </w:r>
      <w:r w:rsidRPr="00FC0CEC">
        <w:t>s when they were really engaged.</w:t>
      </w:r>
      <w:r>
        <w:rPr>
          <w:rFonts w:ascii="Franklin Gothic Book" w:hAnsi="Franklin Gothic Book" w:cs="Segoe UI"/>
        </w:rPr>
        <w:t xml:space="preserve"> So, I think they got a little confused. Once things settled down, and they were still reaching out to us</w:t>
      </w:r>
      <w:r w:rsidR="00331B5B">
        <w:rPr>
          <w:rFonts w:ascii="Franklin Gothic Book" w:hAnsi="Franklin Gothic Book" w:cs="Segoe UI"/>
        </w:rPr>
        <w:t>,</w:t>
      </w:r>
      <w:r>
        <w:rPr>
          <w:rFonts w:ascii="Franklin Gothic Book" w:hAnsi="Franklin Gothic Book" w:cs="Segoe UI"/>
        </w:rPr>
        <w:t xml:space="preserve"> like, </w:t>
      </w:r>
      <w:r w:rsidR="00DE5DB4">
        <w:rPr>
          <w:rFonts w:ascii="Franklin Gothic Book" w:hAnsi="Franklin Gothic Book" w:cs="Segoe UI"/>
        </w:rPr>
        <w:t>“</w:t>
      </w:r>
      <w:r>
        <w:rPr>
          <w:rFonts w:ascii="Franklin Gothic Book" w:hAnsi="Franklin Gothic Book" w:cs="Segoe UI"/>
        </w:rPr>
        <w:t>Why can</w:t>
      </w:r>
      <w:r w:rsidR="00B46CA4">
        <w:rPr>
          <w:rFonts w:ascii="Franklin Gothic Book" w:hAnsi="Franklin Gothic Book" w:cs="Segoe UI"/>
        </w:rPr>
        <w:t>’</w:t>
      </w:r>
      <w:r>
        <w:rPr>
          <w:rFonts w:ascii="Franklin Gothic Book" w:hAnsi="Franklin Gothic Book" w:cs="Segoe UI"/>
        </w:rPr>
        <w:t xml:space="preserve">t you work </w:t>
      </w:r>
      <w:r w:rsidR="000F142B">
        <w:rPr>
          <w:rFonts w:ascii="Franklin Gothic Book" w:hAnsi="Franklin Gothic Book" w:cs="Segoe UI"/>
        </w:rPr>
        <w:t xml:space="preserve">on </w:t>
      </w:r>
      <w:r>
        <w:rPr>
          <w:rFonts w:ascii="Franklin Gothic Book" w:hAnsi="Franklin Gothic Book" w:cs="Segoe UI"/>
        </w:rPr>
        <w:t xml:space="preserve">this? Can you advocate for this </w:t>
      </w:r>
      <w:r w:rsidR="00C20B90">
        <w:rPr>
          <w:rFonts w:ascii="Franklin Gothic Book" w:hAnsi="Franklin Gothic Book" w:cs="Segoe UI"/>
        </w:rPr>
        <w:t>particular child</w:t>
      </w:r>
      <w:r>
        <w:rPr>
          <w:rFonts w:ascii="Franklin Gothic Book" w:hAnsi="Franklin Gothic Book" w:cs="Segoe UI"/>
        </w:rPr>
        <w:t>?</w:t>
      </w:r>
      <w:r w:rsidR="00DE5DB4">
        <w:rPr>
          <w:rFonts w:ascii="Franklin Gothic Book" w:hAnsi="Franklin Gothic Book" w:cs="Segoe UI"/>
        </w:rPr>
        <w:t>”</w:t>
      </w:r>
      <w:r>
        <w:rPr>
          <w:rFonts w:ascii="Franklin Gothic Book" w:hAnsi="Franklin Gothic Book" w:cs="Segoe UI"/>
        </w:rPr>
        <w:t xml:space="preserve"> And it</w:t>
      </w:r>
      <w:r w:rsidR="00B46CA4">
        <w:rPr>
          <w:rFonts w:ascii="Franklin Gothic Book" w:hAnsi="Franklin Gothic Book" w:cs="Segoe UI"/>
        </w:rPr>
        <w:t>’</w:t>
      </w:r>
      <w:r>
        <w:rPr>
          <w:rFonts w:ascii="Franklin Gothic Book" w:hAnsi="Franklin Gothic Book" w:cs="Segoe UI"/>
        </w:rPr>
        <w:t>s kind of reminding them that those really aren</w:t>
      </w:r>
      <w:r w:rsidR="00B46CA4">
        <w:rPr>
          <w:rFonts w:ascii="Franklin Gothic Book" w:hAnsi="Franklin Gothic Book" w:cs="Segoe UI"/>
        </w:rPr>
        <w:t>’</w:t>
      </w:r>
      <w:r>
        <w:rPr>
          <w:rFonts w:ascii="Franklin Gothic Book" w:hAnsi="Franklin Gothic Book" w:cs="Segoe UI"/>
        </w:rPr>
        <w:t>t our roles.</w:t>
      </w:r>
    </w:p>
    <w:p w14:paraId="22B37064" w14:textId="70509F92" w:rsidR="00ED4EB1" w:rsidRPr="002B227D" w:rsidRDefault="00A667F5" w:rsidP="00A12C58">
      <w:pPr>
        <w:pStyle w:val="BodyText"/>
        <w:rPr>
          <w:szCs w:val="24"/>
        </w:rPr>
      </w:pPr>
      <w:r>
        <w:t>T</w:t>
      </w:r>
      <w:r w:rsidR="003F3514" w:rsidRPr="003F3514">
        <w:t xml:space="preserve">his type of parent outreach </w:t>
      </w:r>
      <w:r w:rsidR="00383668">
        <w:t xml:space="preserve">also </w:t>
      </w:r>
      <w:r w:rsidR="003F3514" w:rsidRPr="003F3514">
        <w:t>was discussed and confirmed during parent focus groups.</w:t>
      </w:r>
      <w:r w:rsidR="003F3514">
        <w:rPr>
          <w:rFonts w:ascii="Helvetica Neue" w:eastAsia="Times New Roman" w:hAnsi="Helvetica Neue" w:cs="Helvetica Neue"/>
          <w:color w:val="000000"/>
          <w:sz w:val="26"/>
          <w:szCs w:val="26"/>
        </w:rPr>
        <w:t xml:space="preserve"> </w:t>
      </w:r>
      <w:r w:rsidR="00ED4EB1" w:rsidRPr="00593A82">
        <w:t>Clarifying the roles and responsibilities of the school committee</w:t>
      </w:r>
      <w:r w:rsidR="00E1665A">
        <w:t xml:space="preserve"> for the </w:t>
      </w:r>
      <w:r w:rsidR="00C44FC6">
        <w:t>community,</w:t>
      </w:r>
      <w:r w:rsidR="00C44FC6" w:rsidRPr="00593A82">
        <w:t xml:space="preserve"> fostering</w:t>
      </w:r>
      <w:r w:rsidR="00ED4EB1" w:rsidRPr="00593A82">
        <w:t xml:space="preserve"> awareness of these delineated roles</w:t>
      </w:r>
      <w:r w:rsidR="00305359">
        <w:t>, and ensuring district responsiveness to community and family concerns</w:t>
      </w:r>
      <w:r w:rsidR="00ED4EB1" w:rsidRPr="00593A82">
        <w:t xml:space="preserve"> represents an area</w:t>
      </w:r>
      <w:r w:rsidR="00ED4EB1">
        <w:rPr>
          <w:rFonts w:ascii="Franklin Gothic Book" w:hAnsi="Franklin Gothic Book" w:cs="Segoe UI"/>
        </w:rPr>
        <w:t xml:space="preserve"> of growth for the district.</w:t>
      </w:r>
      <w:r w:rsidR="00ED4EB1">
        <w:rPr>
          <w:rStyle w:val="eop"/>
          <w:rFonts w:ascii="Franklin Gothic Book" w:hAnsi="Franklin Gothic Book" w:cs="Segoe UI"/>
        </w:rPr>
        <w:t> </w:t>
      </w:r>
    </w:p>
    <w:p w14:paraId="58EB821F" w14:textId="0542E935" w:rsidR="00ED4EB1" w:rsidRDefault="00ED4EB1" w:rsidP="00A12C58">
      <w:pPr>
        <w:pStyle w:val="BodyText"/>
        <w:rPr>
          <w:rFonts w:ascii="Franklin Gothic Book" w:hAnsi="Franklin Gothic Book" w:cs="Segoe UI"/>
        </w:rPr>
      </w:pPr>
      <w:r w:rsidRPr="00621C53">
        <w:rPr>
          <w:szCs w:val="24"/>
        </w:rPr>
        <w:t xml:space="preserve">According to district documents and accounts from school leaders and school committee members, the </w:t>
      </w:r>
      <w:r w:rsidR="00383668">
        <w:rPr>
          <w:szCs w:val="24"/>
        </w:rPr>
        <w:t>s</w:t>
      </w:r>
      <w:r w:rsidRPr="00621C53">
        <w:rPr>
          <w:szCs w:val="24"/>
        </w:rPr>
        <w:t xml:space="preserve">chool </w:t>
      </w:r>
      <w:r w:rsidR="00383668">
        <w:rPr>
          <w:szCs w:val="24"/>
        </w:rPr>
        <w:t>c</w:t>
      </w:r>
      <w:r w:rsidRPr="00621C53">
        <w:rPr>
          <w:szCs w:val="24"/>
        </w:rPr>
        <w:t>ommittee evaluates the superintendent using the process outlined by DESE. Through this process, the superintendent sets goals</w:t>
      </w:r>
      <w:r w:rsidR="00176AAD">
        <w:rPr>
          <w:szCs w:val="24"/>
        </w:rPr>
        <w:t xml:space="preserve"> aligned </w:t>
      </w:r>
      <w:r w:rsidR="00F404C5">
        <w:rPr>
          <w:szCs w:val="24"/>
        </w:rPr>
        <w:t xml:space="preserve">with </w:t>
      </w:r>
      <w:r w:rsidR="00176AAD">
        <w:rPr>
          <w:szCs w:val="24"/>
        </w:rPr>
        <w:t>the DESE superintendent rubric</w:t>
      </w:r>
      <w:r w:rsidRPr="00621C53">
        <w:rPr>
          <w:szCs w:val="24"/>
        </w:rPr>
        <w:t>, collects supporting</w:t>
      </w:r>
      <w:r>
        <w:rPr>
          <w:rFonts w:ascii="Franklin Gothic Book" w:hAnsi="Franklin Gothic Book" w:cs="Segoe UI"/>
        </w:rPr>
        <w:t xml:space="preserve"> artifacts at designated points throughout the evaluation cycle, and presents data to each committee member for review, culminating in a final report that the school committee shares with the community.</w:t>
      </w:r>
      <w:r w:rsidR="00EE4906" w:rsidRPr="00EE4906">
        <w:rPr>
          <w:szCs w:val="24"/>
        </w:rPr>
        <w:t xml:space="preserve"> </w:t>
      </w:r>
      <w:r w:rsidR="00847A06">
        <w:rPr>
          <w:szCs w:val="24"/>
        </w:rPr>
        <w:t xml:space="preserve">Reviewed </w:t>
      </w:r>
      <w:r w:rsidR="00EE4906">
        <w:rPr>
          <w:szCs w:val="24"/>
        </w:rPr>
        <w:t>documen</w:t>
      </w:r>
      <w:r w:rsidR="00847A06">
        <w:rPr>
          <w:szCs w:val="24"/>
        </w:rPr>
        <w:t xml:space="preserve">ts </w:t>
      </w:r>
      <w:r w:rsidR="004321FB">
        <w:rPr>
          <w:szCs w:val="24"/>
        </w:rPr>
        <w:t>confirmed that</w:t>
      </w:r>
      <w:r w:rsidR="00EE4906">
        <w:rPr>
          <w:szCs w:val="24"/>
        </w:rPr>
        <w:t xml:space="preserve"> the superintendent was evaluated in June 2023.</w:t>
      </w:r>
    </w:p>
    <w:p w14:paraId="5DEBB846" w14:textId="0D05EB6D" w:rsidR="00ED4EB1" w:rsidRDefault="00ED4EB1" w:rsidP="00F17541">
      <w:pPr>
        <w:pStyle w:val="BodyText"/>
        <w:rPr>
          <w:rFonts w:ascii="Franklin Gothic Book" w:hAnsi="Franklin Gothic Book" w:cs="Segoe UI"/>
        </w:rPr>
      </w:pPr>
      <w:r>
        <w:rPr>
          <w:rFonts w:ascii="Franklin Gothic Book" w:hAnsi="Franklin Gothic Book" w:cs="Segoe UI"/>
        </w:rPr>
        <w:t xml:space="preserve">Regarding creating a culture of collaboration, school committee members, town officials, and the superintendent described </w:t>
      </w:r>
      <w:r w:rsidR="00383668">
        <w:rPr>
          <w:rFonts w:ascii="Franklin Gothic Book" w:hAnsi="Franklin Gothic Book" w:cs="Segoe UI"/>
        </w:rPr>
        <w:t xml:space="preserve">having </w:t>
      </w:r>
      <w:r>
        <w:rPr>
          <w:rFonts w:ascii="Franklin Gothic Book" w:hAnsi="Franklin Gothic Book" w:cs="Segoe UI"/>
        </w:rPr>
        <w:t xml:space="preserve">a strong and collaborative relationship, wherein all parties </w:t>
      </w:r>
      <w:r w:rsidR="00331B5B">
        <w:rPr>
          <w:rFonts w:ascii="Franklin Gothic Book" w:hAnsi="Franklin Gothic Book" w:cs="Segoe UI"/>
        </w:rPr>
        <w:t xml:space="preserve">receive </w:t>
      </w:r>
      <w:r>
        <w:rPr>
          <w:rFonts w:ascii="Franklin Gothic Book" w:hAnsi="Franklin Gothic Book" w:cs="Segoe UI"/>
        </w:rPr>
        <w:t>regular update</w:t>
      </w:r>
      <w:r w:rsidR="00331B5B">
        <w:rPr>
          <w:rFonts w:ascii="Franklin Gothic Book" w:hAnsi="Franklin Gothic Book" w:cs="Segoe UI"/>
        </w:rPr>
        <w:t>s</w:t>
      </w:r>
      <w:r w:rsidR="009F05F5">
        <w:rPr>
          <w:rFonts w:ascii="Franklin Gothic Book" w:hAnsi="Franklin Gothic Book" w:cs="Segoe UI"/>
        </w:rPr>
        <w:t xml:space="preserve"> (</w:t>
      </w:r>
      <w:r w:rsidR="009F05F5" w:rsidRPr="009F05F5">
        <w:rPr>
          <w:rFonts w:ascii="Franklin Gothic Book" w:hAnsi="Franklin Gothic Book" w:cs="Segoe UI"/>
        </w:rPr>
        <w:t>see district and school leadership for more information)</w:t>
      </w:r>
      <w:r>
        <w:rPr>
          <w:rFonts w:ascii="Franklin Gothic Book" w:hAnsi="Franklin Gothic Book" w:cs="Segoe UI"/>
        </w:rPr>
        <w:t>. As demonstrated by school committee meeting minutes, the superintendent presents an update at every meeting and provides more formalized reports on a quarterly basis that summarize district activities, budget spending, and updates to the district improvement plan. School committee members and town officials further attested to the extent to which school committee members regularly receive and review data (e.g.</w:t>
      </w:r>
      <w:r w:rsidR="00383668">
        <w:rPr>
          <w:rFonts w:ascii="Franklin Gothic Book" w:hAnsi="Franklin Gothic Book" w:cs="Segoe UI"/>
        </w:rPr>
        <w:t>,</w:t>
      </w:r>
      <w:r>
        <w:rPr>
          <w:rFonts w:ascii="Franklin Gothic Book" w:hAnsi="Franklin Gothic Book" w:cs="Segoe UI"/>
        </w:rPr>
        <w:t xml:space="preserve"> enrollment numbers, MCAS data, DESE accountability data to drive budget priorities and decision</w:t>
      </w:r>
      <w:r w:rsidR="00383668">
        <w:rPr>
          <w:rFonts w:ascii="Franklin Gothic Book" w:hAnsi="Franklin Gothic Book" w:cs="Segoe UI"/>
        </w:rPr>
        <w:t xml:space="preserve"> </w:t>
      </w:r>
      <w:r>
        <w:rPr>
          <w:rFonts w:ascii="Franklin Gothic Book" w:hAnsi="Franklin Gothic Book" w:cs="Segoe UI"/>
        </w:rPr>
        <w:t>making</w:t>
      </w:r>
      <w:r w:rsidR="00180B92">
        <w:rPr>
          <w:rFonts w:ascii="Franklin Gothic Book" w:hAnsi="Franklin Gothic Book" w:cs="Segoe UI"/>
        </w:rPr>
        <w:t>)</w:t>
      </w:r>
      <w:r w:rsidR="00383668">
        <w:rPr>
          <w:rFonts w:ascii="Franklin Gothic Book" w:hAnsi="Franklin Gothic Book" w:cs="Segoe UI"/>
        </w:rPr>
        <w:t>.</w:t>
      </w:r>
    </w:p>
    <w:p w14:paraId="37094D8A" w14:textId="72F944C8" w:rsidR="00ED4EB1" w:rsidRPr="001C6BCB" w:rsidRDefault="00ED4EB1" w:rsidP="00F17541">
      <w:pPr>
        <w:pStyle w:val="BodyText"/>
        <w:rPr>
          <w:rFonts w:ascii="Franklin Gothic Book" w:hAnsi="Franklin Gothic Book" w:cs="Segoe UI"/>
        </w:rPr>
      </w:pPr>
      <w:r w:rsidRPr="00C92C93">
        <w:rPr>
          <w:rFonts w:ascii="Franklin Gothic Book" w:hAnsi="Franklin Gothic Book" w:cs="Segoe UI"/>
        </w:rPr>
        <w:t xml:space="preserve">One strength </w:t>
      </w:r>
      <w:r w:rsidR="00523251">
        <w:rPr>
          <w:rFonts w:ascii="Franklin Gothic Book" w:hAnsi="Franklin Gothic Book" w:cs="Segoe UI"/>
        </w:rPr>
        <w:t>of</w:t>
      </w:r>
      <w:r w:rsidR="00523251" w:rsidRPr="00C92C93">
        <w:rPr>
          <w:rFonts w:ascii="Franklin Gothic Book" w:hAnsi="Franklin Gothic Book" w:cs="Segoe UI"/>
        </w:rPr>
        <w:t xml:space="preserve"> </w:t>
      </w:r>
      <w:r w:rsidRPr="00C92C93">
        <w:rPr>
          <w:rFonts w:ascii="Franklin Gothic Book" w:hAnsi="Franklin Gothic Book" w:cs="Segoe UI"/>
        </w:rPr>
        <w:t xml:space="preserve">the district is the school committee’s </w:t>
      </w:r>
      <w:r>
        <w:rPr>
          <w:rFonts w:ascii="Franklin Gothic Book" w:hAnsi="Franklin Gothic Book" w:cs="Segoe UI"/>
        </w:rPr>
        <w:t>commitment</w:t>
      </w:r>
      <w:r w:rsidRPr="00C92C93">
        <w:rPr>
          <w:rFonts w:ascii="Franklin Gothic Book" w:hAnsi="Franklin Gothic Book" w:cs="Segoe UI"/>
        </w:rPr>
        <w:t xml:space="preserve"> to </w:t>
      </w:r>
      <w:r w:rsidR="00383668">
        <w:rPr>
          <w:rFonts w:ascii="Franklin Gothic Book" w:hAnsi="Franklin Gothic Book" w:cs="Segoe UI"/>
        </w:rPr>
        <w:t xml:space="preserve">regularly </w:t>
      </w:r>
      <w:r w:rsidRPr="00C92C93">
        <w:rPr>
          <w:rFonts w:ascii="Franklin Gothic Book" w:hAnsi="Franklin Gothic Book" w:cs="Segoe UI"/>
        </w:rPr>
        <w:t xml:space="preserve">engaging various stakeholders. The school committee ensures </w:t>
      </w:r>
      <w:r w:rsidR="00A97919">
        <w:rPr>
          <w:rFonts w:ascii="Franklin Gothic Book" w:hAnsi="Franklin Gothic Book" w:cs="Segoe UI"/>
        </w:rPr>
        <w:t xml:space="preserve">the availability of </w:t>
      </w:r>
      <w:r w:rsidRPr="00C92C93">
        <w:rPr>
          <w:rFonts w:ascii="Franklin Gothic Book" w:hAnsi="Franklin Gothic Book" w:cs="Segoe UI"/>
        </w:rPr>
        <w:t>not only meeting agendas and minutes but also all referenced documents and recaps of meetings that include time stamps for easy access. The school committee allocates a dedicat</w:t>
      </w:r>
      <w:r>
        <w:rPr>
          <w:rFonts w:ascii="Franklin Gothic Book" w:hAnsi="Franklin Gothic Book" w:cs="Segoe UI"/>
        </w:rPr>
        <w:t>ed</w:t>
      </w:r>
      <w:r w:rsidRPr="00C92C93">
        <w:rPr>
          <w:rFonts w:ascii="Franklin Gothic Book" w:hAnsi="Franklin Gothic Book" w:cs="Segoe UI"/>
        </w:rPr>
        <w:t xml:space="preserve"> fifteen-minute window at the beginning of every meeting for addressing comments or questions not already on the agenda. Likewise, as evidenced by committee meeting minutes as well </w:t>
      </w:r>
      <w:r w:rsidR="00A97919">
        <w:rPr>
          <w:rFonts w:ascii="Franklin Gothic Book" w:hAnsi="Franklin Gothic Book" w:cs="Segoe UI"/>
        </w:rPr>
        <w:t xml:space="preserve">as </w:t>
      </w:r>
      <w:r w:rsidRPr="00C92C93">
        <w:rPr>
          <w:rFonts w:ascii="Franklin Gothic Book" w:hAnsi="Franklin Gothic Book" w:cs="Segoe UI"/>
        </w:rPr>
        <w:t xml:space="preserve">accounts from </w:t>
      </w:r>
      <w:r w:rsidR="00A97919">
        <w:rPr>
          <w:rFonts w:ascii="Franklin Gothic Book" w:hAnsi="Franklin Gothic Book" w:cs="Segoe UI"/>
        </w:rPr>
        <w:t xml:space="preserve">the </w:t>
      </w:r>
      <w:r w:rsidRPr="00C92C93">
        <w:rPr>
          <w:rFonts w:ascii="Franklin Gothic Book" w:hAnsi="Franklin Gothic Book" w:cs="Segoe UI"/>
        </w:rPr>
        <w:t>school committee and student</w:t>
      </w:r>
      <w:r w:rsidR="00B46CA4">
        <w:rPr>
          <w:rFonts w:ascii="Franklin Gothic Book" w:hAnsi="Franklin Gothic Book" w:cs="Segoe UI"/>
        </w:rPr>
        <w:t>s</w:t>
      </w:r>
      <w:r w:rsidRPr="00C92C93">
        <w:rPr>
          <w:rFonts w:ascii="Franklin Gothic Book" w:hAnsi="Franklin Gothic Book" w:cs="Segoe UI"/>
        </w:rPr>
        <w:t xml:space="preserve">, the school committee has two student representatives </w:t>
      </w:r>
      <w:r w:rsidR="00A97919">
        <w:rPr>
          <w:rFonts w:ascii="Franklin Gothic Book" w:hAnsi="Franklin Gothic Book" w:cs="Segoe UI"/>
        </w:rPr>
        <w:t>who</w:t>
      </w:r>
      <w:r w:rsidR="00A97919" w:rsidRPr="00C92C93">
        <w:rPr>
          <w:rFonts w:ascii="Franklin Gothic Book" w:hAnsi="Franklin Gothic Book" w:cs="Segoe UI"/>
        </w:rPr>
        <w:t xml:space="preserve"> </w:t>
      </w:r>
      <w:r w:rsidRPr="00C92C93">
        <w:rPr>
          <w:rFonts w:ascii="Franklin Gothic Book" w:hAnsi="Franklin Gothic Book" w:cs="Segoe UI"/>
        </w:rPr>
        <w:t>regularly share announcements and provide input on policies and decision making, as appropriate.</w:t>
      </w:r>
      <w:r>
        <w:rPr>
          <w:rStyle w:val="eop"/>
          <w:rFonts w:ascii="Franklin Gothic Book" w:hAnsi="Franklin Gothic Book" w:cs="Segoe UI"/>
        </w:rPr>
        <w:t> </w:t>
      </w:r>
    </w:p>
    <w:p w14:paraId="7AF0877D" w14:textId="79A67AA7" w:rsidR="00ED4EB1" w:rsidRPr="00B46B7C" w:rsidRDefault="00486B76" w:rsidP="00F17541">
      <w:pPr>
        <w:pStyle w:val="BodyText"/>
        <w:rPr>
          <w:rFonts w:ascii="Segoe UI" w:hAnsi="Segoe UI"/>
          <w:sz w:val="18"/>
          <w:szCs w:val="18"/>
        </w:rPr>
      </w:pPr>
      <w:r>
        <w:rPr>
          <w:rFonts w:ascii="Franklin Gothic Book" w:hAnsi="Franklin Gothic Book" w:cs="Segoe UI"/>
        </w:rPr>
        <w:t>I</w:t>
      </w:r>
      <w:r w:rsidRPr="00486B76">
        <w:rPr>
          <w:rFonts w:ascii="Franklin Gothic Book" w:hAnsi="Franklin Gothic Book" w:cs="Segoe UI"/>
        </w:rPr>
        <w:t>n focus groups, some teachers felt unheard by</w:t>
      </w:r>
      <w:r>
        <w:rPr>
          <w:rFonts w:ascii="Franklin Gothic Book" w:hAnsi="Franklin Gothic Book" w:cs="Segoe UI"/>
        </w:rPr>
        <w:t xml:space="preserve"> the</w:t>
      </w:r>
      <w:r w:rsidRPr="00486B76">
        <w:rPr>
          <w:rFonts w:ascii="Franklin Gothic Book" w:hAnsi="Franklin Gothic Book" w:cs="Segoe UI"/>
        </w:rPr>
        <w:t xml:space="preserve"> school committee throughout contract</w:t>
      </w:r>
      <w:r w:rsidR="001F6088">
        <w:rPr>
          <w:rFonts w:ascii="Franklin Gothic Book" w:hAnsi="Franklin Gothic Book" w:cs="Segoe UI"/>
        </w:rPr>
        <w:t xml:space="preserve"> negotiations</w:t>
      </w:r>
      <w:r w:rsidR="00ED4EB1">
        <w:rPr>
          <w:rFonts w:ascii="Franklin Gothic Book" w:hAnsi="Franklin Gothic Book" w:cs="Segoe UI"/>
        </w:rPr>
        <w:t>. At the time of the district review, Hingham teachers did not have a current contract, and the negotiation process between the district and the teachers’ union had stalled. Interviews with district leaders, school committee members, and members of the teachers’ association characterized the collective bargaining negotiations as an ongoing challenge. </w:t>
      </w:r>
      <w:r w:rsidR="001F2B49">
        <w:rPr>
          <w:rStyle w:val="eop"/>
          <w:rFonts w:ascii="Franklin Gothic Book" w:hAnsi="Franklin Gothic Book" w:cs="Segoe UI"/>
        </w:rPr>
        <w:t>S</w:t>
      </w:r>
      <w:r w:rsidR="00ED4EB1">
        <w:rPr>
          <w:rStyle w:val="eop"/>
          <w:rFonts w:ascii="Franklin Gothic Book" w:hAnsi="Franklin Gothic Book" w:cs="Segoe UI"/>
        </w:rPr>
        <w:t xml:space="preserve">chool committee </w:t>
      </w:r>
      <w:r w:rsidR="001F2B49">
        <w:rPr>
          <w:rStyle w:val="eop"/>
          <w:rFonts w:ascii="Franklin Gothic Book" w:hAnsi="Franklin Gothic Book" w:cs="Segoe UI"/>
        </w:rPr>
        <w:t xml:space="preserve">members emphasized a commitment to </w:t>
      </w:r>
      <w:r w:rsidR="00ED4EB1">
        <w:rPr>
          <w:rStyle w:val="eop"/>
          <w:rFonts w:ascii="Franklin Gothic Book" w:hAnsi="Franklin Gothic Book" w:cs="Segoe UI"/>
        </w:rPr>
        <w:t xml:space="preserve">addressing the concerns of the </w:t>
      </w:r>
      <w:r w:rsidR="00B55B05">
        <w:rPr>
          <w:rStyle w:val="eop"/>
          <w:rFonts w:ascii="Franklin Gothic Book" w:hAnsi="Franklin Gothic Book" w:cs="Segoe UI"/>
        </w:rPr>
        <w:t>t</w:t>
      </w:r>
      <w:r w:rsidR="00ED4EB1">
        <w:rPr>
          <w:rStyle w:val="eop"/>
          <w:rFonts w:ascii="Franklin Gothic Book" w:hAnsi="Franklin Gothic Book" w:cs="Segoe UI"/>
        </w:rPr>
        <w:t>eachers</w:t>
      </w:r>
      <w:r w:rsidR="00B55B05">
        <w:rPr>
          <w:rStyle w:val="eop"/>
          <w:rFonts w:ascii="Franklin Gothic Book" w:hAnsi="Franklin Gothic Book" w:cs="Segoe UI"/>
        </w:rPr>
        <w:t>’</w:t>
      </w:r>
      <w:r w:rsidR="00ED4EB1">
        <w:rPr>
          <w:rStyle w:val="eop"/>
          <w:rFonts w:ascii="Franklin Gothic Book" w:hAnsi="Franklin Gothic Book" w:cs="Segoe UI"/>
        </w:rPr>
        <w:t xml:space="preserve"> </w:t>
      </w:r>
      <w:r w:rsidR="00B55B05">
        <w:rPr>
          <w:rStyle w:val="eop"/>
          <w:rFonts w:ascii="Franklin Gothic Book" w:hAnsi="Franklin Gothic Book" w:cs="Segoe UI"/>
        </w:rPr>
        <w:t>a</w:t>
      </w:r>
      <w:r w:rsidR="00ED4EB1">
        <w:rPr>
          <w:rStyle w:val="eop"/>
          <w:rFonts w:ascii="Franklin Gothic Book" w:hAnsi="Franklin Gothic Book" w:cs="Segoe UI"/>
        </w:rPr>
        <w:t xml:space="preserve">ssociation while still </w:t>
      </w:r>
      <w:r w:rsidR="000807CA">
        <w:rPr>
          <w:rStyle w:val="eop"/>
          <w:rFonts w:ascii="Franklin Gothic Book" w:hAnsi="Franklin Gothic Book" w:cs="Segoe UI"/>
        </w:rPr>
        <w:t>seeking input</w:t>
      </w:r>
      <w:r w:rsidR="00ED4EB1">
        <w:rPr>
          <w:rStyle w:val="eop"/>
          <w:rFonts w:ascii="Franklin Gothic Book" w:hAnsi="Franklin Gothic Book" w:cs="Segoe UI"/>
        </w:rPr>
        <w:t xml:space="preserve"> from both the superintendent and </w:t>
      </w:r>
      <w:r w:rsidR="00B55B05">
        <w:t>d</w:t>
      </w:r>
      <w:r w:rsidR="00ED4EB1" w:rsidRPr="0098179A">
        <w:t xml:space="preserve">irector of </w:t>
      </w:r>
      <w:r w:rsidR="00B55B05">
        <w:t>b</w:t>
      </w:r>
      <w:r w:rsidR="00ED4EB1" w:rsidRPr="0098179A">
        <w:t xml:space="preserve">usiness </w:t>
      </w:r>
      <w:r w:rsidR="00B55B05">
        <w:t>and</w:t>
      </w:r>
      <w:r w:rsidR="00ED4EB1" w:rsidRPr="0098179A">
        <w:t xml:space="preserve"> </w:t>
      </w:r>
      <w:r w:rsidR="00B55B05">
        <w:t>s</w:t>
      </w:r>
      <w:r w:rsidR="00ED4EB1" w:rsidRPr="0098179A">
        <w:t xml:space="preserve">upport </w:t>
      </w:r>
      <w:r w:rsidR="00B55B05">
        <w:t>s</w:t>
      </w:r>
      <w:r w:rsidR="00ED4EB1" w:rsidRPr="0098179A">
        <w:t>ervices</w:t>
      </w:r>
      <w:r w:rsidR="00ED4EB1">
        <w:t xml:space="preserve"> on what is financially viable.</w:t>
      </w:r>
    </w:p>
    <w:p w14:paraId="788AB6E0" w14:textId="77777777" w:rsidR="00ED4EB1" w:rsidRDefault="00ED4EB1" w:rsidP="00ED4EB1">
      <w:pPr>
        <w:pStyle w:val="Heading3"/>
      </w:pPr>
      <w:bookmarkStart w:id="25" w:name="_District_and_School"/>
      <w:bookmarkEnd w:id="25"/>
      <w:r w:rsidRPr="00CB0607">
        <w:lastRenderedPageBreak/>
        <w:t>District and School Leadership</w:t>
      </w:r>
    </w:p>
    <w:p w14:paraId="7C96A1F0" w14:textId="05B7518D" w:rsidR="00ED4EB1" w:rsidRPr="003F1D16" w:rsidRDefault="00ED4EB1" w:rsidP="00F17541">
      <w:pPr>
        <w:pStyle w:val="BodyTextposthead"/>
        <w:rPr>
          <w:rFonts w:ascii="Franklin Gothic Book" w:hAnsi="Franklin Gothic Book" w:cs="Segoe UI"/>
          <w:szCs w:val="24"/>
        </w:rPr>
      </w:pPr>
      <w:r>
        <w:t xml:space="preserve">Several teams consisting of district-level administrators, curriculum directors, and school leaders regularly support the superintendent in monitoring initiatives and supporting teaching and learning. </w:t>
      </w:r>
      <w:r w:rsidRPr="003F1D16">
        <w:rPr>
          <w:rFonts w:ascii="Franklin Gothic Book" w:hAnsi="Franklin Gothic Book" w:cs="Segoe UI"/>
          <w:szCs w:val="24"/>
        </w:rPr>
        <w:t xml:space="preserve">This includes a core team of central office staff consisting of the </w:t>
      </w:r>
      <w:r w:rsidR="00B55B05">
        <w:rPr>
          <w:rFonts w:ascii="Franklin Gothic Book" w:hAnsi="Franklin Gothic Book" w:cs="Segoe UI"/>
          <w:szCs w:val="24"/>
        </w:rPr>
        <w:t>a</w:t>
      </w:r>
      <w:r w:rsidRPr="003F1D16">
        <w:rPr>
          <w:rFonts w:ascii="Franklin Gothic Book" w:hAnsi="Franklin Gothic Book" w:cs="Segoe UI"/>
          <w:szCs w:val="24"/>
        </w:rPr>
        <w:t xml:space="preserve">ssistant </w:t>
      </w:r>
      <w:r w:rsidR="00B55B05">
        <w:rPr>
          <w:rFonts w:ascii="Franklin Gothic Book" w:hAnsi="Franklin Gothic Book" w:cs="Segoe UI"/>
          <w:szCs w:val="24"/>
        </w:rPr>
        <w:t>s</w:t>
      </w:r>
      <w:r w:rsidRPr="003F1D16">
        <w:rPr>
          <w:rFonts w:ascii="Franklin Gothic Book" w:hAnsi="Franklin Gothic Book" w:cs="Segoe UI"/>
          <w:szCs w:val="24"/>
        </w:rPr>
        <w:t>uperintendent</w:t>
      </w:r>
      <w:r>
        <w:rPr>
          <w:rFonts w:ascii="Franklin Gothic Book" w:hAnsi="Franklin Gothic Book" w:cs="Segoe UI"/>
          <w:szCs w:val="24"/>
        </w:rPr>
        <w:t xml:space="preserve">, the </w:t>
      </w:r>
      <w:r w:rsidR="00B55B05">
        <w:rPr>
          <w:rFonts w:ascii="Franklin Gothic Book" w:hAnsi="Franklin Gothic Book" w:cs="Segoe UI"/>
          <w:szCs w:val="24"/>
        </w:rPr>
        <w:t>d</w:t>
      </w:r>
      <w:r>
        <w:rPr>
          <w:rFonts w:ascii="Franklin Gothic Book" w:hAnsi="Franklin Gothic Book" w:cs="Segoe UI"/>
          <w:szCs w:val="24"/>
        </w:rPr>
        <w:t xml:space="preserve">irector of </w:t>
      </w:r>
      <w:r w:rsidR="00B55B05">
        <w:rPr>
          <w:rFonts w:ascii="Franklin Gothic Book" w:hAnsi="Franklin Gothic Book" w:cs="Segoe UI"/>
          <w:szCs w:val="24"/>
        </w:rPr>
        <w:t>b</w:t>
      </w:r>
      <w:r>
        <w:rPr>
          <w:rFonts w:ascii="Franklin Gothic Book" w:hAnsi="Franklin Gothic Book" w:cs="Segoe UI"/>
          <w:szCs w:val="24"/>
        </w:rPr>
        <w:t xml:space="preserve">usiness </w:t>
      </w:r>
      <w:r w:rsidR="00B55B05">
        <w:rPr>
          <w:rFonts w:ascii="Franklin Gothic Book" w:hAnsi="Franklin Gothic Book" w:cs="Segoe UI"/>
          <w:szCs w:val="24"/>
        </w:rPr>
        <w:t>and</w:t>
      </w:r>
      <w:r>
        <w:rPr>
          <w:rFonts w:ascii="Franklin Gothic Book" w:hAnsi="Franklin Gothic Book" w:cs="Segoe UI"/>
          <w:szCs w:val="24"/>
        </w:rPr>
        <w:t xml:space="preserve"> </w:t>
      </w:r>
      <w:r w:rsidR="00B55B05">
        <w:rPr>
          <w:rFonts w:ascii="Franklin Gothic Book" w:hAnsi="Franklin Gothic Book" w:cs="Segoe UI"/>
          <w:szCs w:val="24"/>
        </w:rPr>
        <w:t>s</w:t>
      </w:r>
      <w:r>
        <w:rPr>
          <w:rFonts w:ascii="Franklin Gothic Book" w:hAnsi="Franklin Gothic Book" w:cs="Segoe UI"/>
          <w:szCs w:val="24"/>
        </w:rPr>
        <w:t xml:space="preserve">upport </w:t>
      </w:r>
      <w:r w:rsidR="00B55B05">
        <w:rPr>
          <w:rFonts w:ascii="Franklin Gothic Book" w:hAnsi="Franklin Gothic Book" w:cs="Segoe UI"/>
          <w:szCs w:val="24"/>
        </w:rPr>
        <w:t>s</w:t>
      </w:r>
      <w:r>
        <w:rPr>
          <w:rFonts w:ascii="Franklin Gothic Book" w:hAnsi="Franklin Gothic Book" w:cs="Segoe UI"/>
          <w:szCs w:val="24"/>
        </w:rPr>
        <w:t xml:space="preserve">ervices, the </w:t>
      </w:r>
      <w:r w:rsidR="00B55B05">
        <w:rPr>
          <w:rFonts w:ascii="Franklin Gothic Book" w:hAnsi="Franklin Gothic Book" w:cs="Segoe UI"/>
          <w:szCs w:val="24"/>
        </w:rPr>
        <w:t>d</w:t>
      </w:r>
      <w:r>
        <w:rPr>
          <w:rFonts w:ascii="Franklin Gothic Book" w:hAnsi="Franklin Gothic Book" w:cs="Segoe UI"/>
          <w:szCs w:val="24"/>
        </w:rPr>
        <w:t xml:space="preserve">irector of </w:t>
      </w:r>
      <w:r w:rsidR="00B55B05">
        <w:rPr>
          <w:rFonts w:ascii="Franklin Gothic Book" w:hAnsi="Franklin Gothic Book" w:cs="Segoe UI"/>
          <w:szCs w:val="24"/>
        </w:rPr>
        <w:t>s</w:t>
      </w:r>
      <w:r>
        <w:rPr>
          <w:rFonts w:ascii="Franklin Gothic Book" w:hAnsi="Franklin Gothic Book" w:cs="Segoe UI"/>
          <w:szCs w:val="24"/>
        </w:rPr>
        <w:t xml:space="preserve">tudent </w:t>
      </w:r>
      <w:r w:rsidR="00B55B05">
        <w:rPr>
          <w:rFonts w:ascii="Franklin Gothic Book" w:hAnsi="Franklin Gothic Book" w:cs="Segoe UI"/>
          <w:szCs w:val="24"/>
        </w:rPr>
        <w:t>s</w:t>
      </w:r>
      <w:r>
        <w:rPr>
          <w:rFonts w:ascii="Franklin Gothic Book" w:hAnsi="Franklin Gothic Book" w:cs="Segoe UI"/>
          <w:szCs w:val="24"/>
        </w:rPr>
        <w:t xml:space="preserve">ervices, and </w:t>
      </w:r>
      <w:r w:rsidR="00B55B05">
        <w:rPr>
          <w:rFonts w:ascii="Franklin Gothic Book" w:hAnsi="Franklin Gothic Book" w:cs="Segoe UI"/>
          <w:szCs w:val="24"/>
        </w:rPr>
        <w:t>the a</w:t>
      </w:r>
      <w:r>
        <w:rPr>
          <w:rFonts w:ascii="Franklin Gothic Book" w:hAnsi="Franklin Gothic Book" w:cs="Segoe UI"/>
          <w:szCs w:val="24"/>
        </w:rPr>
        <w:t xml:space="preserve">ssistant </w:t>
      </w:r>
      <w:r w:rsidR="00B55B05">
        <w:rPr>
          <w:rFonts w:ascii="Franklin Gothic Book" w:hAnsi="Franklin Gothic Book" w:cs="Segoe UI"/>
          <w:szCs w:val="24"/>
        </w:rPr>
        <w:t>d</w:t>
      </w:r>
      <w:r>
        <w:rPr>
          <w:rFonts w:ascii="Franklin Gothic Book" w:hAnsi="Franklin Gothic Book" w:cs="Segoe UI"/>
          <w:szCs w:val="24"/>
        </w:rPr>
        <w:t xml:space="preserve">irector of </w:t>
      </w:r>
      <w:r w:rsidR="00B55B05">
        <w:rPr>
          <w:rFonts w:ascii="Franklin Gothic Book" w:hAnsi="Franklin Gothic Book" w:cs="Segoe UI"/>
          <w:szCs w:val="24"/>
        </w:rPr>
        <w:t>s</w:t>
      </w:r>
      <w:r>
        <w:rPr>
          <w:rFonts w:ascii="Franklin Gothic Book" w:hAnsi="Franklin Gothic Book" w:cs="Segoe UI"/>
          <w:szCs w:val="24"/>
        </w:rPr>
        <w:t xml:space="preserve">tudent </w:t>
      </w:r>
      <w:r w:rsidR="00B55B05">
        <w:rPr>
          <w:rFonts w:ascii="Franklin Gothic Book" w:hAnsi="Franklin Gothic Book" w:cs="Segoe UI"/>
          <w:szCs w:val="24"/>
        </w:rPr>
        <w:t>s</w:t>
      </w:r>
      <w:r>
        <w:rPr>
          <w:rFonts w:ascii="Franklin Gothic Book" w:hAnsi="Franklin Gothic Book" w:cs="Segoe UI"/>
          <w:szCs w:val="24"/>
        </w:rPr>
        <w:t>ervices</w:t>
      </w:r>
      <w:r w:rsidRPr="003F1D16">
        <w:rPr>
          <w:rFonts w:ascii="Franklin Gothic Book" w:hAnsi="Franklin Gothic Book" w:cs="Segoe UI"/>
          <w:szCs w:val="24"/>
        </w:rPr>
        <w:t xml:space="preserve"> </w:t>
      </w:r>
      <w:r w:rsidR="00B55B05">
        <w:rPr>
          <w:rFonts w:ascii="Franklin Gothic Book" w:hAnsi="Franklin Gothic Book" w:cs="Segoe UI"/>
          <w:szCs w:val="24"/>
        </w:rPr>
        <w:t>who</w:t>
      </w:r>
      <w:r w:rsidR="00B55B05" w:rsidRPr="003F1D16">
        <w:rPr>
          <w:rFonts w:ascii="Franklin Gothic Book" w:hAnsi="Franklin Gothic Book" w:cs="Segoe UI"/>
          <w:szCs w:val="24"/>
        </w:rPr>
        <w:t xml:space="preserve"> </w:t>
      </w:r>
      <w:r w:rsidRPr="003F1D16">
        <w:rPr>
          <w:rFonts w:ascii="Franklin Gothic Book" w:hAnsi="Franklin Gothic Book" w:cs="Segoe UI"/>
          <w:szCs w:val="24"/>
        </w:rPr>
        <w:t xml:space="preserve">convene </w:t>
      </w:r>
      <w:r w:rsidR="00B55B05">
        <w:rPr>
          <w:rFonts w:ascii="Franklin Gothic Book" w:hAnsi="Franklin Gothic Book" w:cs="Segoe UI"/>
          <w:szCs w:val="24"/>
        </w:rPr>
        <w:t>either</w:t>
      </w:r>
      <w:r w:rsidRPr="003F1D16">
        <w:rPr>
          <w:rFonts w:ascii="Franklin Gothic Book" w:hAnsi="Franklin Gothic Book" w:cs="Segoe UI"/>
          <w:szCs w:val="24"/>
        </w:rPr>
        <w:t xml:space="preserve"> weekly or biweekly. </w:t>
      </w:r>
      <w:r w:rsidR="00FA5863">
        <w:rPr>
          <w:rFonts w:ascii="Franklin Gothic Book" w:hAnsi="Franklin Gothic Book" w:cs="Segoe UI"/>
          <w:szCs w:val="24"/>
        </w:rPr>
        <w:t>In addition</w:t>
      </w:r>
      <w:r w:rsidRPr="003F1D16">
        <w:rPr>
          <w:rFonts w:ascii="Franklin Gothic Book" w:hAnsi="Franklin Gothic Book" w:cs="Segoe UI"/>
          <w:szCs w:val="24"/>
        </w:rPr>
        <w:t>, a larger administrative leadership</w:t>
      </w:r>
      <w:r w:rsidRPr="003F1D16">
        <w:rPr>
          <w:rFonts w:ascii="Franklin Gothic Book" w:hAnsi="Franklin Gothic Book"/>
          <w:szCs w:val="24"/>
        </w:rPr>
        <w:t xml:space="preserve"> team</w:t>
      </w:r>
      <w:r>
        <w:rPr>
          <w:rFonts w:ascii="Franklin Gothic Book" w:hAnsi="Franklin Gothic Book"/>
          <w:szCs w:val="24"/>
        </w:rPr>
        <w:t xml:space="preserve"> (also referred to as the leadership council or cabinet) </w:t>
      </w:r>
      <w:r w:rsidR="00B55B05">
        <w:rPr>
          <w:rFonts w:ascii="Franklin Gothic Book" w:hAnsi="Franklin Gothic Book"/>
          <w:szCs w:val="24"/>
        </w:rPr>
        <w:t>comprising</w:t>
      </w:r>
      <w:r w:rsidRPr="003F1D16">
        <w:rPr>
          <w:rFonts w:ascii="Franklin Gothic Book" w:hAnsi="Franklin Gothic Book"/>
          <w:szCs w:val="24"/>
        </w:rPr>
        <w:t xml:space="preserve"> central office staff, curriculum directors for each subject area, and principals meets bimonthly. These leadership team meetings</w:t>
      </w:r>
      <w:r>
        <w:rPr>
          <w:rFonts w:ascii="Franklin Gothic Book" w:hAnsi="Franklin Gothic Book"/>
          <w:szCs w:val="24"/>
        </w:rPr>
        <w:t xml:space="preserve"> provide opportunities to discuss ongoing initiatives, receive updates on the strategic plan, and engag</w:t>
      </w:r>
      <w:r w:rsidR="00B55B05">
        <w:rPr>
          <w:rFonts w:ascii="Franklin Gothic Book" w:hAnsi="Franklin Gothic Book"/>
          <w:szCs w:val="24"/>
        </w:rPr>
        <w:t>e</w:t>
      </w:r>
      <w:r>
        <w:rPr>
          <w:rFonts w:ascii="Franklin Gothic Book" w:hAnsi="Franklin Gothic Book"/>
          <w:szCs w:val="24"/>
        </w:rPr>
        <w:t xml:space="preserve"> in professional learning</w:t>
      </w:r>
      <w:r w:rsidRPr="008C2ED9">
        <w:rPr>
          <w:rFonts w:ascii="Segoe UI" w:hAnsi="Segoe UI" w:cs="Segoe UI"/>
          <w:color w:val="0D0D0D"/>
          <w:shd w:val="clear" w:color="auto" w:fill="FFFFFF"/>
        </w:rPr>
        <w:t xml:space="preserve"> </w:t>
      </w:r>
      <w:r w:rsidR="00B55B05">
        <w:t>about</w:t>
      </w:r>
      <w:r w:rsidR="00B55B05" w:rsidRPr="008C2ED9">
        <w:t xml:space="preserve"> </w:t>
      </w:r>
      <w:r w:rsidRPr="008C2ED9">
        <w:t>district priorities, such a</w:t>
      </w:r>
      <w:r>
        <w:t xml:space="preserve">s UDL. Finally, </w:t>
      </w:r>
      <w:r w:rsidRPr="0058530E">
        <w:t xml:space="preserve">a </w:t>
      </w:r>
      <w:r w:rsidR="00B55B05">
        <w:t>c</w:t>
      </w:r>
      <w:r w:rsidRPr="0058530E">
        <w:t xml:space="preserve">urriculum </w:t>
      </w:r>
      <w:r w:rsidR="00B55B05">
        <w:t>c</w:t>
      </w:r>
      <w:r w:rsidRPr="0058530E">
        <w:t xml:space="preserve">ouncil, led by the </w:t>
      </w:r>
      <w:r w:rsidR="00B55B05">
        <w:t>a</w:t>
      </w:r>
      <w:r w:rsidRPr="0058530E">
        <w:t xml:space="preserve">ssistant </w:t>
      </w:r>
      <w:r w:rsidR="00B55B05">
        <w:t>s</w:t>
      </w:r>
      <w:r w:rsidRPr="0058530E">
        <w:t xml:space="preserve">uperintendent and comprising subject-level </w:t>
      </w:r>
      <w:r>
        <w:t>c</w:t>
      </w:r>
      <w:r w:rsidRPr="0058530E">
        <w:t xml:space="preserve">urriculum </w:t>
      </w:r>
      <w:r>
        <w:t>d</w:t>
      </w:r>
      <w:r w:rsidRPr="0058530E">
        <w:t xml:space="preserve">irectors, convenes monthly to </w:t>
      </w:r>
      <w:r>
        <w:t>provide input on</w:t>
      </w:r>
      <w:r w:rsidRPr="0058530E">
        <w:t xml:space="preserve"> curriculum and instructional matters. </w:t>
      </w:r>
    </w:p>
    <w:p w14:paraId="39CF6A0D" w14:textId="4E074B4D" w:rsidR="00ED4EB1" w:rsidRDefault="00ED4EB1" w:rsidP="00F17541">
      <w:pPr>
        <w:pStyle w:val="BodyText"/>
      </w:pPr>
      <w:r>
        <w:t xml:space="preserve">Accounts from school committee members and school leaders highlight the effectiveness of these leadership teams in collaborating both internally and externally with the school committee and </w:t>
      </w:r>
      <w:r w:rsidR="00B55B05">
        <w:t xml:space="preserve">the </w:t>
      </w:r>
      <w:r>
        <w:t>town.</w:t>
      </w:r>
      <w:r w:rsidR="00320399">
        <w:rPr>
          <w:rStyle w:val="CommentReference"/>
        </w:rPr>
        <w:t xml:space="preserve"> </w:t>
      </w:r>
      <w:r w:rsidR="005606AA">
        <w:t xml:space="preserve">On DESE’s </w:t>
      </w:r>
      <w:r w:rsidR="001D6C2D">
        <w:t>D</w:t>
      </w:r>
      <w:r w:rsidR="00320399" w:rsidRPr="00320399">
        <w:t>istrict</w:t>
      </w:r>
      <w:r w:rsidR="001D6C2D">
        <w:t xml:space="preserve"> Review</w:t>
      </w:r>
      <w:r w:rsidR="00320399" w:rsidRPr="00320399">
        <w:t xml:space="preserve"> </w:t>
      </w:r>
      <w:r w:rsidR="001D6C2D">
        <w:t>S</w:t>
      </w:r>
      <w:r w:rsidR="00320399" w:rsidRPr="00320399">
        <w:t>elf</w:t>
      </w:r>
      <w:r w:rsidR="00320399">
        <w:t>-</w:t>
      </w:r>
      <w:r w:rsidR="001D6C2D">
        <w:t>A</w:t>
      </w:r>
      <w:r w:rsidR="00320399" w:rsidRPr="00320399">
        <w:t>ssessment</w:t>
      </w:r>
      <w:r w:rsidR="005D2550">
        <w:t>,</w:t>
      </w:r>
      <w:r w:rsidR="00320399" w:rsidRPr="00320399">
        <w:t xml:space="preserve"> </w:t>
      </w:r>
      <w:r w:rsidR="001D6C2D">
        <w:t xml:space="preserve">school committee members </w:t>
      </w:r>
      <w:r w:rsidR="00320399" w:rsidRPr="00320399">
        <w:t xml:space="preserve">noted, “This year saw significant enhancement in relationship building with municipal leaders and the community with a successful vote to fund a new school building and a </w:t>
      </w:r>
      <w:r w:rsidR="00AB5462" w:rsidRPr="00320399">
        <w:t>town wide</w:t>
      </w:r>
      <w:r w:rsidR="00320399" w:rsidRPr="00320399">
        <w:t xml:space="preserve"> operating override. This speaks to the growing trust and collaborative work.</w:t>
      </w:r>
      <w:r w:rsidR="00320399">
        <w:t xml:space="preserve">” </w:t>
      </w:r>
      <w:r>
        <w:t>One school leader noted that “we conduct business here collaboratively.”</w:t>
      </w:r>
      <w:r w:rsidRPr="00600F76">
        <w:t xml:space="preserve"> </w:t>
      </w:r>
      <w:r>
        <w:t>Likewise</w:t>
      </w:r>
      <w:r w:rsidRPr="00600F76">
        <w:t>, in their assessment of the superintendent</w:t>
      </w:r>
      <w:r w:rsidR="00B55B05">
        <w:t>’</w:t>
      </w:r>
      <w:r w:rsidRPr="00600F76">
        <w:t>s performance during the 2022-</w:t>
      </w:r>
      <w:r w:rsidR="00B55B05">
        <w:t>20</w:t>
      </w:r>
      <w:r w:rsidRPr="00600F76">
        <w:t>23 school year, the school committee attributed this collaborative culture to the superintendent</w:t>
      </w:r>
      <w:r w:rsidR="00B55B05">
        <w:t>’</w:t>
      </w:r>
      <w:r w:rsidRPr="00600F76">
        <w:t>s efforts</w:t>
      </w:r>
      <w:r>
        <w:t xml:space="preserve"> in strengthening communication channels and</w:t>
      </w:r>
      <w:r w:rsidRPr="00600F76">
        <w:t xml:space="preserve"> cultivat</w:t>
      </w:r>
      <w:r>
        <w:t>ing</w:t>
      </w:r>
      <w:r w:rsidRPr="00600F76">
        <w:t xml:space="preserve"> positive working relationships within her district leadership team</w:t>
      </w:r>
      <w:r>
        <w:t xml:space="preserve"> in her first year as superintendent:</w:t>
      </w:r>
    </w:p>
    <w:p w14:paraId="652443EB" w14:textId="6236282C" w:rsidR="00ED4EB1" w:rsidRPr="00331B5B" w:rsidRDefault="00ED4EB1" w:rsidP="00F17541">
      <w:pPr>
        <w:pStyle w:val="BlockQuote"/>
        <w:rPr>
          <w:spacing w:val="-1"/>
        </w:rPr>
      </w:pPr>
      <w:r w:rsidRPr="00331B5B">
        <w:rPr>
          <w:spacing w:val="-1"/>
        </w:rPr>
        <w:t>The evaluation highlights Dr. Adams</w:t>
      </w:r>
      <w:r w:rsidR="00B55B05" w:rsidRPr="00331B5B">
        <w:rPr>
          <w:spacing w:val="-1"/>
        </w:rPr>
        <w:t>’</w:t>
      </w:r>
      <w:r w:rsidRPr="00331B5B">
        <w:rPr>
          <w:spacing w:val="-1"/>
        </w:rPr>
        <w:t xml:space="preserve"> ability to effectively communicate her measurable goals to the leadership team, </w:t>
      </w:r>
      <w:r w:rsidR="00B55B05" w:rsidRPr="00331B5B">
        <w:rPr>
          <w:spacing w:val="-1"/>
        </w:rPr>
        <w:t>s</w:t>
      </w:r>
      <w:r w:rsidRPr="00331B5B">
        <w:rPr>
          <w:spacing w:val="-1"/>
        </w:rPr>
        <w:t xml:space="preserve">chool </w:t>
      </w:r>
      <w:r w:rsidR="00B55B05" w:rsidRPr="00331B5B">
        <w:rPr>
          <w:spacing w:val="-1"/>
        </w:rPr>
        <w:t>c</w:t>
      </w:r>
      <w:r w:rsidRPr="00331B5B">
        <w:rPr>
          <w:spacing w:val="-1"/>
        </w:rPr>
        <w:t>ommittee, and community. Feedback from the community, educators, and students has been actively sought through surveys, focus groups, and the information was delivered in thoughtful, high-quality presentations to ensure a comprehensive understanding of the district</w:t>
      </w:r>
      <w:r w:rsidR="00B55B05" w:rsidRPr="00331B5B">
        <w:rPr>
          <w:spacing w:val="-1"/>
        </w:rPr>
        <w:t>’</w:t>
      </w:r>
      <w:r w:rsidRPr="00331B5B">
        <w:rPr>
          <w:spacing w:val="-1"/>
        </w:rPr>
        <w:t>s needs. The regular updates provided by Dr. Adams, including weekly emails detailing completed tasks and district happenings</w:t>
      </w:r>
      <w:r w:rsidR="00B55B05" w:rsidRPr="00331B5B">
        <w:rPr>
          <w:spacing w:val="-1"/>
        </w:rPr>
        <w:t>,</w:t>
      </w:r>
      <w:r w:rsidRPr="00331B5B">
        <w:rPr>
          <w:spacing w:val="-1"/>
        </w:rPr>
        <w:t xml:space="preserve"> have been appreciated and have helped stakeholders stay informed. Furthermore, the consistency of communication from principals to each school has been improved under her leadership.</w:t>
      </w:r>
    </w:p>
    <w:p w14:paraId="3B4E8E59" w14:textId="72ACEB1E" w:rsidR="00ED4EB1" w:rsidRDefault="00ED4EB1" w:rsidP="00A12C58">
      <w:pPr>
        <w:pStyle w:val="BodyText"/>
      </w:pPr>
      <w:r>
        <w:t xml:space="preserve">The superintendent’s establishment of a culture of collaboration and communication among district leadership and with the town and </w:t>
      </w:r>
      <w:r w:rsidR="00B55B05">
        <w:t xml:space="preserve">the </w:t>
      </w:r>
      <w:r>
        <w:t>school committee is a clear area of strength for the district.</w:t>
      </w:r>
    </w:p>
    <w:p w14:paraId="4FB7CF76" w14:textId="04F72E80" w:rsidR="00ED4EB1" w:rsidRDefault="00ED4EB1" w:rsidP="00A12C58">
      <w:pPr>
        <w:pStyle w:val="BodyText"/>
      </w:pPr>
      <w:r>
        <w:t xml:space="preserve">At the building level, each principal receives support from instructional leadership teams </w:t>
      </w:r>
      <w:r w:rsidR="00B55B05">
        <w:t>comprising</w:t>
      </w:r>
      <w:r>
        <w:t xml:space="preserve"> principals, assistant principals, department heads (at the middle and high school levels), and lead teachers and instructional specialists at the elementary levels. Teachers have opportunities for leadership development </w:t>
      </w:r>
      <w:r w:rsidR="00B55B05">
        <w:t xml:space="preserve">by </w:t>
      </w:r>
      <w:r>
        <w:t>participati</w:t>
      </w:r>
      <w:r w:rsidR="00B55B05">
        <w:t>ng</w:t>
      </w:r>
      <w:r>
        <w:t xml:space="preserve"> in school-level faculty councils, </w:t>
      </w:r>
      <w:r w:rsidR="00B55B05">
        <w:t xml:space="preserve">in which </w:t>
      </w:r>
      <w:r>
        <w:t xml:space="preserve">they provide input on school-level affairs, district-level committees, and a districtwide mentor program. </w:t>
      </w:r>
      <w:r w:rsidRPr="00C810C9">
        <w:t>For more on leadership opportunities, see the Human Resources and Professional Development section.</w:t>
      </w:r>
    </w:p>
    <w:p w14:paraId="76D15399" w14:textId="7EAA1720" w:rsidR="00ED4EB1" w:rsidRDefault="00FE139D" w:rsidP="00A12C58">
      <w:pPr>
        <w:pStyle w:val="BodyText"/>
      </w:pPr>
      <w:r>
        <w:t xml:space="preserve">Despite strong collaboration between district leaders, </w:t>
      </w:r>
      <w:r w:rsidR="00ED4EB1">
        <w:t>teachers and parents raised concerns regarding their input into district decision-making processes. Teachers in multiple focus group</w:t>
      </w:r>
      <w:r w:rsidR="00B55B05">
        <w:t>s</w:t>
      </w:r>
      <w:r w:rsidR="00ED4EB1">
        <w:t xml:space="preserve"> cited </w:t>
      </w:r>
      <w:r w:rsidR="00ED4EB1">
        <w:lastRenderedPageBreak/>
        <w:t xml:space="preserve">instances of </w:t>
      </w:r>
      <w:r w:rsidR="00ED4EB1" w:rsidRPr="00F71D3B">
        <w:t xml:space="preserve">participating in councils or committees without witnessing substantive changes or feeling </w:t>
      </w:r>
      <w:r w:rsidR="00B55B05">
        <w:t xml:space="preserve">that </w:t>
      </w:r>
      <w:r w:rsidR="00ED4EB1" w:rsidRPr="00F71D3B">
        <w:t>their voices were truly heard.</w:t>
      </w:r>
      <w:r w:rsidR="00ED4EB1">
        <w:t xml:space="preserve"> One district leader echoed these sentiments, noting that district responsiveness to </w:t>
      </w:r>
      <w:r w:rsidR="00CE230A">
        <w:t>teacher and family membe</w:t>
      </w:r>
      <w:r w:rsidR="00ED4EB1">
        <w:t>r feedback remains a</w:t>
      </w:r>
      <w:r w:rsidR="00367CAC">
        <w:t xml:space="preserve"> work in progress.</w:t>
      </w:r>
      <w:r w:rsidR="00815125">
        <w:t xml:space="preserve"> </w:t>
      </w:r>
      <w:r w:rsidR="00ED4EB1" w:rsidRPr="00364402">
        <w:t>Establishing effective mechanisms for meaningful stakeholder feedback and integration into decision-making processes represents an area of growth for the district.</w:t>
      </w:r>
    </w:p>
    <w:p w14:paraId="0F772437" w14:textId="6B61972A" w:rsidR="00ED4EB1" w:rsidRDefault="00ED4EB1" w:rsidP="00A12C58">
      <w:pPr>
        <w:pStyle w:val="BodyText"/>
      </w:pPr>
      <w:r>
        <w:t>According to several district leaders, the pandemic and ongoing challenges in staffing leadership positions</w:t>
      </w:r>
      <w:r w:rsidR="00886933">
        <w:t xml:space="preserve"> have constrained the</w:t>
      </w:r>
      <w:r w:rsidR="00FC3158">
        <w:t xml:space="preserve"> </w:t>
      </w:r>
      <w:r w:rsidR="00FC3158" w:rsidRPr="001B73DF">
        <w:t>district</w:t>
      </w:r>
      <w:r w:rsidR="00FC3158">
        <w:t>’</w:t>
      </w:r>
      <w:r w:rsidR="00FC3158" w:rsidRPr="001B73DF">
        <w:t xml:space="preserve">s ability to effectively prioritize </w:t>
      </w:r>
      <w:r w:rsidR="00FC3158">
        <w:t>improving instructional practices and student outcomes</w:t>
      </w:r>
      <w:r w:rsidR="003B6096">
        <w:t>. At the time of the district review, the</w:t>
      </w:r>
      <w:r w:rsidR="006F6184">
        <w:t xml:space="preserve"> director of human resources and interim director of student supports positions </w:t>
      </w:r>
      <w:r w:rsidR="00E07C7C">
        <w:t>were vacant</w:t>
      </w:r>
      <w:r w:rsidR="009655B2">
        <w:t>,</w:t>
      </w:r>
      <w:r w:rsidR="007E497E">
        <w:t xml:space="preserve"> and s</w:t>
      </w:r>
      <w:r>
        <w:t xml:space="preserve">chool leaders noted that a lot of the work on improving instructional practices </w:t>
      </w:r>
      <w:r w:rsidR="00943E5C">
        <w:t>occurs</w:t>
      </w:r>
      <w:r>
        <w:t xml:space="preserve"> at the school level, albeit with recognition for the positive contributions of the district’s </w:t>
      </w:r>
      <w:r w:rsidR="00B55B05">
        <w:t>c</w:t>
      </w:r>
      <w:r>
        <w:t xml:space="preserve">urriculum </w:t>
      </w:r>
      <w:r w:rsidR="00B55B05">
        <w:t>d</w:t>
      </w:r>
      <w:r>
        <w:t>irectors. W</w:t>
      </w:r>
      <w:r w:rsidRPr="00186292">
        <w:t>hile</w:t>
      </w:r>
      <w:r>
        <w:t xml:space="preserve"> also</w:t>
      </w:r>
      <w:r w:rsidRPr="00186292">
        <w:t xml:space="preserve"> praising the effectiveness of </w:t>
      </w:r>
      <w:r w:rsidR="00B55B05">
        <w:t>c</w:t>
      </w:r>
      <w:r w:rsidRPr="00186292">
        <w:t xml:space="preserve">urriculum </w:t>
      </w:r>
      <w:r w:rsidR="00B55B05">
        <w:t>d</w:t>
      </w:r>
      <w:r w:rsidRPr="00186292">
        <w:t>irectors in aligning instructional practices and fostering high-quality teaching</w:t>
      </w:r>
      <w:r>
        <w:t xml:space="preserve"> at the district level</w:t>
      </w:r>
      <w:r w:rsidRPr="00186292">
        <w:t xml:space="preserve">, a district leader </w:t>
      </w:r>
      <w:r>
        <w:t>recommended</w:t>
      </w:r>
      <w:r w:rsidRPr="00186292">
        <w:t xml:space="preserve"> expanding </w:t>
      </w:r>
      <w:r w:rsidR="00B55B05">
        <w:t>the involvement of c</w:t>
      </w:r>
      <w:r w:rsidR="004C679D">
        <w:t xml:space="preserve">urriculum </w:t>
      </w:r>
      <w:r w:rsidR="00B55B05">
        <w:t>d</w:t>
      </w:r>
      <w:r w:rsidR="004C679D">
        <w:t>irect</w:t>
      </w:r>
      <w:r w:rsidR="00D56774">
        <w:t>ors</w:t>
      </w:r>
      <w:r w:rsidR="004C679D" w:rsidRPr="00186292">
        <w:t xml:space="preserve"> </w:t>
      </w:r>
      <w:r w:rsidRPr="00186292">
        <w:t>in management and operation</w:t>
      </w:r>
      <w:r w:rsidR="00B55B05">
        <w:t>al</w:t>
      </w:r>
      <w:r w:rsidRPr="00186292">
        <w:t xml:space="preserve"> decisions, such as budgeting and staffing levels, to leverage their unique perspectives</w:t>
      </w:r>
      <w:r>
        <w:t>.</w:t>
      </w:r>
      <w:r w:rsidDel="00E40A12">
        <w:t xml:space="preserve"> </w:t>
      </w:r>
      <w:r w:rsidRPr="00C1480B">
        <w:t>Similarly, school leaders indicated they possess sufficient autonomy</w:t>
      </w:r>
      <w:r w:rsidR="00B55B05">
        <w:t>,</w:t>
      </w:r>
      <w:r w:rsidR="00BE0606">
        <w:t xml:space="preserve"> and</w:t>
      </w:r>
      <w:r w:rsidRPr="00C1480B">
        <w:t xml:space="preserve"> district leader</w:t>
      </w:r>
      <w:r w:rsidR="004550A7">
        <w:t>s</w:t>
      </w:r>
      <w:r w:rsidRPr="00C1480B">
        <w:t xml:space="preserve"> expressed a desire to further empower </w:t>
      </w:r>
      <w:r w:rsidR="004550A7">
        <w:t>school leaders</w:t>
      </w:r>
      <w:r w:rsidR="004550A7" w:rsidRPr="00C1480B">
        <w:t xml:space="preserve"> </w:t>
      </w:r>
      <w:r w:rsidRPr="00C1480B">
        <w:t>in decision</w:t>
      </w:r>
      <w:r w:rsidR="00B55B05">
        <w:t xml:space="preserve"> </w:t>
      </w:r>
      <w:r w:rsidRPr="00C1480B">
        <w:t xml:space="preserve">making, particularly in areas related to special education staffing and instructional practices. Enhancing the </w:t>
      </w:r>
      <w:r w:rsidR="00333905">
        <w:t>ability</w:t>
      </w:r>
      <w:r w:rsidR="00B75059" w:rsidRPr="00C1480B">
        <w:t xml:space="preserve"> </w:t>
      </w:r>
      <w:r w:rsidRPr="00C1480B">
        <w:t xml:space="preserve">of both curriculum directors and school leaders to </w:t>
      </w:r>
      <w:r w:rsidR="00F67DF4">
        <w:t>improve</w:t>
      </w:r>
      <w:r w:rsidR="00F67DF4" w:rsidRPr="00C1480B">
        <w:t xml:space="preserve"> </w:t>
      </w:r>
      <w:r w:rsidRPr="00C1480B">
        <w:t xml:space="preserve">instructional practices </w:t>
      </w:r>
      <w:r>
        <w:t>represents an additional</w:t>
      </w:r>
      <w:r w:rsidRPr="00C1480B">
        <w:t xml:space="preserve"> area of </w:t>
      </w:r>
      <w:r>
        <w:t xml:space="preserve">growth </w:t>
      </w:r>
      <w:r w:rsidRPr="00C1480B">
        <w:t>for the district</w:t>
      </w:r>
      <w:r>
        <w:t>.</w:t>
      </w:r>
    </w:p>
    <w:p w14:paraId="68B51590" w14:textId="77777777" w:rsidR="00ED4EB1" w:rsidRDefault="00ED4EB1" w:rsidP="00ED4EB1">
      <w:pPr>
        <w:pStyle w:val="Heading3"/>
      </w:pPr>
      <w:bookmarkStart w:id="26" w:name="_District_and_School_1"/>
      <w:bookmarkEnd w:id="26"/>
      <w:r w:rsidRPr="00CB0607">
        <w:t>District and School Improvement Planning</w:t>
      </w:r>
    </w:p>
    <w:p w14:paraId="06092F60" w14:textId="19F1172D" w:rsidR="00ED4EB1" w:rsidRDefault="00ED4EB1" w:rsidP="00ED4EB1">
      <w:pPr>
        <w:pStyle w:val="BodyTextposthead"/>
      </w:pPr>
      <w:r w:rsidRPr="006B188A">
        <w:t xml:space="preserve">Hingham’s </w:t>
      </w:r>
      <w:r w:rsidRPr="006B188A">
        <w:rPr>
          <w:i/>
          <w:iCs/>
        </w:rPr>
        <w:t>2022-2025 Strategic Plan</w:t>
      </w:r>
      <w:r w:rsidRPr="006B188A">
        <w:t xml:space="preserve"> clearly delineates the district’s strategic objectives and initiatives, including a thorough timeline, responsible person(s), and the desired outcomes and outputs for each initiative. The document also includes an overarching mission statement, co</w:t>
      </w:r>
      <w:r w:rsidR="00B55B05">
        <w:t>r</w:t>
      </w:r>
      <w:r w:rsidRPr="006B188A">
        <w:t xml:space="preserve">e values, </w:t>
      </w:r>
      <w:r w:rsidR="00B55B05">
        <w:t xml:space="preserve">a </w:t>
      </w:r>
      <w:r w:rsidRPr="006B188A">
        <w:t xml:space="preserve">vision statement, and </w:t>
      </w:r>
      <w:r w:rsidR="00B55B05">
        <w:t xml:space="preserve">a </w:t>
      </w:r>
      <w:r w:rsidRPr="006B188A">
        <w:t xml:space="preserve">theory of action developed by the </w:t>
      </w:r>
      <w:r w:rsidR="00B55B05">
        <w:t>s</w:t>
      </w:r>
      <w:r w:rsidRPr="006B188A">
        <w:t xml:space="preserve">trategic </w:t>
      </w:r>
      <w:r w:rsidR="00B55B05">
        <w:t>p</w:t>
      </w:r>
      <w:r w:rsidRPr="006B188A">
        <w:t xml:space="preserve">lanning </w:t>
      </w:r>
      <w:r w:rsidR="00B55B05">
        <w:t>c</w:t>
      </w:r>
      <w:r w:rsidRPr="006B188A">
        <w:t xml:space="preserve">ommittee alongside the strategic objectives and initiatives. When reviewing </w:t>
      </w:r>
      <w:r>
        <w:t xml:space="preserve">the </w:t>
      </w:r>
      <w:r w:rsidR="00B55B05">
        <w:t>s</w:t>
      </w:r>
      <w:r w:rsidRPr="006B188A">
        <w:t xml:space="preserve">trategic </w:t>
      </w:r>
      <w:r w:rsidR="00B55B05">
        <w:t>p</w:t>
      </w:r>
      <w:r w:rsidRPr="006B188A">
        <w:t>lan during an equity audit in the 2022-</w:t>
      </w:r>
      <w:r w:rsidR="00B55B05">
        <w:t>20</w:t>
      </w:r>
      <w:r w:rsidRPr="006B188A">
        <w:t xml:space="preserve">23 school year, </w:t>
      </w:r>
      <w:r>
        <w:t>the</w:t>
      </w:r>
      <w:r w:rsidRPr="006B188A">
        <w:t xml:space="preserve"> Equity Project (</w:t>
      </w:r>
      <w:r w:rsidR="00E50DE6">
        <w:t xml:space="preserve">an independent consulting </w:t>
      </w:r>
      <w:r w:rsidR="007B005F">
        <w:t>firm</w:t>
      </w:r>
      <w:r w:rsidRPr="006B188A">
        <w:t>) wrote that the plan was “very easy to follow</w:t>
      </w:r>
      <w:r w:rsidR="00B55B05">
        <w:t>,</w:t>
      </w:r>
      <w:r w:rsidRPr="006B188A">
        <w:t xml:space="preserve">” and the plan is “heavily based on community expectations as well as HPS </w:t>
      </w:r>
      <w:r w:rsidR="00B55B05">
        <w:t xml:space="preserve">[Hingham Public Schools] </w:t>
      </w:r>
      <w:r w:rsidRPr="006B188A">
        <w:t>community values.”</w:t>
      </w:r>
    </w:p>
    <w:p w14:paraId="296B253B" w14:textId="159F239C" w:rsidR="00ED4EB1" w:rsidRDefault="00ED4EB1" w:rsidP="00A12C58">
      <w:pPr>
        <w:pStyle w:val="BodyText"/>
      </w:pPr>
      <w:r>
        <w:t>School committee members, district leaders, and district planning documents all described a deliberate process for designing the strategic plan that was data</w:t>
      </w:r>
      <w:r w:rsidR="00B55B05">
        <w:t xml:space="preserve"> </w:t>
      </w:r>
      <w:r>
        <w:t>driven and inclusive of all stakeholders.</w:t>
      </w:r>
      <w:r w:rsidRPr="000E76BC">
        <w:rPr>
          <w:rFonts w:ascii="Segoe UI" w:hAnsi="Segoe UI" w:cs="Segoe UI"/>
          <w:color w:val="0D0D0D"/>
          <w:shd w:val="clear" w:color="auto" w:fill="FFFFFF"/>
        </w:rPr>
        <w:t xml:space="preserve"> </w:t>
      </w:r>
      <w:r w:rsidRPr="000E76BC">
        <w:t>In 2021-2022, the school committee and</w:t>
      </w:r>
      <w:r w:rsidR="00B55B05">
        <w:t xml:space="preserve"> the</w:t>
      </w:r>
      <w:r w:rsidRPr="000E76BC">
        <w:t xml:space="preserve"> interim superintendent engaged an external consultant, the Teaching and Learning Alliance, to facilitate the strategic planning process. The Teaching and Learning Alliance conducted comprehensive data collection, which included administering surveys</w:t>
      </w:r>
      <w:r>
        <w:t xml:space="preserve"> to the community</w:t>
      </w:r>
      <w:r w:rsidRPr="000E76BC">
        <w:t xml:space="preserve">, conducting multiple focus groups with families and community members, and analyzing academic achievement </w:t>
      </w:r>
      <w:r>
        <w:t xml:space="preserve">and enrollment </w:t>
      </w:r>
      <w:r w:rsidRPr="000E76BC">
        <w:t xml:space="preserve">data. Subsequently, the district formed a </w:t>
      </w:r>
      <w:r w:rsidR="00A12C58">
        <w:t>s</w:t>
      </w:r>
      <w:r w:rsidRPr="000E76BC">
        <w:t xml:space="preserve">trategic </w:t>
      </w:r>
      <w:r w:rsidR="00A12C58">
        <w:t>p</w:t>
      </w:r>
      <w:r w:rsidRPr="000E76BC">
        <w:t xml:space="preserve">lanning </w:t>
      </w:r>
      <w:r w:rsidR="00A12C58">
        <w:t>c</w:t>
      </w:r>
      <w:r w:rsidRPr="000E76BC">
        <w:t xml:space="preserve">ommittee comprising members of the district leadership team, school administrators, department directors, teachers, parents, and students. This committee reviewed all </w:t>
      </w:r>
      <w:r>
        <w:t xml:space="preserve">gathered information </w:t>
      </w:r>
      <w:r w:rsidRPr="000E76BC">
        <w:t xml:space="preserve">and collaboratively </w:t>
      </w:r>
      <w:r>
        <w:t>developed the plan. The district’s commitment to employing a purposeful, data-driven approach to strategic planning, inclusive of diverse stakeholder input, represents a strength for the district.</w:t>
      </w:r>
    </w:p>
    <w:p w14:paraId="0E801A7C" w14:textId="54FB6FD3" w:rsidR="00ED4EB1" w:rsidRPr="00561AF2" w:rsidRDefault="00ED4EB1" w:rsidP="00A12C58">
      <w:pPr>
        <w:pStyle w:val="BodyText"/>
      </w:pPr>
      <w:r w:rsidRPr="00AA6BED">
        <w:lastRenderedPageBreak/>
        <w:t>At the school level, school leaders and local school councils, which include school staff and families, annually develop each school</w:t>
      </w:r>
      <w:r w:rsidR="00A12C58">
        <w:t>’</w:t>
      </w:r>
      <w:r w:rsidRPr="00AA6BED">
        <w:t>s improvement plan, drawing directly from the overarching</w:t>
      </w:r>
      <w:r w:rsidR="00362542">
        <w:t xml:space="preserve"> district</w:t>
      </w:r>
      <w:r w:rsidRPr="00AA6BED">
        <w:t xml:space="preserve"> strategic plan and tailoring it to the specific needs of the school</w:t>
      </w:r>
      <w:r w:rsidR="00A12C58">
        <w:t>.</w:t>
      </w:r>
      <w:r w:rsidR="00F54324" w:rsidRPr="00F54324">
        <w:rPr>
          <w:rFonts w:ascii="Helvetica Neue" w:eastAsia="Times New Roman" w:hAnsi="Helvetica Neue" w:cs="Helvetica Neue"/>
          <w:color w:val="000000"/>
          <w:sz w:val="26"/>
          <w:szCs w:val="26"/>
        </w:rPr>
        <w:t xml:space="preserve"> </w:t>
      </w:r>
      <w:r w:rsidR="00BA4C0D">
        <w:t>O</w:t>
      </w:r>
      <w:r w:rsidR="00BA4C0D" w:rsidRPr="00561AF2">
        <w:t>ne</w:t>
      </w:r>
      <w:r w:rsidR="00BA4C0D">
        <w:t xml:space="preserve"> school leader explained </w:t>
      </w:r>
      <w:r w:rsidR="00A531EC">
        <w:t>incorporating goals related to the district’s plan into their own such as including an academic, social-emotional learning, and parent communication goal</w:t>
      </w:r>
      <w:r w:rsidR="00EA556B">
        <w:t>: “</w:t>
      </w:r>
      <w:r w:rsidR="00EA556B" w:rsidRPr="00561AF2">
        <w:t>So, we</w:t>
      </w:r>
      <w:r w:rsidR="00EA556B">
        <w:t>’</w:t>
      </w:r>
      <w:r w:rsidR="00EA556B" w:rsidRPr="00561AF2">
        <w:t xml:space="preserve">ve really built that </w:t>
      </w:r>
      <w:r w:rsidR="00EA556B">
        <w:t>from</w:t>
      </w:r>
      <w:r w:rsidR="00EA556B" w:rsidRPr="00561AF2">
        <w:t xml:space="preserve"> looking at what the strategic plan is asking for, and then looking at the school improvement plan, and how do we tie our goals for the school improvement plan to the strategic plan, so we</w:t>
      </w:r>
      <w:r w:rsidR="00EA556B">
        <w:t>’</w:t>
      </w:r>
      <w:r w:rsidR="00EA556B" w:rsidRPr="00561AF2">
        <w:t>re all on the same path, working the same way, working forward.</w:t>
      </w:r>
      <w:r w:rsidR="00EA556B">
        <w:t xml:space="preserve">” This </w:t>
      </w:r>
      <w:r w:rsidR="00EA556B" w:rsidRPr="00F54324">
        <w:t xml:space="preserve">clear alignment between </w:t>
      </w:r>
      <w:r w:rsidR="00EA556B">
        <w:t xml:space="preserve">the </w:t>
      </w:r>
      <w:r w:rsidR="00EA556B" w:rsidRPr="00F54324">
        <w:t>district and school improvement plans</w:t>
      </w:r>
      <w:r w:rsidR="00EA556B">
        <w:t xml:space="preserve"> is a </w:t>
      </w:r>
      <w:r w:rsidR="00F54324" w:rsidRPr="00F54324">
        <w:t>strength of the district</w:t>
      </w:r>
      <w:r w:rsidR="00EA556B">
        <w:t>.</w:t>
      </w:r>
    </w:p>
    <w:p w14:paraId="755C1F34" w14:textId="180C66A6" w:rsidR="00ED4EB1" w:rsidRPr="00F17541" w:rsidRDefault="00ED4EB1" w:rsidP="00A12C58">
      <w:pPr>
        <w:pStyle w:val="BodyText"/>
        <w:rPr>
          <w:spacing w:val="-2"/>
        </w:rPr>
      </w:pPr>
      <w:r w:rsidRPr="00F17541">
        <w:rPr>
          <w:spacing w:val="-2"/>
        </w:rPr>
        <w:t xml:space="preserve">According to school committee meeting minutes and presentations, the superintendent provides updates to the school committee three times </w:t>
      </w:r>
      <w:r w:rsidR="00A12C58" w:rsidRPr="00F17541">
        <w:rPr>
          <w:spacing w:val="-2"/>
        </w:rPr>
        <w:t>per</w:t>
      </w:r>
      <w:r w:rsidRPr="00F17541">
        <w:rPr>
          <w:spacing w:val="-2"/>
        </w:rPr>
        <w:t xml:space="preserve"> year on progress toward completing</w:t>
      </w:r>
      <w:r w:rsidR="00A12C58" w:rsidRPr="00F17541">
        <w:rPr>
          <w:spacing w:val="-2"/>
        </w:rPr>
        <w:t xml:space="preserve"> the</w:t>
      </w:r>
      <w:r w:rsidRPr="00F17541">
        <w:rPr>
          <w:spacing w:val="-2"/>
        </w:rPr>
        <w:t xml:space="preserve"> strategic planning initiatives. To keep the public informed, the district posts all presentations on the school website, along with an end-of-year video summarizing progress toward the district plan. School leaders and teachers also described revisiting the topics of the district’s strategic plan at the beginning of every year and undergoing professional development intentionally aligned with the district’s strategic priorities. Moreover, school and district leaders frequently discuss strategic priorities during </w:t>
      </w:r>
      <w:r w:rsidR="00606E62" w:rsidRPr="00F17541">
        <w:rPr>
          <w:spacing w:val="-2"/>
        </w:rPr>
        <w:t>l</w:t>
      </w:r>
      <w:r w:rsidRPr="00F17541">
        <w:rPr>
          <w:spacing w:val="-2"/>
        </w:rPr>
        <w:t xml:space="preserve">eadership </w:t>
      </w:r>
      <w:r w:rsidR="00606E62" w:rsidRPr="00F17541">
        <w:rPr>
          <w:spacing w:val="-2"/>
        </w:rPr>
        <w:t>t</w:t>
      </w:r>
      <w:r w:rsidRPr="00F17541">
        <w:rPr>
          <w:spacing w:val="-2"/>
        </w:rPr>
        <w:t xml:space="preserve">eam meetings, </w:t>
      </w:r>
      <w:r w:rsidR="00606E62" w:rsidRPr="00F17541">
        <w:rPr>
          <w:spacing w:val="-2"/>
        </w:rPr>
        <w:t xml:space="preserve">and </w:t>
      </w:r>
      <w:r w:rsidRPr="00F17541">
        <w:rPr>
          <w:spacing w:val="-2"/>
        </w:rPr>
        <w:t xml:space="preserve">a school committee member similarly stated that the district’s strategic plan helps guide the </w:t>
      </w:r>
      <w:r w:rsidR="00A12C58" w:rsidRPr="00F17541">
        <w:rPr>
          <w:spacing w:val="-2"/>
        </w:rPr>
        <w:t>l</w:t>
      </w:r>
      <w:r w:rsidRPr="00F17541">
        <w:rPr>
          <w:spacing w:val="-2"/>
        </w:rPr>
        <w:t xml:space="preserve">eadership </w:t>
      </w:r>
      <w:r w:rsidR="00A12C58" w:rsidRPr="00F17541">
        <w:rPr>
          <w:spacing w:val="-2"/>
        </w:rPr>
        <w:t>t</w:t>
      </w:r>
      <w:r w:rsidRPr="00F17541">
        <w:rPr>
          <w:spacing w:val="-2"/>
        </w:rPr>
        <w:t>eam toward focusing on improving student outcomes.</w:t>
      </w:r>
    </w:p>
    <w:p w14:paraId="6A2601E1" w14:textId="312DB2EE" w:rsidR="00ED4EB1" w:rsidRDefault="00D215E8" w:rsidP="00A12C58">
      <w:pPr>
        <w:pStyle w:val="BodyText"/>
      </w:pPr>
      <w:r>
        <w:t>Although</w:t>
      </w:r>
      <w:r w:rsidRPr="00252DA4">
        <w:t xml:space="preserve"> </w:t>
      </w:r>
      <w:r w:rsidR="00ED4EB1" w:rsidRPr="00252DA4">
        <w:t>the district frequently provides information to the school committee</w:t>
      </w:r>
      <w:r w:rsidR="00A12C58">
        <w:t>,</w:t>
      </w:r>
      <w:r w:rsidR="00ED4EB1" w:rsidRPr="00252DA4">
        <w:t xml:space="preserve"> staff, and families on progress toward achieving plan goals, it is less clear whether the district actively seeks meaningful feedback to guide the plan</w:t>
      </w:r>
      <w:r w:rsidR="00A12C58">
        <w:t>’</w:t>
      </w:r>
      <w:r w:rsidR="00ED4EB1" w:rsidRPr="00252DA4">
        <w:t>s ongoing refinement.</w:t>
      </w:r>
      <w:r w:rsidR="00ED4EB1">
        <w:t xml:space="preserve"> </w:t>
      </w:r>
      <w:r w:rsidR="004D6EA0">
        <w:t xml:space="preserve">In </w:t>
      </w:r>
      <w:r w:rsidR="00A16C24">
        <w:t>the D</w:t>
      </w:r>
      <w:r w:rsidR="00ED4EB1">
        <w:t xml:space="preserve">istrict </w:t>
      </w:r>
      <w:r w:rsidR="00A16C24">
        <w:t>R</w:t>
      </w:r>
      <w:r w:rsidR="00ED4EB1">
        <w:t xml:space="preserve">eview </w:t>
      </w:r>
      <w:r w:rsidR="00A16C24">
        <w:t>S</w:t>
      </w:r>
      <w:r w:rsidR="00ED4EB1">
        <w:t>elf-</w:t>
      </w:r>
      <w:r w:rsidR="00A16C24">
        <w:t>A</w:t>
      </w:r>
      <w:r w:rsidR="00ED4EB1">
        <w:t>ssessment, school committee members explained</w:t>
      </w:r>
      <w:r w:rsidR="00A12C58">
        <w:t xml:space="preserve"> as follows</w:t>
      </w:r>
      <w:r w:rsidR="00ED4EB1">
        <w:t>:</w:t>
      </w:r>
    </w:p>
    <w:p w14:paraId="4F22F578" w14:textId="2DADBC0E" w:rsidR="00ED4EB1" w:rsidRPr="00922207" w:rsidRDefault="00ED4EB1" w:rsidP="00F17541">
      <w:pPr>
        <w:pStyle w:val="BlockQuote"/>
      </w:pPr>
      <w:r w:rsidRPr="00922207">
        <w:t>One area of improvement would be to continue to find ways to engage students and community members. The information is accessible and available but not something people are seeking out readily or staying informed about without proactive measures to update and get them involved in the process</w:t>
      </w:r>
      <w:r w:rsidR="00A12C58">
        <w:t xml:space="preserve">. . . . </w:t>
      </w:r>
      <w:r w:rsidRPr="00922207">
        <w:t>Additionally, showing the public where goals or plans were adjusted based on incoming data and changing situations could be helpful, so the plans are seen as living documents and not static. This is happening but not as clearly to stakeholders where there are reallocations or adjustments of goals.</w:t>
      </w:r>
    </w:p>
    <w:p w14:paraId="0B2FE98B" w14:textId="413612CD" w:rsidR="00ED4EB1" w:rsidRPr="006B188A" w:rsidRDefault="00ED4EB1" w:rsidP="00A12C58">
      <w:pPr>
        <w:pStyle w:val="BodyText"/>
      </w:pPr>
      <w:r w:rsidRPr="00E503A8">
        <w:t xml:space="preserve">Similarly, </w:t>
      </w:r>
      <w:r>
        <w:t>t</w:t>
      </w:r>
      <w:r w:rsidRPr="00E503A8">
        <w:t>eachers across different focus groups questioned the extent to which the district’s instructional priorities, outlined in the strategic plan, aligned with</w:t>
      </w:r>
      <w:r>
        <w:t xml:space="preserve"> current realities. P</w:t>
      </w:r>
      <w:r w:rsidRPr="00E503A8">
        <w:t>arents in one focus group</w:t>
      </w:r>
      <w:r>
        <w:t xml:space="preserve"> also</w:t>
      </w:r>
      <w:r w:rsidRPr="00E503A8">
        <w:t xml:space="preserve"> described</w:t>
      </w:r>
      <w:r>
        <w:t xml:space="preserve"> that updates or progress toward the district’s equity plan, created in alignment with and to support the district’s plan</w:t>
      </w:r>
      <w:r w:rsidR="00A12C58">
        <w:t>,</w:t>
      </w:r>
      <w:r>
        <w:t xml:space="preserve"> were not communicated back to stakeholders. </w:t>
      </w:r>
      <w:r w:rsidRPr="00E503A8">
        <w:t xml:space="preserve">Meaningful engagement of school staff and parents in reflection and refinement of the strategic plan </w:t>
      </w:r>
      <w:r w:rsidR="00A16C24">
        <w:t>is</w:t>
      </w:r>
      <w:r w:rsidR="00A16C24" w:rsidRPr="00E503A8">
        <w:t xml:space="preserve"> </w:t>
      </w:r>
      <w:r w:rsidRPr="00E503A8">
        <w:t>an area of growth for the district.</w:t>
      </w:r>
    </w:p>
    <w:p w14:paraId="481F3105" w14:textId="77777777" w:rsidR="00ED4EB1" w:rsidRDefault="00ED4EB1" w:rsidP="00ED4EB1">
      <w:pPr>
        <w:pStyle w:val="Heading3"/>
      </w:pPr>
      <w:bookmarkStart w:id="27" w:name="_Budget_Development"/>
      <w:bookmarkEnd w:id="27"/>
      <w:r w:rsidRPr="00CB0607">
        <w:t xml:space="preserve">Budget Development </w:t>
      </w:r>
    </w:p>
    <w:p w14:paraId="6FA85725" w14:textId="6988E6C9" w:rsidR="00ED4EB1" w:rsidRDefault="00ED4EB1" w:rsidP="00ED4EB1">
      <w:pPr>
        <w:pStyle w:val="BodyTextposthead"/>
      </w:pPr>
      <w:r>
        <w:t xml:space="preserve">A variety of stakeholders, including district and town leaders and school committee members, articulated a transparent budget process characterized by close collaboration with school and district leaders and the school committee. This process begins in the fall when the superintendent and </w:t>
      </w:r>
      <w:r w:rsidR="00A12C58">
        <w:t xml:space="preserve">the </w:t>
      </w:r>
      <w:r>
        <w:t xml:space="preserve">director of </w:t>
      </w:r>
      <w:r w:rsidR="00A12C58">
        <w:t>b</w:t>
      </w:r>
      <w:r>
        <w:t xml:space="preserve">usiness </w:t>
      </w:r>
      <w:r w:rsidR="00A12C58">
        <w:t>and</w:t>
      </w:r>
      <w:r>
        <w:t xml:space="preserve"> </w:t>
      </w:r>
      <w:r w:rsidR="00A12C58">
        <w:t>s</w:t>
      </w:r>
      <w:r>
        <w:t xml:space="preserve">upport </w:t>
      </w:r>
      <w:r w:rsidR="00A12C58">
        <w:t>s</w:t>
      </w:r>
      <w:r>
        <w:t xml:space="preserve">ervices meet with central office staff, curriculum directors, </w:t>
      </w:r>
      <w:r>
        <w:lastRenderedPageBreak/>
        <w:t>and school leaders to gather information about staffing and operational needs. In N</w:t>
      </w:r>
      <w:r w:rsidRPr="006D5C6B">
        <w:t xml:space="preserve">ovember, the district’s leadership team collaboratively </w:t>
      </w:r>
      <w:r>
        <w:t xml:space="preserve">drafts a </w:t>
      </w:r>
      <w:r w:rsidRPr="006D5C6B">
        <w:t>budget to propose to the school committee</w:t>
      </w:r>
      <w:r>
        <w:t>, basing their budget priorities largely o</w:t>
      </w:r>
      <w:r w:rsidR="00A12C58">
        <w:t>n</w:t>
      </w:r>
      <w:r>
        <w:t xml:space="preserve"> the district’s </w:t>
      </w:r>
      <w:r w:rsidR="00A12C58">
        <w:t>s</w:t>
      </w:r>
      <w:r>
        <w:t xml:space="preserve">trategic </w:t>
      </w:r>
      <w:r w:rsidR="00A12C58">
        <w:t>p</w:t>
      </w:r>
      <w:r>
        <w:t xml:space="preserve">lan. </w:t>
      </w:r>
      <w:r w:rsidR="00A12C58">
        <w:t>During this process, d</w:t>
      </w:r>
      <w:r>
        <w:t xml:space="preserve">istrict leaders also emphasized </w:t>
      </w:r>
      <w:r w:rsidRPr="00652387">
        <w:t xml:space="preserve">the importance </w:t>
      </w:r>
      <w:r>
        <w:t xml:space="preserve">of </w:t>
      </w:r>
      <w:r w:rsidRPr="00652387">
        <w:t>identifying</w:t>
      </w:r>
      <w:r>
        <w:t xml:space="preserve"> possible efficiencies for cost savings. </w:t>
      </w:r>
      <w:r w:rsidRPr="00652387">
        <w:t xml:space="preserve">Finally, district and school leaders present the budget to the school committee in January and hold budget meetings until </w:t>
      </w:r>
      <w:r>
        <w:t xml:space="preserve">receiving </w:t>
      </w:r>
      <w:r w:rsidRPr="00652387">
        <w:t xml:space="preserve">final approval </w:t>
      </w:r>
      <w:r>
        <w:t xml:space="preserve">from the school committee </w:t>
      </w:r>
      <w:r w:rsidRPr="00652387">
        <w:t>in March</w:t>
      </w:r>
      <w:r>
        <w:t>.</w:t>
      </w:r>
    </w:p>
    <w:p w14:paraId="2824077A" w14:textId="079792A5" w:rsidR="00ED4EB1" w:rsidRDefault="00ED4EB1" w:rsidP="00A12C58">
      <w:pPr>
        <w:pStyle w:val="BodyText"/>
      </w:pPr>
      <w:r w:rsidRPr="00F50102">
        <w:t xml:space="preserve">As highlighted in previous sections, the superintendent, </w:t>
      </w:r>
      <w:r w:rsidR="00A12C58">
        <w:t xml:space="preserve">the </w:t>
      </w:r>
      <w:r w:rsidRPr="00F50102">
        <w:t xml:space="preserve">school committee, and </w:t>
      </w:r>
      <w:r w:rsidR="00A12C58">
        <w:t xml:space="preserve">the </w:t>
      </w:r>
      <w:r w:rsidRPr="00F50102">
        <w:t>town maintain a collaborative relationship that facilitates the budget development process. One town leader described maintaining open lines of communication with the superintendent and</w:t>
      </w:r>
      <w:r>
        <w:t xml:space="preserve"> holding</w:t>
      </w:r>
      <w:r w:rsidRPr="00F50102">
        <w:t xml:space="preserve"> frequent meetings during the budget process with her, members of the school committee, the town’s Select</w:t>
      </w:r>
      <w:r w:rsidR="00A12C58">
        <w:t xml:space="preserve"> Board</w:t>
      </w:r>
      <w:r w:rsidRPr="00F50102">
        <w:t xml:space="preserve">, and the town’s </w:t>
      </w:r>
      <w:r w:rsidR="00A12C58">
        <w:t>a</w:t>
      </w:r>
      <w:r w:rsidRPr="00F50102">
        <w:t xml:space="preserve">dvisory </w:t>
      </w:r>
      <w:r w:rsidR="00A12C58">
        <w:t>c</w:t>
      </w:r>
      <w:r w:rsidRPr="00F50102">
        <w:t xml:space="preserve">ommittee (a group of Hingham residents appointed by the town </w:t>
      </w:r>
      <w:r w:rsidR="00A12C58">
        <w:t xml:space="preserve">who </w:t>
      </w:r>
      <w:r w:rsidRPr="00F50102">
        <w:t>contribute to decision</w:t>
      </w:r>
      <w:r w:rsidR="00A12C58">
        <w:t xml:space="preserve"> </w:t>
      </w:r>
      <w:r w:rsidRPr="00F50102">
        <w:t>making a</w:t>
      </w:r>
      <w:r w:rsidR="00A12C58">
        <w:t>bout</w:t>
      </w:r>
      <w:r w:rsidRPr="00F50102">
        <w:t xml:space="preserve"> town finances). After meetings throughout March and April, the town presents a combined budget (including the town and </w:t>
      </w:r>
      <w:r w:rsidR="00A12C58">
        <w:t xml:space="preserve">the </w:t>
      </w:r>
      <w:r w:rsidRPr="00F50102">
        <w:t xml:space="preserve">school district) </w:t>
      </w:r>
      <w:r>
        <w:t>for th</w:t>
      </w:r>
      <w:r w:rsidRPr="00F50102">
        <w:t xml:space="preserve">e town </w:t>
      </w:r>
      <w:r>
        <w:t xml:space="preserve">to vote on </w:t>
      </w:r>
      <w:r w:rsidRPr="00F50102">
        <w:t>in late April.</w:t>
      </w:r>
    </w:p>
    <w:p w14:paraId="0E3CB399" w14:textId="4516BCAC" w:rsidR="00A12C58" w:rsidRDefault="00ED4EB1" w:rsidP="00A12C58">
      <w:pPr>
        <w:pStyle w:val="BodyText"/>
      </w:pPr>
      <w:r w:rsidRPr="00ED0A72">
        <w:t xml:space="preserve">According to both district and town leaders, the budget negotiation process with the town </w:t>
      </w:r>
      <w:r w:rsidR="00A12C58">
        <w:t>is</w:t>
      </w:r>
      <w:r w:rsidRPr="00ED0A72">
        <w:t xml:space="preserve"> greatly facilitated by a</w:t>
      </w:r>
      <w:r w:rsidR="00A12C58">
        <w:t>n</w:t>
      </w:r>
      <w:r w:rsidRPr="00ED0A72">
        <w:t xml:space="preserve"> MOU created in spring 2023 among the district, the </w:t>
      </w:r>
      <w:r w:rsidR="00A12C58">
        <w:t>s</w:t>
      </w:r>
      <w:r w:rsidRPr="00ED0A72">
        <w:t xml:space="preserve">chool </w:t>
      </w:r>
      <w:r w:rsidR="00A12C58">
        <w:t>c</w:t>
      </w:r>
      <w:r w:rsidRPr="00ED0A72">
        <w:t xml:space="preserve">ommittee, the Select Board, and the </w:t>
      </w:r>
      <w:r w:rsidR="00A12C58">
        <w:t>a</w:t>
      </w:r>
      <w:r w:rsidRPr="00ED0A72">
        <w:t xml:space="preserve">dvisory </w:t>
      </w:r>
      <w:r w:rsidR="00A12C58">
        <w:t>c</w:t>
      </w:r>
      <w:r w:rsidRPr="00ED0A72">
        <w:t>ommittee. The MOU provides for a</w:t>
      </w:r>
      <w:r w:rsidR="00FD5AF6">
        <w:t xml:space="preserve">n </w:t>
      </w:r>
      <w:r w:rsidR="00FD5AF6" w:rsidRPr="00ED0A72">
        <w:t>increase in funding</w:t>
      </w:r>
      <w:r w:rsidR="002F002B">
        <w:t xml:space="preserve">, up to </w:t>
      </w:r>
      <w:r w:rsidRPr="00ED0A72">
        <w:t>3.5</w:t>
      </w:r>
      <w:r w:rsidR="00A12C58">
        <w:t xml:space="preserve"> percent</w:t>
      </w:r>
      <w:r w:rsidR="002F002B">
        <w:t>,</w:t>
      </w:r>
      <w:r w:rsidRPr="00ED0A72">
        <w:t xml:space="preserve"> for the school district each year for the next four years. </w:t>
      </w:r>
      <w:r w:rsidR="00FA5863">
        <w:t>The</w:t>
      </w:r>
      <w:r w:rsidRPr="00ED0A72">
        <w:t xml:space="preserve"> MOU</w:t>
      </w:r>
      <w:r w:rsidR="00FA5863">
        <w:t xml:space="preserve"> also</w:t>
      </w:r>
      <w:r w:rsidRPr="00ED0A72">
        <w:t xml:space="preserve"> allows for additional funding requests for special education costs. One district leader praised both the MOU and the town’s </w:t>
      </w:r>
      <w:r>
        <w:t>commitment to long-term planning</w:t>
      </w:r>
      <w:r w:rsidRPr="00ED0A72">
        <w:t>, which enable</w:t>
      </w:r>
      <w:r w:rsidR="00A12C58">
        <w:t>s</w:t>
      </w:r>
      <w:r w:rsidRPr="00ED0A72">
        <w:t xml:space="preserve"> the district to maintain necessary resources</w:t>
      </w:r>
      <w:r w:rsidR="00441FF3">
        <w:t xml:space="preserve">, </w:t>
      </w:r>
      <w:r w:rsidR="00333905">
        <w:t>stating</w:t>
      </w:r>
      <w:r w:rsidR="00A12C58">
        <w:t xml:space="preserve"> as follows</w:t>
      </w:r>
      <w:r w:rsidR="00333905">
        <w:t xml:space="preserve">: </w:t>
      </w:r>
    </w:p>
    <w:p w14:paraId="667082C7" w14:textId="7C44AB12" w:rsidR="00ED4EB1" w:rsidRDefault="00333905" w:rsidP="00A12C58">
      <w:pPr>
        <w:pStyle w:val="BlockQuote"/>
      </w:pPr>
      <w:r w:rsidRPr="00ED0A72">
        <w:t>One</w:t>
      </w:r>
      <w:r w:rsidR="00ED4EB1" w:rsidRPr="00ED0A72">
        <w:t xml:space="preserve"> thing this town does really well</w:t>
      </w:r>
      <w:r w:rsidR="00A12C58">
        <w:t xml:space="preserve"> </w:t>
      </w:r>
      <w:r w:rsidR="00ED4EB1" w:rsidRPr="00ED0A72">
        <w:t>.</w:t>
      </w:r>
      <w:r w:rsidR="00A12C58">
        <w:t xml:space="preserve"> </w:t>
      </w:r>
      <w:r w:rsidR="00ED4EB1" w:rsidRPr="00ED0A72">
        <w:t>.</w:t>
      </w:r>
      <w:r w:rsidR="00A12C58">
        <w:t xml:space="preserve"> </w:t>
      </w:r>
      <w:r w:rsidR="00ED4EB1" w:rsidRPr="00ED0A72">
        <w:t>.</w:t>
      </w:r>
      <w:r w:rsidR="00A12C58">
        <w:t xml:space="preserve"> </w:t>
      </w:r>
      <w:r w:rsidR="00ED4EB1" w:rsidRPr="00ED0A72">
        <w:t>is some really thoughtful long-term planning around fiscal sustainability and responsibility and the forecasting that they</w:t>
      </w:r>
      <w:r w:rsidR="00A12C58">
        <w:t>’</w:t>
      </w:r>
      <w:r w:rsidR="00ED4EB1" w:rsidRPr="00ED0A72">
        <w:t>re doing</w:t>
      </w:r>
      <w:r w:rsidR="00A12C58">
        <w:t xml:space="preserve"> . . . </w:t>
      </w:r>
      <w:r w:rsidR="00ED4EB1" w:rsidRPr="00ED0A72">
        <w:t>there</w:t>
      </w:r>
      <w:r w:rsidR="00A12C58">
        <w:t>’</w:t>
      </w:r>
      <w:r w:rsidR="00ED4EB1" w:rsidRPr="00ED0A72">
        <w:t>s a very strong, fiscally conservative, but long-term planning, which I think has helped with the schools maintaining resources that it has.</w:t>
      </w:r>
    </w:p>
    <w:p w14:paraId="4E72951B" w14:textId="42A51FCC" w:rsidR="00ED4EB1" w:rsidRDefault="00ED4EB1" w:rsidP="00A12C58">
      <w:pPr>
        <w:pStyle w:val="BodyText"/>
      </w:pPr>
      <w:r>
        <w:t>The presence of an MOU that guarantees funding from the town is a strength for the district.</w:t>
      </w:r>
    </w:p>
    <w:p w14:paraId="4D27E103" w14:textId="5B82424F" w:rsidR="00ED4EB1" w:rsidRDefault="00ED4EB1" w:rsidP="00A12C58">
      <w:pPr>
        <w:pStyle w:val="BodyText"/>
      </w:pPr>
      <w:r>
        <w:t xml:space="preserve">In several focus groups, school staff </w:t>
      </w:r>
      <w:r w:rsidRPr="00EF5129">
        <w:t xml:space="preserve">expressed dissatisfaction </w:t>
      </w:r>
      <w:r>
        <w:t xml:space="preserve">with what they described as insufficient funding from the town and a </w:t>
      </w:r>
      <w:r w:rsidRPr="00EF5129">
        <w:t xml:space="preserve">lack of opportunities to contribute to budgeting and </w:t>
      </w:r>
      <w:r>
        <w:t>resource allocation decisions</w:t>
      </w:r>
      <w:r w:rsidRPr="00EF5129">
        <w:t xml:space="preserve">. In one focus group, teachers </w:t>
      </w:r>
      <w:r>
        <w:t xml:space="preserve">expressed </w:t>
      </w:r>
      <w:r w:rsidRPr="00EF5129">
        <w:t>d</w:t>
      </w:r>
      <w:r>
        <w:t>isagreement</w:t>
      </w:r>
      <w:r w:rsidRPr="00EF5129">
        <w:t xml:space="preserve"> with a school-level decision to prioritize technology purchases over minimizing layoffs. Similarly, teachers in another focus group expressed a desire for a greater voice in decisions regarding fund allocation,</w:t>
      </w:r>
      <w:r>
        <w:t xml:space="preserve"> with one teacher explaining,</w:t>
      </w:r>
      <w:r w:rsidR="00A12C58">
        <w:t xml:space="preserve"> </w:t>
      </w:r>
      <w:r>
        <w:t>“</w:t>
      </w:r>
      <w:r w:rsidRPr="005A1D55">
        <w:t>[We would like to] know that we</w:t>
      </w:r>
      <w:r w:rsidR="00A12C58">
        <w:t>’</w:t>
      </w:r>
      <w:r w:rsidRPr="005A1D55">
        <w:t>re heard and listened to, and our opinion is valued because we</w:t>
      </w:r>
      <w:r w:rsidR="00A12C58">
        <w:t>’</w:t>
      </w:r>
      <w:r w:rsidRPr="005A1D55">
        <w:t>re the ones in the front lines.</w:t>
      </w:r>
      <w:r>
        <w:t>”</w:t>
      </w:r>
    </w:p>
    <w:p w14:paraId="0DF00416" w14:textId="08C12CC5" w:rsidR="00ED4EB1" w:rsidRDefault="00A12C58" w:rsidP="00A12C58">
      <w:pPr>
        <w:pStyle w:val="BodyText"/>
      </w:pPr>
      <w:r>
        <w:t>D</w:t>
      </w:r>
      <w:r w:rsidR="002F20B8">
        <w:t xml:space="preserve">istrict leaders reported </w:t>
      </w:r>
      <w:r w:rsidR="00832C05">
        <w:t>engaging</w:t>
      </w:r>
      <w:r w:rsidR="002F20B8">
        <w:t xml:space="preserve"> </w:t>
      </w:r>
      <w:r>
        <w:t xml:space="preserve">other </w:t>
      </w:r>
      <w:r w:rsidR="00832C05">
        <w:t xml:space="preserve">district leaders, school leaders, and school site councils in the budget development process, </w:t>
      </w:r>
      <w:r>
        <w:t xml:space="preserve">but </w:t>
      </w:r>
      <w:r w:rsidR="00832C05">
        <w:t xml:space="preserve">they did not indicate </w:t>
      </w:r>
      <w:r w:rsidR="00CF7262">
        <w:t xml:space="preserve">if school staff members are </w:t>
      </w:r>
      <w:r>
        <w:t>part of</w:t>
      </w:r>
      <w:r w:rsidR="00CF7262">
        <w:t xml:space="preserve"> the process. </w:t>
      </w:r>
      <w:r w:rsidR="00ED4EB1">
        <w:t xml:space="preserve">Providing meaningful opportunities for school staff to contribute to decisions </w:t>
      </w:r>
      <w:r>
        <w:t xml:space="preserve">about </w:t>
      </w:r>
      <w:r w:rsidR="00ED4EB1">
        <w:t>budget development and resource allocation represents an area of growth for the district.</w:t>
      </w:r>
    </w:p>
    <w:p w14:paraId="1043824D" w14:textId="76AF9A10" w:rsidR="005D0752" w:rsidRDefault="002B4CEF" w:rsidP="005D0752">
      <w:pPr>
        <w:pStyle w:val="Heading3"/>
      </w:pPr>
      <w:r>
        <w:lastRenderedPageBreak/>
        <w:t xml:space="preserve">DESE </w:t>
      </w:r>
      <w:r w:rsidR="005D0752">
        <w:t>Recommendations</w:t>
      </w:r>
    </w:p>
    <w:p w14:paraId="254B87A2" w14:textId="579E2BD9" w:rsidR="00681FC3" w:rsidRDefault="00F864D9" w:rsidP="00681FC3">
      <w:pPr>
        <w:pStyle w:val="Bullet1"/>
        <w:rPr>
          <w:bCs/>
        </w:rPr>
      </w:pPr>
      <w:r>
        <w:rPr>
          <w:i/>
          <w:iCs/>
        </w:rPr>
        <w:t>T</w:t>
      </w:r>
      <w:r w:rsidR="00B16BDF">
        <w:rPr>
          <w:i/>
          <w:iCs/>
        </w:rPr>
        <w:t xml:space="preserve">he district should work with the school committee to redirect </w:t>
      </w:r>
      <w:r w:rsidR="00371FB1">
        <w:rPr>
          <w:i/>
          <w:iCs/>
        </w:rPr>
        <w:t>inquiries</w:t>
      </w:r>
      <w:r w:rsidR="00B16BDF">
        <w:rPr>
          <w:i/>
          <w:iCs/>
        </w:rPr>
        <w:t xml:space="preserve"> through these c</w:t>
      </w:r>
      <w:r w:rsidR="00452600">
        <w:rPr>
          <w:i/>
          <w:iCs/>
        </w:rPr>
        <w:t>ommunication channels</w:t>
      </w:r>
      <w:r w:rsidR="00371FB1">
        <w:rPr>
          <w:i/>
          <w:iCs/>
        </w:rPr>
        <w:t xml:space="preserve"> and reinforce the delineation of roles between the school committee and the district. </w:t>
      </w:r>
    </w:p>
    <w:p w14:paraId="0A858FD5" w14:textId="7546EED6" w:rsidR="00790339" w:rsidRPr="00781D4C" w:rsidRDefault="00BC7F7C" w:rsidP="00681FC3">
      <w:pPr>
        <w:pStyle w:val="Bullet1"/>
        <w:rPr>
          <w:bCs/>
          <w:i/>
          <w:iCs/>
        </w:rPr>
      </w:pPr>
      <w:r w:rsidRPr="00781D4C">
        <w:rPr>
          <w:bCs/>
          <w:i/>
          <w:iCs/>
        </w:rPr>
        <w:t>T</w:t>
      </w:r>
      <w:r w:rsidR="00681FC3" w:rsidRPr="00781D4C">
        <w:rPr>
          <w:bCs/>
          <w:i/>
          <w:iCs/>
        </w:rPr>
        <w:t>he district should</w:t>
      </w:r>
      <w:r w:rsidR="009E6E5C">
        <w:rPr>
          <w:bCs/>
          <w:i/>
          <w:iCs/>
        </w:rPr>
        <w:t xml:space="preserve"> </w:t>
      </w:r>
      <w:r w:rsidR="00905E29">
        <w:rPr>
          <w:bCs/>
          <w:i/>
          <w:iCs/>
        </w:rPr>
        <w:t xml:space="preserve">leverage </w:t>
      </w:r>
      <w:r w:rsidR="009E6E5C">
        <w:rPr>
          <w:bCs/>
          <w:i/>
          <w:iCs/>
        </w:rPr>
        <w:t xml:space="preserve">its </w:t>
      </w:r>
      <w:r w:rsidR="00EA1A65">
        <w:rPr>
          <w:bCs/>
          <w:i/>
          <w:iCs/>
        </w:rPr>
        <w:t>councils and committees</w:t>
      </w:r>
      <w:r w:rsidR="00B4017D">
        <w:rPr>
          <w:bCs/>
          <w:i/>
          <w:iCs/>
        </w:rPr>
        <w:t xml:space="preserve">, particularly those with </w:t>
      </w:r>
      <w:r w:rsidR="00D17273">
        <w:rPr>
          <w:bCs/>
          <w:i/>
          <w:iCs/>
        </w:rPr>
        <w:t>teachers and parents,</w:t>
      </w:r>
      <w:r w:rsidR="00EA1A65">
        <w:rPr>
          <w:bCs/>
          <w:i/>
          <w:iCs/>
        </w:rPr>
        <w:t xml:space="preserve"> </w:t>
      </w:r>
      <w:r w:rsidR="00F62EAB">
        <w:rPr>
          <w:bCs/>
          <w:i/>
          <w:iCs/>
        </w:rPr>
        <w:t xml:space="preserve">to </w:t>
      </w:r>
      <w:r w:rsidR="00B4017D">
        <w:rPr>
          <w:bCs/>
          <w:i/>
          <w:iCs/>
        </w:rPr>
        <w:t xml:space="preserve">provide direction and advice </w:t>
      </w:r>
      <w:r w:rsidR="00F62EAB">
        <w:rPr>
          <w:bCs/>
          <w:i/>
          <w:iCs/>
        </w:rPr>
        <w:t xml:space="preserve">on </w:t>
      </w:r>
      <w:r w:rsidR="00B4017D">
        <w:rPr>
          <w:bCs/>
          <w:i/>
          <w:iCs/>
        </w:rPr>
        <w:t xml:space="preserve">core district and school-based </w:t>
      </w:r>
      <w:r w:rsidR="00F62EAB">
        <w:rPr>
          <w:bCs/>
          <w:i/>
          <w:iCs/>
        </w:rPr>
        <w:t>decision</w:t>
      </w:r>
      <w:r w:rsidR="00B4017D">
        <w:rPr>
          <w:bCs/>
          <w:i/>
          <w:iCs/>
        </w:rPr>
        <w:t>s.</w:t>
      </w:r>
    </w:p>
    <w:p w14:paraId="0A481AB9" w14:textId="10D4792F" w:rsidR="002152DC" w:rsidRPr="00781D4C" w:rsidRDefault="00790339" w:rsidP="00681FC3">
      <w:pPr>
        <w:pStyle w:val="Bullet1"/>
        <w:rPr>
          <w:bCs/>
          <w:i/>
          <w:iCs/>
        </w:rPr>
      </w:pPr>
      <w:r w:rsidRPr="00781D4C">
        <w:rPr>
          <w:bCs/>
          <w:i/>
          <w:iCs/>
        </w:rPr>
        <w:t xml:space="preserve">The district should </w:t>
      </w:r>
      <w:r w:rsidR="00DE5527">
        <w:rPr>
          <w:bCs/>
          <w:i/>
          <w:iCs/>
        </w:rPr>
        <w:t xml:space="preserve">expand </w:t>
      </w:r>
      <w:r w:rsidR="00FB176B">
        <w:rPr>
          <w:bCs/>
          <w:i/>
          <w:iCs/>
        </w:rPr>
        <w:t xml:space="preserve">opportunities for </w:t>
      </w:r>
      <w:r w:rsidRPr="00781D4C">
        <w:rPr>
          <w:bCs/>
          <w:i/>
          <w:iCs/>
        </w:rPr>
        <w:t xml:space="preserve">curriculum directors </w:t>
      </w:r>
      <w:r w:rsidR="00DE5527">
        <w:rPr>
          <w:bCs/>
          <w:i/>
          <w:iCs/>
        </w:rPr>
        <w:t xml:space="preserve">to </w:t>
      </w:r>
      <w:r w:rsidR="00FB176B">
        <w:rPr>
          <w:bCs/>
          <w:i/>
          <w:iCs/>
        </w:rPr>
        <w:t xml:space="preserve">become more involved in </w:t>
      </w:r>
      <w:r w:rsidR="00B76DAC">
        <w:rPr>
          <w:bCs/>
          <w:i/>
          <w:iCs/>
        </w:rPr>
        <w:t xml:space="preserve">management and </w:t>
      </w:r>
      <w:r w:rsidR="002152DC" w:rsidRPr="00781D4C">
        <w:rPr>
          <w:bCs/>
          <w:i/>
          <w:iCs/>
        </w:rPr>
        <w:t>resource</w:t>
      </w:r>
      <w:r w:rsidRPr="00781D4C">
        <w:rPr>
          <w:bCs/>
          <w:i/>
          <w:iCs/>
        </w:rPr>
        <w:t xml:space="preserve"> allocation</w:t>
      </w:r>
      <w:r w:rsidR="00FB176B">
        <w:rPr>
          <w:bCs/>
          <w:i/>
          <w:iCs/>
        </w:rPr>
        <w:t xml:space="preserve"> decisions </w:t>
      </w:r>
      <w:r w:rsidR="008305E6">
        <w:rPr>
          <w:bCs/>
          <w:i/>
          <w:iCs/>
        </w:rPr>
        <w:t>in their areas of expertise</w:t>
      </w:r>
      <w:r w:rsidR="002152DC" w:rsidRPr="00781D4C">
        <w:rPr>
          <w:bCs/>
          <w:i/>
          <w:iCs/>
        </w:rPr>
        <w:t xml:space="preserve">. </w:t>
      </w:r>
    </w:p>
    <w:p w14:paraId="606F99AA" w14:textId="5C7CDC63" w:rsidR="002152DC" w:rsidRPr="00781D4C" w:rsidRDefault="002D611C" w:rsidP="00681FC3">
      <w:pPr>
        <w:pStyle w:val="Bullet1"/>
        <w:rPr>
          <w:bCs/>
          <w:i/>
          <w:iCs/>
        </w:rPr>
      </w:pPr>
      <w:r w:rsidRPr="00781D4C">
        <w:rPr>
          <w:bCs/>
          <w:i/>
          <w:iCs/>
        </w:rPr>
        <w:t xml:space="preserve">The district should design a process </w:t>
      </w:r>
      <w:r w:rsidR="008305E6">
        <w:rPr>
          <w:bCs/>
          <w:i/>
          <w:iCs/>
        </w:rPr>
        <w:t>that allows for</w:t>
      </w:r>
      <w:r w:rsidRPr="00781D4C">
        <w:rPr>
          <w:bCs/>
          <w:i/>
          <w:iCs/>
        </w:rPr>
        <w:t xml:space="preserve"> meaningful family and staff </w:t>
      </w:r>
      <w:r w:rsidR="000405FD">
        <w:rPr>
          <w:bCs/>
          <w:i/>
          <w:iCs/>
        </w:rPr>
        <w:t xml:space="preserve">input </w:t>
      </w:r>
      <w:r w:rsidR="00405B79">
        <w:rPr>
          <w:bCs/>
          <w:i/>
          <w:iCs/>
        </w:rPr>
        <w:t>to refine</w:t>
      </w:r>
      <w:r w:rsidR="00011273" w:rsidRPr="00781D4C">
        <w:rPr>
          <w:bCs/>
          <w:i/>
          <w:iCs/>
        </w:rPr>
        <w:t xml:space="preserve"> the </w:t>
      </w:r>
      <w:r w:rsidR="00C00253" w:rsidRPr="00781D4C">
        <w:rPr>
          <w:bCs/>
          <w:i/>
          <w:iCs/>
        </w:rPr>
        <w:t xml:space="preserve">district’s strategic plan. </w:t>
      </w:r>
    </w:p>
    <w:p w14:paraId="36858111" w14:textId="2C713FA6" w:rsidR="00C231D6" w:rsidRPr="00781D4C" w:rsidRDefault="007B5A2C" w:rsidP="00681FC3">
      <w:pPr>
        <w:pStyle w:val="Bullet1"/>
        <w:rPr>
          <w:bCs/>
          <w:i/>
          <w:iCs/>
        </w:rPr>
      </w:pPr>
      <w:r w:rsidRPr="00781D4C">
        <w:rPr>
          <w:bCs/>
          <w:i/>
          <w:iCs/>
        </w:rPr>
        <w:t>The district should create opportunities for</w:t>
      </w:r>
      <w:r w:rsidR="008C18D2" w:rsidRPr="00781D4C">
        <w:rPr>
          <w:bCs/>
          <w:i/>
          <w:iCs/>
        </w:rPr>
        <w:t xml:space="preserve"> school staff to contribute to </w:t>
      </w:r>
      <w:r w:rsidR="00781D4C" w:rsidRPr="00781D4C">
        <w:rPr>
          <w:bCs/>
          <w:i/>
          <w:iCs/>
        </w:rPr>
        <w:t xml:space="preserve">conversations regarding budget development and resource allocation. </w:t>
      </w:r>
    </w:p>
    <w:p w14:paraId="1DC738E6" w14:textId="0957D9B8" w:rsidR="008D6102" w:rsidRPr="00681FC3" w:rsidRDefault="008D6102" w:rsidP="00681FC3">
      <w:pPr>
        <w:pStyle w:val="Bullet1"/>
        <w:rPr>
          <w:bCs/>
        </w:rPr>
      </w:pPr>
      <w:r w:rsidRPr="00681FC3">
        <w:rPr>
          <w:bCs/>
        </w:rPr>
        <w:br w:type="page"/>
      </w:r>
    </w:p>
    <w:p w14:paraId="7EDE9323" w14:textId="77777777" w:rsidR="008D6102" w:rsidRPr="00CB0607" w:rsidRDefault="008D6102" w:rsidP="008D6102">
      <w:pPr>
        <w:pStyle w:val="Heading2"/>
      </w:pPr>
      <w:bookmarkStart w:id="28" w:name="_Curriculum_and_Instruction"/>
      <w:bookmarkStart w:id="29" w:name="_Toc101446228"/>
      <w:bookmarkStart w:id="30" w:name="_Toc170157275"/>
      <w:bookmarkEnd w:id="28"/>
      <w:r w:rsidRPr="00CB0607">
        <w:lastRenderedPageBreak/>
        <w:t>Curriculum and Instruction</w:t>
      </w:r>
      <w:bookmarkEnd w:id="29"/>
      <w:bookmarkEnd w:id="30"/>
    </w:p>
    <w:p w14:paraId="22927BAD" w14:textId="3D1FA386" w:rsidR="005E6AAF" w:rsidRPr="00BF1C44" w:rsidRDefault="005E6AAF" w:rsidP="005E6AAF">
      <w:pPr>
        <w:pStyle w:val="BodyText"/>
      </w:pPr>
      <w:r>
        <w:t xml:space="preserve">Hingham strives to ensure equitable, rigorous, and effective instruction for all students. Led </w:t>
      </w:r>
      <w:r w:rsidRPr="00BF1C44">
        <w:t>by curriculum directors, the district</w:t>
      </w:r>
      <w:r w:rsidR="00C56B1F">
        <w:t>’</w:t>
      </w:r>
      <w:r w:rsidRPr="00BF1C44">
        <w:t>s regular curricular review process incorporates input from various stakeholders to ensure the selection of standards-aligned curricul</w:t>
      </w:r>
      <w:r w:rsidR="00C56B1F">
        <w:t>a</w:t>
      </w:r>
      <w:r w:rsidRPr="00BF1C44">
        <w:t>. Every seven years, each department undergoes a thorough review involving research, stakeholder input, and piloting of new programs. Currently, the district u</w:t>
      </w:r>
      <w:r w:rsidR="00C56B1F">
        <w:t>s</w:t>
      </w:r>
      <w:r w:rsidRPr="00BF1C44">
        <w:t xml:space="preserve">es a combination of district-developed and published curricula, which have received </w:t>
      </w:r>
      <w:r w:rsidR="00764422">
        <w:t>mixed</w:t>
      </w:r>
      <w:r w:rsidRPr="00BF1C44">
        <w:t xml:space="preserve"> ratings </w:t>
      </w:r>
      <w:r w:rsidR="00EA048B">
        <w:t>from</w:t>
      </w:r>
      <w:r w:rsidR="00EA048B" w:rsidRPr="00BF1C44">
        <w:t xml:space="preserve"> </w:t>
      </w:r>
      <w:r w:rsidRPr="00BF1C44">
        <w:t>C</w:t>
      </w:r>
      <w:r w:rsidR="00C56B1F">
        <w:t>URATE</w:t>
      </w:r>
      <w:r w:rsidRPr="00BF1C44">
        <w:t xml:space="preserve"> and EdReports.</w:t>
      </w:r>
    </w:p>
    <w:p w14:paraId="689F5816" w14:textId="673472A0" w:rsidR="005E6AAF" w:rsidRPr="000F06B9" w:rsidRDefault="005E6AAF" w:rsidP="005E6AAF">
      <w:pPr>
        <w:pStyle w:val="BodyText"/>
      </w:pPr>
      <w:r w:rsidRPr="00BF1C44">
        <w:t>Documents and interviews with district and school leaders underscore Hingham</w:t>
      </w:r>
      <w:r w:rsidR="00C56B1F">
        <w:t>’</w:t>
      </w:r>
      <w:r w:rsidRPr="00BF1C44">
        <w:t xml:space="preserve">s </w:t>
      </w:r>
      <w:r>
        <w:t>commitment</w:t>
      </w:r>
      <w:r w:rsidRPr="00BF1C44">
        <w:t xml:space="preserve"> to</w:t>
      </w:r>
      <w:r>
        <w:t xml:space="preserve"> providing</w:t>
      </w:r>
      <w:r w:rsidRPr="00BF1C44">
        <w:t xml:space="preserve"> inclusive instruction</w:t>
      </w:r>
      <w:r>
        <w:t>. All educators have received professional learning a</w:t>
      </w:r>
      <w:r w:rsidR="00C56B1F">
        <w:t>bout</w:t>
      </w:r>
      <w:r>
        <w:t xml:space="preserve"> the UDL framework, and teachers at the middle and high schools continue to work with curriculum directors </w:t>
      </w:r>
      <w:r w:rsidR="00C56B1F">
        <w:t xml:space="preserve">in </w:t>
      </w:r>
      <w:r>
        <w:t>revising unit guides using UDL principles.</w:t>
      </w:r>
      <w:r w:rsidRPr="00BF1C44">
        <w:t xml:space="preserve"> The district also prioritizes equity and inclusion by expanding advanced coursework options at the high school level. </w:t>
      </w:r>
      <w:r w:rsidR="00C56B1F">
        <w:t>Although</w:t>
      </w:r>
      <w:r w:rsidR="00C56B1F" w:rsidRPr="00BF1C44">
        <w:t xml:space="preserve"> </w:t>
      </w:r>
      <w:r w:rsidRPr="00BF1C44">
        <w:t xml:space="preserve">a variety of enrichment and accelerated learning opportunities are available across all schools, feedback from parents, teachers, and support staff highlights the ongoing need to enhance accessibility of the curriculum and instruction, particularly for students with disabilities. </w:t>
      </w:r>
    </w:p>
    <w:p w14:paraId="440345B1" w14:textId="77777777" w:rsidR="005E6AAF" w:rsidRPr="00CB0607" w:rsidRDefault="005E6AAF" w:rsidP="005E6AAF">
      <w:pPr>
        <w:pStyle w:val="BodyText"/>
      </w:pPr>
      <w:r w:rsidRPr="00CB0607">
        <w:t xml:space="preserve">Table </w:t>
      </w:r>
      <w:r>
        <w:t>3</w:t>
      </w:r>
      <w:r w:rsidRPr="00CB0607">
        <w:t xml:space="preserve"> summarizes key strengths and areas for growth in curriculum and instruction.</w:t>
      </w:r>
    </w:p>
    <w:p w14:paraId="621BCC72" w14:textId="77777777" w:rsidR="00703AF6" w:rsidRDefault="00703AF6">
      <w:pPr>
        <w:spacing w:line="240" w:lineRule="auto"/>
        <w:rPr>
          <w:rFonts w:ascii="Franklin Gothic Demi" w:hAnsi="Franklin Gothic Demi"/>
        </w:rPr>
      </w:pPr>
      <w:r>
        <w:br w:type="page"/>
      </w:r>
    </w:p>
    <w:p w14:paraId="4C958140" w14:textId="053BCC5D" w:rsidR="005E6AAF" w:rsidRPr="00CB0607" w:rsidRDefault="005E6AAF" w:rsidP="005E6AAF">
      <w:pPr>
        <w:pStyle w:val="TableTitle0"/>
      </w:pPr>
      <w:r w:rsidRPr="00CB0607">
        <w:lastRenderedPageBreak/>
        <w:t xml:space="preserve">Table </w:t>
      </w:r>
      <w:r>
        <w:t>3</w:t>
      </w:r>
      <w:r w:rsidRPr="00CB0607">
        <w:t>. Summary of Key Strengths and Areas for Growth: Curriculum and Instruction Standard</w:t>
      </w:r>
    </w:p>
    <w:tbl>
      <w:tblPr>
        <w:tblStyle w:val="MSVTable1"/>
        <w:tblW w:w="5000" w:type="pct"/>
        <w:tblLook w:val="04A0" w:firstRow="1" w:lastRow="0" w:firstColumn="1" w:lastColumn="0" w:noHBand="0" w:noVBand="1"/>
      </w:tblPr>
      <w:tblGrid>
        <w:gridCol w:w="2064"/>
        <w:gridCol w:w="3597"/>
        <w:gridCol w:w="3683"/>
      </w:tblGrid>
      <w:tr w:rsidR="005E6AAF" w:rsidRPr="00CB0607" w14:paraId="6E70096C" w14:textId="77777777">
        <w:trPr>
          <w:cnfStyle w:val="100000000000" w:firstRow="1" w:lastRow="0" w:firstColumn="0" w:lastColumn="0" w:oddVBand="0" w:evenVBand="0" w:oddHBand="0" w:evenHBand="0" w:firstRowFirstColumn="0" w:firstRowLastColumn="0" w:lastRowFirstColumn="0" w:lastRowLastColumn="0"/>
        </w:trPr>
        <w:tc>
          <w:tcPr>
            <w:tcW w:w="1104" w:type="pct"/>
          </w:tcPr>
          <w:p w14:paraId="1E8C47F3" w14:textId="77777777" w:rsidR="005E6AAF" w:rsidRPr="00CB0607" w:rsidRDefault="005E6AAF">
            <w:pPr>
              <w:pStyle w:val="TableColHeadingCenter"/>
            </w:pPr>
            <w:r w:rsidRPr="00CB0607">
              <w:t>Indicator</w:t>
            </w:r>
          </w:p>
        </w:tc>
        <w:tc>
          <w:tcPr>
            <w:tcW w:w="1925" w:type="pct"/>
          </w:tcPr>
          <w:p w14:paraId="06B0E4A3" w14:textId="77777777" w:rsidR="005E6AAF" w:rsidRPr="00CB0607" w:rsidRDefault="005E6AAF">
            <w:pPr>
              <w:pStyle w:val="TableColHeadingCenter"/>
            </w:pPr>
            <w:r w:rsidRPr="00CB0607">
              <w:t>Strengths</w:t>
            </w:r>
          </w:p>
        </w:tc>
        <w:tc>
          <w:tcPr>
            <w:tcW w:w="1971" w:type="pct"/>
          </w:tcPr>
          <w:p w14:paraId="4B3FECE6" w14:textId="77777777" w:rsidR="005E6AAF" w:rsidRPr="00CB0607" w:rsidRDefault="005E6AAF">
            <w:pPr>
              <w:pStyle w:val="TableColHeadingCenter"/>
            </w:pPr>
            <w:r w:rsidRPr="00CB0607">
              <w:t>Areas for growth</w:t>
            </w:r>
          </w:p>
        </w:tc>
      </w:tr>
      <w:tr w:rsidR="005E6AAF" w:rsidRPr="00CB0607" w14:paraId="2AB4FDAC" w14:textId="77777777">
        <w:trPr>
          <w:cnfStyle w:val="000000100000" w:firstRow="0" w:lastRow="0" w:firstColumn="0" w:lastColumn="0" w:oddVBand="0" w:evenVBand="0" w:oddHBand="1" w:evenHBand="0" w:firstRowFirstColumn="0" w:firstRowLastColumn="0" w:lastRowFirstColumn="0" w:lastRowLastColumn="0"/>
        </w:trPr>
        <w:tc>
          <w:tcPr>
            <w:tcW w:w="1104" w:type="pct"/>
          </w:tcPr>
          <w:p w14:paraId="5B265437" w14:textId="77777777" w:rsidR="005E6AAF" w:rsidRPr="00CB0607" w:rsidRDefault="00000000">
            <w:pPr>
              <w:pStyle w:val="TableSubheading"/>
            </w:pPr>
            <w:hyperlink w:anchor="_Curriculum_Selection_and" w:history="1">
              <w:r w:rsidR="005E6AAF" w:rsidRPr="00B527CE">
                <w:rPr>
                  <w:rStyle w:val="Hyperlink"/>
                </w:rPr>
                <w:t>Curriculum selection and use</w:t>
              </w:r>
            </w:hyperlink>
          </w:p>
        </w:tc>
        <w:tc>
          <w:tcPr>
            <w:tcW w:w="1925" w:type="pct"/>
          </w:tcPr>
          <w:p w14:paraId="6879B60B" w14:textId="01D11231" w:rsidR="005E6AAF" w:rsidRPr="00A01F49" w:rsidRDefault="005E6AAF">
            <w:pPr>
              <w:pStyle w:val="TableBullet1"/>
            </w:pPr>
            <w:r w:rsidRPr="00A01F49">
              <w:t xml:space="preserve">The district conducts regular and </w:t>
            </w:r>
            <w:r>
              <w:t>structured</w:t>
            </w:r>
            <w:r w:rsidRPr="00A01F49">
              <w:t xml:space="preserve"> reviews of curricul</w:t>
            </w:r>
            <w:r>
              <w:t>a</w:t>
            </w:r>
            <w:r w:rsidRPr="00A01F49">
              <w:t xml:space="preserve"> that </w:t>
            </w:r>
            <w:r w:rsidR="00483AA2">
              <w:t xml:space="preserve">are </w:t>
            </w:r>
            <w:r>
              <w:t>inclusive of multiple stakeholders.</w:t>
            </w:r>
            <w:r w:rsidRPr="00A01F49">
              <w:t xml:space="preserve"> </w:t>
            </w:r>
          </w:p>
          <w:p w14:paraId="2049ABB3" w14:textId="77777777" w:rsidR="005E6AAF" w:rsidRPr="00CB0607" w:rsidRDefault="005E6AAF">
            <w:pPr>
              <w:pStyle w:val="TableBullet1"/>
            </w:pPr>
            <w:r>
              <w:t xml:space="preserve">Curriculum directors provide multiple supports and resources to support </w:t>
            </w:r>
            <w:r w:rsidRPr="00A01F49">
              <w:t>consistent implementation of curriculum across classrooms</w:t>
            </w:r>
            <w:r>
              <w:t xml:space="preserve"> and schools.</w:t>
            </w:r>
          </w:p>
        </w:tc>
        <w:tc>
          <w:tcPr>
            <w:tcW w:w="1971" w:type="pct"/>
          </w:tcPr>
          <w:p w14:paraId="783D8059" w14:textId="77777777" w:rsidR="005E6AAF" w:rsidRDefault="00BD0B6A">
            <w:pPr>
              <w:pStyle w:val="TableBullet1"/>
            </w:pPr>
            <w:r>
              <w:t xml:space="preserve">Ensuring </w:t>
            </w:r>
            <w:r w:rsidR="005E6AAF">
              <w:t xml:space="preserve">curricular supports </w:t>
            </w:r>
            <w:r>
              <w:t xml:space="preserve">are accessible </w:t>
            </w:r>
            <w:r w:rsidR="005E6AAF">
              <w:t>to students with learning disabilities</w:t>
            </w:r>
          </w:p>
          <w:p w14:paraId="454CB47D" w14:textId="22802C94" w:rsidR="005E6AAF" w:rsidRPr="00CB0607" w:rsidRDefault="0091201E">
            <w:pPr>
              <w:pStyle w:val="TableBullet1"/>
            </w:pPr>
            <w:r>
              <w:t xml:space="preserve">Ensuring all students, especially elementary students have access to science curricula that </w:t>
            </w:r>
            <w:r w:rsidR="00B87BE2">
              <w:t>meet</w:t>
            </w:r>
            <w:r>
              <w:t xml:space="preserve"> expectations on CURATE or EdReports</w:t>
            </w:r>
          </w:p>
        </w:tc>
      </w:tr>
      <w:tr w:rsidR="005E6AAF" w:rsidRPr="00CB0607" w14:paraId="270320BD" w14:textId="77777777">
        <w:tc>
          <w:tcPr>
            <w:tcW w:w="1104" w:type="pct"/>
          </w:tcPr>
          <w:p w14:paraId="7C74764A" w14:textId="77777777" w:rsidR="005E6AAF" w:rsidRPr="00CB0607" w:rsidRDefault="00000000">
            <w:pPr>
              <w:pStyle w:val="TableSubheading"/>
            </w:pPr>
            <w:hyperlink w:anchor="_Classroom_Instruction" w:history="1">
              <w:r w:rsidR="005E6AAF" w:rsidRPr="00B527CE">
                <w:rPr>
                  <w:rStyle w:val="Hyperlink"/>
                </w:rPr>
                <w:t>Classroom instruction</w:t>
              </w:r>
            </w:hyperlink>
          </w:p>
        </w:tc>
        <w:tc>
          <w:tcPr>
            <w:tcW w:w="1925" w:type="pct"/>
          </w:tcPr>
          <w:p w14:paraId="1AEAE7AD" w14:textId="417DC857" w:rsidR="005E6AAF" w:rsidRPr="00CB0607" w:rsidRDefault="005E6AAF">
            <w:pPr>
              <w:pStyle w:val="TableBullet1"/>
            </w:pPr>
            <w:r>
              <w:t xml:space="preserve">The district prioritizes implementation of a </w:t>
            </w:r>
            <w:r w:rsidR="00C56B1F">
              <w:t>UDL</w:t>
            </w:r>
            <w:r w:rsidRPr="00B80D9F">
              <w:t xml:space="preserve"> </w:t>
            </w:r>
            <w:r>
              <w:t xml:space="preserve">framework </w:t>
            </w:r>
            <w:r w:rsidRPr="00B80D9F">
              <w:t xml:space="preserve">and inclusive practices </w:t>
            </w:r>
            <w:r>
              <w:t>for instruction.</w:t>
            </w:r>
          </w:p>
        </w:tc>
        <w:tc>
          <w:tcPr>
            <w:tcW w:w="1971" w:type="pct"/>
          </w:tcPr>
          <w:p w14:paraId="40C695D0" w14:textId="77777777" w:rsidR="005E6AAF" w:rsidRDefault="005E6AAF">
            <w:pPr>
              <w:pStyle w:val="TableBullet1"/>
            </w:pPr>
            <w:r>
              <w:t>Providing sufficient instructional guidance to teachers in the middle and high schools</w:t>
            </w:r>
          </w:p>
          <w:p w14:paraId="1D6E2EB9" w14:textId="78EDB1CD" w:rsidR="005E6AAF" w:rsidRPr="00CB0607" w:rsidRDefault="006D6796">
            <w:pPr>
              <w:pStyle w:val="TableBullet1"/>
            </w:pPr>
            <w:r>
              <w:t>Revis</w:t>
            </w:r>
            <w:r w:rsidR="00703AF6">
              <w:t>it</w:t>
            </w:r>
            <w:r>
              <w:t xml:space="preserve">ing the instructional practices </w:t>
            </w:r>
            <w:r w:rsidR="00703AF6">
              <w:t xml:space="preserve">and schedule </w:t>
            </w:r>
            <w:r>
              <w:t>for social-emotional learning and promotion of the well-being of both students and staff</w:t>
            </w:r>
          </w:p>
        </w:tc>
      </w:tr>
      <w:tr w:rsidR="005E6AAF" w:rsidRPr="00CB0607" w14:paraId="704AC973" w14:textId="77777777">
        <w:trPr>
          <w:cnfStyle w:val="000000100000" w:firstRow="0" w:lastRow="0" w:firstColumn="0" w:lastColumn="0" w:oddVBand="0" w:evenVBand="0" w:oddHBand="1" w:evenHBand="0" w:firstRowFirstColumn="0" w:firstRowLastColumn="0" w:lastRowFirstColumn="0" w:lastRowLastColumn="0"/>
        </w:trPr>
        <w:tc>
          <w:tcPr>
            <w:tcW w:w="1104" w:type="pct"/>
          </w:tcPr>
          <w:p w14:paraId="3E0BA89C" w14:textId="2D13DDA3" w:rsidR="005E6AAF" w:rsidRPr="00CB0607" w:rsidRDefault="00000000">
            <w:pPr>
              <w:pStyle w:val="TableSubheading"/>
            </w:pPr>
            <w:hyperlink w:anchor="_Student_Access_to" w:history="1">
              <w:r w:rsidR="005E6AAF" w:rsidRPr="00B527CE">
                <w:rPr>
                  <w:rStyle w:val="Hyperlink"/>
                </w:rPr>
                <w:t>Student access to coursework</w:t>
              </w:r>
            </w:hyperlink>
          </w:p>
        </w:tc>
        <w:tc>
          <w:tcPr>
            <w:tcW w:w="1925" w:type="pct"/>
          </w:tcPr>
          <w:p w14:paraId="60503A1E" w14:textId="15BC0032" w:rsidR="005E6AAF" w:rsidRPr="00CB0607" w:rsidRDefault="005E6AAF">
            <w:pPr>
              <w:pStyle w:val="TableBullet1"/>
            </w:pPr>
            <w:r>
              <w:t>A variety</w:t>
            </w:r>
            <w:r w:rsidRPr="004C7E3A">
              <w:t xml:space="preserve"> of rigorous learning </w:t>
            </w:r>
            <w:r>
              <w:t xml:space="preserve">experiences, including </w:t>
            </w:r>
            <w:r w:rsidRPr="004C7E3A">
              <w:t>A</w:t>
            </w:r>
            <w:r w:rsidR="00C56B1F">
              <w:t>P</w:t>
            </w:r>
            <w:r w:rsidRPr="004C7E3A">
              <w:t xml:space="preserve"> courses, dual enrollment opportunities, and </w:t>
            </w:r>
            <w:r>
              <w:t>career pathways are available at the high school.</w:t>
            </w:r>
          </w:p>
        </w:tc>
        <w:tc>
          <w:tcPr>
            <w:tcW w:w="1971" w:type="pct"/>
          </w:tcPr>
          <w:p w14:paraId="00D27BC0" w14:textId="68603BE7" w:rsidR="005E6AAF" w:rsidRDefault="005E6AAF">
            <w:pPr>
              <w:pStyle w:val="TableBullet1"/>
            </w:pPr>
            <w:r>
              <w:t>Improving the accessibility of noncore classes, particularly for students receiving instructional interventions</w:t>
            </w:r>
          </w:p>
          <w:p w14:paraId="25E228FA" w14:textId="77777777" w:rsidR="005E6AAF" w:rsidRPr="00CB0607" w:rsidRDefault="005E6AAF">
            <w:pPr>
              <w:pStyle w:val="TableBullet1"/>
            </w:pPr>
            <w:r>
              <w:t>E</w:t>
            </w:r>
            <w:r w:rsidRPr="00EB52B1">
              <w:t>nhancing communication about available courses and opportunities for all students</w:t>
            </w:r>
            <w:r>
              <w:t>, particularly the dual enrollment program</w:t>
            </w:r>
          </w:p>
        </w:tc>
      </w:tr>
    </w:tbl>
    <w:p w14:paraId="001F22D3" w14:textId="77777777" w:rsidR="005E6AAF" w:rsidRDefault="005E6AAF" w:rsidP="005E6AAF">
      <w:pPr>
        <w:pStyle w:val="Heading3"/>
      </w:pPr>
      <w:bookmarkStart w:id="31" w:name="_Curriculum_Selection_and"/>
      <w:bookmarkEnd w:id="31"/>
      <w:r w:rsidRPr="00CB0607">
        <w:t>Curriculum Selection and Use</w:t>
      </w:r>
    </w:p>
    <w:p w14:paraId="4587B305" w14:textId="51CAF7D0" w:rsidR="005E6AAF" w:rsidRDefault="005E6AAF" w:rsidP="005E6AAF">
      <w:pPr>
        <w:pStyle w:val="BodyTextposthead"/>
      </w:pPr>
      <w:r>
        <w:t xml:space="preserve">According to a </w:t>
      </w:r>
      <w:r w:rsidRPr="00C810C9">
        <w:t>review of</w:t>
      </w:r>
      <w:r>
        <w:t xml:space="preserve"> Hingham’</w:t>
      </w:r>
      <w:r w:rsidRPr="00C810C9">
        <w:t xml:space="preserve">s </w:t>
      </w:r>
      <w:r>
        <w:t xml:space="preserve">curricula </w:t>
      </w:r>
      <w:r w:rsidRPr="00C810C9">
        <w:t>table</w:t>
      </w:r>
      <w:r>
        <w:t>, Hingham uses a combination of published and district-developed curricula across its grade levels.</w:t>
      </w:r>
      <w:r w:rsidR="00AD7675">
        <w:t xml:space="preserve"> For ELA, the district had previously used Journeys 2012 Edition (not rated by C</w:t>
      </w:r>
      <w:r w:rsidR="00C56B1F">
        <w:t>URATE;</w:t>
      </w:r>
      <w:r w:rsidR="00AD7675">
        <w:t xml:space="preserve"> rated as </w:t>
      </w:r>
      <w:r w:rsidR="00C56B1F">
        <w:t>d</w:t>
      </w:r>
      <w:r w:rsidR="00AD7675">
        <w:t xml:space="preserve">oes </w:t>
      </w:r>
      <w:r w:rsidR="00C56B1F">
        <w:t>n</w:t>
      </w:r>
      <w:r w:rsidR="00AD7675">
        <w:t xml:space="preserve">ot </w:t>
      </w:r>
      <w:r w:rsidR="00C56B1F">
        <w:t>m</w:t>
      </w:r>
      <w:r w:rsidR="00AD7675">
        <w:t xml:space="preserve">eet </w:t>
      </w:r>
      <w:r w:rsidR="00C56B1F">
        <w:t>e</w:t>
      </w:r>
      <w:r w:rsidR="00AD7675">
        <w:t>xpectations by EdReports) for Grades</w:t>
      </w:r>
      <w:r w:rsidR="00C56B1F">
        <w:t> </w:t>
      </w:r>
      <w:r w:rsidR="00AD7675">
        <w:t xml:space="preserve">K-5, but </w:t>
      </w:r>
      <w:r w:rsidR="00C56B1F">
        <w:t xml:space="preserve">it </w:t>
      </w:r>
      <w:r w:rsidR="00AD7675">
        <w:t xml:space="preserve">adopted Into Reading (rated as </w:t>
      </w:r>
      <w:r w:rsidR="00C56B1F">
        <w:t>m</w:t>
      </w:r>
      <w:r w:rsidR="00AD7675">
        <w:t xml:space="preserve">eets </w:t>
      </w:r>
      <w:r w:rsidR="00C56B1F">
        <w:t>e</w:t>
      </w:r>
      <w:r w:rsidR="00AD7675">
        <w:t xml:space="preserve">xpectations by both </w:t>
      </w:r>
      <w:r w:rsidR="00C56B1F">
        <w:t xml:space="preserve">CURATE </w:t>
      </w:r>
      <w:r w:rsidR="00AD7675">
        <w:t xml:space="preserve">and EdReports) starting in the </w:t>
      </w:r>
      <w:r w:rsidR="00C56B1F">
        <w:t>20</w:t>
      </w:r>
      <w:r w:rsidR="00AD7675">
        <w:t>23-</w:t>
      </w:r>
      <w:r w:rsidR="00C56B1F">
        <w:t>20</w:t>
      </w:r>
      <w:r w:rsidR="00AD7675">
        <w:t xml:space="preserve">24 school year. The district uses district-developed </w:t>
      </w:r>
      <w:r w:rsidR="00F617C9">
        <w:t xml:space="preserve">ELA </w:t>
      </w:r>
      <w:r w:rsidR="00AD7675">
        <w:t xml:space="preserve">materials for </w:t>
      </w:r>
      <w:r w:rsidR="00C56B1F">
        <w:t>G</w:t>
      </w:r>
      <w:r w:rsidR="00AD7675">
        <w:t>rades 6-12.</w:t>
      </w:r>
      <w:r w:rsidR="00AD7675" w:rsidRPr="00202029">
        <w:t xml:space="preserve"> </w:t>
      </w:r>
      <w:r w:rsidRPr="001B1BFA">
        <w:t xml:space="preserve">In Grades K-5, </w:t>
      </w:r>
      <w:r>
        <w:t>Hingham’s</w:t>
      </w:r>
      <w:r w:rsidRPr="001B1BFA">
        <w:t xml:space="preserve"> mathematics curriculum (</w:t>
      </w:r>
      <w:r>
        <w:t>Everyday Math 4</w:t>
      </w:r>
      <w:r w:rsidR="00C56B1F">
        <w:t>,</w:t>
      </w:r>
      <w:r>
        <w:t xml:space="preserve"> 2015-2016</w:t>
      </w:r>
      <w:r w:rsidR="001974B5">
        <w:rPr>
          <w:rStyle w:val="FootnoteReference"/>
        </w:rPr>
        <w:footnoteReference w:id="7"/>
      </w:r>
      <w:r w:rsidRPr="001B1BFA">
        <w:t>)</w:t>
      </w:r>
      <w:r>
        <w:t xml:space="preserve"> </w:t>
      </w:r>
      <w:r w:rsidR="00C56B1F">
        <w:t>has no rating</w:t>
      </w:r>
      <w:r>
        <w:t xml:space="preserve"> by </w:t>
      </w:r>
      <w:r w:rsidR="00C56B1F">
        <w:t xml:space="preserve">CURATE </w:t>
      </w:r>
      <w:r>
        <w:t xml:space="preserve">and </w:t>
      </w:r>
      <w:r w:rsidR="00C56B1F">
        <w:t>has</w:t>
      </w:r>
      <w:r>
        <w:t xml:space="preserve"> a </w:t>
      </w:r>
      <w:r w:rsidR="00C56B1F">
        <w:t>d</w:t>
      </w:r>
      <w:r>
        <w:t>oes</w:t>
      </w:r>
      <w:r w:rsidRPr="001B1BFA">
        <w:t xml:space="preserve"> </w:t>
      </w:r>
      <w:r w:rsidR="00C56B1F">
        <w:t>n</w:t>
      </w:r>
      <w:r>
        <w:t xml:space="preserve">ot </w:t>
      </w:r>
      <w:r w:rsidR="00C56B1F">
        <w:t>m</w:t>
      </w:r>
      <w:r>
        <w:t xml:space="preserve">eet </w:t>
      </w:r>
      <w:r w:rsidR="00C56B1F">
        <w:t>e</w:t>
      </w:r>
      <w:r>
        <w:t>xpectations by EdReports. Its mathematics curriculum for Grade 6 (Big Ideas Math 2013</w:t>
      </w:r>
      <w:r w:rsidR="00BB5C1A" w:rsidRPr="00BB5C1A">
        <w:rPr>
          <w:vertAlign w:val="superscript"/>
        </w:rPr>
        <w:t>6</w:t>
      </w:r>
      <w:r>
        <w:t xml:space="preserve">) also </w:t>
      </w:r>
      <w:r w:rsidR="00C56B1F">
        <w:t>has no</w:t>
      </w:r>
      <w:r>
        <w:t xml:space="preserve"> </w:t>
      </w:r>
      <w:r w:rsidR="00C56B1F">
        <w:t xml:space="preserve">CURATE rating </w:t>
      </w:r>
      <w:r>
        <w:t xml:space="preserve">and </w:t>
      </w:r>
      <w:r w:rsidR="00C56B1F">
        <w:t>d</w:t>
      </w:r>
      <w:r>
        <w:t xml:space="preserve">oes </w:t>
      </w:r>
      <w:r w:rsidR="00C56B1F">
        <w:t>n</w:t>
      </w:r>
      <w:r>
        <w:t xml:space="preserve">ot </w:t>
      </w:r>
      <w:r w:rsidR="00C56B1F">
        <w:t>m</w:t>
      </w:r>
      <w:r>
        <w:t xml:space="preserve">eet </w:t>
      </w:r>
      <w:r w:rsidR="00C56B1F">
        <w:t>e</w:t>
      </w:r>
      <w:r>
        <w:t>xpectations by EdReports</w:t>
      </w:r>
      <w:r w:rsidR="00C56B1F">
        <w:t>.</w:t>
      </w:r>
      <w:r>
        <w:t xml:space="preserve"> </w:t>
      </w:r>
      <w:r w:rsidR="00C56B1F">
        <w:t>I</w:t>
      </w:r>
      <w:r>
        <w:t xml:space="preserve">ts mathematics curriculum for Grades 7-8 (Desmos Math) </w:t>
      </w:r>
      <w:r w:rsidR="00C56B1F">
        <w:t>has a</w:t>
      </w:r>
      <w:r>
        <w:t xml:space="preserve"> </w:t>
      </w:r>
      <w:r w:rsidR="00C56B1F">
        <w:t>m</w:t>
      </w:r>
      <w:r>
        <w:t xml:space="preserve">eets </w:t>
      </w:r>
      <w:r w:rsidR="00C56B1F">
        <w:t>e</w:t>
      </w:r>
      <w:r>
        <w:t xml:space="preserve">xpectations </w:t>
      </w:r>
      <w:r w:rsidR="00C56B1F">
        <w:t xml:space="preserve">rating </w:t>
      </w:r>
      <w:r>
        <w:t xml:space="preserve">by EdReports </w:t>
      </w:r>
      <w:r w:rsidR="00C56B1F">
        <w:t>but no rating</w:t>
      </w:r>
      <w:r>
        <w:t xml:space="preserve"> by </w:t>
      </w:r>
      <w:r w:rsidR="00C56B1F">
        <w:t>CURATE</w:t>
      </w:r>
      <w:r>
        <w:t xml:space="preserve">. For Grades 9-12, the district uses a combination of district-developed materials and the Common Core for Algebra 1-2 and Geometry (rated as </w:t>
      </w:r>
      <w:r w:rsidR="00C56B1F">
        <w:t>p</w:t>
      </w:r>
      <w:r>
        <w:t xml:space="preserve">artially </w:t>
      </w:r>
      <w:r w:rsidR="00C56B1F">
        <w:t>m</w:t>
      </w:r>
      <w:r>
        <w:t xml:space="preserve">eets </w:t>
      </w:r>
      <w:r w:rsidR="00C56B1F">
        <w:t>e</w:t>
      </w:r>
      <w:r>
        <w:t>xpectations by EdReports</w:t>
      </w:r>
      <w:r w:rsidR="00C56B1F">
        <w:t>;</w:t>
      </w:r>
      <w:r>
        <w:t xml:space="preserve"> not rated by </w:t>
      </w:r>
      <w:r w:rsidR="00C56B1F">
        <w:t>CURATE</w:t>
      </w:r>
      <w:r>
        <w:t xml:space="preserve">). The district uses a combination of </w:t>
      </w:r>
      <w:r w:rsidR="00C56B1F">
        <w:t xml:space="preserve">curricula </w:t>
      </w:r>
      <w:r>
        <w:t xml:space="preserve">for science in Grades K-6, including FOSS </w:t>
      </w:r>
      <w:r w:rsidRPr="001B1BFA">
        <w:t>(not rated</w:t>
      </w:r>
      <w:r>
        <w:t xml:space="preserve"> by </w:t>
      </w:r>
      <w:r w:rsidR="00C56B1F">
        <w:t>CURATE;</w:t>
      </w:r>
      <w:r>
        <w:t xml:space="preserve"> rated as </w:t>
      </w:r>
      <w:r w:rsidR="00C56B1F">
        <w:t>d</w:t>
      </w:r>
      <w:r>
        <w:t xml:space="preserve">oes </w:t>
      </w:r>
      <w:r w:rsidR="00C56B1F">
        <w:t>n</w:t>
      </w:r>
      <w:r>
        <w:t xml:space="preserve">ot </w:t>
      </w:r>
      <w:r w:rsidR="00C56B1F">
        <w:t>m</w:t>
      </w:r>
      <w:r>
        <w:t xml:space="preserve">eet </w:t>
      </w:r>
      <w:r w:rsidR="00C56B1F">
        <w:t>e</w:t>
      </w:r>
      <w:r>
        <w:t>xpectations by EdReports</w:t>
      </w:r>
      <w:r w:rsidRPr="001B1BFA">
        <w:t>)</w:t>
      </w:r>
      <w:r>
        <w:t>, Mystery Science</w:t>
      </w:r>
      <w:r w:rsidRPr="001B1BFA">
        <w:t xml:space="preserve"> (not rated by </w:t>
      </w:r>
      <w:r w:rsidR="00C56B1F" w:rsidRPr="001B1BFA">
        <w:t>C</w:t>
      </w:r>
      <w:r w:rsidR="00C56B1F">
        <w:t xml:space="preserve">URATE </w:t>
      </w:r>
      <w:r>
        <w:t>or EdReports</w:t>
      </w:r>
      <w:r w:rsidRPr="001B1BFA">
        <w:t>)</w:t>
      </w:r>
      <w:r>
        <w:t xml:space="preserve">, and Smithsonian Science for the Classroom (not rated by </w:t>
      </w:r>
      <w:r w:rsidR="00C56B1F">
        <w:t>CURATE;</w:t>
      </w:r>
      <w:r>
        <w:t xml:space="preserve"> rated as </w:t>
      </w:r>
      <w:r w:rsidR="00C56B1F">
        <w:t>m</w:t>
      </w:r>
      <w:r>
        <w:t xml:space="preserve">eets </w:t>
      </w:r>
      <w:r w:rsidR="00C56B1F">
        <w:t>e</w:t>
      </w:r>
      <w:r>
        <w:t xml:space="preserve">xpectations by </w:t>
      </w:r>
      <w:r>
        <w:lastRenderedPageBreak/>
        <w:t>EdReports). The district uses OpenS</w:t>
      </w:r>
      <w:r w:rsidR="007C2D91">
        <w:t>c</w:t>
      </w:r>
      <w:r>
        <w:t xml:space="preserve">iEd (rated as </w:t>
      </w:r>
      <w:r w:rsidR="00C56B1F">
        <w:t>m</w:t>
      </w:r>
      <w:r>
        <w:t xml:space="preserve">eets </w:t>
      </w:r>
      <w:r w:rsidR="00C56B1F">
        <w:t>e</w:t>
      </w:r>
      <w:r>
        <w:t xml:space="preserve">xpectations by both </w:t>
      </w:r>
      <w:r w:rsidR="00C56B1F">
        <w:t xml:space="preserve">CURATE </w:t>
      </w:r>
      <w:r>
        <w:t xml:space="preserve">and EdReports) for Grades 6-8 and district-developed curriculum for Grades 9-12. </w:t>
      </w:r>
      <w:r w:rsidR="006D1565">
        <w:t xml:space="preserve">Ensuring </w:t>
      </w:r>
      <w:r w:rsidR="0091201E">
        <w:t>all students, especially elementary students</w:t>
      </w:r>
      <w:r w:rsidR="00D543CF">
        <w:t>,</w:t>
      </w:r>
      <w:r w:rsidR="0091201E">
        <w:t xml:space="preserve"> have access to science curricula that </w:t>
      </w:r>
      <w:r w:rsidR="00B87BE2">
        <w:t>meet</w:t>
      </w:r>
      <w:r w:rsidR="0091201E">
        <w:t xml:space="preserve"> expectations on CURATE or EdReports</w:t>
      </w:r>
      <w:r w:rsidR="00B87BE2">
        <w:t>,</w:t>
      </w:r>
      <w:r w:rsidR="0091201E">
        <w:t xml:space="preserve"> is an area for growth.</w:t>
      </w:r>
    </w:p>
    <w:p w14:paraId="01EBB3C5" w14:textId="565EC525" w:rsidR="005E6AAF" w:rsidRDefault="005E6AAF" w:rsidP="00F17541">
      <w:pPr>
        <w:pStyle w:val="BodyText"/>
      </w:pPr>
      <w:r>
        <w:t>District leaders and documents described a regular and structured curricul</w:t>
      </w:r>
      <w:r w:rsidR="00D42D64">
        <w:t>ar</w:t>
      </w:r>
      <w:r>
        <w:t xml:space="preserve"> review process inclusive of multiple stakeholders</w:t>
      </w:r>
      <w:r w:rsidR="00ED0396">
        <w:t xml:space="preserve">, which is </w:t>
      </w:r>
      <w:r>
        <w:t>a strength for the district. Every seven years, each department undergoes a formal curricul</w:t>
      </w:r>
      <w:r w:rsidR="00D42D64">
        <w:t>ar</w:t>
      </w:r>
      <w:r>
        <w:t xml:space="preserve"> review consisting of two phases. First, in the </w:t>
      </w:r>
      <w:r w:rsidR="00D42D64">
        <w:t>s</w:t>
      </w:r>
      <w:r>
        <w:t xml:space="preserve">elf-study </w:t>
      </w:r>
      <w:r w:rsidR="00D42D64">
        <w:t>p</w:t>
      </w:r>
      <w:r>
        <w:t xml:space="preserve">hase, the </w:t>
      </w:r>
      <w:r w:rsidR="00D42D64">
        <w:t>a</w:t>
      </w:r>
      <w:r>
        <w:t xml:space="preserve">ssistant </w:t>
      </w:r>
      <w:r w:rsidR="00D42D64">
        <w:t>s</w:t>
      </w:r>
      <w:r>
        <w:t xml:space="preserve">uperintendent and appropriate curriculum directors and coordinators will research available curricular options, analyze assessment data, compare programs from similar districts, and gather input from stakeholders to narrow down a few options. Then, in the </w:t>
      </w:r>
      <w:r w:rsidR="00D42D64">
        <w:t>a</w:t>
      </w:r>
      <w:r>
        <w:t xml:space="preserve">ction </w:t>
      </w:r>
      <w:r w:rsidR="00D42D64">
        <w:t>p</w:t>
      </w:r>
      <w:r>
        <w:t xml:space="preserve">lanning phase, a sample of teachers will pilot </w:t>
      </w:r>
      <w:r w:rsidR="00D42D64">
        <w:t xml:space="preserve">a </w:t>
      </w:r>
      <w:r>
        <w:t xml:space="preserve">new curriculum if applicable and contribute to an action plan that </w:t>
      </w:r>
      <w:r w:rsidR="00D42D64">
        <w:t xml:space="preserve">they </w:t>
      </w:r>
      <w:r>
        <w:t xml:space="preserve">present to the </w:t>
      </w:r>
      <w:r w:rsidR="00D42D64">
        <w:t>s</w:t>
      </w:r>
      <w:r>
        <w:t xml:space="preserve">chool </w:t>
      </w:r>
      <w:r w:rsidR="00D42D64">
        <w:t>c</w:t>
      </w:r>
      <w:r>
        <w:t>ommittee at the end of the second year that outlines proposed curriculum updates/changes, identifies professional development needs, and the resources required. Once approved, the district proceeds with providing ongoing professional development to support curriculum adoption.</w:t>
      </w:r>
    </w:p>
    <w:p w14:paraId="4A5C2C1C" w14:textId="3538BAFF" w:rsidR="005E6AAF" w:rsidRDefault="005E6AAF" w:rsidP="00F17541">
      <w:pPr>
        <w:pStyle w:val="BodyText"/>
      </w:pPr>
      <w:r>
        <w:t xml:space="preserve">Both district staff and teachers reported that selected </w:t>
      </w:r>
      <w:r w:rsidR="00D42D64">
        <w:t xml:space="preserve">curricula </w:t>
      </w:r>
      <w:r>
        <w:t>generally align with state standards</w:t>
      </w:r>
      <w:r w:rsidR="00244AC7">
        <w:t>. However, only some of the curricula</w:t>
      </w:r>
      <w:r w:rsidR="00ED7643">
        <w:t xml:space="preserve"> is</w:t>
      </w:r>
      <w:r>
        <w:t xml:space="preserve"> rated favorably by either </w:t>
      </w:r>
      <w:r w:rsidR="00D42D64">
        <w:t xml:space="preserve">CURATE </w:t>
      </w:r>
      <w:r>
        <w:t xml:space="preserve">or EdReports. As outlined in the district’s </w:t>
      </w:r>
      <w:r>
        <w:rPr>
          <w:i/>
          <w:iCs/>
        </w:rPr>
        <w:t xml:space="preserve">2023-2024 Equity Plan </w:t>
      </w:r>
      <w:r>
        <w:t xml:space="preserve">and echoed in interviews with district leaders and teachers, the district has prioritized ensuring that all students have access to culturally responsive </w:t>
      </w:r>
      <w:r w:rsidR="005852C8">
        <w:t xml:space="preserve">curricula </w:t>
      </w:r>
      <w:r>
        <w:t xml:space="preserve">and materials </w:t>
      </w:r>
      <w:r w:rsidR="005852C8">
        <w:t xml:space="preserve">by </w:t>
      </w:r>
      <w:r>
        <w:t xml:space="preserve">creating an identification tool for auditing </w:t>
      </w:r>
      <w:r w:rsidR="005852C8">
        <w:t xml:space="preserve">curricula </w:t>
      </w:r>
      <w:r>
        <w:t xml:space="preserve">and then conducting an internal audit. Following the district’s participation in DESE’s Inclusive Practices Academy, one district leader </w:t>
      </w:r>
      <w:r w:rsidR="000B6EB9">
        <w:t xml:space="preserve">described </w:t>
      </w:r>
      <w:r>
        <w:t>developing and</w:t>
      </w:r>
      <w:r w:rsidRPr="00AE6A28">
        <w:t xml:space="preserve"> piloting a rubric-based equity tool</w:t>
      </w:r>
      <w:r>
        <w:t xml:space="preserve"> that enables</w:t>
      </w:r>
      <w:r w:rsidRPr="00AE6A28">
        <w:t xml:space="preserve"> teachers to assess the cultural responsiveness of their instructional materials.</w:t>
      </w:r>
      <w:r>
        <w:t xml:space="preserve"> That same district leader noted </w:t>
      </w:r>
      <w:r w:rsidR="005852C8">
        <w:t>positive</w:t>
      </w:r>
      <w:r>
        <w:t xml:space="preserve"> initial feedback on this tool. Likewise, teachers in another focus group confirmed that their department conduct</w:t>
      </w:r>
      <w:r w:rsidR="005852C8">
        <w:t>s</w:t>
      </w:r>
      <w:r>
        <w:t xml:space="preserve"> internal audits of curriculum unit guides, instructional materials, and classroom libraries to ensure cultural responsiveness.</w:t>
      </w:r>
    </w:p>
    <w:p w14:paraId="4D151A12" w14:textId="7291C798" w:rsidR="005E6AAF" w:rsidRPr="006653BF" w:rsidRDefault="005E6AAF" w:rsidP="00F17541">
      <w:pPr>
        <w:pStyle w:val="BodyText"/>
      </w:pPr>
      <w:r w:rsidRPr="006653BF">
        <w:t xml:space="preserve">Another strength </w:t>
      </w:r>
      <w:r w:rsidR="00FA0363">
        <w:t>of</w:t>
      </w:r>
      <w:r w:rsidR="00FA0363" w:rsidRPr="006653BF">
        <w:t xml:space="preserve"> </w:t>
      </w:r>
      <w:r w:rsidRPr="006653BF">
        <w:t xml:space="preserve">the district is </w:t>
      </w:r>
      <w:r w:rsidR="00A21614">
        <w:t xml:space="preserve">that </w:t>
      </w:r>
      <w:r w:rsidRPr="006653BF">
        <w:t xml:space="preserve">its </w:t>
      </w:r>
      <w:r w:rsidR="00A21614">
        <w:t xml:space="preserve">curriculum directors provide multiple supports and resources to support </w:t>
      </w:r>
      <w:r w:rsidR="00A21614" w:rsidRPr="00A01F49">
        <w:t xml:space="preserve">consistent implementation of </w:t>
      </w:r>
      <w:r w:rsidR="005852C8" w:rsidRPr="00A01F49">
        <w:t>curricul</w:t>
      </w:r>
      <w:r w:rsidR="005852C8">
        <w:t>a</w:t>
      </w:r>
      <w:r w:rsidR="005852C8" w:rsidRPr="00A01F49">
        <w:t xml:space="preserve"> </w:t>
      </w:r>
      <w:r w:rsidR="00A21614" w:rsidRPr="00A01F49">
        <w:t>across classrooms</w:t>
      </w:r>
      <w:r w:rsidR="00A21614">
        <w:t xml:space="preserve"> and schools</w:t>
      </w:r>
      <w:r w:rsidRPr="006653BF">
        <w:t xml:space="preserve">. Both district and school leaders attributed the district’s vertical and horizontal curricular alignment to the dedicated efforts of department curriculum directors. These directors collaborate closely with teachers and instructional specialists during professional development sessions. At the elementary level, teachers </w:t>
      </w:r>
      <w:r w:rsidR="00FA5863">
        <w:t>also</w:t>
      </w:r>
      <w:r w:rsidR="00FA5863" w:rsidRPr="006653BF">
        <w:t xml:space="preserve"> </w:t>
      </w:r>
      <w:r w:rsidRPr="006653BF">
        <w:t xml:space="preserve">engage in monthly curriculum sessions with curriculum directors to receive ongoing curricular support. </w:t>
      </w:r>
      <w:r w:rsidR="00FA5863">
        <w:t>In addition</w:t>
      </w:r>
      <w:r w:rsidRPr="006653BF">
        <w:t xml:space="preserve">, they receive supplemental instructional coaching from school-level reading specialists (one for </w:t>
      </w:r>
      <w:r w:rsidR="005852C8">
        <w:t>G</w:t>
      </w:r>
      <w:r w:rsidRPr="006653BF">
        <w:t xml:space="preserve">rades K-2 and one for </w:t>
      </w:r>
      <w:r w:rsidR="005852C8">
        <w:t>G</w:t>
      </w:r>
      <w:r w:rsidRPr="006653BF">
        <w:t>rades 3-5), as well as a math</w:t>
      </w:r>
      <w:r w:rsidR="00D15EEA">
        <w:t>ematics</w:t>
      </w:r>
      <w:r w:rsidRPr="006653BF">
        <w:t xml:space="preserve"> specialist, who offer targeted coaching on specific instructional methods or assist with curriculum implementation as needed. Middle and high school staff reported using </w:t>
      </w:r>
      <w:r w:rsidR="005852C8">
        <w:t>c</w:t>
      </w:r>
      <w:r w:rsidRPr="006653BF">
        <w:t xml:space="preserve">ommon </w:t>
      </w:r>
      <w:r w:rsidR="005852C8">
        <w:t>p</w:t>
      </w:r>
      <w:r w:rsidRPr="006653BF">
        <w:t xml:space="preserve">lanning </w:t>
      </w:r>
      <w:r w:rsidR="005852C8">
        <w:t>t</w:t>
      </w:r>
      <w:r w:rsidRPr="006653BF">
        <w:t>ime to convene with their respective departments and review curriculum pacing to ensure horizontal alignment. Furthermore, curriculum directors support teachers at the secondary level by assisting in the creation of common assessments and curriculum unit guides, all of which are accessible via Google Drive. A specialist affirmed the effectiveness of these supports, stating, “All the teachers are on the same page. They go at the same pace, they</w:t>
      </w:r>
      <w:r w:rsidR="005852C8">
        <w:t>’</w:t>
      </w:r>
      <w:r w:rsidRPr="006653BF">
        <w:t>re on the same topics, at the same time using the same resources. It</w:t>
      </w:r>
      <w:r w:rsidR="005852C8">
        <w:t>’</w:t>
      </w:r>
      <w:r w:rsidRPr="006653BF">
        <w:t>s all the same.”</w:t>
      </w:r>
    </w:p>
    <w:p w14:paraId="3D960499" w14:textId="6C6973F8" w:rsidR="005E6AAF" w:rsidRDefault="005E6AAF" w:rsidP="00F17541">
      <w:pPr>
        <w:pStyle w:val="BodyText"/>
      </w:pPr>
      <w:r>
        <w:lastRenderedPageBreak/>
        <w:t>District leaders and school staff offered varying opinions on the extent to which the curriculum adequately addresse</w:t>
      </w:r>
      <w:r w:rsidR="005852C8">
        <w:t>s</w:t>
      </w:r>
      <w:r>
        <w:t xml:space="preserve"> the needs of individual students, particularly those with learning disabilities. One elementary teacher praised the district’s adoption of the Into Reading </w:t>
      </w:r>
      <w:r w:rsidR="005852C8">
        <w:t>c</w:t>
      </w:r>
      <w:r>
        <w:t>urriculum:</w:t>
      </w:r>
    </w:p>
    <w:p w14:paraId="3F3B362D" w14:textId="34FB7A25" w:rsidR="005E6AAF" w:rsidRPr="006D6412" w:rsidRDefault="005E6AAF" w:rsidP="00F17541">
      <w:pPr>
        <w:pStyle w:val="BlockQuote"/>
      </w:pPr>
      <w:r w:rsidRPr="006D6412">
        <w:t>With our new program right now [referring to Into Reading], we have so much support in place, and I know this is districtwide where we meet monthly, we create these reading groups. They</w:t>
      </w:r>
      <w:r w:rsidR="005852C8">
        <w:t>’</w:t>
      </w:r>
      <w:r w:rsidRPr="006D6412">
        <w:t>re differentiated. We have reading groups where we</w:t>
      </w:r>
      <w:r w:rsidR="005852C8">
        <w:t>’</w:t>
      </w:r>
      <w:r w:rsidRPr="006D6412">
        <w:t xml:space="preserve">re working on the skills. We have challenging readers working on the same skill. We also have push in support from our reading specialists. We do those </w:t>
      </w:r>
      <w:r w:rsidR="005852C8">
        <w:t>three</w:t>
      </w:r>
      <w:r w:rsidRPr="006D6412">
        <w:t xml:space="preserve"> times a week</w:t>
      </w:r>
      <w:r w:rsidR="005852C8">
        <w:t xml:space="preserve"> </w:t>
      </w:r>
      <w:r>
        <w:t>.</w:t>
      </w:r>
      <w:r w:rsidR="005852C8">
        <w:t xml:space="preserve"> </w:t>
      </w:r>
      <w:r>
        <w:t>.</w:t>
      </w:r>
      <w:r w:rsidR="005852C8">
        <w:t xml:space="preserve"> </w:t>
      </w:r>
      <w:r w:rsidRPr="006D6412">
        <w:t>. Of course, we can all put our own creativity and spin to how we</w:t>
      </w:r>
      <w:r w:rsidR="005852C8">
        <w:t>’</w:t>
      </w:r>
      <w:r w:rsidRPr="006D6412">
        <w:t>re teaching. But I think the materials that we</w:t>
      </w:r>
      <w:r>
        <w:t>’re</w:t>
      </w:r>
      <w:r w:rsidRPr="006D6412">
        <w:t xml:space="preserve"> given address the needs of students as well.</w:t>
      </w:r>
    </w:p>
    <w:p w14:paraId="0087FC54" w14:textId="5DA2F4AC" w:rsidR="005E6AAF" w:rsidRDefault="005E6AAF" w:rsidP="00F17541">
      <w:pPr>
        <w:pStyle w:val="BodyText"/>
      </w:pPr>
      <w:r>
        <w:t>However, teachers and support specialists across multiple focus groups highlighted concerns with the Everyday Math curriculum, noting its heavy reliance on language, which poses challenges for students with reading disabilities</w:t>
      </w:r>
      <w:r w:rsidR="00071D0B">
        <w:t xml:space="preserve"> and English learners</w:t>
      </w:r>
      <w:r>
        <w:t xml:space="preserve">. Similarly, school staff at the middle and high schools reported that the curriculum did not sufficiently address the needs of all students. These staff expressed specific concerns about the lack of differentiated assessments and suggested that instructional standards may prioritize rigor over accessibility. Echoing these challenges, a district leader acknowledged that ensuring continuity with the curriculum for students with </w:t>
      </w:r>
      <w:r w:rsidR="005852C8">
        <w:t>i</w:t>
      </w:r>
      <w:r>
        <w:t xml:space="preserve">ndividualized </w:t>
      </w:r>
      <w:r w:rsidR="005852C8">
        <w:t>e</w:t>
      </w:r>
      <w:r>
        <w:t xml:space="preserve">ducation </w:t>
      </w:r>
      <w:r w:rsidR="005852C8">
        <w:t>p</w:t>
      </w:r>
      <w:r>
        <w:t xml:space="preserve">rograms (IEPs) remained an ongoing area of improvement. </w:t>
      </w:r>
      <w:r w:rsidR="00BD0B6A">
        <w:t xml:space="preserve">Ensuring </w:t>
      </w:r>
      <w:r>
        <w:t xml:space="preserve">curricular supports </w:t>
      </w:r>
      <w:r w:rsidR="00BD0B6A">
        <w:t xml:space="preserve">are accessible </w:t>
      </w:r>
      <w:r>
        <w:t xml:space="preserve">to students with learning disabilities </w:t>
      </w:r>
      <w:r w:rsidR="00F83BBB">
        <w:t xml:space="preserve">is </w:t>
      </w:r>
      <w:r>
        <w:t xml:space="preserve">an area of growth for the district. </w:t>
      </w:r>
    </w:p>
    <w:p w14:paraId="7BE7D683" w14:textId="77777777" w:rsidR="005E6AAF" w:rsidRDefault="005E6AAF" w:rsidP="005E6AAF">
      <w:pPr>
        <w:pStyle w:val="Heading3"/>
      </w:pPr>
      <w:bookmarkStart w:id="32" w:name="_Classroom_Instruction"/>
      <w:bookmarkEnd w:id="32"/>
      <w:r w:rsidRPr="00CB0607">
        <w:t>Classroom Instruction</w:t>
      </w:r>
    </w:p>
    <w:p w14:paraId="081D620B" w14:textId="1EAAFA86" w:rsidR="005E6AAF" w:rsidRDefault="005E6AAF" w:rsidP="005E6AAF">
      <w:pPr>
        <w:pStyle w:val="BodyTextposthead"/>
      </w:pPr>
      <w:r>
        <w:t>As outlined in district documents and accounts by district and school leaders, teachers, and support staff, the district has prioritized instructional practices related to diversity</w:t>
      </w:r>
      <w:r w:rsidR="005852C8">
        <w:t>,</w:t>
      </w:r>
      <w:r>
        <w:t xml:space="preserve"> inclusion</w:t>
      </w:r>
      <w:r w:rsidR="005852C8">
        <w:t>,</w:t>
      </w:r>
      <w:r>
        <w:t xml:space="preserve"> and UDL. The district’s </w:t>
      </w:r>
      <w:r>
        <w:rPr>
          <w:i/>
          <w:iCs/>
        </w:rPr>
        <w:t xml:space="preserve">2022-2025 Strategic Plan </w:t>
      </w:r>
      <w:r>
        <w:t xml:space="preserve">highlights inclusive practices as an area of focus, and the district has engaged in various initiatives aimed at promoting UDL implementation. These efforts include the participation of all district and school leaders in a yearlong </w:t>
      </w:r>
      <w:r w:rsidR="005852C8">
        <w:t>PLC</w:t>
      </w:r>
      <w:r>
        <w:t xml:space="preserve"> dedicated to UDL, the involvement of two elementary schools (East and Plymouth River) in DESE’s Inclusive Practices Academy with a focus on UDL, and all instructional staff receiving professional development specific to UDL principles and inclusive practices.</w:t>
      </w:r>
      <w:r w:rsidRPr="003168B0">
        <w:rPr>
          <w:rFonts w:ascii="Segoe UI" w:hAnsi="Segoe UI" w:cs="Segoe UI"/>
          <w:color w:val="0D0D0D"/>
          <w:shd w:val="clear" w:color="auto" w:fill="FFFFFF"/>
        </w:rPr>
        <w:t xml:space="preserve"> </w:t>
      </w:r>
      <w:r w:rsidR="008E2484">
        <w:t>D</w:t>
      </w:r>
      <w:r w:rsidRPr="003168B0">
        <w:t>uring the 2022-2023 academic year, elementary schools engaged in yearlong professional development on a student-centered workshop model for mathematics instruction. Concurrently, middle and high school</w:t>
      </w:r>
      <w:r>
        <w:t xml:space="preserve"> staff </w:t>
      </w:r>
      <w:r w:rsidRPr="003168B0">
        <w:t xml:space="preserve">received professional development </w:t>
      </w:r>
      <w:r>
        <w:t xml:space="preserve">in the </w:t>
      </w:r>
      <w:r w:rsidR="005852C8">
        <w:t>20</w:t>
      </w:r>
      <w:r>
        <w:t>22-</w:t>
      </w:r>
      <w:r w:rsidR="005852C8">
        <w:t>20</w:t>
      </w:r>
      <w:r>
        <w:t xml:space="preserve">23 school year </w:t>
      </w:r>
      <w:r w:rsidRPr="003168B0">
        <w:t xml:space="preserve">aimed at assisting in the creation of curriculum unit guides that integrate universally designed elements and inclusive practices, as detailed in the </w:t>
      </w:r>
      <w:r w:rsidRPr="005852C8">
        <w:rPr>
          <w:i/>
          <w:iCs/>
        </w:rPr>
        <w:t>Professional Development</w:t>
      </w:r>
      <w:r w:rsidRPr="003168B0">
        <w:t xml:space="preserve"> handbook and affirmed</w:t>
      </w:r>
      <w:r>
        <w:t xml:space="preserve"> by</w:t>
      </w:r>
      <w:r w:rsidRPr="003168B0">
        <w:t xml:space="preserve"> </w:t>
      </w:r>
      <w:r>
        <w:t xml:space="preserve">accounts from </w:t>
      </w:r>
      <w:r w:rsidRPr="003168B0">
        <w:t>district leaders</w:t>
      </w:r>
      <w:r>
        <w:t xml:space="preserve"> and teachers.</w:t>
      </w:r>
    </w:p>
    <w:p w14:paraId="6A470826" w14:textId="5DB9545A" w:rsidR="005E6AAF" w:rsidRPr="008F5DC4" w:rsidRDefault="005E6AAF" w:rsidP="00F17541">
      <w:pPr>
        <w:pStyle w:val="BodyText"/>
      </w:pPr>
      <w:r>
        <w:t xml:space="preserve">Consistent with these findings, staff across school levels articulated districtwide expectations that teachers differentiate instruction to accommodate variations in students’ learning needs and readiness levels. School leaders described monitoring for inclusive practices through evaluations, classroom walk-throughs, and conversations with specialists and curriculum directors. Likewise, district leaders emphasized their enforcement of instructional modifications through evaluations, wherein they specifically look for and collect artifacts that demonstrate whether teachers are forming groups based on student needs and differentiating instruction appropriately. CLASS scores also indicated middle to high levels of Teacher Sensitivity, with a districtwide average score of 5.9, </w:t>
      </w:r>
      <w:r>
        <w:lastRenderedPageBreak/>
        <w:t xml:space="preserve">indicating </w:t>
      </w:r>
      <w:r w:rsidR="005852C8">
        <w:t xml:space="preserve">that </w:t>
      </w:r>
      <w:r>
        <w:t>teachers demonstrat</w:t>
      </w:r>
      <w:r w:rsidR="005852C8">
        <w:t>e</w:t>
      </w:r>
      <w:r>
        <w:t xml:space="preserve"> awareness and responsiveness to students’ academic and emotional needs. The prioritization of </w:t>
      </w:r>
      <w:r w:rsidR="005852C8">
        <w:t>UDL</w:t>
      </w:r>
      <w:r>
        <w:t xml:space="preserve"> and inclusive practices is a strength for the district.</w:t>
      </w:r>
    </w:p>
    <w:p w14:paraId="421096EF" w14:textId="2D1881D0" w:rsidR="005E6AAF" w:rsidRDefault="005E6AAF" w:rsidP="00F17541">
      <w:pPr>
        <w:pStyle w:val="BodyText"/>
      </w:pPr>
      <w:r>
        <w:t>Despite the district’s emphasis on UDL, a variety of sources</w:t>
      </w:r>
      <w:r w:rsidR="005852C8">
        <w:t>—</w:t>
      </w:r>
      <w:r>
        <w:t>including district documents</w:t>
      </w:r>
      <w:r w:rsidR="005852C8">
        <w:t>;</w:t>
      </w:r>
      <w:r>
        <w:t xml:space="preserve"> CLASS scores</w:t>
      </w:r>
      <w:r w:rsidR="005852C8">
        <w:t>;</w:t>
      </w:r>
      <w:r>
        <w:t xml:space="preserve"> and accounts by teachers, support staff, and students</w:t>
      </w:r>
      <w:r w:rsidR="005852C8">
        <w:t>—</w:t>
      </w:r>
      <w:r>
        <w:t>revealed a spectrum of instructional approaches that differ in the extent to which they meaningfully promote student autonomy and engagement. At the elementary level, school leaders and staff described student-centered instructional methods, including project-based learning and station teaching, which offered students opportunities to rotate between various activities. At the middle and high school</w:t>
      </w:r>
      <w:r w:rsidR="005852C8">
        <w:t>s</w:t>
      </w:r>
      <w:r>
        <w:t>, teachers and students described a variety of instructional strategies and formats, ranging from those that promote student autonomy and active learning, such as Socratic seminars and flipped classrooms, to formats that were more lecture</w:t>
      </w:r>
      <w:r w:rsidR="005852C8">
        <w:t xml:space="preserve"> </w:t>
      </w:r>
      <w:r>
        <w:t>based or traditional. Notably, one staff member at the high school observed a prevalence of lecture-style instruction</w:t>
      </w:r>
      <w:r w:rsidR="005852C8">
        <w:t>:</w:t>
      </w:r>
    </w:p>
    <w:p w14:paraId="117B35B4" w14:textId="3210F684" w:rsidR="005E6AAF" w:rsidRDefault="005E6AAF" w:rsidP="00F17541">
      <w:pPr>
        <w:pStyle w:val="BlockQuote"/>
      </w:pPr>
      <w:r w:rsidRPr="00D611BD">
        <w:t>A lot of the gen-ed classes are lecture based. It</w:t>
      </w:r>
      <w:r w:rsidR="005852C8">
        <w:t>’</w:t>
      </w:r>
      <w:r w:rsidRPr="00D611BD">
        <w:t>s teacher-led instruction ideal for a majority of our classes. And then you</w:t>
      </w:r>
      <w:r w:rsidR="005852C8">
        <w:t>’</w:t>
      </w:r>
      <w:r w:rsidRPr="00D611BD">
        <w:t>ll get pockets of student-led [instruction] or projects, but those are few and far between. I</w:t>
      </w:r>
      <w:r w:rsidR="005852C8">
        <w:t>’</w:t>
      </w:r>
      <w:r w:rsidRPr="00D611BD">
        <w:t>d say most of the gen-ed instruction in the high school classroom is teacher led, lecture-style instruction.</w:t>
      </w:r>
    </w:p>
    <w:p w14:paraId="3EC7FCED" w14:textId="284EB4CC" w:rsidR="005E6AAF" w:rsidRDefault="005E6AAF" w:rsidP="00F17541">
      <w:pPr>
        <w:pStyle w:val="BodyText"/>
      </w:pPr>
      <w:r>
        <w:t>Aligned with this finding, an equity audit conducted in the 2022-</w:t>
      </w:r>
      <w:r w:rsidR="005852C8">
        <w:t>20</w:t>
      </w:r>
      <w:r>
        <w:t>23 school year reported as part of its observations of the middle and high schools that instructional engagement was primarily adult</w:t>
      </w:r>
      <w:r w:rsidR="005852C8">
        <w:t xml:space="preserve"> </w:t>
      </w:r>
      <w:r>
        <w:t>led, indicating a “potential imbalance in the opportunities for students to take the lead in their own collaborative learning experiences.” Likewise, CLASS scores within the Instructional Support domain revealed areas for improvement related to crafting learning experiences that challenge students and cultivate higher</w:t>
      </w:r>
      <w:r w:rsidR="00972DFD">
        <w:t>-</w:t>
      </w:r>
      <w:r>
        <w:t xml:space="preserve">order thinking skills. Although the district scored highly in Productivity (6.6), </w:t>
      </w:r>
      <w:r w:rsidRPr="006E139A">
        <w:t>scores for Analysis and Inquiry (2.6), Content Development (2.8), and Instructional Dialogue (3.0) f</w:t>
      </w:r>
      <w:r>
        <w:t xml:space="preserve">ell </w:t>
      </w:r>
      <w:r w:rsidRPr="006E139A">
        <w:t>within the low to middle range.</w:t>
      </w:r>
      <w:r>
        <w:t xml:space="preserve"> </w:t>
      </w:r>
    </w:p>
    <w:p w14:paraId="193EF554" w14:textId="35B23E47" w:rsidR="005E6AAF" w:rsidRDefault="005E6AAF" w:rsidP="00F17541">
      <w:pPr>
        <w:pStyle w:val="BodyText"/>
      </w:pPr>
      <w:r>
        <w:t>Teachers, particularly at the middle and high school levels, also expressed receiving a lack of instructional feedback or observations from department heads, underscoring a possible lack of sufficient instructional support. School leaders at the middle and high school</w:t>
      </w:r>
      <w:r w:rsidR="00972DFD">
        <w:t>s</w:t>
      </w:r>
      <w:r>
        <w:t xml:space="preserve"> similarly acknowledged the challenge of regularly observing classroom instruction </w:t>
      </w:r>
      <w:r w:rsidR="00972DFD">
        <w:t>given</w:t>
      </w:r>
      <w:r>
        <w:t xml:space="preserve"> limited time. T</w:t>
      </w:r>
      <w:r w:rsidRPr="004609C3">
        <w:t>eachers, particularly at the middle and high school levels, express</w:t>
      </w:r>
      <w:r>
        <w:t>ed receiving</w:t>
      </w:r>
      <w:r w:rsidRPr="004609C3">
        <w:t xml:space="preserve"> a lack of instructional feedback </w:t>
      </w:r>
      <w:r>
        <w:t xml:space="preserve">or </w:t>
      </w:r>
      <w:r w:rsidR="00972DFD">
        <w:t>having regular observations</w:t>
      </w:r>
      <w:r>
        <w:t xml:space="preserve"> </w:t>
      </w:r>
      <w:r w:rsidR="00972DFD">
        <w:t>from</w:t>
      </w:r>
      <w:r w:rsidR="00972DFD" w:rsidRPr="004609C3">
        <w:t xml:space="preserve"> </w:t>
      </w:r>
      <w:r w:rsidRPr="004609C3">
        <w:t>department heads or school leaders</w:t>
      </w:r>
      <w:r>
        <w:t xml:space="preserve">. School leaders similarly affirmed the challenge of observing instruction </w:t>
      </w:r>
      <w:r w:rsidR="00972DFD">
        <w:t>because of</w:t>
      </w:r>
      <w:r>
        <w:t xml:space="preserve"> conflicting needs and a shortage of substitute teachers. Providing sufficient instructional guidance to teachers in the middle and high schools is an area of growth for the district.</w:t>
      </w:r>
    </w:p>
    <w:p w14:paraId="1F565A34" w14:textId="7EFF640B" w:rsidR="005E6AAF" w:rsidRDefault="005E6AAF" w:rsidP="00F17541">
      <w:pPr>
        <w:pStyle w:val="BodyText"/>
      </w:pPr>
      <w:r w:rsidRPr="00157A83">
        <w:t xml:space="preserve">According to the district’s </w:t>
      </w:r>
      <w:r w:rsidRPr="00157A83">
        <w:rPr>
          <w:i/>
          <w:iCs/>
        </w:rPr>
        <w:t>Strategic Plan</w:t>
      </w:r>
      <w:r w:rsidRPr="00157A83">
        <w:t xml:space="preserve"> and </w:t>
      </w:r>
      <w:r>
        <w:t>accounts</w:t>
      </w:r>
      <w:r w:rsidRPr="00157A83">
        <w:t xml:space="preserve"> from school staff, </w:t>
      </w:r>
      <w:r>
        <w:t xml:space="preserve">implementation of a </w:t>
      </w:r>
      <w:r w:rsidRPr="00157A83">
        <w:t xml:space="preserve">standardized </w:t>
      </w:r>
      <w:r w:rsidR="00972DFD">
        <w:t>s</w:t>
      </w:r>
      <w:r w:rsidRPr="00157A83">
        <w:t>ocial</w:t>
      </w:r>
      <w:r w:rsidR="00972DFD">
        <w:t>-e</w:t>
      </w:r>
      <w:r w:rsidRPr="00157A83">
        <w:t xml:space="preserve">motional </w:t>
      </w:r>
      <w:r w:rsidR="00972DFD">
        <w:t>l</w:t>
      </w:r>
      <w:r w:rsidRPr="00157A83">
        <w:t>earning curriculum remains a key focus</w:t>
      </w:r>
      <w:r>
        <w:t xml:space="preserve"> for the district</w:t>
      </w:r>
      <w:r w:rsidRPr="00157A83">
        <w:t xml:space="preserve">. In elementary schools, </w:t>
      </w:r>
      <w:r>
        <w:t>teachers and staff reported using a variety of</w:t>
      </w:r>
      <w:r w:rsidRPr="00157A83">
        <w:t xml:space="preserve"> </w:t>
      </w:r>
      <w:r w:rsidR="00FA5863">
        <w:t>social-emotional learning</w:t>
      </w:r>
      <w:r w:rsidR="00FA5863" w:rsidRPr="00157A83">
        <w:t xml:space="preserve"> </w:t>
      </w:r>
      <w:r w:rsidRPr="00157A83">
        <w:t>strategies</w:t>
      </w:r>
      <w:r>
        <w:t>, including</w:t>
      </w:r>
      <w:r w:rsidRPr="00157A83">
        <w:t xml:space="preserve"> Toolbox and Calm Classroom. </w:t>
      </w:r>
      <w:r w:rsidR="00DE5AA5">
        <w:t>T</w:t>
      </w:r>
      <w:r w:rsidRPr="00157A83">
        <w:t xml:space="preserve">he middle school adopted the Second Step curriculum for </w:t>
      </w:r>
      <w:r w:rsidR="00FA5863">
        <w:t>social-emotional learning</w:t>
      </w:r>
      <w:r w:rsidRPr="00157A83">
        <w:t xml:space="preserve">, </w:t>
      </w:r>
      <w:r w:rsidR="00FA5863">
        <w:t>whereas</w:t>
      </w:r>
      <w:r w:rsidR="00FA5863" w:rsidRPr="00157A83">
        <w:t xml:space="preserve"> </w:t>
      </w:r>
      <w:r w:rsidRPr="00157A83">
        <w:t xml:space="preserve">the high school currently lacks a structured program. </w:t>
      </w:r>
      <w:r>
        <w:t>Teachers across focus groups</w:t>
      </w:r>
      <w:r w:rsidR="008B262E">
        <w:t>, however,</w:t>
      </w:r>
      <w:r>
        <w:t xml:space="preserve"> raised c</w:t>
      </w:r>
      <w:r w:rsidRPr="00157A83">
        <w:t xml:space="preserve">oncerns </w:t>
      </w:r>
      <w:r w:rsidR="008B262E">
        <w:t>that</w:t>
      </w:r>
      <w:r w:rsidR="008B262E" w:rsidRPr="00157A83">
        <w:t xml:space="preserve"> </w:t>
      </w:r>
      <w:r w:rsidRPr="00157A83">
        <w:t xml:space="preserve">the district’s master schedule </w:t>
      </w:r>
      <w:r w:rsidR="00050065">
        <w:t>that was</w:t>
      </w:r>
      <w:r w:rsidRPr="00157A83">
        <w:t xml:space="preserve"> implemented in the 2023-</w:t>
      </w:r>
      <w:r w:rsidR="00972DFD">
        <w:t>20</w:t>
      </w:r>
      <w:r w:rsidRPr="00157A83">
        <w:t xml:space="preserve">24 school year </w:t>
      </w:r>
      <w:r w:rsidR="008B262E">
        <w:t>limits time for</w:t>
      </w:r>
      <w:r w:rsidRPr="00157A83">
        <w:t xml:space="preserve"> morning meetings</w:t>
      </w:r>
      <w:r w:rsidR="008B262E">
        <w:t xml:space="preserve">, which were </w:t>
      </w:r>
      <w:r w:rsidR="00027A4E">
        <w:t xml:space="preserve">previously </w:t>
      </w:r>
      <w:r w:rsidR="00B23D05">
        <w:t xml:space="preserve">used </w:t>
      </w:r>
      <w:r w:rsidR="00027A4E">
        <w:t xml:space="preserve">to provide  </w:t>
      </w:r>
      <w:r w:rsidR="00B23D05">
        <w:t>direct social-emotional instruction</w:t>
      </w:r>
      <w:r>
        <w:t xml:space="preserve">. </w:t>
      </w:r>
      <w:r w:rsidR="00B93917">
        <w:t>Teachers reported the</w:t>
      </w:r>
      <w:r w:rsidR="00FF2EF4">
        <w:t xml:space="preserve"> </w:t>
      </w:r>
      <w:r w:rsidR="00220725">
        <w:t>master schedule also reduces</w:t>
      </w:r>
      <w:r w:rsidR="00FF2EF4">
        <w:t xml:space="preserve"> transition </w:t>
      </w:r>
      <w:r w:rsidR="00FF2EF4">
        <w:lastRenderedPageBreak/>
        <w:t>time</w:t>
      </w:r>
      <w:r w:rsidR="00220725">
        <w:t>,</w:t>
      </w:r>
      <w:r w:rsidR="00FF2EF4">
        <w:t xml:space="preserve"> </w:t>
      </w:r>
      <w:r w:rsidR="00220725">
        <w:t xml:space="preserve">which </w:t>
      </w:r>
      <w:r w:rsidR="00AE7D05">
        <w:t>adds unnecessary stress for</w:t>
      </w:r>
      <w:r w:rsidR="00B93917">
        <w:t xml:space="preserve"> </w:t>
      </w:r>
      <w:r w:rsidR="00050065">
        <w:t>both</w:t>
      </w:r>
      <w:r w:rsidR="00B93917">
        <w:t xml:space="preserve"> students</w:t>
      </w:r>
      <w:r w:rsidR="00050065">
        <w:t xml:space="preserve"> and teachers</w:t>
      </w:r>
      <w:r w:rsidR="00AE7D05">
        <w:t>.</w:t>
      </w:r>
      <w:r w:rsidR="003456E2">
        <w:t xml:space="preserve"> </w:t>
      </w:r>
      <w:r>
        <w:t>One teacher explained</w:t>
      </w:r>
      <w:r w:rsidR="00972DFD">
        <w:t>,</w:t>
      </w:r>
      <w:r>
        <w:t xml:space="preserve"> “it feels very hurried</w:t>
      </w:r>
      <w:r w:rsidR="00972DFD">
        <w:t xml:space="preserve"> . . . </w:t>
      </w:r>
      <w:r>
        <w:t xml:space="preserve">they can’t just kind of slow down,” </w:t>
      </w:r>
      <w:r w:rsidR="00972DFD">
        <w:t xml:space="preserve">whereas </w:t>
      </w:r>
      <w:r>
        <w:t>a teacher in another focus group similarly articulated</w:t>
      </w:r>
      <w:r w:rsidR="00972DFD">
        <w:t xml:space="preserve"> as follows:</w:t>
      </w:r>
    </w:p>
    <w:p w14:paraId="4ECF49B1" w14:textId="1E26E889" w:rsidR="005E6AAF" w:rsidRPr="00FB6BC0" w:rsidRDefault="005E6AAF" w:rsidP="00972DFD">
      <w:pPr>
        <w:pStyle w:val="BlockQuote"/>
      </w:pPr>
      <w:r w:rsidRPr="00FB6BC0">
        <w:t>To have every grade, you know, K through five, everyone in building is doing math at the same time</w:t>
      </w:r>
      <w:r w:rsidR="00972DFD">
        <w:t xml:space="preserve"> . . . </w:t>
      </w:r>
      <w:r w:rsidRPr="00FB6BC0">
        <w:t>it’s really tying the teachers’ hands. And we can</w:t>
      </w:r>
      <w:r w:rsidR="00972DFD">
        <w:t>’</w:t>
      </w:r>
      <w:r w:rsidRPr="00FB6BC0">
        <w:t>t do what</w:t>
      </w:r>
      <w:r w:rsidR="00972DFD">
        <w:t>’</w:t>
      </w:r>
      <w:r w:rsidRPr="00FB6BC0">
        <w:t xml:space="preserve">s good for the children sometimes because, [we’re told] </w:t>
      </w:r>
      <w:r w:rsidR="00972DFD">
        <w:t>“</w:t>
      </w:r>
      <w:r w:rsidRPr="00FB6BC0">
        <w:t>Well, in 5 minutes, if we</w:t>
      </w:r>
      <w:r w:rsidR="00972DFD">
        <w:t>’</w:t>
      </w:r>
      <w:r w:rsidRPr="00FB6BC0">
        <w:t>re not on math, we</w:t>
      </w:r>
      <w:r w:rsidR="00972DFD">
        <w:t>’</w:t>
      </w:r>
      <w:r w:rsidRPr="00FB6BC0">
        <w:t>re going to get in trouble if someone walks in the rooms</w:t>
      </w:r>
      <w:r>
        <w:t>.</w:t>
      </w:r>
      <w:r w:rsidR="00972DFD">
        <w:t>”</w:t>
      </w:r>
      <w:r>
        <w:t xml:space="preserve"> </w:t>
      </w:r>
      <w:r w:rsidRPr="00FB6BC0">
        <w:t>These transition times [are] taking away recess</w:t>
      </w:r>
      <w:r w:rsidR="00972DFD">
        <w:t>,</w:t>
      </w:r>
      <w:r w:rsidRPr="00FB6BC0">
        <w:t xml:space="preserve"> and the kids don</w:t>
      </w:r>
      <w:r w:rsidR="00972DFD">
        <w:t>’</w:t>
      </w:r>
      <w:r w:rsidRPr="00FB6BC0">
        <w:t>t have time to, like, breathe. It</w:t>
      </w:r>
      <w:r w:rsidR="00972DFD">
        <w:t>’</w:t>
      </w:r>
      <w:r w:rsidRPr="00FB6BC0">
        <w:t>s way too much for the children, and it</w:t>
      </w:r>
      <w:r w:rsidR="00972DFD">
        <w:t>’</w:t>
      </w:r>
      <w:r w:rsidRPr="00FB6BC0">
        <w:t>s not fair to the teachers.</w:t>
      </w:r>
    </w:p>
    <w:p w14:paraId="014AEC1D" w14:textId="26AE0464" w:rsidR="005E6AAF" w:rsidRPr="00B22F95" w:rsidRDefault="005E6AAF" w:rsidP="00F17541">
      <w:pPr>
        <w:pStyle w:val="BodyText"/>
      </w:pPr>
      <w:r>
        <w:t>Revisi</w:t>
      </w:r>
      <w:r w:rsidR="008B4F15">
        <w:t>ti</w:t>
      </w:r>
      <w:r>
        <w:t xml:space="preserve">ng the instructional </w:t>
      </w:r>
      <w:r w:rsidR="00C94BDF">
        <w:t>practices</w:t>
      </w:r>
      <w:r w:rsidR="00262288">
        <w:t xml:space="preserve"> </w:t>
      </w:r>
      <w:r w:rsidR="008B4F15">
        <w:t xml:space="preserve">and schedule </w:t>
      </w:r>
      <w:r>
        <w:t xml:space="preserve">for </w:t>
      </w:r>
      <w:r w:rsidR="00FA5863">
        <w:t>social-emotional learning</w:t>
      </w:r>
      <w:r>
        <w:t xml:space="preserve"> and promotion of the well-being of both students and staff </w:t>
      </w:r>
      <w:r w:rsidR="00B23D05">
        <w:t>is</w:t>
      </w:r>
      <w:r>
        <w:t xml:space="preserve"> an area of growth for the district.</w:t>
      </w:r>
    </w:p>
    <w:p w14:paraId="3250BBB9" w14:textId="77777777" w:rsidR="005E6AAF" w:rsidRDefault="005E6AAF" w:rsidP="005E6AAF">
      <w:pPr>
        <w:pStyle w:val="Heading3"/>
      </w:pPr>
      <w:bookmarkStart w:id="33" w:name="_Student_Access_to"/>
      <w:bookmarkEnd w:id="33"/>
      <w:r w:rsidRPr="00CB0607">
        <w:t>Student Access to Coursework</w:t>
      </w:r>
    </w:p>
    <w:p w14:paraId="5E3E81F9" w14:textId="7CEB36AF" w:rsidR="005E6AAF" w:rsidRPr="006C5A24" w:rsidRDefault="005E6AAF" w:rsidP="005E6AAF">
      <w:pPr>
        <w:pStyle w:val="BodyTextposthead"/>
      </w:pPr>
      <w:r>
        <w:t xml:space="preserve">Hingham strives to ensure that all students have access to a range of rigorous coursework and enrichment opportunities. The district offers a comprehensive program of academic offerings, as evidenced by the </w:t>
      </w:r>
      <w:r w:rsidRPr="00972DFD">
        <w:rPr>
          <w:i/>
          <w:iCs/>
        </w:rPr>
        <w:t>Program of Studies</w:t>
      </w:r>
      <w:r>
        <w:t xml:space="preserve">, including a range of AP offerings and a large variety of courses related to performing arts, technology, consumer and family sciences, and other electives. As articulated in the district’s </w:t>
      </w:r>
      <w:r>
        <w:rPr>
          <w:i/>
          <w:iCs/>
        </w:rPr>
        <w:t xml:space="preserve">Strategic Plan </w:t>
      </w:r>
      <w:r>
        <w:t xml:space="preserve">and interviews with district and school leaders, the district also continues to develop </w:t>
      </w:r>
      <w:r w:rsidR="0002405B">
        <w:t xml:space="preserve">innovative </w:t>
      </w:r>
      <w:r>
        <w:t xml:space="preserve">pathways to enhance student learning, </w:t>
      </w:r>
    </w:p>
    <w:p w14:paraId="1F0D03AA" w14:textId="56A4C853" w:rsidR="005E6AAF" w:rsidRDefault="005E6AAF" w:rsidP="00AA07D0">
      <w:pPr>
        <w:pStyle w:val="BodyText"/>
      </w:pPr>
      <w:r>
        <w:t xml:space="preserve">At the elementary level, students receive a variety of enrichment offerings, including Spanish, art, music, </w:t>
      </w:r>
      <w:r w:rsidR="00F239DD">
        <w:t>c</w:t>
      </w:r>
      <w:r>
        <w:t xml:space="preserve">omputer </w:t>
      </w:r>
      <w:r w:rsidR="00F239DD">
        <w:t>s</w:t>
      </w:r>
      <w:r>
        <w:t xml:space="preserve">cience, and </w:t>
      </w:r>
      <w:r w:rsidR="00F239DD">
        <w:t>p</w:t>
      </w:r>
      <w:r>
        <w:t xml:space="preserve">hysical </w:t>
      </w:r>
      <w:r w:rsidR="00F239DD">
        <w:t>e</w:t>
      </w:r>
      <w:r>
        <w:t>ducation. In Grade 5, students who demonstrate an aptitude for math</w:t>
      </w:r>
      <w:r w:rsidR="00D15EEA">
        <w:t>ematics</w:t>
      </w:r>
      <w:r>
        <w:t xml:space="preserve"> can participate in Math Plus, a project-based accelerated program occurring once every six days. Finally,</w:t>
      </w:r>
      <w:r w:rsidRPr="004262CB">
        <w:t xml:space="preserve"> </w:t>
      </w:r>
      <w:r>
        <w:t xml:space="preserve">school leaders </w:t>
      </w:r>
      <w:r w:rsidRPr="00A01F49">
        <w:t xml:space="preserve">and support specialists talked about the variety of opportunities during </w:t>
      </w:r>
      <w:r>
        <w:t>regularly scheduled</w:t>
      </w:r>
      <w:r w:rsidRPr="00A01F49">
        <w:t xml:space="preserve"> </w:t>
      </w:r>
      <w:r>
        <w:t>intervention blocks</w:t>
      </w:r>
      <w:r w:rsidRPr="00A01F49">
        <w:t xml:space="preserve"> for students to </w:t>
      </w:r>
      <w:r>
        <w:t xml:space="preserve">receive </w:t>
      </w:r>
      <w:r w:rsidR="0019459C">
        <w:t>differentiated</w:t>
      </w:r>
      <w:r>
        <w:t xml:space="preserve"> instruction.</w:t>
      </w:r>
      <w:r w:rsidRPr="00C63EA9">
        <w:t xml:space="preserve"> </w:t>
      </w:r>
      <w:r>
        <w:t>Regular data analysis informs d</w:t>
      </w:r>
      <w:r w:rsidRPr="00A01F49">
        <w:t>ecisions regarding</w:t>
      </w:r>
      <w:r>
        <w:t xml:space="preserve"> the</w:t>
      </w:r>
      <w:r w:rsidRPr="00A01F49">
        <w:t xml:space="preserve"> interventions, as outlined in the Data Use section.</w:t>
      </w:r>
    </w:p>
    <w:p w14:paraId="51525697" w14:textId="669DC6EA" w:rsidR="005E6AAF" w:rsidRDefault="005E6AAF" w:rsidP="00AA07D0">
      <w:pPr>
        <w:pStyle w:val="BodyText"/>
      </w:pPr>
      <w:r>
        <w:t>Similarly, Hingham Middle School provides an expansive range of enrichment courses, including STEM</w:t>
      </w:r>
      <w:r w:rsidR="00F239DD">
        <w:t xml:space="preserve"> (science, technology, engineering, and mathematics)</w:t>
      </w:r>
      <w:r>
        <w:t>, performing and visual arts, and consumer sciences. Students expressed positive feedback regarding the breadth of offerings available. However, district leaders, teachers, and support staff raised concerns r</w:t>
      </w:r>
      <w:r w:rsidRPr="00B00553">
        <w:t>egarding the accessibility of these opportunities for students with specific learning needs</w:t>
      </w:r>
      <w:r>
        <w:t xml:space="preserve">. According to teachers and school staff, students </w:t>
      </w:r>
      <w:r w:rsidR="00F239DD">
        <w:t xml:space="preserve">with </w:t>
      </w:r>
      <w:r>
        <w:t xml:space="preserve">IEPs or receiving additional Tier 2 and 3 interventions often cannot participate in electives </w:t>
      </w:r>
      <w:r w:rsidR="00F239DD">
        <w:t>because of</w:t>
      </w:r>
      <w:r>
        <w:t xml:space="preserve"> scheduling conflicts. Improving the </w:t>
      </w:r>
      <w:r w:rsidR="00120970">
        <w:t xml:space="preserve">equitable </w:t>
      </w:r>
      <w:r>
        <w:t>access</w:t>
      </w:r>
      <w:r w:rsidR="004F6E0F">
        <w:t xml:space="preserve"> </w:t>
      </w:r>
      <w:r>
        <w:t xml:space="preserve">of </w:t>
      </w:r>
      <w:r w:rsidR="00EB5507">
        <w:t>elective</w:t>
      </w:r>
      <w:r w:rsidR="00703AF6">
        <w:t xml:space="preserve"> </w:t>
      </w:r>
      <w:r>
        <w:t>classes, particularly for students receiving instructional interventions, remains an area of growth for the district.</w:t>
      </w:r>
    </w:p>
    <w:p w14:paraId="5ED0C3C8" w14:textId="64AC9176" w:rsidR="005E6AAF" w:rsidRDefault="005E6AAF" w:rsidP="00AA07D0">
      <w:pPr>
        <w:pStyle w:val="BodyText"/>
      </w:pPr>
      <w:r>
        <w:t xml:space="preserve">Beginning in </w:t>
      </w:r>
      <w:r w:rsidR="00F239DD">
        <w:t>seventh</w:t>
      </w:r>
      <w:r>
        <w:t xml:space="preserve"> grade, students are placed into different levels of ELA and math</w:t>
      </w:r>
      <w:r w:rsidR="00D15EEA">
        <w:t>ematics</w:t>
      </w:r>
      <w:r>
        <w:t xml:space="preserve"> based on teacher recommendations and achievement data. </w:t>
      </w:r>
      <w:r w:rsidR="00067C19">
        <w:t>These instructional groupings continue into high school</w:t>
      </w:r>
      <w:r>
        <w:t xml:space="preserve"> for all content areas, with additional opportunities for AP coursework. The district provides additional avenues for high school students to engage in rigorous learning experiences through its expanding dual enrollment program, which offers classes through Quincy College and the University of Massachusetts. Starting in the 2023-</w:t>
      </w:r>
      <w:r w:rsidR="00F239DD">
        <w:t>20</w:t>
      </w:r>
      <w:r>
        <w:t>24 school year, the district offer</w:t>
      </w:r>
      <w:r w:rsidR="00F239DD">
        <w:t>s</w:t>
      </w:r>
      <w:r>
        <w:t xml:space="preserve"> specialized </w:t>
      </w:r>
      <w:r>
        <w:lastRenderedPageBreak/>
        <w:t xml:space="preserve">pathway programs in arts and in technology education, building on its preexisting global citizenship pathway. </w:t>
      </w:r>
      <w:r w:rsidRPr="00352474">
        <w:t>These pathways programs enable students to pursue focused areas of study and cultivate portfolios with relevant work-based learning experiences.</w:t>
      </w:r>
      <w:r>
        <w:t xml:space="preserve"> The district also </w:t>
      </w:r>
      <w:r w:rsidR="00F239DD">
        <w:t xml:space="preserve">is </w:t>
      </w:r>
      <w:r>
        <w:t xml:space="preserve">exploring </w:t>
      </w:r>
      <w:r w:rsidR="00F239DD">
        <w:t xml:space="preserve">the creation of </w:t>
      </w:r>
      <w:r>
        <w:t xml:space="preserve">a business pathway, which would include an internship component with local businesses. </w:t>
      </w:r>
      <w:r w:rsidR="001735D9">
        <w:t xml:space="preserve">With 87.8 percent of </w:t>
      </w:r>
      <w:r w:rsidR="00243C83">
        <w:t>11</w:t>
      </w:r>
      <w:r w:rsidR="00243C83" w:rsidRPr="00243C83">
        <w:rPr>
          <w:vertAlign w:val="superscript"/>
        </w:rPr>
        <w:t>th</w:t>
      </w:r>
      <w:r w:rsidR="00243C83">
        <w:t xml:space="preserve"> and 12</w:t>
      </w:r>
      <w:r w:rsidR="00243C83" w:rsidRPr="00243C83">
        <w:rPr>
          <w:vertAlign w:val="superscript"/>
        </w:rPr>
        <w:t>th</w:t>
      </w:r>
      <w:r w:rsidR="00243C83">
        <w:t xml:space="preserve"> grade </w:t>
      </w:r>
      <w:r w:rsidR="001735D9">
        <w:t>students in Hingham</w:t>
      </w:r>
      <w:r w:rsidR="00BF77A2">
        <w:t xml:space="preserve"> completing advanced coursework</w:t>
      </w:r>
      <w:r w:rsidR="001735D9">
        <w:t xml:space="preserve"> </w:t>
      </w:r>
      <w:r w:rsidR="00243C83">
        <w:t>(</w:t>
      </w:r>
      <w:r w:rsidR="001735D9">
        <w:t>compared to 65.8 percent for the state</w:t>
      </w:r>
      <w:r w:rsidR="00243C83">
        <w:t>)</w:t>
      </w:r>
      <w:r w:rsidR="001735D9">
        <w:t>, t</w:t>
      </w:r>
      <w:r>
        <w:t>he extensive</w:t>
      </w:r>
      <w:r w:rsidRPr="004C7E3A">
        <w:t xml:space="preserve"> range of rigorous learning experiences available</w:t>
      </w:r>
      <w:r>
        <w:t xml:space="preserve"> at the high school</w:t>
      </w:r>
      <w:r w:rsidRPr="004C7E3A">
        <w:t xml:space="preserve">, </w:t>
      </w:r>
      <w:r>
        <w:t xml:space="preserve">including </w:t>
      </w:r>
      <w:r w:rsidRPr="004C7E3A">
        <w:t xml:space="preserve">AP courses, dual enrollment opportunities, and </w:t>
      </w:r>
      <w:r>
        <w:t>career pathways, represents a strength for the district.</w:t>
      </w:r>
    </w:p>
    <w:p w14:paraId="09F3C333" w14:textId="4B5540A5" w:rsidR="005E6AAF" w:rsidRDefault="005E6AAF" w:rsidP="00AA07D0">
      <w:pPr>
        <w:pStyle w:val="BodyText"/>
      </w:pPr>
      <w:r>
        <w:t>Despite the opportunities available at the high school, teachers and parents perceived a prevailing culture within the district that prioritizes college-bound students and potentially neglects those pursuing alternative paths. One group of parents advocated for a more comprehensive vocational technology program, highlighting a perceived gap in career readiness options. Recognizing the ongoing need to expand access to career readiness, the district created the Traces program, which enables</w:t>
      </w:r>
      <w:r w:rsidRPr="00B54A91">
        <w:t xml:space="preserve"> students to engage in traditional coursework part of the day and hands-on learning in industrial technology </w:t>
      </w:r>
      <w:r>
        <w:t xml:space="preserve">for the remainder of the day. District and school leaders also described having frequent conversations </w:t>
      </w:r>
      <w:r w:rsidR="00F239DD">
        <w:t xml:space="preserve">about </w:t>
      </w:r>
      <w:r>
        <w:t xml:space="preserve">ensuring equitable access </w:t>
      </w:r>
      <w:r w:rsidR="00A27F29">
        <w:t xml:space="preserve">to </w:t>
      </w:r>
      <w:r>
        <w:t xml:space="preserve">accelerated courses for all students, with one district leader acknowledging “there is a lot of work to be done.” As part of these ongoing conversations </w:t>
      </w:r>
      <w:r w:rsidR="00F239DD">
        <w:t xml:space="preserve">concerning </w:t>
      </w:r>
      <w:r>
        <w:t>equity, district and school leaders demonstrate a commitment to expanding dual enrollment as an alternative to AP classes, which can be prohibitively challenging for students with disabilities. One district leader explained,</w:t>
      </w:r>
    </w:p>
    <w:p w14:paraId="67943273" w14:textId="6E510DE9" w:rsidR="005E6AAF" w:rsidRDefault="005E6AAF" w:rsidP="00AA07D0">
      <w:pPr>
        <w:pStyle w:val="BlockQuote"/>
      </w:pPr>
      <w:r w:rsidRPr="00507FB5">
        <w:t>I do think that that was part of what drove us to explore dual enrollment as a promising practice for expanding students</w:t>
      </w:r>
      <w:r w:rsidR="00F239DD">
        <w:t>’</w:t>
      </w:r>
      <w:r w:rsidRPr="00507FB5">
        <w:t xml:space="preserve"> access to college-level courses</w:t>
      </w:r>
      <w:r w:rsidR="00F239DD">
        <w:t xml:space="preserve"> . . . </w:t>
      </w:r>
      <w:r w:rsidRPr="00507FB5">
        <w:t xml:space="preserve">when analyzing our AP enrollment data, we did have fewer students in special education, for example, that were accessing the AP courses. Whereas in the dual enrollment, we had students on IEPs in our biotech courses, our anatomy and physiology courses, and so on. </w:t>
      </w:r>
    </w:p>
    <w:p w14:paraId="351D4BD0" w14:textId="0B173481" w:rsidR="00331B5B" w:rsidRDefault="005E6AAF" w:rsidP="00331B5B">
      <w:pPr>
        <w:pStyle w:val="BodyText"/>
      </w:pPr>
      <w:r>
        <w:t xml:space="preserve">Although the district continues to expand </w:t>
      </w:r>
      <w:r w:rsidR="00A522C5">
        <w:t>access</w:t>
      </w:r>
      <w:r>
        <w:t xml:space="preserve"> </w:t>
      </w:r>
      <w:r w:rsidR="00A522C5">
        <w:t xml:space="preserve">to </w:t>
      </w:r>
      <w:r>
        <w:t xml:space="preserve">its advanced coursework offerings to all students, implementation challenges remain. Notably, teachers and support staff demonstrated uncertainty or a lack of awareness about the dual enrollment opportunities available to their students. Students similarly reported that knowledge of what courses were available to them could </w:t>
      </w:r>
      <w:r w:rsidR="00331B5B">
        <w:t xml:space="preserve">sometimes be unclear. Enhancing communication about available courses and opportunities for all students, particularly the </w:t>
      </w:r>
      <w:r w:rsidR="00AE7D1B">
        <w:t xml:space="preserve">dual </w:t>
      </w:r>
      <w:r w:rsidR="00331B5B">
        <w:t>enrollment program, remains an area of growth for the district.</w:t>
      </w:r>
    </w:p>
    <w:p w14:paraId="40D5D3FE" w14:textId="25427CFD" w:rsidR="002B4CEF" w:rsidRDefault="002B4CEF" w:rsidP="002B4CEF">
      <w:pPr>
        <w:pStyle w:val="Heading3"/>
      </w:pPr>
      <w:r>
        <w:t>DESE Recommendations</w:t>
      </w:r>
    </w:p>
    <w:p w14:paraId="4F2116A7" w14:textId="130F9F0E" w:rsidR="000C1877" w:rsidRPr="00483AA2" w:rsidRDefault="000C1877" w:rsidP="002B4CEF">
      <w:pPr>
        <w:pStyle w:val="Bullet1"/>
        <w:rPr>
          <w:b/>
        </w:rPr>
      </w:pPr>
      <w:r>
        <w:rPr>
          <w:bCs/>
          <w:i/>
          <w:iCs/>
        </w:rPr>
        <w:t xml:space="preserve">The district should </w:t>
      </w:r>
      <w:r w:rsidR="00483AA2">
        <w:rPr>
          <w:bCs/>
          <w:i/>
          <w:iCs/>
        </w:rPr>
        <w:t>review its curricula to better understand and address gaps in curricular accessibility for all students, particularly multilingual learners and students with disabilities.</w:t>
      </w:r>
    </w:p>
    <w:p w14:paraId="6D2016E7" w14:textId="2868BD25" w:rsidR="00411E6D" w:rsidRPr="00C90D4B" w:rsidRDefault="00411E6D" w:rsidP="002B4CEF">
      <w:pPr>
        <w:pStyle w:val="Bullet1"/>
        <w:rPr>
          <w:bCs/>
        </w:rPr>
      </w:pPr>
      <w:r>
        <w:rPr>
          <w:bCs/>
          <w:i/>
          <w:iCs/>
        </w:rPr>
        <w:t xml:space="preserve">The district should </w:t>
      </w:r>
      <w:r w:rsidR="00956EF4">
        <w:rPr>
          <w:bCs/>
          <w:i/>
          <w:iCs/>
        </w:rPr>
        <w:t xml:space="preserve">issue guidance and provide </w:t>
      </w:r>
      <w:r w:rsidR="00940848">
        <w:rPr>
          <w:bCs/>
          <w:i/>
          <w:iCs/>
        </w:rPr>
        <w:t>s</w:t>
      </w:r>
      <w:r w:rsidR="00956EF4">
        <w:rPr>
          <w:bCs/>
          <w:i/>
          <w:iCs/>
        </w:rPr>
        <w:t xml:space="preserve">upport for school leaders around </w:t>
      </w:r>
      <w:r w:rsidR="004E4F08">
        <w:rPr>
          <w:bCs/>
          <w:i/>
          <w:iCs/>
        </w:rPr>
        <w:t xml:space="preserve">performing observations and supplying teachers with feedback to improve their practice at the middle school level. </w:t>
      </w:r>
    </w:p>
    <w:p w14:paraId="48073FD4" w14:textId="77777777" w:rsidR="00940848" w:rsidRPr="00940848" w:rsidRDefault="00C90D4B" w:rsidP="002B4CEF">
      <w:pPr>
        <w:pStyle w:val="Bullet1"/>
        <w:rPr>
          <w:bCs/>
        </w:rPr>
      </w:pPr>
      <w:r>
        <w:rPr>
          <w:bCs/>
          <w:i/>
          <w:iCs/>
        </w:rPr>
        <w:t xml:space="preserve">The district should </w:t>
      </w:r>
      <w:r w:rsidR="00A061BC">
        <w:rPr>
          <w:bCs/>
          <w:i/>
          <w:iCs/>
        </w:rPr>
        <w:t>evaluate the structural barriers to SEL support and work with school leaders to</w:t>
      </w:r>
      <w:r w:rsidR="00940848">
        <w:rPr>
          <w:bCs/>
          <w:i/>
          <w:iCs/>
        </w:rPr>
        <w:t xml:space="preserve"> make adjustments that will support students’ overall wellbeing.</w:t>
      </w:r>
    </w:p>
    <w:p w14:paraId="32A1AED8" w14:textId="454D805F" w:rsidR="00C90D4B" w:rsidRPr="000C1877" w:rsidRDefault="002B5515" w:rsidP="002B4CEF">
      <w:pPr>
        <w:pStyle w:val="Bullet1"/>
        <w:rPr>
          <w:bCs/>
        </w:rPr>
      </w:pPr>
      <w:r>
        <w:rPr>
          <w:bCs/>
          <w:i/>
          <w:iCs/>
        </w:rPr>
        <w:t>In partnership with its school leaders, t</w:t>
      </w:r>
      <w:r w:rsidR="00940848">
        <w:rPr>
          <w:bCs/>
          <w:i/>
          <w:iCs/>
        </w:rPr>
        <w:t xml:space="preserve">he district should </w:t>
      </w:r>
      <w:r>
        <w:rPr>
          <w:bCs/>
          <w:i/>
          <w:iCs/>
        </w:rPr>
        <w:t xml:space="preserve">review </w:t>
      </w:r>
      <w:r w:rsidR="002D7591">
        <w:rPr>
          <w:bCs/>
          <w:i/>
          <w:iCs/>
        </w:rPr>
        <w:t xml:space="preserve">intervention schedules to </w:t>
      </w:r>
      <w:r>
        <w:rPr>
          <w:bCs/>
          <w:i/>
          <w:iCs/>
        </w:rPr>
        <w:t>minimize students</w:t>
      </w:r>
      <w:r w:rsidR="00CB58B8">
        <w:rPr>
          <w:bCs/>
          <w:i/>
          <w:iCs/>
        </w:rPr>
        <w:t xml:space="preserve"> </w:t>
      </w:r>
      <w:r w:rsidR="0007353F">
        <w:rPr>
          <w:bCs/>
          <w:i/>
          <w:iCs/>
        </w:rPr>
        <w:t xml:space="preserve">missing elective and enrichment classes to receive </w:t>
      </w:r>
      <w:r w:rsidR="00CB58B8">
        <w:rPr>
          <w:bCs/>
          <w:i/>
          <w:iCs/>
        </w:rPr>
        <w:t>Tier 2 and 3 supports</w:t>
      </w:r>
      <w:r w:rsidR="002D7591">
        <w:rPr>
          <w:bCs/>
          <w:i/>
          <w:iCs/>
        </w:rPr>
        <w:t xml:space="preserve">. </w:t>
      </w:r>
    </w:p>
    <w:p w14:paraId="66327CBB" w14:textId="70F5CC50" w:rsidR="002B4CEF" w:rsidRPr="000C1877" w:rsidRDefault="003726EA" w:rsidP="002B4CEF">
      <w:pPr>
        <w:pStyle w:val="Bullet1"/>
        <w:rPr>
          <w:bCs/>
        </w:rPr>
      </w:pPr>
      <w:r>
        <w:rPr>
          <w:i/>
          <w:iCs/>
        </w:rPr>
        <w:lastRenderedPageBreak/>
        <w:t xml:space="preserve">The district should </w:t>
      </w:r>
      <w:r w:rsidR="00BC53E5">
        <w:rPr>
          <w:i/>
          <w:iCs/>
        </w:rPr>
        <w:t>further disseminate information about advanced coursework options</w:t>
      </w:r>
      <w:r w:rsidR="002B5515">
        <w:rPr>
          <w:i/>
          <w:iCs/>
        </w:rPr>
        <w:t>,</w:t>
      </w:r>
      <w:r w:rsidR="00BC53E5">
        <w:rPr>
          <w:i/>
          <w:iCs/>
        </w:rPr>
        <w:t xml:space="preserve"> including dual enrollment</w:t>
      </w:r>
      <w:r w:rsidR="002B5515">
        <w:rPr>
          <w:i/>
          <w:iCs/>
        </w:rPr>
        <w:t>,</w:t>
      </w:r>
      <w:r w:rsidR="000C1877">
        <w:rPr>
          <w:i/>
          <w:iCs/>
        </w:rPr>
        <w:t xml:space="preserve"> to promote equitable access to advanced learning opportunities at the high school. </w:t>
      </w:r>
    </w:p>
    <w:p w14:paraId="3405C72D" w14:textId="77777777" w:rsidR="000C1877" w:rsidRPr="00CB0607" w:rsidRDefault="000C1877" w:rsidP="002D7591">
      <w:pPr>
        <w:pStyle w:val="Bullet1"/>
        <w:numPr>
          <w:ilvl w:val="0"/>
          <w:numId w:val="0"/>
        </w:numPr>
        <w:ind w:left="360"/>
        <w:rPr>
          <w:bCs/>
        </w:rPr>
      </w:pPr>
    </w:p>
    <w:p w14:paraId="46DDAA29" w14:textId="77777777" w:rsidR="002B4CEF" w:rsidRPr="00CB0607" w:rsidRDefault="002B4CEF" w:rsidP="00473308">
      <w:pPr>
        <w:pStyle w:val="BodyText"/>
        <w:rPr>
          <w:b/>
          <w:bCs/>
        </w:rPr>
      </w:pPr>
    </w:p>
    <w:p w14:paraId="366F3518" w14:textId="77777777" w:rsidR="008D6102" w:rsidRPr="00CB0607" w:rsidRDefault="008D6102" w:rsidP="008D6102">
      <w:pPr>
        <w:pStyle w:val="Heading2"/>
      </w:pPr>
      <w:bookmarkStart w:id="34" w:name="_Assessment"/>
      <w:bookmarkStart w:id="35" w:name="_Toc101446229"/>
      <w:bookmarkStart w:id="36" w:name="_Toc170157276"/>
      <w:bookmarkEnd w:id="34"/>
      <w:r w:rsidRPr="00CB0607">
        <w:lastRenderedPageBreak/>
        <w:t>Assessment</w:t>
      </w:r>
      <w:bookmarkEnd w:id="35"/>
      <w:bookmarkEnd w:id="36"/>
    </w:p>
    <w:p w14:paraId="4E33D056" w14:textId="2FAA9366" w:rsidR="00274598" w:rsidRPr="005F6913" w:rsidRDefault="00274598" w:rsidP="00AA07D0">
      <w:pPr>
        <w:pStyle w:val="BodyText"/>
      </w:pPr>
      <w:r w:rsidRPr="005F6913">
        <w:t xml:space="preserve">Hingham uses a variety of data systems to monitor students’ progress and inform continuous improvement efforts. Elementary teachers administer Acadience </w:t>
      </w:r>
      <w:r w:rsidR="00643239">
        <w:t>DIBELS</w:t>
      </w:r>
      <w:r w:rsidR="00643239" w:rsidRPr="005F6913">
        <w:t xml:space="preserve"> </w:t>
      </w:r>
      <w:r w:rsidRPr="005F6913">
        <w:t>and i-Ready diagnostics for ELA and math</w:t>
      </w:r>
      <w:r w:rsidR="00D15EEA">
        <w:t>ematics</w:t>
      </w:r>
      <w:r w:rsidRPr="005F6913">
        <w:t xml:space="preserve"> three times </w:t>
      </w:r>
      <w:r w:rsidR="00643239">
        <w:t>per</w:t>
      </w:r>
      <w:r w:rsidRPr="005F6913">
        <w:t xml:space="preserve"> year, along with additional</w:t>
      </w:r>
      <w:r>
        <w:t xml:space="preserve"> literacy</w:t>
      </w:r>
      <w:r w:rsidRPr="005F6913">
        <w:t xml:space="preserve"> screeners and </w:t>
      </w:r>
      <w:r>
        <w:t>math</w:t>
      </w:r>
      <w:r w:rsidR="00D15EEA">
        <w:t>ematics</w:t>
      </w:r>
      <w:r>
        <w:t xml:space="preserve"> </w:t>
      </w:r>
      <w:r w:rsidRPr="005F6913">
        <w:t xml:space="preserve">unit assessments. Middle and high school assessments include i-Ready diagnostics, easyCBM, and district-developed common assessments, alongside standardized tests </w:t>
      </w:r>
      <w:r w:rsidR="00643239">
        <w:t>such as</w:t>
      </w:r>
      <w:r w:rsidR="00643239" w:rsidRPr="005F6913">
        <w:t xml:space="preserve"> </w:t>
      </w:r>
      <w:r w:rsidRPr="005F6913">
        <w:t>MCAS and AP exam</w:t>
      </w:r>
      <w:r w:rsidR="00643239">
        <w:t>ination</w:t>
      </w:r>
      <w:r w:rsidRPr="005F6913">
        <w:t xml:space="preserve">s. The district also created systems to support data use, including </w:t>
      </w:r>
      <w:r w:rsidR="00643239">
        <w:t>PLCs</w:t>
      </w:r>
      <w:r w:rsidRPr="005F6913">
        <w:t xml:space="preserve"> and data meetings at elementary schools, providing opportunities for interventionists to help teachers with groupings and tiered interventions. However, district and school leaders and staff reported that systems for collecting and analyzing data at the middle and high school levels remain less developed.</w:t>
      </w:r>
    </w:p>
    <w:p w14:paraId="34CC4D3B" w14:textId="37739312" w:rsidR="00274598" w:rsidRPr="005F6913" w:rsidRDefault="00274598" w:rsidP="00274598">
      <w:pPr>
        <w:pStyle w:val="BodyText"/>
      </w:pPr>
      <w:r w:rsidRPr="005F6913">
        <w:t xml:space="preserve">The district shares data with students’ families in various ways, including report cards, parent/caregiver conferences, Google Classroom, and Aspen. District leaders </w:t>
      </w:r>
      <w:r w:rsidR="00643239">
        <w:t xml:space="preserve">also </w:t>
      </w:r>
      <w:r w:rsidR="00AD6D08">
        <w:t xml:space="preserve">reported </w:t>
      </w:r>
      <w:r w:rsidR="00F53E8A" w:rsidRPr="00E40B33">
        <w:t>implemented a new data system that were developed by Open Architects</w:t>
      </w:r>
      <w:r w:rsidR="00C60E74">
        <w:t xml:space="preserve"> </w:t>
      </w:r>
      <w:r w:rsidRPr="005F6913">
        <w:t>to facilitate data visualization and analysis of subgroup differences</w:t>
      </w:r>
      <w:r>
        <w:t>. The district regularly shares data with the school committee with the goal of strengthening MTSS systems and closing achievement gaps.</w:t>
      </w:r>
    </w:p>
    <w:p w14:paraId="1CBBB00B" w14:textId="77777777" w:rsidR="00274598" w:rsidRPr="00CB0607" w:rsidRDefault="00274598" w:rsidP="00274598">
      <w:pPr>
        <w:pStyle w:val="BodyText"/>
      </w:pPr>
      <w:r w:rsidRPr="00CB0607">
        <w:t xml:space="preserve">Table </w:t>
      </w:r>
      <w:r>
        <w:t>4</w:t>
      </w:r>
      <w:r w:rsidRPr="00CB0607">
        <w:t xml:space="preserve"> summarizes key strengths and areas for growth in assessment.</w:t>
      </w:r>
    </w:p>
    <w:p w14:paraId="675D6724" w14:textId="77777777" w:rsidR="00274598" w:rsidRPr="00CB0607" w:rsidRDefault="00274598" w:rsidP="00274598">
      <w:pPr>
        <w:pStyle w:val="TableTitle0"/>
      </w:pPr>
      <w:r w:rsidRPr="00CB0607">
        <w:t xml:space="preserve">Table </w:t>
      </w:r>
      <w:r>
        <w:t>4</w:t>
      </w:r>
      <w:r w:rsidRPr="00CB0607">
        <w:t>. Summary of Key Strengths and Areas for Growth: Assessment Standard</w:t>
      </w:r>
    </w:p>
    <w:tbl>
      <w:tblPr>
        <w:tblStyle w:val="MSVTable1"/>
        <w:tblW w:w="5000" w:type="pct"/>
        <w:tblLook w:val="04A0" w:firstRow="1" w:lastRow="0" w:firstColumn="1" w:lastColumn="0" w:noHBand="0" w:noVBand="1"/>
      </w:tblPr>
      <w:tblGrid>
        <w:gridCol w:w="2334"/>
        <w:gridCol w:w="3504"/>
        <w:gridCol w:w="3506"/>
      </w:tblGrid>
      <w:tr w:rsidR="00274598" w:rsidRPr="00CB0607" w14:paraId="107A1F9C" w14:textId="77777777">
        <w:trPr>
          <w:cnfStyle w:val="100000000000" w:firstRow="1" w:lastRow="0" w:firstColumn="0" w:lastColumn="0" w:oddVBand="0" w:evenVBand="0" w:oddHBand="0" w:evenHBand="0" w:firstRowFirstColumn="0" w:firstRowLastColumn="0" w:lastRowFirstColumn="0" w:lastRowLastColumn="0"/>
        </w:trPr>
        <w:tc>
          <w:tcPr>
            <w:tcW w:w="1249" w:type="pct"/>
          </w:tcPr>
          <w:p w14:paraId="054AC56B" w14:textId="77777777" w:rsidR="00274598" w:rsidRPr="00CB0607" w:rsidRDefault="00274598">
            <w:pPr>
              <w:pStyle w:val="TableColHeadingCenter"/>
            </w:pPr>
            <w:r w:rsidRPr="00CB0607">
              <w:t>Indicator</w:t>
            </w:r>
          </w:p>
        </w:tc>
        <w:tc>
          <w:tcPr>
            <w:tcW w:w="1875" w:type="pct"/>
          </w:tcPr>
          <w:p w14:paraId="20845E95" w14:textId="77777777" w:rsidR="00274598" w:rsidRPr="00CB0607" w:rsidRDefault="00274598">
            <w:pPr>
              <w:pStyle w:val="TableColHeadingCenter"/>
            </w:pPr>
            <w:r w:rsidRPr="00CB0607">
              <w:t>Strengths</w:t>
            </w:r>
          </w:p>
        </w:tc>
        <w:tc>
          <w:tcPr>
            <w:tcW w:w="1876" w:type="pct"/>
          </w:tcPr>
          <w:p w14:paraId="112D4343" w14:textId="77777777" w:rsidR="00274598" w:rsidRPr="00CB0607" w:rsidRDefault="00274598">
            <w:pPr>
              <w:pStyle w:val="TableColHeadingCenter"/>
            </w:pPr>
            <w:r w:rsidRPr="00CB0607">
              <w:t>Areas for growth</w:t>
            </w:r>
          </w:p>
        </w:tc>
      </w:tr>
      <w:tr w:rsidR="00274598" w:rsidRPr="00CB0607" w14:paraId="07788977" w14:textId="77777777">
        <w:trPr>
          <w:cnfStyle w:val="000000100000" w:firstRow="0" w:lastRow="0" w:firstColumn="0" w:lastColumn="0" w:oddVBand="0" w:evenVBand="0" w:oddHBand="1" w:evenHBand="0" w:firstRowFirstColumn="0" w:firstRowLastColumn="0" w:lastRowFirstColumn="0" w:lastRowLastColumn="0"/>
        </w:trPr>
        <w:tc>
          <w:tcPr>
            <w:tcW w:w="1249" w:type="pct"/>
          </w:tcPr>
          <w:p w14:paraId="381B54FA" w14:textId="77777777" w:rsidR="00274598" w:rsidRPr="00CB0607" w:rsidRDefault="00000000">
            <w:pPr>
              <w:pStyle w:val="TableSubheading"/>
              <w:rPr>
                <w:bdr w:val="none" w:sz="0" w:space="0" w:color="auto" w:frame="1"/>
              </w:rPr>
            </w:pPr>
            <w:hyperlink w:anchor="_Data_and_Assessment" w:history="1">
              <w:r w:rsidR="00274598" w:rsidRPr="004A78AC">
                <w:rPr>
                  <w:rStyle w:val="Hyperlink"/>
                  <w:bdr w:val="none" w:sz="0" w:space="0" w:color="auto" w:frame="1"/>
                </w:rPr>
                <w:t>Data and assessment systems</w:t>
              </w:r>
            </w:hyperlink>
          </w:p>
        </w:tc>
        <w:tc>
          <w:tcPr>
            <w:tcW w:w="1875" w:type="pct"/>
          </w:tcPr>
          <w:p w14:paraId="0B97C23B" w14:textId="30D7925E" w:rsidR="00274598" w:rsidRPr="00AA07D0" w:rsidRDefault="00274598" w:rsidP="00AA07D0">
            <w:pPr>
              <w:pStyle w:val="TableBullet1"/>
            </w:pPr>
            <w:r w:rsidRPr="00AA07D0">
              <w:t xml:space="preserve">The elementary schools have </w:t>
            </w:r>
            <w:r w:rsidR="00643239" w:rsidRPr="00AA07D0">
              <w:t xml:space="preserve">a </w:t>
            </w:r>
            <w:r w:rsidRPr="00AA07D0">
              <w:t>variety of assessments to determine needed interventions and monitor students’ academic progress.</w:t>
            </w:r>
          </w:p>
        </w:tc>
        <w:tc>
          <w:tcPr>
            <w:tcW w:w="1876" w:type="pct"/>
          </w:tcPr>
          <w:p w14:paraId="580308E1" w14:textId="5E2EF784" w:rsidR="00274598" w:rsidRPr="00AA07D0" w:rsidRDefault="00274598" w:rsidP="00AA07D0">
            <w:pPr>
              <w:pStyle w:val="TableBullet1"/>
            </w:pPr>
            <w:r w:rsidRPr="00AA07D0">
              <w:t>Progress monitoring at the middle and high school levels, particularly for students with disabilities</w:t>
            </w:r>
          </w:p>
        </w:tc>
      </w:tr>
      <w:tr w:rsidR="00274598" w:rsidRPr="00CB0607" w14:paraId="50752850" w14:textId="77777777">
        <w:tc>
          <w:tcPr>
            <w:tcW w:w="1249" w:type="pct"/>
          </w:tcPr>
          <w:p w14:paraId="363E5905" w14:textId="0C5EE1D5" w:rsidR="00274598" w:rsidRPr="00CB0607" w:rsidRDefault="00000000">
            <w:pPr>
              <w:pStyle w:val="TableSubheading"/>
              <w:rPr>
                <w:bdr w:val="none" w:sz="0" w:space="0" w:color="auto" w:frame="1"/>
              </w:rPr>
            </w:pPr>
            <w:hyperlink w:anchor="_Data_Use" w:history="1">
              <w:r w:rsidR="00274598" w:rsidRPr="004A78AC">
                <w:rPr>
                  <w:rStyle w:val="Hyperlink"/>
                  <w:bdr w:val="none" w:sz="0" w:space="0" w:color="auto" w:frame="1"/>
                </w:rPr>
                <w:t>Data use</w:t>
              </w:r>
            </w:hyperlink>
          </w:p>
        </w:tc>
        <w:tc>
          <w:tcPr>
            <w:tcW w:w="1875" w:type="pct"/>
          </w:tcPr>
          <w:p w14:paraId="7AB1A679" w14:textId="16BAAAE9" w:rsidR="00274598" w:rsidRPr="00AA07D0" w:rsidRDefault="00D80CCA" w:rsidP="00AA07D0">
            <w:pPr>
              <w:pStyle w:val="TableBullet1"/>
            </w:pPr>
            <w:r>
              <w:t>T</w:t>
            </w:r>
            <w:r w:rsidRPr="00A01F49">
              <w:t xml:space="preserve">he </w:t>
            </w:r>
            <w:r>
              <w:t>examination</w:t>
            </w:r>
            <w:r w:rsidRPr="00A01F49">
              <w:t xml:space="preserve"> of data</w:t>
            </w:r>
            <w:r>
              <w:t xml:space="preserve"> with the intention of</w:t>
            </w:r>
            <w:r w:rsidRPr="00A01F49">
              <w:t xml:space="preserve"> clos</w:t>
            </w:r>
            <w:r>
              <w:t>ing</w:t>
            </w:r>
            <w:r w:rsidRPr="00A01F49">
              <w:t xml:space="preserve"> achievement</w:t>
            </w:r>
            <w:r>
              <w:t xml:space="preserve"> </w:t>
            </w:r>
            <w:r w:rsidRPr="00A01F49">
              <w:t xml:space="preserve">gaps and </w:t>
            </w:r>
            <w:r>
              <w:t xml:space="preserve">strengthening MTSS systems </w:t>
            </w:r>
            <w:r w:rsidR="00274598" w:rsidRPr="00AA07D0">
              <w:t>The district established PLCs at each elementary school to strengthen data use practices.</w:t>
            </w:r>
          </w:p>
        </w:tc>
        <w:tc>
          <w:tcPr>
            <w:tcW w:w="1876" w:type="pct"/>
          </w:tcPr>
          <w:p w14:paraId="6C749B42" w14:textId="01457FF8" w:rsidR="00274598" w:rsidRPr="00AA07D0" w:rsidRDefault="00274598" w:rsidP="00AA07D0">
            <w:pPr>
              <w:pStyle w:val="TableBullet1"/>
            </w:pPr>
            <w:r w:rsidRPr="00AA07D0">
              <w:t xml:space="preserve">Creating structured opportunities </w:t>
            </w:r>
            <w:r w:rsidR="00465061">
              <w:t xml:space="preserve">with sufficient time </w:t>
            </w:r>
            <w:r w:rsidRPr="00AA07D0">
              <w:t xml:space="preserve">for </w:t>
            </w:r>
            <w:r w:rsidR="00465061">
              <w:t xml:space="preserve">middle and high school </w:t>
            </w:r>
            <w:r w:rsidRPr="00AA07D0">
              <w:t xml:space="preserve">staff to receive  professional development </w:t>
            </w:r>
            <w:r w:rsidR="00465061">
              <w:t>and coaching support on data analysis and usage</w:t>
            </w:r>
          </w:p>
        </w:tc>
      </w:tr>
      <w:tr w:rsidR="00274598" w:rsidRPr="00CB0607" w14:paraId="09D93D28" w14:textId="77777777">
        <w:trPr>
          <w:cnfStyle w:val="000000100000" w:firstRow="0" w:lastRow="0" w:firstColumn="0" w:lastColumn="0" w:oddVBand="0" w:evenVBand="0" w:oddHBand="1" w:evenHBand="0" w:firstRowFirstColumn="0" w:firstRowLastColumn="0" w:lastRowFirstColumn="0" w:lastRowLastColumn="0"/>
        </w:trPr>
        <w:tc>
          <w:tcPr>
            <w:tcW w:w="1249" w:type="pct"/>
          </w:tcPr>
          <w:p w14:paraId="39987049" w14:textId="509EB03B" w:rsidR="00274598" w:rsidRPr="00CB0607" w:rsidRDefault="00000000">
            <w:pPr>
              <w:pStyle w:val="TableSubheading"/>
              <w:rPr>
                <w:bdr w:val="none" w:sz="0" w:space="0" w:color="auto" w:frame="1"/>
              </w:rPr>
            </w:pPr>
            <w:hyperlink w:anchor="_Sharing_Results" w:history="1">
              <w:r w:rsidR="00274598" w:rsidRPr="004A78AC">
                <w:rPr>
                  <w:rStyle w:val="Hyperlink"/>
                  <w:bdr w:val="none" w:sz="0" w:space="0" w:color="auto" w:frame="1"/>
                </w:rPr>
                <w:t>Sharing results</w:t>
              </w:r>
            </w:hyperlink>
          </w:p>
        </w:tc>
        <w:tc>
          <w:tcPr>
            <w:tcW w:w="1875" w:type="pct"/>
          </w:tcPr>
          <w:p w14:paraId="28187797" w14:textId="77777777" w:rsidR="00274598" w:rsidRPr="00AA07D0" w:rsidRDefault="00274598" w:rsidP="00AA07D0">
            <w:pPr>
              <w:pStyle w:val="TableBullet1"/>
            </w:pPr>
            <w:r w:rsidRPr="00AA07D0">
              <w:t>The district shares data with students and families in meaningful and appropriate ways.</w:t>
            </w:r>
          </w:p>
        </w:tc>
        <w:tc>
          <w:tcPr>
            <w:tcW w:w="1876" w:type="pct"/>
          </w:tcPr>
          <w:p w14:paraId="4DB091E1" w14:textId="77777777" w:rsidR="00274598" w:rsidRPr="00AA07D0" w:rsidRDefault="00274598" w:rsidP="00AA07D0">
            <w:pPr>
              <w:pStyle w:val="TableBullet1"/>
            </w:pPr>
            <w:bookmarkStart w:id="37" w:name="_Data_and_Assessment"/>
            <w:bookmarkEnd w:id="37"/>
            <w:r w:rsidRPr="00AA07D0">
              <w:t>Establishing structures and protocols to facilitate data sharing between teachers and support staff</w:t>
            </w:r>
          </w:p>
        </w:tc>
      </w:tr>
    </w:tbl>
    <w:p w14:paraId="6E0BE7E4" w14:textId="77777777" w:rsidR="00274598" w:rsidRDefault="00274598" w:rsidP="00274598">
      <w:pPr>
        <w:pStyle w:val="Heading3"/>
      </w:pPr>
      <w:r w:rsidRPr="00CB0607">
        <w:t>Data and Assessment Systems</w:t>
      </w:r>
    </w:p>
    <w:p w14:paraId="59CC1727" w14:textId="353D9AB4" w:rsidR="00274598" w:rsidRDefault="00274598" w:rsidP="00274598">
      <w:pPr>
        <w:pStyle w:val="BodyTextposthead"/>
      </w:pPr>
      <w:r w:rsidRPr="00053B2E">
        <w:t xml:space="preserve">The district’s </w:t>
      </w:r>
      <w:r>
        <w:t xml:space="preserve">assessment </w:t>
      </w:r>
      <w:r w:rsidR="00B67B2E">
        <w:t xml:space="preserve">documentation </w:t>
      </w:r>
      <w:r>
        <w:t>an</w:t>
      </w:r>
      <w:r w:rsidRPr="00053B2E">
        <w:t>d accounts from school leaders and staff confirm the use of various assessments across school and subject levels</w:t>
      </w:r>
      <w:r>
        <w:t xml:space="preserve">. At the elementary level (K-5), teachers administer the following benchmark assessments three times per year: Acadience </w:t>
      </w:r>
      <w:r w:rsidR="00AC4D5B">
        <w:t xml:space="preserve">Reading </w:t>
      </w:r>
      <w:r>
        <w:t xml:space="preserve">for ELA and the i-Ready diagnostic for both ELA and mathematics. </w:t>
      </w:r>
      <w:r w:rsidRPr="00C84D43">
        <w:rPr>
          <w:color w:val="000000" w:themeColor="text1"/>
        </w:rPr>
        <w:t xml:space="preserve">Teachers for Grades 1 and 2 </w:t>
      </w:r>
      <w:r>
        <w:rPr>
          <w:color w:val="000000" w:themeColor="text1"/>
        </w:rPr>
        <w:t>also</w:t>
      </w:r>
      <w:r w:rsidRPr="00C84D43">
        <w:rPr>
          <w:color w:val="000000" w:themeColor="text1"/>
        </w:rPr>
        <w:t xml:space="preserve"> screen students </w:t>
      </w:r>
      <w:r>
        <w:rPr>
          <w:color w:val="000000" w:themeColor="text1"/>
        </w:rPr>
        <w:t>for dyslexia</w:t>
      </w:r>
      <w:r w:rsidRPr="00C84D43">
        <w:rPr>
          <w:color w:val="000000" w:themeColor="text1"/>
        </w:rPr>
        <w:t xml:space="preserve"> using the</w:t>
      </w:r>
      <w:r>
        <w:rPr>
          <w:color w:val="000000" w:themeColor="text1"/>
        </w:rPr>
        <w:t xml:space="preserve"> Acadience </w:t>
      </w:r>
      <w:r w:rsidR="00643239">
        <w:rPr>
          <w:color w:val="000000" w:themeColor="text1"/>
        </w:rPr>
        <w:t xml:space="preserve">Rapid Automatized Naming </w:t>
      </w:r>
      <w:r>
        <w:rPr>
          <w:color w:val="000000" w:themeColor="text1"/>
        </w:rPr>
        <w:t>assessment</w:t>
      </w:r>
      <w:r>
        <w:t xml:space="preserve">, </w:t>
      </w:r>
      <w:r w:rsidR="00643239">
        <w:t xml:space="preserve">whereas </w:t>
      </w:r>
      <w:r>
        <w:t xml:space="preserve">teachers </w:t>
      </w:r>
      <w:r>
        <w:lastRenderedPageBreak/>
        <w:t xml:space="preserve">in Grades 3-5 use the Beginning/Advanced Decoding Survey. </w:t>
      </w:r>
      <w:r w:rsidRPr="00C84D43">
        <w:t>Finally, elementary students in Grades</w:t>
      </w:r>
      <w:r w:rsidR="00643239">
        <w:t> </w:t>
      </w:r>
      <w:r>
        <w:t>K-5</w:t>
      </w:r>
      <w:r w:rsidRPr="00C84D43">
        <w:t xml:space="preserve"> receive the </w:t>
      </w:r>
      <w:r>
        <w:t xml:space="preserve">Everyday Math </w:t>
      </w:r>
      <w:r w:rsidR="00D15EEA">
        <w:t>u</w:t>
      </w:r>
      <w:r>
        <w:t xml:space="preserve">nit assessment for mathematics. </w:t>
      </w:r>
    </w:p>
    <w:p w14:paraId="05A120CB" w14:textId="3E239F59" w:rsidR="00274598" w:rsidRDefault="00274598" w:rsidP="00AA07D0">
      <w:pPr>
        <w:pStyle w:val="BodyText"/>
      </w:pPr>
      <w:r>
        <w:t>According to district leaders and presentations to the school committee, the district strengthened its assessment system at the elementary level in alignment with implementation of MTSS. Starting in the 2022-2023 school year, teachers and specialists use assessments to determine interventions and progress monitoring. School and district leaders, along with elementary teachers, expressed satisfaction with these new assessment systems. One teacher explained how “We’re very data driven and driven by growth measures.” Similarly, a school leader explained</w:t>
      </w:r>
      <w:r w:rsidR="00643239">
        <w:t xml:space="preserve"> as follows:</w:t>
      </w:r>
    </w:p>
    <w:p w14:paraId="1173B542" w14:textId="16FDBEC1" w:rsidR="00274598" w:rsidRPr="00013F14" w:rsidRDefault="00274598" w:rsidP="00AA07D0">
      <w:pPr>
        <w:pStyle w:val="BlockQuote"/>
      </w:pPr>
      <w:r w:rsidRPr="00013F14">
        <w:t>The elementary level seems [to have] a pretty comprehensive system of student performance tracking. If anyone who</w:t>
      </w:r>
      <w:r w:rsidR="00643239">
        <w:t>’</w:t>
      </w:r>
      <w:r w:rsidRPr="00013F14">
        <w:t xml:space="preserve">s working in a capacity at the elementary classroom </w:t>
      </w:r>
      <w:r w:rsidR="00643239">
        <w:t xml:space="preserve">[level] </w:t>
      </w:r>
      <w:r w:rsidRPr="00013F14">
        <w:t>wants to know about either a student</w:t>
      </w:r>
      <w:r w:rsidR="00643239">
        <w:t>’</w:t>
      </w:r>
      <w:r w:rsidRPr="00013F14">
        <w:t>s performance or a cohort of students and their growth, all that</w:t>
      </w:r>
      <w:r w:rsidR="00643239">
        <w:t>’</w:t>
      </w:r>
      <w:r w:rsidRPr="00013F14">
        <w:t xml:space="preserve">s readily available to them. </w:t>
      </w:r>
    </w:p>
    <w:p w14:paraId="1EFD7095" w14:textId="0E2BEE6A" w:rsidR="00274598" w:rsidRPr="00C2368C" w:rsidRDefault="00274598" w:rsidP="00AA07D0">
      <w:pPr>
        <w:pStyle w:val="BodyText"/>
      </w:pPr>
      <w:r>
        <w:t xml:space="preserve">The use of </w:t>
      </w:r>
      <w:r w:rsidRPr="00A01F49">
        <w:t xml:space="preserve">a variety of assessments </w:t>
      </w:r>
      <w:r>
        <w:t xml:space="preserve">at the elementary level </w:t>
      </w:r>
      <w:r w:rsidRPr="00A01F49">
        <w:t xml:space="preserve">to </w:t>
      </w:r>
      <w:r w:rsidR="003A5B3A" w:rsidRPr="00A01F49">
        <w:t>monitor students’ academic progress</w:t>
      </w:r>
      <w:r w:rsidR="003A5B3A">
        <w:t xml:space="preserve"> </w:t>
      </w:r>
      <w:r w:rsidR="00BC3130" w:rsidRPr="00A01F49">
        <w:t xml:space="preserve">and </w:t>
      </w:r>
      <w:r w:rsidRPr="00A01F49">
        <w:t xml:space="preserve">determine needed interventions </w:t>
      </w:r>
      <w:r w:rsidR="008E5931">
        <w:t xml:space="preserve">is </w:t>
      </w:r>
      <w:r>
        <w:t xml:space="preserve">a strength </w:t>
      </w:r>
      <w:r w:rsidR="008E5931">
        <w:t xml:space="preserve">of </w:t>
      </w:r>
      <w:r>
        <w:t>the district.</w:t>
      </w:r>
    </w:p>
    <w:p w14:paraId="7BD4C22B" w14:textId="59EF0FC7" w:rsidR="00274598" w:rsidRDefault="00274598" w:rsidP="00AA07D0">
      <w:pPr>
        <w:pStyle w:val="BodyText"/>
      </w:pPr>
      <w:r>
        <w:t xml:space="preserve">At the middle school level, all </w:t>
      </w:r>
      <w:r w:rsidR="00643239">
        <w:t>sixth-</w:t>
      </w:r>
      <w:r>
        <w:t>grade students receive the i-Ready diagnostic for math</w:t>
      </w:r>
      <w:r w:rsidR="00D15EEA">
        <w:t>ematics</w:t>
      </w:r>
      <w:r>
        <w:t xml:space="preserve"> several times </w:t>
      </w:r>
      <w:r w:rsidR="00643239">
        <w:t>per</w:t>
      </w:r>
      <w:r>
        <w:t xml:space="preserve"> year, </w:t>
      </w:r>
      <w:r w:rsidR="00643239">
        <w:t xml:space="preserve">whereas </w:t>
      </w:r>
      <w:r>
        <w:t xml:space="preserve">students receiving Tier 2 or 3 academic interventions (Grades 6-8) receive i-Ready and easyCBM several times </w:t>
      </w:r>
      <w:r w:rsidR="00643239">
        <w:t>per</w:t>
      </w:r>
      <w:r>
        <w:t xml:space="preserve"> year for progress monitoring of interventions. Teachers </w:t>
      </w:r>
      <w:r w:rsidR="00EE6C91">
        <w:t xml:space="preserve">at </w:t>
      </w:r>
      <w:r>
        <w:t>the middle and high school level</w:t>
      </w:r>
      <w:r w:rsidR="00643239">
        <w:t>s</w:t>
      </w:r>
      <w:r>
        <w:t xml:space="preserve"> also administer district-developed common assessments across different departments twice per year.</w:t>
      </w:r>
      <w:r w:rsidRPr="00955EC6">
        <w:t xml:space="preserve"> </w:t>
      </w:r>
      <w:r w:rsidRPr="00A01F49">
        <w:t xml:space="preserve">Finally, </w:t>
      </w:r>
      <w:r>
        <w:t>district documents and accounts from school leaders and teachers demonstrate</w:t>
      </w:r>
      <w:r w:rsidRPr="00A01F49">
        <w:t xml:space="preserve"> that both </w:t>
      </w:r>
      <w:r>
        <w:t>the middle and high school</w:t>
      </w:r>
      <w:r w:rsidR="00643239">
        <w:t>s</w:t>
      </w:r>
      <w:r>
        <w:t xml:space="preserve"> </w:t>
      </w:r>
      <w:r w:rsidRPr="00A01F49">
        <w:t>place a strong emphasis on standardized testing</w:t>
      </w:r>
      <w:r>
        <w:t>. These assessments</w:t>
      </w:r>
      <w:r w:rsidRPr="00A01F49">
        <w:t xml:space="preserve"> includ</w:t>
      </w:r>
      <w:r>
        <w:t>e (a) STAMP, a world language assessment used to monitor language attainment and qualify select student for a Seal of Biliteracy; (b) the MCAS; and (c) AP examinations at the high school level.</w:t>
      </w:r>
    </w:p>
    <w:p w14:paraId="2C29D4BF" w14:textId="0CC075F3" w:rsidR="00274598" w:rsidRDefault="00274598" w:rsidP="00AA07D0">
      <w:pPr>
        <w:pStyle w:val="BodyText"/>
      </w:pPr>
      <w:r>
        <w:t>A variety of sources, including district documents and accounts by district leaders and support staff</w:t>
      </w:r>
      <w:r w:rsidR="006D0227">
        <w:t>,</w:t>
      </w:r>
      <w:r>
        <w:t xml:space="preserve"> report that progress monitoring at the middle and high school levels, particularly for </w:t>
      </w:r>
      <w:r w:rsidR="006D0227">
        <w:t xml:space="preserve">students receiving </w:t>
      </w:r>
      <w:r>
        <w:t xml:space="preserve">special education </w:t>
      </w:r>
      <w:r w:rsidR="006D0227">
        <w:t>services</w:t>
      </w:r>
      <w:r>
        <w:t xml:space="preserve">, remains an area of growth for the district. According to both the district’s self-assessments and accounts from support specialists, middle and high schools have struggled to implement systems </w:t>
      </w:r>
      <w:r w:rsidR="00E24B2F">
        <w:t>for</w:t>
      </w:r>
      <w:r>
        <w:t xml:space="preserve"> skill monitoring </w:t>
      </w:r>
      <w:r w:rsidR="00434957">
        <w:t>among</w:t>
      </w:r>
      <w:r>
        <w:t xml:space="preserve"> </w:t>
      </w:r>
      <w:r w:rsidR="006D0227">
        <w:t xml:space="preserve">students receiving </w:t>
      </w:r>
      <w:r>
        <w:t xml:space="preserve">special education </w:t>
      </w:r>
      <w:r w:rsidR="006D0227">
        <w:t>services</w:t>
      </w:r>
      <w:r>
        <w:t xml:space="preserve">. Likewise, a districtwide evaluation of Hingham’s special education program conducted in </w:t>
      </w:r>
      <w:r w:rsidR="006D0227">
        <w:t>f</w:t>
      </w:r>
      <w:r>
        <w:t>all 2023 similarly identified the need for a “thorough review” of what data the district is collecting to assign interventions and monitor progress. As recommended in the evaluation:</w:t>
      </w:r>
    </w:p>
    <w:p w14:paraId="5BD3773B" w14:textId="2B3C3EBE" w:rsidR="00274598" w:rsidRPr="00013F14" w:rsidRDefault="00274598" w:rsidP="00AA07D0">
      <w:pPr>
        <w:pStyle w:val="BlockQuote"/>
      </w:pPr>
      <w:r w:rsidRPr="00013F14">
        <w:t>All staff would benefit from additional training on performance data collection in all forms. There is a concern for the “in between(er)” students that performance data is not being collected in a manner that will drive the instruction for these students who are demonstrating slow or limited progress.</w:t>
      </w:r>
    </w:p>
    <w:p w14:paraId="2C9A9A29" w14:textId="0F152D04" w:rsidR="00274598" w:rsidRPr="00053B2E" w:rsidRDefault="00274598" w:rsidP="00AA07D0">
      <w:pPr>
        <w:pStyle w:val="BodyText"/>
      </w:pPr>
      <w:r>
        <w:t xml:space="preserve">According to both district documents and accounts from school leaders and support staff, the district administers a variety of </w:t>
      </w:r>
      <w:r w:rsidR="00FA5863">
        <w:t>social-emotional learning</w:t>
      </w:r>
      <w:r>
        <w:t xml:space="preserve"> universal screeners, including the Student Risk Screening Scale</w:t>
      </w:r>
      <w:r w:rsidR="006D0227">
        <w:t>–</w:t>
      </w:r>
      <w:r>
        <w:t xml:space="preserve">Internalizing and Externalizing at the elementary schools and the Strengths and Difficulties Questionnaire at the middle and high schools. The district also administers the Youth Risk Behavior Survey (YRBS) yearly to students in Grades 7, 9, and 11 to gauge the extent to which </w:t>
      </w:r>
      <w:r>
        <w:lastRenderedPageBreak/>
        <w:t xml:space="preserve">students engage in health-risk behaviors, such as alcohol and tobacco use. District documents demonstrate that district and school leaders </w:t>
      </w:r>
      <w:r w:rsidR="006D0227">
        <w:t xml:space="preserve">yearly </w:t>
      </w:r>
      <w:r>
        <w:t>review and analyze YRBS data to present to the school committee and other district stakeholders.</w:t>
      </w:r>
    </w:p>
    <w:p w14:paraId="4218ED83" w14:textId="77777777" w:rsidR="00274598" w:rsidRDefault="00274598" w:rsidP="00274598">
      <w:pPr>
        <w:pStyle w:val="Heading3"/>
      </w:pPr>
      <w:bookmarkStart w:id="38" w:name="_Data_Use"/>
      <w:bookmarkEnd w:id="38"/>
      <w:r w:rsidRPr="00CB0607">
        <w:t>Data Use</w:t>
      </w:r>
    </w:p>
    <w:p w14:paraId="17E128BF" w14:textId="77777777" w:rsidR="0049166A" w:rsidRPr="00DE57EF" w:rsidRDefault="00274598" w:rsidP="0049166A">
      <w:r>
        <w:t xml:space="preserve">As outlined by the </w:t>
      </w:r>
      <w:r w:rsidRPr="006D0227">
        <w:rPr>
          <w:i/>
          <w:iCs/>
        </w:rPr>
        <w:t>District Strategic Plan</w:t>
      </w:r>
      <w:r>
        <w:t xml:space="preserve"> and articulated in interviews with district leaders, using data to inform instruction and close access and achievement </w:t>
      </w:r>
      <w:r w:rsidR="006D0227">
        <w:t xml:space="preserve">gaps </w:t>
      </w:r>
      <w:r>
        <w:t xml:space="preserve">is a major priority for the district. Both district and school leaders reported meeting regularly to review a variety of data sources, including MCAS, benchmark assessments, chronic absenteeism, and failure rates to identify trends and differences between subgroups. One district leader mentioned that the </w:t>
      </w:r>
      <w:r w:rsidR="006D0227">
        <w:t>l</w:t>
      </w:r>
      <w:r>
        <w:t xml:space="preserve">eadership </w:t>
      </w:r>
      <w:r w:rsidR="006D0227">
        <w:t>t</w:t>
      </w:r>
      <w:r>
        <w:t xml:space="preserve">eam </w:t>
      </w:r>
    </w:p>
    <w:p w14:paraId="17CD2BE0" w14:textId="5C890014" w:rsidR="0049166A" w:rsidRDefault="0049166A" w:rsidP="0049166A">
      <w:r w:rsidRPr="00DE57EF">
        <w:t>implemented a new data system that were developed by Open Architects</w:t>
      </w:r>
    </w:p>
    <w:p w14:paraId="515C9387" w14:textId="28E0D851" w:rsidR="00274598" w:rsidRDefault="00274598" w:rsidP="00AA07D0">
      <w:pPr>
        <w:pStyle w:val="BodyTextposthead"/>
      </w:pPr>
      <w:r>
        <w:t>that facilitates data access and visualization. Another district leader similarly explained:</w:t>
      </w:r>
    </w:p>
    <w:p w14:paraId="6794932F" w14:textId="4B9F4CB6" w:rsidR="00274598" w:rsidRPr="00D61883" w:rsidRDefault="00274598" w:rsidP="00AA07D0">
      <w:pPr>
        <w:pStyle w:val="BlockQuote"/>
      </w:pPr>
      <w:r w:rsidRPr="00D61883">
        <w:t>Over the past couple of years, [we] have developed a culture of data that existed in pockets before. But we</w:t>
      </w:r>
      <w:r w:rsidR="006D0227">
        <w:t>’</w:t>
      </w:r>
      <w:r w:rsidRPr="00D61883">
        <w:t>ve really centered our data practices</w:t>
      </w:r>
      <w:r w:rsidR="006D0227">
        <w:t>,</w:t>
      </w:r>
      <w:r w:rsidRPr="00D61883">
        <w:t xml:space="preserve"> and so I do think that is one way that we can ensure that we are disaggregating data to ensure that we are meeting the needs of all students</w:t>
      </w:r>
      <w:r w:rsidR="006D0227">
        <w:t>.</w:t>
      </w:r>
    </w:p>
    <w:p w14:paraId="49DF568E" w14:textId="65F48ED1" w:rsidR="00274598" w:rsidRDefault="00274598" w:rsidP="00AA07D0">
      <w:pPr>
        <w:pStyle w:val="BodyText"/>
      </w:pPr>
      <w:r>
        <w:t xml:space="preserve">District documents and accounts from district leaders demonstrate that the </w:t>
      </w:r>
      <w:r w:rsidR="006D0227">
        <w:t>l</w:t>
      </w:r>
      <w:r>
        <w:t xml:space="preserve">eadership </w:t>
      </w:r>
      <w:r w:rsidR="006D0227">
        <w:t>t</w:t>
      </w:r>
      <w:r>
        <w:t xml:space="preserve">eam regularly presents data to the school committee focusing on </w:t>
      </w:r>
      <w:r w:rsidR="00A57769">
        <w:t>continuous</w:t>
      </w:r>
      <w:r>
        <w:t xml:space="preserve"> improvement and closing achievement gaps</w:t>
      </w:r>
      <w:r w:rsidR="006D0227">
        <w:t>, including</w:t>
      </w:r>
      <w:r>
        <w:t xml:space="preserve"> (</w:t>
      </w:r>
      <w:r w:rsidR="006D0227">
        <w:t>a</w:t>
      </w:r>
      <w:r>
        <w:t xml:space="preserve">) </w:t>
      </w:r>
      <w:r w:rsidR="006D0227">
        <w:t>a presentation t</w:t>
      </w:r>
      <w:r>
        <w:t xml:space="preserve">hree times </w:t>
      </w:r>
      <w:r w:rsidR="006D0227">
        <w:t>per</w:t>
      </w:r>
      <w:r>
        <w:t xml:space="preserve"> year on MTSS benchmark data, including achievement and progress on </w:t>
      </w:r>
      <w:r w:rsidR="00AA515E">
        <w:t>Aca</w:t>
      </w:r>
      <w:r w:rsidR="003F60F7">
        <w:t>dience Reading</w:t>
      </w:r>
      <w:r>
        <w:t xml:space="preserve"> and i-Ready ELA and math</w:t>
      </w:r>
      <w:r w:rsidR="00D15EEA">
        <w:t>ematics</w:t>
      </w:r>
      <w:r>
        <w:t xml:space="preserve">, disaggregated by grade level and </w:t>
      </w:r>
      <w:r w:rsidR="006D0227">
        <w:t xml:space="preserve">special education </w:t>
      </w:r>
      <w:r>
        <w:t>status; (</w:t>
      </w:r>
      <w:r w:rsidR="006D0227">
        <w:t>b</w:t>
      </w:r>
      <w:r>
        <w:t xml:space="preserve">) </w:t>
      </w:r>
      <w:r w:rsidR="006D0227">
        <w:t>a</w:t>
      </w:r>
      <w:r>
        <w:t>n annual presentation of MCAS data, disaggregated by low income, disability status, and high need</w:t>
      </w:r>
      <w:r w:rsidR="006D0227">
        <w:t>s</w:t>
      </w:r>
      <w:r>
        <w:t xml:space="preserve"> (which encompasses </w:t>
      </w:r>
      <w:r w:rsidR="006D0227">
        <w:t>ELs</w:t>
      </w:r>
      <w:r>
        <w:t xml:space="preserve">, students with disabilities, and </w:t>
      </w:r>
      <w:r w:rsidR="006D0227">
        <w:t xml:space="preserve">students from </w:t>
      </w:r>
      <w:r>
        <w:t xml:space="preserve">low-income </w:t>
      </w:r>
      <w:r w:rsidR="006D0227">
        <w:t>backgrounds</w:t>
      </w:r>
      <w:r>
        <w:t>); and (</w:t>
      </w:r>
      <w:r w:rsidR="006D0227">
        <w:t>c</w:t>
      </w:r>
      <w:r>
        <w:t xml:space="preserve">) </w:t>
      </w:r>
      <w:r w:rsidR="006D0227">
        <w:t>a</w:t>
      </w:r>
      <w:r>
        <w:t xml:space="preserve">n annual presentation of DESE accountability indicators, including MCAS, </w:t>
      </w:r>
      <w:r w:rsidR="006D0227">
        <w:t>SGPs</w:t>
      </w:r>
      <w:r>
        <w:t>, failure rates, and chronic absenteeism.</w:t>
      </w:r>
    </w:p>
    <w:p w14:paraId="18084F51" w14:textId="3A5B4973" w:rsidR="00274598" w:rsidRPr="003C6342" w:rsidRDefault="00274598" w:rsidP="00AA07D0">
      <w:pPr>
        <w:pStyle w:val="BodyText"/>
      </w:pPr>
      <w:r>
        <w:t xml:space="preserve">A school </w:t>
      </w:r>
      <w:r w:rsidR="00BC3130">
        <w:t xml:space="preserve">committee </w:t>
      </w:r>
      <w:r>
        <w:t>member described in the district self-assessment that these</w:t>
      </w:r>
      <w:r w:rsidRPr="003C6342">
        <w:t xml:space="preserve"> data </w:t>
      </w:r>
      <w:r>
        <w:t>presentations are “</w:t>
      </w:r>
      <w:r w:rsidRPr="003C6342">
        <w:t>an important component in showing continued progress of the district in addressing learning loss and also closing achievement gaps</w:t>
      </w:r>
      <w:r w:rsidR="006D0227">
        <w:t>.”</w:t>
      </w:r>
      <w:r w:rsidR="004F6E0F">
        <w:t xml:space="preserve"> </w:t>
      </w:r>
      <w:r>
        <w:t>T</w:t>
      </w:r>
      <w:r w:rsidRPr="00A01F49">
        <w:t xml:space="preserve">he </w:t>
      </w:r>
      <w:r w:rsidR="005760AC">
        <w:t>examination</w:t>
      </w:r>
      <w:r w:rsidRPr="00A01F49">
        <w:t xml:space="preserve"> of data </w:t>
      </w:r>
      <w:r w:rsidR="00D80CCA">
        <w:t>with the intention of</w:t>
      </w:r>
      <w:r w:rsidRPr="00A01F49">
        <w:t xml:space="preserve"> clos</w:t>
      </w:r>
      <w:r w:rsidR="00D80CCA">
        <w:t>ing</w:t>
      </w:r>
      <w:r w:rsidRPr="00A01F49">
        <w:t xml:space="preserve"> achievement</w:t>
      </w:r>
      <w:r>
        <w:t xml:space="preserve"> </w:t>
      </w:r>
      <w:r w:rsidRPr="00A01F49">
        <w:t xml:space="preserve">gaps and </w:t>
      </w:r>
      <w:r>
        <w:t>strengthen</w:t>
      </w:r>
      <w:r w:rsidR="00D80CCA">
        <w:t>ing</w:t>
      </w:r>
      <w:r>
        <w:t xml:space="preserve"> MTSS systems is a strength for the district.</w:t>
      </w:r>
    </w:p>
    <w:p w14:paraId="11D7A614" w14:textId="19937324" w:rsidR="00274598" w:rsidRDefault="00E74C50" w:rsidP="00AA07D0">
      <w:pPr>
        <w:pStyle w:val="BodyText"/>
      </w:pPr>
      <w:r w:rsidRPr="00E74C50">
        <w:t>The district has made significant strides in enhancing data utilization at the elementary level through the implementation of Professional Learning Communities (PLCs), yet there remains a need for improved time allocation and coaching support for data analysis at the middle and high school levels</w:t>
      </w:r>
      <w:r w:rsidR="00274598">
        <w:t>. The district has notably strengthened data use at the elementary level by establishing PLCs at each elementary school</w:t>
      </w:r>
      <w:r w:rsidR="006D0227">
        <w:t>, which is</w:t>
      </w:r>
      <w:r w:rsidR="00274598">
        <w:t xml:space="preserve"> a strength for the district. These PLCs allow grade-level teams to meet regularly to review benchmark data, determine intervention groups, and discuss how data can shape instructional practices. Each elementary school has two literacy specialists and one math</w:t>
      </w:r>
      <w:r w:rsidR="00D15EEA">
        <w:t>ematics</w:t>
      </w:r>
      <w:r w:rsidR="00274598">
        <w:t xml:space="preserve"> specialist who lead the PLCs alongside the K-12 </w:t>
      </w:r>
      <w:r w:rsidR="006D0227">
        <w:t>c</w:t>
      </w:r>
      <w:r w:rsidR="00274598">
        <w:t xml:space="preserve">urriculum </w:t>
      </w:r>
      <w:r w:rsidR="006D0227">
        <w:t>d</w:t>
      </w:r>
      <w:r w:rsidR="00274598">
        <w:t xml:space="preserve">irectors. </w:t>
      </w:r>
      <w:r w:rsidR="00FA5863">
        <w:t>In addition</w:t>
      </w:r>
      <w:r w:rsidR="00274598">
        <w:t xml:space="preserve">, district leaders, elementary teachers, and support specialists reported that teachers meet regularly with specialists for data meetings to review student progress on benchmark data and assigned tiered assignments (see Tiered Supports section for more details). </w:t>
      </w:r>
    </w:p>
    <w:p w14:paraId="7EE5CDD4" w14:textId="51867C9F" w:rsidR="00712180" w:rsidRDefault="00274598" w:rsidP="00712180">
      <w:pPr>
        <w:pStyle w:val="BodyText"/>
      </w:pPr>
      <w:r>
        <w:t>At the middle and high schools, departments analyze MCAS results and other common assessments (e.g., midyear and final exam</w:t>
      </w:r>
      <w:r w:rsidR="006D0227">
        <w:t>ination</w:t>
      </w:r>
      <w:r>
        <w:t xml:space="preserve">s) annually, according to district documents. Middle and high </w:t>
      </w:r>
      <w:r>
        <w:lastRenderedPageBreak/>
        <w:t xml:space="preserve">school teachers reported that data use expectations are set at the departmental level. However, the extent to which departments use common planning time to review or discuss data practices varies. Middle school teachers and support specialists noted that the lack of common planning time limits their capacity to discuss data practices or needed interventions. Similarly, both district and school leaders emphasized the need for data coaches, especially at the high school level, to “build teacher leadership and teacher ownership for data.” A review of </w:t>
      </w:r>
      <w:r w:rsidR="00042DA5">
        <w:t xml:space="preserve">the </w:t>
      </w:r>
      <w:r>
        <w:t>district</w:t>
      </w:r>
      <w:r w:rsidR="00042DA5">
        <w:t xml:space="preserve">’s </w:t>
      </w:r>
      <w:r w:rsidR="003A259C">
        <w:t xml:space="preserve">professional development catalogue </w:t>
      </w:r>
      <w:r>
        <w:t xml:space="preserve">and accounts from school leaders and staff demonstrates limited opportunities for professional development focused on data use. </w:t>
      </w:r>
      <w:r w:rsidR="006D0227">
        <w:t xml:space="preserve">Although </w:t>
      </w:r>
      <w:r>
        <w:t xml:space="preserve">the </w:t>
      </w:r>
      <w:r w:rsidR="006D0227">
        <w:t>l</w:t>
      </w:r>
      <w:r>
        <w:t xml:space="preserve">eadership </w:t>
      </w:r>
      <w:r w:rsidR="006D0227">
        <w:t>t</w:t>
      </w:r>
      <w:r>
        <w:t xml:space="preserve">eam has received extensive </w:t>
      </w:r>
      <w:r w:rsidR="006D0227">
        <w:t xml:space="preserve">professional development </w:t>
      </w:r>
      <w:r>
        <w:t xml:space="preserve">on inclusive practices, including using data to strengthen MTSS systems, school leaders </w:t>
      </w:r>
      <w:r w:rsidR="006D0227">
        <w:t>must</w:t>
      </w:r>
      <w:r>
        <w:t xml:space="preserve"> design their own school-level professional development on these subjects. </w:t>
      </w:r>
      <w:r w:rsidR="006D0227">
        <w:t>Yet</w:t>
      </w:r>
      <w:r>
        <w:t>, school leaders and staff expressed varying viewpoints on the extent to which schools offered professional learning on data use. School leaders described providing trainings on data two to three times a year, with conversations about data use and equity occurring more frequently during faculty meetings. However, teachers and support staff across school levels reported a lack of professional learning opportunities or training. Creating structured opportunities</w:t>
      </w:r>
      <w:r w:rsidR="004F629C">
        <w:t xml:space="preserve"> with sufficient time</w:t>
      </w:r>
      <w:r>
        <w:t xml:space="preserve"> for </w:t>
      </w:r>
      <w:r w:rsidR="00906003">
        <w:t xml:space="preserve">middle and high </w:t>
      </w:r>
      <w:r>
        <w:t xml:space="preserve">school staff to receive  professional development </w:t>
      </w:r>
      <w:r w:rsidR="00465061">
        <w:t xml:space="preserve">and coaching support </w:t>
      </w:r>
      <w:r>
        <w:t>on data analysis and usage is an area of growth for the district</w:t>
      </w:r>
    </w:p>
    <w:p w14:paraId="689A315A" w14:textId="77777777" w:rsidR="00274598" w:rsidRDefault="00274598" w:rsidP="00274598">
      <w:pPr>
        <w:pStyle w:val="Heading3"/>
      </w:pPr>
      <w:bookmarkStart w:id="39" w:name="_Sharing_Results"/>
      <w:bookmarkEnd w:id="39"/>
      <w:r w:rsidRPr="00CB0607">
        <w:t>Sharing Results</w:t>
      </w:r>
    </w:p>
    <w:p w14:paraId="7E642807" w14:textId="021C229D" w:rsidR="00274598" w:rsidRDefault="00274598" w:rsidP="00AA07D0">
      <w:pPr>
        <w:pStyle w:val="BodyTextposthead"/>
      </w:pPr>
      <w:r>
        <w:t xml:space="preserve">The district generally shares assessment results with district staff, teachers, students, and parents in ways that are clear, timely, and easily understood and </w:t>
      </w:r>
      <w:r w:rsidR="006202BD">
        <w:t>employed</w:t>
      </w:r>
      <w:r>
        <w:t xml:space="preserve">. As mentioned in the previous section, district leaders regularly share data externally through school committee presentations and internally through </w:t>
      </w:r>
      <w:r w:rsidR="0049166A">
        <w:t xml:space="preserve">the data system developed by </w:t>
      </w:r>
      <w:r>
        <w:t>Open Architect</w:t>
      </w:r>
      <w:r w:rsidR="000250D0">
        <w:t>s</w:t>
      </w:r>
      <w:r>
        <w:t>. At the elementary level, all teachers have access to student assessment data through grade-level data sheets that specialists regularly update with benchmark data. According to the district’s self-assessment and accounts from elementary teachers and school leaders, the elementary schools also hold data meetings with staff to review student progress toward benchmarks in ELA and math</w:t>
      </w:r>
      <w:r w:rsidR="00D15EEA">
        <w:t>ematics</w:t>
      </w:r>
      <w:r>
        <w:t xml:space="preserve"> and to support the identification of students </w:t>
      </w:r>
      <w:r w:rsidR="006202BD">
        <w:t xml:space="preserve">who </w:t>
      </w:r>
      <w:r>
        <w:t>need tiered instruction.</w:t>
      </w:r>
    </w:p>
    <w:p w14:paraId="636088AE" w14:textId="49CFA00C" w:rsidR="00274598" w:rsidRDefault="00274598" w:rsidP="00AA07D0">
      <w:pPr>
        <w:pStyle w:val="BodyText"/>
      </w:pPr>
      <w:r>
        <w:t xml:space="preserve">At the middle and high school levels, teachers have access to their students’ MCAS and other standardized test data. However, student support staff across both schools reported that data sharing between teachers and support staff remains challenging </w:t>
      </w:r>
      <w:r w:rsidR="006202BD">
        <w:t>because of</w:t>
      </w:r>
      <w:r>
        <w:t xml:space="preserve"> limited time for collaboration and a lack of designated structures or systems </w:t>
      </w:r>
      <w:r w:rsidR="006202BD">
        <w:t xml:space="preserve">regarding </w:t>
      </w:r>
      <w:r>
        <w:t>data sharing.</w:t>
      </w:r>
      <w:r w:rsidRPr="008B058A">
        <w:t xml:space="preserve"> </w:t>
      </w:r>
      <w:r>
        <w:t>For example, specialists in one focus group mentioned the absence of systematic data sheets at the high school, which hinders data sharing efforts. Likewise, support staff across two different focus groups described how administrators are more likely to review schoolwide attendance and discipline data while leaving support staff out of that conversation. One support staff member also noted</w:t>
      </w:r>
      <w:r w:rsidR="006202BD">
        <w:t xml:space="preserve"> the lack of </w:t>
      </w:r>
      <w:r>
        <w:t>an effective system to flag individual students who have accrued many absences:</w:t>
      </w:r>
    </w:p>
    <w:p w14:paraId="09686A09" w14:textId="7AC353F6" w:rsidR="00274598" w:rsidRPr="00BD5D0B" w:rsidRDefault="00274598" w:rsidP="00AA07D0">
      <w:pPr>
        <w:pStyle w:val="BlockQuote"/>
      </w:pPr>
      <w:r w:rsidRPr="00BD5D0B">
        <w:t>I found that at the middle school with attendance a lot of times, it</w:t>
      </w:r>
      <w:r w:rsidR="006202BD">
        <w:t>’</w:t>
      </w:r>
      <w:r w:rsidRPr="00BD5D0B">
        <w:t>s just in the team meetings with the teachers where they</w:t>
      </w:r>
      <w:r w:rsidR="006202BD">
        <w:t>’</w:t>
      </w:r>
      <w:r w:rsidRPr="00BD5D0B">
        <w:t>ll bring up a certain student, and they</w:t>
      </w:r>
      <w:r w:rsidR="006202BD">
        <w:t>’</w:t>
      </w:r>
      <w:r w:rsidRPr="00BD5D0B">
        <w:t>re</w:t>
      </w:r>
      <w:r w:rsidR="006202BD">
        <w:t>,</w:t>
      </w:r>
      <w:r w:rsidRPr="00BD5D0B">
        <w:t xml:space="preserve"> like</w:t>
      </w:r>
      <w:r>
        <w:t xml:space="preserve">, </w:t>
      </w:r>
      <w:r w:rsidR="006202BD">
        <w:t>“</w:t>
      </w:r>
      <w:r>
        <w:t>T</w:t>
      </w:r>
      <w:r w:rsidRPr="00BD5D0B">
        <w:t>hey</w:t>
      </w:r>
      <w:r w:rsidR="006202BD">
        <w:t>’</w:t>
      </w:r>
      <w:r w:rsidRPr="00BD5D0B">
        <w:t>ve been absent a lot</w:t>
      </w:r>
      <w:r>
        <w:t>.</w:t>
      </w:r>
      <w:r w:rsidR="006202BD">
        <w:t>”</w:t>
      </w:r>
      <w:r>
        <w:t xml:space="preserve"> And</w:t>
      </w:r>
      <w:r w:rsidRPr="00BD5D0B">
        <w:t xml:space="preserve"> then I</w:t>
      </w:r>
      <w:r w:rsidR="006202BD">
        <w:t>’</w:t>
      </w:r>
      <w:r w:rsidRPr="00BD5D0B">
        <w:t>ll look at their Aspen and it</w:t>
      </w:r>
      <w:r w:rsidR="006202BD">
        <w:t>’</w:t>
      </w:r>
      <w:r w:rsidRPr="00BD5D0B">
        <w:t>s like 20 something absences. And there isn</w:t>
      </w:r>
      <w:r w:rsidR="006202BD">
        <w:t>’</w:t>
      </w:r>
      <w:r w:rsidRPr="00BD5D0B">
        <w:t>t like a better system in place right now where we can more easily see that</w:t>
      </w:r>
      <w:r w:rsidR="006202BD">
        <w:t>.</w:t>
      </w:r>
    </w:p>
    <w:p w14:paraId="05B88130" w14:textId="1F16031C" w:rsidR="00274598" w:rsidRDefault="00274598" w:rsidP="00AA07D0">
      <w:pPr>
        <w:pStyle w:val="BodyText"/>
      </w:pPr>
      <w:r>
        <w:lastRenderedPageBreak/>
        <w:t xml:space="preserve">These findings align with those from the 2023 </w:t>
      </w:r>
      <w:r w:rsidR="00E03777">
        <w:t xml:space="preserve">special education </w:t>
      </w:r>
      <w:r>
        <w:t xml:space="preserve">program evaluation and a 2019 needs assessment of Hingham Middle School’s </w:t>
      </w:r>
      <w:r w:rsidR="00E03777">
        <w:t xml:space="preserve">special education </w:t>
      </w:r>
      <w:r>
        <w:t xml:space="preserve">program. Both documents reported a lack of designated time for collaboration between general education and </w:t>
      </w:r>
      <w:r w:rsidR="00E03777">
        <w:t xml:space="preserve">special education </w:t>
      </w:r>
      <w:r>
        <w:t xml:space="preserve">teachers and inconsistencies in data collection and sharing. Establishing structures and protocols to facilitate data sharing between </w:t>
      </w:r>
      <w:r w:rsidR="0071135D">
        <w:t>secondary</w:t>
      </w:r>
      <w:r>
        <w:t xml:space="preserve"> teachers and support staff is an area of growth for the district.</w:t>
      </w:r>
    </w:p>
    <w:p w14:paraId="58D7C5A1" w14:textId="2FC47A8C" w:rsidR="00274598" w:rsidRDefault="00274598" w:rsidP="004B4B64">
      <w:pPr>
        <w:pStyle w:val="BodyText"/>
      </w:pPr>
      <w:r w:rsidRPr="00A445FD">
        <w:t>Beginning in the 2022-</w:t>
      </w:r>
      <w:r w:rsidR="006202BD">
        <w:t>20</w:t>
      </w:r>
      <w:r w:rsidRPr="00A445FD">
        <w:t>23 school year, the district provides all families with access to the Aspen Family Portal to view their child</w:t>
      </w:r>
      <w:r w:rsidR="006202BD">
        <w:t>’</w:t>
      </w:r>
      <w:r w:rsidRPr="00A445FD">
        <w:t xml:space="preserve">s progress. The elementary schools issue report cards twice </w:t>
      </w:r>
      <w:r w:rsidR="006202BD">
        <w:t>per</w:t>
      </w:r>
      <w:r w:rsidRPr="00A445FD">
        <w:t xml:space="preserve"> year, </w:t>
      </w:r>
      <w:r w:rsidR="006202BD">
        <w:t>and</w:t>
      </w:r>
      <w:r w:rsidR="006202BD" w:rsidRPr="00A445FD">
        <w:t xml:space="preserve"> </w:t>
      </w:r>
      <w:r w:rsidRPr="00A445FD">
        <w:t>midterm check-ins (for Grades 3-5) and annual parent-teacher conferences offer additional opportunities to share data and discuss individual students</w:t>
      </w:r>
      <w:r w:rsidR="006202BD">
        <w:t>’</w:t>
      </w:r>
      <w:r w:rsidRPr="00A445FD">
        <w:t xml:space="preserve"> progress. During parent-teacher conferences, teachers share i-Ready data with parents. However, school leaders deliberately avoid sending i-Ready data home because the lack of context about what scores mean could cause confusion. </w:t>
      </w:r>
    </w:p>
    <w:p w14:paraId="68C588A1" w14:textId="18B81178" w:rsidR="00274598" w:rsidRPr="00B470D5" w:rsidRDefault="00274598" w:rsidP="00AA07D0">
      <w:pPr>
        <w:pStyle w:val="BodyText"/>
      </w:pPr>
      <w:r>
        <w:t xml:space="preserve">Middle school students receive report cards three times </w:t>
      </w:r>
      <w:r w:rsidR="006202BD">
        <w:t>per</w:t>
      </w:r>
      <w:r>
        <w:t xml:space="preserve"> year, </w:t>
      </w:r>
      <w:r w:rsidR="006202BD">
        <w:t xml:space="preserve">whereas </w:t>
      </w:r>
      <w:r>
        <w:t xml:space="preserve">high school students receive them four times </w:t>
      </w:r>
      <w:r w:rsidR="006202BD">
        <w:t>per</w:t>
      </w:r>
      <w:r>
        <w:t xml:space="preserve"> year. At both </w:t>
      </w:r>
      <w:r w:rsidR="006202BD">
        <w:t xml:space="preserve">the </w:t>
      </w:r>
      <w:r>
        <w:t>middle and high school levels, students and parents have immediate access to assignments and grades, according to district documents and accounts from school leaders and teachers. Students across both levels confirmed having access to their grades and assignments through Aspen and Google Classroom. Parents also described receiving “pretty robust, regular communication from teachers” about their children’s progress, although they noted a slight drop-off in communication from elementary to middle and high school. Generally, accounts from school leaders, teachers, parents, and students demonstrate that the district shares data in ways that are meaningful and appropriate</w:t>
      </w:r>
      <w:r w:rsidR="006202BD">
        <w:t>—</w:t>
      </w:r>
      <w:r>
        <w:t>a strength for the district.</w:t>
      </w:r>
    </w:p>
    <w:p w14:paraId="18115117" w14:textId="77777777" w:rsidR="002B4CEF" w:rsidRDefault="002B4CEF" w:rsidP="002B4CEF">
      <w:pPr>
        <w:pStyle w:val="Heading3"/>
      </w:pPr>
      <w:r>
        <w:t>DESE Recommendations</w:t>
      </w:r>
    </w:p>
    <w:p w14:paraId="6B609048" w14:textId="6203147A" w:rsidR="002B4CEF" w:rsidRPr="00A16E02" w:rsidRDefault="00CA3915" w:rsidP="002B4CEF">
      <w:pPr>
        <w:pStyle w:val="Bullet1"/>
        <w:rPr>
          <w:bCs/>
        </w:rPr>
      </w:pPr>
      <w:r>
        <w:rPr>
          <w:i/>
          <w:iCs/>
        </w:rPr>
        <w:t xml:space="preserve">The district should build on </w:t>
      </w:r>
      <w:r w:rsidR="00CA4EDD">
        <w:rPr>
          <w:i/>
          <w:iCs/>
        </w:rPr>
        <w:t>its</w:t>
      </w:r>
      <w:r>
        <w:rPr>
          <w:i/>
          <w:iCs/>
        </w:rPr>
        <w:t xml:space="preserve"> successful </w:t>
      </w:r>
      <w:r w:rsidR="00AF5C10">
        <w:rPr>
          <w:i/>
          <w:iCs/>
        </w:rPr>
        <w:t xml:space="preserve">progress monitoring efforts at the elementary level to </w:t>
      </w:r>
      <w:r w:rsidR="001C20FF">
        <w:rPr>
          <w:i/>
          <w:iCs/>
        </w:rPr>
        <w:t xml:space="preserve">strengthen its progress monitoring </w:t>
      </w:r>
      <w:r w:rsidR="00AF5C10">
        <w:rPr>
          <w:i/>
          <w:iCs/>
        </w:rPr>
        <w:t xml:space="preserve">systems </w:t>
      </w:r>
      <w:r w:rsidR="00A16E02">
        <w:rPr>
          <w:i/>
          <w:iCs/>
        </w:rPr>
        <w:t xml:space="preserve">at the secondary level. </w:t>
      </w:r>
    </w:p>
    <w:p w14:paraId="431AB0A3" w14:textId="5B6C2EA5" w:rsidR="00A16E02" w:rsidRDefault="001F3D0A" w:rsidP="002B4CEF">
      <w:pPr>
        <w:pStyle w:val="Bullet1"/>
        <w:rPr>
          <w:bCs/>
        </w:rPr>
      </w:pPr>
      <w:r>
        <w:rPr>
          <w:i/>
          <w:iCs/>
        </w:rPr>
        <w:t xml:space="preserve">The district should provide additional </w:t>
      </w:r>
      <w:r w:rsidR="00A30128">
        <w:rPr>
          <w:i/>
          <w:iCs/>
        </w:rPr>
        <w:t xml:space="preserve">time and support for </w:t>
      </w:r>
      <w:r w:rsidR="00943008">
        <w:rPr>
          <w:i/>
          <w:iCs/>
        </w:rPr>
        <w:t>data analysis</w:t>
      </w:r>
      <w:r w:rsidR="00A24E6C">
        <w:rPr>
          <w:i/>
          <w:iCs/>
        </w:rPr>
        <w:t xml:space="preserve"> </w:t>
      </w:r>
      <w:r w:rsidR="00943008">
        <w:rPr>
          <w:i/>
          <w:iCs/>
        </w:rPr>
        <w:t xml:space="preserve">and use, </w:t>
      </w:r>
      <w:r w:rsidR="002F1C21">
        <w:rPr>
          <w:i/>
          <w:iCs/>
        </w:rPr>
        <w:t xml:space="preserve">training, and </w:t>
      </w:r>
      <w:r w:rsidR="00A24E6C">
        <w:rPr>
          <w:i/>
          <w:iCs/>
        </w:rPr>
        <w:t>coaching</w:t>
      </w:r>
      <w:r w:rsidR="002F1C21">
        <w:rPr>
          <w:i/>
          <w:iCs/>
        </w:rPr>
        <w:t xml:space="preserve">, </w:t>
      </w:r>
      <w:r w:rsidR="00943008">
        <w:rPr>
          <w:i/>
          <w:iCs/>
        </w:rPr>
        <w:t>particularly at the secondary level.</w:t>
      </w:r>
      <w:r w:rsidR="00943008">
        <w:rPr>
          <w:bCs/>
        </w:rPr>
        <w:t xml:space="preserve"> </w:t>
      </w:r>
    </w:p>
    <w:p w14:paraId="2C9FB436" w14:textId="02C815E9" w:rsidR="00893536" w:rsidRPr="00935349" w:rsidRDefault="00E055BF" w:rsidP="002B4CEF">
      <w:pPr>
        <w:pStyle w:val="Bullet1"/>
        <w:rPr>
          <w:bCs/>
          <w:i/>
          <w:iCs/>
        </w:rPr>
      </w:pPr>
      <w:r w:rsidRPr="00935349">
        <w:rPr>
          <w:bCs/>
          <w:i/>
          <w:iCs/>
        </w:rPr>
        <w:t>The district</w:t>
      </w:r>
      <w:r w:rsidR="00D75669" w:rsidRPr="00935349">
        <w:rPr>
          <w:bCs/>
          <w:i/>
          <w:iCs/>
        </w:rPr>
        <w:t xml:space="preserve"> </w:t>
      </w:r>
      <w:r w:rsidR="00FB7503">
        <w:rPr>
          <w:bCs/>
          <w:i/>
          <w:iCs/>
        </w:rPr>
        <w:t xml:space="preserve">should </w:t>
      </w:r>
      <w:r w:rsidR="007E1911">
        <w:rPr>
          <w:bCs/>
          <w:i/>
          <w:iCs/>
        </w:rPr>
        <w:t>diagnose</w:t>
      </w:r>
      <w:r w:rsidR="00D75669" w:rsidRPr="00935349">
        <w:rPr>
          <w:bCs/>
          <w:i/>
          <w:iCs/>
        </w:rPr>
        <w:t xml:space="preserve"> barriers to sharing </w:t>
      </w:r>
      <w:r w:rsidR="007E1911">
        <w:rPr>
          <w:bCs/>
          <w:i/>
          <w:iCs/>
        </w:rPr>
        <w:t xml:space="preserve">data across faculty </w:t>
      </w:r>
      <w:r w:rsidR="00CA4EDD">
        <w:rPr>
          <w:bCs/>
          <w:i/>
          <w:iCs/>
        </w:rPr>
        <w:t xml:space="preserve">to improve </w:t>
      </w:r>
      <w:r w:rsidR="00935349" w:rsidRPr="00935349">
        <w:rPr>
          <w:bCs/>
          <w:i/>
          <w:iCs/>
        </w:rPr>
        <w:t>collaboration between groups</w:t>
      </w:r>
      <w:r w:rsidR="00CA4EDD">
        <w:rPr>
          <w:bCs/>
          <w:i/>
          <w:iCs/>
        </w:rPr>
        <w:t xml:space="preserve"> supporting the same students</w:t>
      </w:r>
      <w:r w:rsidR="00935349" w:rsidRPr="00935349">
        <w:rPr>
          <w:bCs/>
          <w:i/>
          <w:iCs/>
        </w:rPr>
        <w:t xml:space="preserve">. </w:t>
      </w:r>
    </w:p>
    <w:p w14:paraId="2C59DE12" w14:textId="604668F3" w:rsidR="00A304F3" w:rsidRPr="00A304F3" w:rsidRDefault="00A304F3" w:rsidP="00A304F3">
      <w:pPr>
        <w:spacing w:line="240" w:lineRule="auto"/>
        <w:rPr>
          <w:bCs/>
        </w:rPr>
      </w:pPr>
    </w:p>
    <w:p w14:paraId="53409C57" w14:textId="77777777" w:rsidR="00A304F3" w:rsidRPr="00A304F3" w:rsidRDefault="00A304F3" w:rsidP="00A304F3">
      <w:pPr>
        <w:spacing w:line="240" w:lineRule="auto"/>
        <w:rPr>
          <w:bCs/>
        </w:rPr>
      </w:pPr>
    </w:p>
    <w:p w14:paraId="0B4FDEA8" w14:textId="3A09CD14" w:rsidR="008D6102" w:rsidRPr="00CB0607" w:rsidRDefault="008D6102" w:rsidP="008D6102">
      <w:pPr>
        <w:pStyle w:val="Heading2"/>
      </w:pPr>
      <w:bookmarkStart w:id="40" w:name="_Human_Resources_and"/>
      <w:bookmarkStart w:id="41" w:name="_Toc101446230"/>
      <w:bookmarkStart w:id="42" w:name="_Toc170157277"/>
      <w:bookmarkEnd w:id="40"/>
      <w:r w:rsidRPr="00CB0607">
        <w:lastRenderedPageBreak/>
        <w:t>Human Resources and Professional Development</w:t>
      </w:r>
      <w:bookmarkEnd w:id="41"/>
      <w:bookmarkEnd w:id="42"/>
    </w:p>
    <w:p w14:paraId="2329FCB6" w14:textId="49C75E58" w:rsidR="00763472" w:rsidRDefault="00E452C3" w:rsidP="0041058B">
      <w:pPr>
        <w:pStyle w:val="BodyText"/>
      </w:pPr>
      <w:r w:rsidRPr="000B0BAE">
        <w:t xml:space="preserve">The human resources department within </w:t>
      </w:r>
      <w:r>
        <w:t>Hingham</w:t>
      </w:r>
      <w:r w:rsidRPr="000B0BAE">
        <w:t xml:space="preserve"> oversees recruitment, retention, formal evaluations, and professional learning opportunities for staff. In </w:t>
      </w:r>
      <w:r>
        <w:t>recent</w:t>
      </w:r>
      <w:r w:rsidRPr="000B0BAE">
        <w:t xml:space="preserve"> years, a </w:t>
      </w:r>
      <w:r w:rsidR="00D13921">
        <w:t>primary</w:t>
      </w:r>
      <w:r w:rsidR="00D13921" w:rsidRPr="000B0BAE">
        <w:t xml:space="preserve"> </w:t>
      </w:r>
      <w:r w:rsidRPr="000B0BAE">
        <w:t xml:space="preserve">focus of the department, along with the superintendent, </w:t>
      </w:r>
      <w:r w:rsidR="00F306D4">
        <w:t>ha</w:t>
      </w:r>
      <w:r w:rsidRPr="000B0BAE">
        <w:t>s</w:t>
      </w:r>
      <w:r w:rsidR="00F306D4">
        <w:t xml:space="preserve"> been</w:t>
      </w:r>
      <w:r w:rsidRPr="000B0BAE">
        <w:t xml:space="preserve"> hiring diverse staff </w:t>
      </w:r>
      <w:r w:rsidR="00763472">
        <w:t>and decentralizing the hiring process</w:t>
      </w:r>
      <w:r w:rsidRPr="000B0BAE">
        <w:t xml:space="preserve">. </w:t>
      </w:r>
      <w:r w:rsidR="00820852">
        <w:t xml:space="preserve">The district developed </w:t>
      </w:r>
      <w:r w:rsidR="00A548EC">
        <w:t xml:space="preserve">a </w:t>
      </w:r>
      <w:r w:rsidR="00A548EC" w:rsidRPr="00D13921">
        <w:rPr>
          <w:i/>
          <w:iCs/>
        </w:rPr>
        <w:t>Hiring Handbook</w:t>
      </w:r>
      <w:r w:rsidR="00A548EC">
        <w:t xml:space="preserve"> to guide </w:t>
      </w:r>
      <w:r w:rsidR="00896215">
        <w:t>staff in the hiring process</w:t>
      </w:r>
      <w:r w:rsidR="00D13921">
        <w:t>,</w:t>
      </w:r>
      <w:r w:rsidR="00896215">
        <w:t xml:space="preserve"> with a particular focus on </w:t>
      </w:r>
      <w:r w:rsidR="00CB7806">
        <w:t xml:space="preserve">implementing antibias practices in hiring. </w:t>
      </w:r>
    </w:p>
    <w:p w14:paraId="2410E8C6" w14:textId="4E9ED561" w:rsidR="00163397" w:rsidRPr="00820852" w:rsidRDefault="005035A4" w:rsidP="0041058B">
      <w:pPr>
        <w:pStyle w:val="BodyText"/>
      </w:pPr>
      <w:r>
        <w:t xml:space="preserve">The district has a robust mentoring program for new hires and </w:t>
      </w:r>
      <w:r w:rsidR="00A402AE">
        <w:t xml:space="preserve">provides </w:t>
      </w:r>
      <w:r w:rsidR="008B2DA0">
        <w:t>stipends for mentors who organize the program at both the district and school level</w:t>
      </w:r>
      <w:r w:rsidR="00D13921">
        <w:t>s</w:t>
      </w:r>
      <w:r w:rsidR="008B2DA0">
        <w:t xml:space="preserve">. </w:t>
      </w:r>
      <w:r>
        <w:t>Hingham</w:t>
      </w:r>
      <w:r w:rsidRPr="000B0BAE">
        <w:t xml:space="preserve"> also has many professional development opportunities throughout the district, both mandatory and optional, for teachers to engage in throughout the year</w:t>
      </w:r>
      <w:r>
        <w:t xml:space="preserve">. </w:t>
      </w:r>
      <w:r w:rsidR="00163397" w:rsidRPr="000B0BAE">
        <w:t xml:space="preserve">As reported by teachers and school administrators, </w:t>
      </w:r>
      <w:r w:rsidR="00BF7A92">
        <w:t>Hingham</w:t>
      </w:r>
      <w:r w:rsidR="00BF7A92" w:rsidRPr="000B0BAE">
        <w:t xml:space="preserve"> </w:t>
      </w:r>
      <w:r w:rsidR="00163397" w:rsidRPr="000B0BAE">
        <w:t xml:space="preserve">does not currently have any formalized structures in place to recognize exemplary teachers throughout the district. </w:t>
      </w:r>
    </w:p>
    <w:p w14:paraId="7136409B" w14:textId="330BBD23" w:rsidR="002C6E1C" w:rsidRPr="00CB0607" w:rsidRDefault="002C6E1C" w:rsidP="00B827DE">
      <w:pPr>
        <w:pStyle w:val="BodyText"/>
        <w:rPr>
          <w:highlight w:val="green"/>
        </w:rPr>
      </w:pPr>
      <w:r w:rsidRPr="00CB0607">
        <w:t xml:space="preserve">Table </w:t>
      </w:r>
      <w:r w:rsidR="00163C7A">
        <w:t>5</w:t>
      </w:r>
      <w:r w:rsidR="00163C7A" w:rsidRPr="00CB0607">
        <w:t xml:space="preserve"> </w:t>
      </w:r>
      <w:r w:rsidRPr="00CB0607">
        <w:t>summarizes key strengths and areas for growth in human resources and professional development.</w:t>
      </w:r>
    </w:p>
    <w:p w14:paraId="66CEE916" w14:textId="23EEE7BA" w:rsidR="00B827DE" w:rsidRPr="00CB0607" w:rsidRDefault="00B827DE" w:rsidP="00B827DE">
      <w:pPr>
        <w:pStyle w:val="TableTitle0"/>
      </w:pPr>
      <w:r w:rsidRPr="00CB0607">
        <w:t xml:space="preserve">Table </w:t>
      </w:r>
      <w:r w:rsidR="00163C7A">
        <w:t>5</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Human Resources and Professional Development</w:t>
      </w:r>
      <w:r w:rsidR="002C6E1C" w:rsidRPr="00CB0607">
        <w:t xml:space="preserve"> Standard</w:t>
      </w:r>
    </w:p>
    <w:tbl>
      <w:tblPr>
        <w:tblStyle w:val="MSVTable1"/>
        <w:tblW w:w="5000" w:type="pct"/>
        <w:tblLook w:val="04A0" w:firstRow="1" w:lastRow="0" w:firstColumn="1" w:lastColumn="0" w:noHBand="0" w:noVBand="1"/>
      </w:tblPr>
      <w:tblGrid>
        <w:gridCol w:w="2425"/>
        <w:gridCol w:w="3460"/>
        <w:gridCol w:w="3459"/>
      </w:tblGrid>
      <w:tr w:rsidR="00B827DE" w:rsidRPr="00CB0607" w14:paraId="5AF94F4A"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2AD0DE9D" w14:textId="77777777" w:rsidR="00B827DE" w:rsidRPr="00CB0607" w:rsidRDefault="00B827DE" w:rsidP="00B827DE">
            <w:pPr>
              <w:pStyle w:val="TableColHeadingCenter"/>
            </w:pPr>
            <w:r w:rsidRPr="00CB0607">
              <w:t>Indicator</w:t>
            </w:r>
          </w:p>
        </w:tc>
        <w:tc>
          <w:tcPr>
            <w:tcW w:w="1851" w:type="pct"/>
          </w:tcPr>
          <w:p w14:paraId="29F8FCE9" w14:textId="77777777" w:rsidR="00B827DE" w:rsidRPr="00CB0607" w:rsidRDefault="00B827DE" w:rsidP="00B827DE">
            <w:pPr>
              <w:pStyle w:val="TableColHeadingCenter"/>
            </w:pPr>
            <w:r w:rsidRPr="00CB0607">
              <w:t>Strengths</w:t>
            </w:r>
          </w:p>
        </w:tc>
        <w:tc>
          <w:tcPr>
            <w:tcW w:w="1851" w:type="pct"/>
          </w:tcPr>
          <w:p w14:paraId="500B423F" w14:textId="6D40DEB3" w:rsidR="00B827DE" w:rsidRPr="00CB0607" w:rsidRDefault="00B827DE" w:rsidP="00B827DE">
            <w:pPr>
              <w:pStyle w:val="TableColHeadingCenter"/>
            </w:pPr>
            <w:r w:rsidRPr="00CB0607">
              <w:t xml:space="preserve">Areas for </w:t>
            </w:r>
            <w:r w:rsidR="002C6E1C" w:rsidRPr="00CB0607">
              <w:t>growth</w:t>
            </w:r>
          </w:p>
        </w:tc>
      </w:tr>
      <w:tr w:rsidR="00B827DE" w:rsidRPr="00CB0607" w14:paraId="3B52DFA7"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2963B302" w14:textId="7CB902BE" w:rsidR="00B827DE" w:rsidRPr="00CB0607" w:rsidRDefault="00000000" w:rsidP="005D13E7">
            <w:pPr>
              <w:pStyle w:val="TableSubheading"/>
              <w:rPr>
                <w:bdr w:val="none" w:sz="0" w:space="0" w:color="auto" w:frame="1"/>
              </w:rPr>
            </w:pPr>
            <w:hyperlink w:anchor="_Infrastructure" w:history="1">
              <w:r w:rsidR="00B827DE" w:rsidRPr="004A78AC">
                <w:rPr>
                  <w:rStyle w:val="Hyperlink"/>
                  <w:bdr w:val="none" w:sz="0" w:space="0" w:color="auto" w:frame="1"/>
                </w:rPr>
                <w:t>Infrastructure</w:t>
              </w:r>
            </w:hyperlink>
          </w:p>
        </w:tc>
        <w:tc>
          <w:tcPr>
            <w:tcW w:w="1851" w:type="pct"/>
          </w:tcPr>
          <w:p w14:paraId="70D7277E" w14:textId="1F85E082" w:rsidR="00B827DE" w:rsidRPr="00CB0607" w:rsidRDefault="00B827DE" w:rsidP="00D13921">
            <w:pPr>
              <w:pStyle w:val="TableBullet1"/>
              <w:numPr>
                <w:ilvl w:val="0"/>
                <w:numId w:val="0"/>
              </w:numPr>
              <w:ind w:left="288" w:hanging="288"/>
              <w:rPr>
                <w:bdr w:val="none" w:sz="0" w:space="0" w:color="auto" w:frame="1"/>
              </w:rPr>
            </w:pPr>
          </w:p>
        </w:tc>
        <w:tc>
          <w:tcPr>
            <w:tcW w:w="1851" w:type="pct"/>
          </w:tcPr>
          <w:p w14:paraId="09130FD4" w14:textId="50FD4710" w:rsidR="00B827DE" w:rsidRPr="00B114FC" w:rsidRDefault="00C60E74" w:rsidP="00B114FC">
            <w:pPr>
              <w:pStyle w:val="TableBullet1"/>
              <w:rPr>
                <w:bdr w:val="none" w:sz="0" w:space="0" w:color="auto" w:frame="1"/>
              </w:rPr>
            </w:pPr>
            <w:r>
              <w:rPr>
                <w:bdr w:val="none" w:sz="0" w:space="0" w:color="auto" w:frame="1"/>
              </w:rPr>
              <w:t>Ensuring</w:t>
            </w:r>
            <w:r w:rsidR="00DD2B9B">
              <w:rPr>
                <w:bdr w:val="none" w:sz="0" w:space="0" w:color="auto" w:frame="1"/>
              </w:rPr>
              <w:t xml:space="preserve"> open positions </w:t>
            </w:r>
            <w:r w:rsidR="0065424F">
              <w:rPr>
                <w:bdr w:val="none" w:sz="0" w:space="0" w:color="auto" w:frame="1"/>
              </w:rPr>
              <w:t xml:space="preserve">in </w:t>
            </w:r>
            <w:r w:rsidR="00F86279">
              <w:rPr>
                <w:bdr w:val="none" w:sz="0" w:space="0" w:color="auto" w:frame="1"/>
              </w:rPr>
              <w:t>the</w:t>
            </w:r>
            <w:r w:rsidR="0065424F">
              <w:rPr>
                <w:bdr w:val="none" w:sz="0" w:space="0" w:color="auto" w:frame="1"/>
              </w:rPr>
              <w:t xml:space="preserve"> huma</w:t>
            </w:r>
            <w:r w:rsidR="00F86279">
              <w:rPr>
                <w:bdr w:val="none" w:sz="0" w:space="0" w:color="auto" w:frame="1"/>
              </w:rPr>
              <w:t>n</w:t>
            </w:r>
            <w:r w:rsidR="0065424F">
              <w:rPr>
                <w:bdr w:val="none" w:sz="0" w:space="0" w:color="auto" w:frame="1"/>
              </w:rPr>
              <w:t xml:space="preserve"> resource</w:t>
            </w:r>
            <w:r w:rsidR="00F86279">
              <w:rPr>
                <w:bdr w:val="none" w:sz="0" w:space="0" w:color="auto" w:frame="1"/>
              </w:rPr>
              <w:t xml:space="preserve"> department</w:t>
            </w:r>
            <w:r w:rsidR="0065424F">
              <w:rPr>
                <w:bdr w:val="none" w:sz="0" w:space="0" w:color="auto" w:frame="1"/>
              </w:rPr>
              <w:t xml:space="preserve"> </w:t>
            </w:r>
            <w:r w:rsidR="00E3718D">
              <w:rPr>
                <w:bdr w:val="none" w:sz="0" w:space="0" w:color="auto" w:frame="1"/>
              </w:rPr>
              <w:t xml:space="preserve">are </w:t>
            </w:r>
            <w:r w:rsidR="00C342C0">
              <w:rPr>
                <w:bdr w:val="none" w:sz="0" w:space="0" w:color="auto" w:frame="1"/>
              </w:rPr>
              <w:t>filled</w:t>
            </w:r>
            <w:r w:rsidR="004F1328">
              <w:rPr>
                <w:bdr w:val="none" w:sz="0" w:space="0" w:color="auto" w:frame="1"/>
              </w:rPr>
              <w:t xml:space="preserve"> to </w:t>
            </w:r>
            <w:r w:rsidR="00F069E3">
              <w:rPr>
                <w:bdr w:val="none" w:sz="0" w:space="0" w:color="auto" w:frame="1"/>
              </w:rPr>
              <w:t>allow</w:t>
            </w:r>
            <w:r w:rsidR="0065424F">
              <w:rPr>
                <w:bdr w:val="none" w:sz="0" w:space="0" w:color="auto" w:frame="1"/>
              </w:rPr>
              <w:t xml:space="preserve"> </w:t>
            </w:r>
            <w:r w:rsidR="0070335E">
              <w:rPr>
                <w:bdr w:val="none" w:sz="0" w:space="0" w:color="auto" w:frame="1"/>
              </w:rPr>
              <w:t>effective operatio</w:t>
            </w:r>
            <w:r w:rsidR="00F069E3">
              <w:rPr>
                <w:bdr w:val="none" w:sz="0" w:space="0" w:color="auto" w:frame="1"/>
              </w:rPr>
              <w:t xml:space="preserve">n </w:t>
            </w:r>
            <w:r w:rsidR="00160FDC">
              <w:rPr>
                <w:bdr w:val="none" w:sz="0" w:space="0" w:color="auto" w:frame="1"/>
              </w:rPr>
              <w:t>of</w:t>
            </w:r>
            <w:r w:rsidR="00F069E3">
              <w:rPr>
                <w:bdr w:val="none" w:sz="0" w:space="0" w:color="auto" w:frame="1"/>
              </w:rPr>
              <w:t xml:space="preserve"> </w:t>
            </w:r>
            <w:r w:rsidR="007C23E1">
              <w:rPr>
                <w:bdr w:val="none" w:sz="0" w:space="0" w:color="auto" w:frame="1"/>
              </w:rPr>
              <w:t xml:space="preserve">essential </w:t>
            </w:r>
            <w:r w:rsidR="00F069E3">
              <w:rPr>
                <w:bdr w:val="none" w:sz="0" w:space="0" w:color="auto" w:frame="1"/>
              </w:rPr>
              <w:t>human resource functions</w:t>
            </w:r>
          </w:p>
        </w:tc>
      </w:tr>
      <w:tr w:rsidR="00B827DE" w:rsidRPr="00CB0607" w14:paraId="53443622" w14:textId="77777777" w:rsidTr="00B827DE">
        <w:tc>
          <w:tcPr>
            <w:tcW w:w="1297" w:type="pct"/>
          </w:tcPr>
          <w:p w14:paraId="755AE6E0" w14:textId="68BB8430" w:rsidR="00B827DE" w:rsidRPr="00CB0607" w:rsidRDefault="00000000" w:rsidP="005D13E7">
            <w:pPr>
              <w:pStyle w:val="TableSubheading"/>
              <w:rPr>
                <w:bdr w:val="none" w:sz="0" w:space="0" w:color="auto" w:frame="1"/>
              </w:rPr>
            </w:pPr>
            <w:hyperlink w:anchor="_Recruitment,_Hiring,_and" w:history="1">
              <w:r w:rsidR="00B827DE" w:rsidRPr="004A78AC">
                <w:rPr>
                  <w:rStyle w:val="Hyperlink"/>
                  <w:bdr w:val="none" w:sz="0" w:space="0" w:color="auto" w:frame="1"/>
                </w:rPr>
                <w:t xml:space="preserve">Recruitment, </w:t>
              </w:r>
              <w:r w:rsidR="002C6E1C" w:rsidRPr="004A78AC">
                <w:rPr>
                  <w:rStyle w:val="Hyperlink"/>
                  <w:bdr w:val="none" w:sz="0" w:space="0" w:color="auto" w:frame="1"/>
                </w:rPr>
                <w:t>h</w:t>
              </w:r>
              <w:r w:rsidR="00B827DE" w:rsidRPr="004A78AC">
                <w:rPr>
                  <w:rStyle w:val="Hyperlink"/>
                  <w:bdr w:val="none" w:sz="0" w:space="0" w:color="auto" w:frame="1"/>
                </w:rPr>
                <w:t xml:space="preserve">iring, and </w:t>
              </w:r>
              <w:r w:rsidR="002C6E1C" w:rsidRPr="004A78AC">
                <w:rPr>
                  <w:rStyle w:val="Hyperlink"/>
                  <w:bdr w:val="none" w:sz="0" w:space="0" w:color="auto" w:frame="1"/>
                </w:rPr>
                <w:t>a</w:t>
              </w:r>
              <w:r w:rsidR="00B827DE" w:rsidRPr="004A78AC">
                <w:rPr>
                  <w:rStyle w:val="Hyperlink"/>
                  <w:bdr w:val="none" w:sz="0" w:space="0" w:color="auto" w:frame="1"/>
                </w:rPr>
                <w:t>ssignment</w:t>
              </w:r>
            </w:hyperlink>
          </w:p>
        </w:tc>
        <w:tc>
          <w:tcPr>
            <w:tcW w:w="1851" w:type="pct"/>
          </w:tcPr>
          <w:p w14:paraId="3B581E14" w14:textId="1F9C0C3B" w:rsidR="00543785" w:rsidRPr="00426798" w:rsidRDefault="0018193C" w:rsidP="00426798">
            <w:pPr>
              <w:pStyle w:val="TableBullet1"/>
              <w:rPr>
                <w:bdr w:val="none" w:sz="0" w:space="0" w:color="auto" w:frame="1"/>
              </w:rPr>
            </w:pPr>
            <w:r>
              <w:t xml:space="preserve">The district </w:t>
            </w:r>
            <w:r w:rsidR="00A71CE7">
              <w:t>develop</w:t>
            </w:r>
            <w:r w:rsidR="005E1F5C">
              <w:t>ed</w:t>
            </w:r>
            <w:r w:rsidR="00A71CE7">
              <w:t xml:space="preserve"> a comprehensive hiring handbook</w:t>
            </w:r>
            <w:r w:rsidR="005E1F5C">
              <w:t xml:space="preserve"> to </w:t>
            </w:r>
            <w:r w:rsidR="00EC7E3D">
              <w:t xml:space="preserve">improve </w:t>
            </w:r>
            <w:r w:rsidR="00894FDB">
              <w:t>the consistency of hiring practices.</w:t>
            </w:r>
          </w:p>
        </w:tc>
        <w:tc>
          <w:tcPr>
            <w:tcW w:w="1851" w:type="pct"/>
          </w:tcPr>
          <w:p w14:paraId="3E86C519" w14:textId="6E029C1D" w:rsidR="00B827DE" w:rsidRPr="00CB0607" w:rsidRDefault="00B827DE" w:rsidP="00D13921">
            <w:pPr>
              <w:pStyle w:val="TableBullet1"/>
              <w:numPr>
                <w:ilvl w:val="0"/>
                <w:numId w:val="0"/>
              </w:numPr>
              <w:rPr>
                <w:bdr w:val="none" w:sz="0" w:space="0" w:color="auto" w:frame="1"/>
              </w:rPr>
            </w:pPr>
          </w:p>
        </w:tc>
      </w:tr>
      <w:tr w:rsidR="00B827DE" w:rsidRPr="00CB0607" w14:paraId="05C4AE65"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7ADD9F53" w14:textId="28C2D894" w:rsidR="00B827DE" w:rsidRPr="00CB0607" w:rsidRDefault="00000000" w:rsidP="005D13E7">
            <w:pPr>
              <w:pStyle w:val="TableSubheading"/>
              <w:rPr>
                <w:bdr w:val="none" w:sz="0" w:space="0" w:color="auto" w:frame="1"/>
              </w:rPr>
            </w:pPr>
            <w:hyperlink w:anchor="_Supervision,_Evaluation,_and" w:history="1">
              <w:r w:rsidR="00B827DE" w:rsidRPr="004A78AC">
                <w:rPr>
                  <w:rStyle w:val="Hyperlink"/>
                  <w:bdr w:val="none" w:sz="0" w:space="0" w:color="auto" w:frame="1"/>
                </w:rPr>
                <w:t xml:space="preserve">Supervision, </w:t>
              </w:r>
              <w:r w:rsidR="002C6E1C" w:rsidRPr="004A78AC">
                <w:rPr>
                  <w:rStyle w:val="Hyperlink"/>
                  <w:bdr w:val="none" w:sz="0" w:space="0" w:color="auto" w:frame="1"/>
                </w:rPr>
                <w:t>e</w:t>
              </w:r>
              <w:r w:rsidR="00B827DE" w:rsidRPr="004A78AC">
                <w:rPr>
                  <w:rStyle w:val="Hyperlink"/>
                  <w:bdr w:val="none" w:sz="0" w:space="0" w:color="auto" w:frame="1"/>
                </w:rPr>
                <w:t xml:space="preserve">valuation, and </w:t>
              </w:r>
              <w:r w:rsidR="002C6E1C" w:rsidRPr="004A78AC">
                <w:rPr>
                  <w:rStyle w:val="Hyperlink"/>
                  <w:bdr w:val="none" w:sz="0" w:space="0" w:color="auto" w:frame="1"/>
                </w:rPr>
                <w:t>e</w:t>
              </w:r>
              <w:r w:rsidR="00B827DE" w:rsidRPr="004A78AC">
                <w:rPr>
                  <w:rStyle w:val="Hyperlink"/>
                  <w:bdr w:val="none" w:sz="0" w:space="0" w:color="auto" w:frame="1"/>
                </w:rPr>
                <w:t xml:space="preserve">ducator </w:t>
              </w:r>
              <w:r w:rsidR="002C6E1C" w:rsidRPr="004A78AC">
                <w:rPr>
                  <w:rStyle w:val="Hyperlink"/>
                  <w:bdr w:val="none" w:sz="0" w:space="0" w:color="auto" w:frame="1"/>
                </w:rPr>
                <w:t>d</w:t>
              </w:r>
              <w:r w:rsidR="00B827DE" w:rsidRPr="004A78AC">
                <w:rPr>
                  <w:rStyle w:val="Hyperlink"/>
                  <w:bdr w:val="none" w:sz="0" w:space="0" w:color="auto" w:frame="1"/>
                </w:rPr>
                <w:t>evelopment</w:t>
              </w:r>
            </w:hyperlink>
          </w:p>
        </w:tc>
        <w:tc>
          <w:tcPr>
            <w:tcW w:w="1851" w:type="pct"/>
          </w:tcPr>
          <w:p w14:paraId="1A1380B6" w14:textId="61EC3BCF" w:rsidR="00B827DE" w:rsidRPr="003D3126" w:rsidRDefault="00D13921" w:rsidP="007D69BA">
            <w:pPr>
              <w:pStyle w:val="TableBullet1"/>
              <w:rPr>
                <w:bdr w:val="none" w:sz="0" w:space="0" w:color="auto" w:frame="1"/>
              </w:rPr>
            </w:pPr>
            <w:r>
              <w:t>C</w:t>
            </w:r>
            <w:r w:rsidR="00894FDB">
              <w:t>lose a</w:t>
            </w:r>
            <w:r w:rsidR="00F261DF">
              <w:t xml:space="preserve">lignment </w:t>
            </w:r>
            <w:r>
              <w:t xml:space="preserve">exists </w:t>
            </w:r>
            <w:r w:rsidR="00F261DF">
              <w:t>between the district</w:t>
            </w:r>
            <w:r w:rsidR="00894FDB">
              <w:t>’</w:t>
            </w:r>
            <w:r w:rsidR="00F261DF">
              <w:t>s strategic plan and professional development plan</w:t>
            </w:r>
            <w:r w:rsidR="00894FDB">
              <w:t>.</w:t>
            </w:r>
          </w:p>
          <w:p w14:paraId="6E5D7E42" w14:textId="6EBC623A" w:rsidR="003D3126" w:rsidRPr="00CB0607" w:rsidRDefault="00894FDB" w:rsidP="007D69BA">
            <w:pPr>
              <w:pStyle w:val="TableBullet1"/>
              <w:rPr>
                <w:bdr w:val="none" w:sz="0" w:space="0" w:color="auto" w:frame="1"/>
              </w:rPr>
            </w:pPr>
            <w:r>
              <w:rPr>
                <w:bdr w:val="none" w:sz="0" w:space="0" w:color="auto" w:frame="1"/>
              </w:rPr>
              <w:t>The district has a h</w:t>
            </w:r>
            <w:r w:rsidR="003D3126">
              <w:rPr>
                <w:bdr w:val="none" w:sz="0" w:space="0" w:color="auto" w:frame="1"/>
              </w:rPr>
              <w:t>igh</w:t>
            </w:r>
            <w:r w:rsidR="002C1C3B">
              <w:rPr>
                <w:bdr w:val="none" w:sz="0" w:space="0" w:color="auto" w:frame="1"/>
              </w:rPr>
              <w:t>ly</w:t>
            </w:r>
            <w:r w:rsidR="003D3126">
              <w:rPr>
                <w:bdr w:val="none" w:sz="0" w:space="0" w:color="auto" w:frame="1"/>
              </w:rPr>
              <w:t xml:space="preserve"> structured</w:t>
            </w:r>
            <w:r w:rsidR="00AD3243">
              <w:rPr>
                <w:bdr w:val="none" w:sz="0" w:space="0" w:color="auto" w:frame="1"/>
              </w:rPr>
              <w:t xml:space="preserve"> district- and school-based mentor program</w:t>
            </w:r>
            <w:r>
              <w:rPr>
                <w:bdr w:val="none" w:sz="0" w:space="0" w:color="auto" w:frame="1"/>
              </w:rPr>
              <w:t>.</w:t>
            </w:r>
            <w:r w:rsidR="003D3126">
              <w:rPr>
                <w:bdr w:val="none" w:sz="0" w:space="0" w:color="auto" w:frame="1"/>
              </w:rPr>
              <w:t xml:space="preserve"> </w:t>
            </w:r>
          </w:p>
        </w:tc>
        <w:tc>
          <w:tcPr>
            <w:tcW w:w="1851" w:type="pct"/>
          </w:tcPr>
          <w:p w14:paraId="1B2E4B69" w14:textId="77777777" w:rsidR="00B827DE" w:rsidRPr="005D3142" w:rsidRDefault="00D13921" w:rsidP="007D69BA">
            <w:pPr>
              <w:pStyle w:val="TableBullet1"/>
              <w:rPr>
                <w:bdr w:val="none" w:sz="0" w:space="0" w:color="auto" w:frame="1"/>
              </w:rPr>
            </w:pPr>
            <w:r>
              <w:t>Conducting i</w:t>
            </w:r>
            <w:r w:rsidR="009B5F92">
              <w:t xml:space="preserve">nstructional observations </w:t>
            </w:r>
            <w:r>
              <w:t>more</w:t>
            </w:r>
            <w:r w:rsidR="009B5F92">
              <w:t xml:space="preserve"> regularly</w:t>
            </w:r>
            <w:r w:rsidR="00982B79">
              <w:t xml:space="preserve"> or frequently to inform instructional improvement</w:t>
            </w:r>
          </w:p>
          <w:p w14:paraId="13C19D85" w14:textId="2DCDC2B0" w:rsidR="005D3142" w:rsidRPr="00CB0607" w:rsidRDefault="005D3142" w:rsidP="007D69BA">
            <w:pPr>
              <w:pStyle w:val="TableBullet1"/>
              <w:rPr>
                <w:bdr w:val="none" w:sz="0" w:space="0" w:color="auto" w:frame="1"/>
              </w:rPr>
            </w:pPr>
            <w:r>
              <w:rPr>
                <w:bdr w:val="none" w:sz="0" w:space="0" w:color="auto" w:frame="1"/>
              </w:rPr>
              <w:t>A</w:t>
            </w:r>
            <w:r w:rsidRPr="005D3142">
              <w:rPr>
                <w:bdr w:val="none" w:sz="0" w:space="0" w:color="auto" w:frame="1"/>
              </w:rPr>
              <w:t>rticulating areas for improvement to support all staff in continuous instructional and professional improvement.</w:t>
            </w:r>
          </w:p>
        </w:tc>
      </w:tr>
      <w:tr w:rsidR="00B827DE" w:rsidRPr="00CB0607" w14:paraId="7BA3CD23" w14:textId="77777777" w:rsidTr="00B827DE">
        <w:tc>
          <w:tcPr>
            <w:tcW w:w="1297" w:type="pct"/>
          </w:tcPr>
          <w:p w14:paraId="6562F935" w14:textId="064E6AD1" w:rsidR="00B827DE" w:rsidRPr="00CB0607" w:rsidRDefault="00000000" w:rsidP="005D13E7">
            <w:pPr>
              <w:pStyle w:val="TableSubheading"/>
              <w:rPr>
                <w:bdr w:val="none" w:sz="0" w:space="0" w:color="auto" w:frame="1"/>
              </w:rPr>
            </w:pPr>
            <w:hyperlink w:anchor="_Recognition,_Leadership_Development" w:history="1">
              <w:r w:rsidR="00B827DE" w:rsidRPr="004A78AC">
                <w:rPr>
                  <w:rStyle w:val="Hyperlink"/>
                  <w:bdr w:val="none" w:sz="0" w:space="0" w:color="auto" w:frame="1"/>
                </w:rPr>
                <w:t xml:space="preserve">Recognition, </w:t>
              </w:r>
              <w:r w:rsidR="002C6E1C" w:rsidRPr="004A78AC">
                <w:rPr>
                  <w:rStyle w:val="Hyperlink"/>
                  <w:bdr w:val="none" w:sz="0" w:space="0" w:color="auto" w:frame="1"/>
                </w:rPr>
                <w:t>l</w:t>
              </w:r>
              <w:r w:rsidR="00B827DE" w:rsidRPr="004A78AC">
                <w:rPr>
                  <w:rStyle w:val="Hyperlink"/>
                  <w:bdr w:val="none" w:sz="0" w:space="0" w:color="auto" w:frame="1"/>
                </w:rPr>
                <w:t xml:space="preserve">eadership </w:t>
              </w:r>
              <w:r w:rsidR="002C6E1C" w:rsidRPr="004A78AC">
                <w:rPr>
                  <w:rStyle w:val="Hyperlink"/>
                  <w:bdr w:val="none" w:sz="0" w:space="0" w:color="auto" w:frame="1"/>
                </w:rPr>
                <w:t>d</w:t>
              </w:r>
              <w:r w:rsidR="00B827DE" w:rsidRPr="004A78AC">
                <w:rPr>
                  <w:rStyle w:val="Hyperlink"/>
                  <w:bdr w:val="none" w:sz="0" w:space="0" w:color="auto" w:frame="1"/>
                </w:rPr>
                <w:t xml:space="preserve">evelopment, and </w:t>
              </w:r>
              <w:r w:rsidR="002C6E1C" w:rsidRPr="004A78AC">
                <w:rPr>
                  <w:rStyle w:val="Hyperlink"/>
                  <w:bdr w:val="none" w:sz="0" w:space="0" w:color="auto" w:frame="1"/>
                </w:rPr>
                <w:t>a</w:t>
              </w:r>
              <w:r w:rsidR="00B827DE" w:rsidRPr="004A78AC">
                <w:rPr>
                  <w:rStyle w:val="Hyperlink"/>
                  <w:bdr w:val="none" w:sz="0" w:space="0" w:color="auto" w:frame="1"/>
                </w:rPr>
                <w:t>dvancement</w:t>
              </w:r>
            </w:hyperlink>
          </w:p>
        </w:tc>
        <w:tc>
          <w:tcPr>
            <w:tcW w:w="1851" w:type="pct"/>
          </w:tcPr>
          <w:p w14:paraId="20FF6004" w14:textId="59F1C3FE" w:rsidR="00B827DE" w:rsidRPr="00CB0607" w:rsidRDefault="00B827DE" w:rsidP="00D13921">
            <w:pPr>
              <w:pStyle w:val="TableBullet1"/>
              <w:numPr>
                <w:ilvl w:val="0"/>
                <w:numId w:val="0"/>
              </w:numPr>
              <w:ind w:left="288" w:hanging="288"/>
              <w:rPr>
                <w:bdr w:val="none" w:sz="0" w:space="0" w:color="auto" w:frame="1"/>
              </w:rPr>
            </w:pPr>
          </w:p>
        </w:tc>
        <w:tc>
          <w:tcPr>
            <w:tcW w:w="1851" w:type="pct"/>
          </w:tcPr>
          <w:p w14:paraId="3C6509F9" w14:textId="730DBDE3" w:rsidR="00B827DE" w:rsidRDefault="00D13921" w:rsidP="007D69BA">
            <w:pPr>
              <w:pStyle w:val="TableBullet1"/>
              <w:rPr>
                <w:bdr w:val="none" w:sz="0" w:space="0" w:color="auto" w:frame="1"/>
              </w:rPr>
            </w:pPr>
            <w:r>
              <w:rPr>
                <w:bdr w:val="none" w:sz="0" w:space="0" w:color="auto" w:frame="1"/>
              </w:rPr>
              <w:t>Enhancing</w:t>
            </w:r>
            <w:r w:rsidR="007C2D91">
              <w:rPr>
                <w:bdr w:val="none" w:sz="0" w:space="0" w:color="auto" w:frame="1"/>
              </w:rPr>
              <w:t xml:space="preserve"> leadership</w:t>
            </w:r>
            <w:r w:rsidR="00DD12B7">
              <w:rPr>
                <w:bdr w:val="none" w:sz="0" w:space="0" w:color="auto" w:frame="1"/>
              </w:rPr>
              <w:t xml:space="preserve"> </w:t>
            </w:r>
            <w:r w:rsidR="00982B79">
              <w:rPr>
                <w:bdr w:val="none" w:sz="0" w:space="0" w:color="auto" w:frame="1"/>
              </w:rPr>
              <w:t>opportunities</w:t>
            </w:r>
            <w:r w:rsidR="00DD12B7">
              <w:rPr>
                <w:bdr w:val="none" w:sz="0" w:space="0" w:color="auto" w:frame="1"/>
              </w:rPr>
              <w:t xml:space="preserve"> for teachers</w:t>
            </w:r>
            <w:r w:rsidR="00982B79">
              <w:rPr>
                <w:bdr w:val="none" w:sz="0" w:space="0" w:color="auto" w:frame="1"/>
              </w:rPr>
              <w:t xml:space="preserve"> to grow professionally within the district</w:t>
            </w:r>
          </w:p>
          <w:p w14:paraId="0013334D" w14:textId="08EADB54" w:rsidR="00DD12B7" w:rsidRPr="00CB0607" w:rsidRDefault="00D13921" w:rsidP="007D69BA">
            <w:pPr>
              <w:pStyle w:val="TableBullet1"/>
              <w:rPr>
                <w:bdr w:val="none" w:sz="0" w:space="0" w:color="auto" w:frame="1"/>
              </w:rPr>
            </w:pPr>
            <w:r>
              <w:rPr>
                <w:bdr w:val="none" w:sz="0" w:space="0" w:color="auto" w:frame="1"/>
              </w:rPr>
              <w:t xml:space="preserve">Developing </w:t>
            </w:r>
            <w:r w:rsidR="009B5F92">
              <w:rPr>
                <w:bdr w:val="none" w:sz="0" w:space="0" w:color="auto" w:frame="1"/>
              </w:rPr>
              <w:t xml:space="preserve">recognition </w:t>
            </w:r>
            <w:r w:rsidR="00E47C39">
              <w:rPr>
                <w:bdr w:val="none" w:sz="0" w:space="0" w:color="auto" w:frame="1"/>
              </w:rPr>
              <w:t xml:space="preserve">programs to </w:t>
            </w:r>
            <w:r w:rsidR="00475ACC">
              <w:rPr>
                <w:bdr w:val="none" w:sz="0" w:space="0" w:color="auto" w:frame="1"/>
              </w:rPr>
              <w:t>identify</w:t>
            </w:r>
            <w:r w:rsidR="009B5F92">
              <w:rPr>
                <w:bdr w:val="none" w:sz="0" w:space="0" w:color="auto" w:frame="1"/>
              </w:rPr>
              <w:t xml:space="preserve"> exemplary teachers</w:t>
            </w:r>
          </w:p>
        </w:tc>
      </w:tr>
    </w:tbl>
    <w:p w14:paraId="5601B273" w14:textId="71886133" w:rsidR="00B827DE" w:rsidRDefault="00B827DE" w:rsidP="00A36E2F">
      <w:pPr>
        <w:pStyle w:val="Heading3"/>
        <w:tabs>
          <w:tab w:val="left" w:pos="2393"/>
        </w:tabs>
      </w:pPr>
      <w:bookmarkStart w:id="43" w:name="_Infrastructure"/>
      <w:bookmarkEnd w:id="43"/>
      <w:r w:rsidRPr="00CB0607">
        <w:lastRenderedPageBreak/>
        <w:t>Infrastructure</w:t>
      </w:r>
    </w:p>
    <w:p w14:paraId="1183960F" w14:textId="38FD5659" w:rsidR="00CB5E9D" w:rsidRDefault="00CB2949" w:rsidP="00F86096">
      <w:pPr>
        <w:pStyle w:val="BodyTextposthead"/>
      </w:pPr>
      <w:r>
        <w:t>At the time of the site visit, the human resource</w:t>
      </w:r>
      <w:r w:rsidR="008F7F74">
        <w:t xml:space="preserve">s coordinator position was </w:t>
      </w:r>
      <w:r w:rsidR="00CC276E">
        <w:t>vacant,</w:t>
      </w:r>
      <w:r w:rsidR="00CB5E9D">
        <w:t xml:space="preserve"> </w:t>
      </w:r>
      <w:r w:rsidR="00D13921">
        <w:t xml:space="preserve">so </w:t>
      </w:r>
      <w:r w:rsidR="00CB5E9D">
        <w:t>t</w:t>
      </w:r>
      <w:r w:rsidR="008F7F74">
        <w:t xml:space="preserve">he </w:t>
      </w:r>
      <w:r w:rsidR="00C56E03">
        <w:t>s</w:t>
      </w:r>
      <w:r w:rsidR="008F7F74">
        <w:t xml:space="preserve">uperintendent and </w:t>
      </w:r>
      <w:r w:rsidR="00D13921">
        <w:t xml:space="preserve">the </w:t>
      </w:r>
      <w:r w:rsidR="003E3C56">
        <w:t xml:space="preserve">director of </w:t>
      </w:r>
      <w:r w:rsidR="00C56E03">
        <w:t>business and support services</w:t>
      </w:r>
      <w:r w:rsidR="00CB5E9D">
        <w:t xml:space="preserve"> were </w:t>
      </w:r>
      <w:r w:rsidR="0002338F">
        <w:t xml:space="preserve">temporarily leading human resources efforts for the district. </w:t>
      </w:r>
      <w:r w:rsidR="00D4059A">
        <w:t xml:space="preserve">The superintendent and </w:t>
      </w:r>
      <w:r w:rsidR="00C56E03">
        <w:t xml:space="preserve">director of business and support </w:t>
      </w:r>
      <w:r w:rsidR="00995FF1">
        <w:t>services</w:t>
      </w:r>
      <w:r w:rsidR="00D4059A">
        <w:t xml:space="preserve"> collaborate to support </w:t>
      </w:r>
      <w:r w:rsidR="00095555">
        <w:t xml:space="preserve">current and potential employees within Hingham. </w:t>
      </w:r>
      <w:r w:rsidR="00310A99" w:rsidRPr="000B0BAE">
        <w:t xml:space="preserve">Overall, the human resources department oversees the district’s hiring process; collaborates with district leadership on retention processes and reporting; stores formal educator evaluations </w:t>
      </w:r>
      <w:r w:rsidR="00B20633">
        <w:t xml:space="preserve">in physical storage; and collaborates with district, school, </w:t>
      </w:r>
      <w:r w:rsidR="00A23D98">
        <w:t>and department leadership to organize professional learning.</w:t>
      </w:r>
      <w:r w:rsidR="008E3A5F">
        <w:t xml:space="preserve"> </w:t>
      </w:r>
    </w:p>
    <w:p w14:paraId="29C6D0BF" w14:textId="447AC87F" w:rsidR="00B57C15" w:rsidRDefault="00A521C2" w:rsidP="00AA07D0">
      <w:pPr>
        <w:pStyle w:val="BodyText"/>
      </w:pPr>
      <w:r>
        <w:t>As described by district leaders, the department</w:t>
      </w:r>
      <w:r w:rsidR="00C33DEB">
        <w:t>’</w:t>
      </w:r>
      <w:r>
        <w:t xml:space="preserve">s responsibilities </w:t>
      </w:r>
      <w:r w:rsidR="00E4693D">
        <w:t xml:space="preserve">for </w:t>
      </w:r>
      <w:r w:rsidR="00B97FBB">
        <w:t>hiring include collaborating with district and school administra</w:t>
      </w:r>
      <w:r w:rsidR="007C7C03">
        <w:t>tors</w:t>
      </w:r>
      <w:r w:rsidR="00D13921">
        <w:t>;</w:t>
      </w:r>
      <w:r w:rsidR="007C7C03">
        <w:t xml:space="preserve"> budgeting </w:t>
      </w:r>
      <w:r w:rsidR="008B4803">
        <w:t xml:space="preserve">for </w:t>
      </w:r>
      <w:r w:rsidR="004B5E59">
        <w:t>year-to-year</w:t>
      </w:r>
      <w:r w:rsidR="008B4803">
        <w:t xml:space="preserve"> staffing needs</w:t>
      </w:r>
      <w:r w:rsidR="00D13921">
        <w:t>;</w:t>
      </w:r>
      <w:r w:rsidR="004B5E59">
        <w:t xml:space="preserve"> posting job descrip</w:t>
      </w:r>
      <w:r w:rsidR="000F1B19">
        <w:t xml:space="preserve">tions on the district website, </w:t>
      </w:r>
      <w:r w:rsidR="00F97A10">
        <w:t>S</w:t>
      </w:r>
      <w:r w:rsidR="000F1B19">
        <w:t xml:space="preserve">chool Spring, HandShake, </w:t>
      </w:r>
      <w:r w:rsidR="00F97A10">
        <w:t xml:space="preserve">and </w:t>
      </w:r>
      <w:r w:rsidR="000F1B19">
        <w:t>Indeed</w:t>
      </w:r>
      <w:r w:rsidR="00D13921">
        <w:t>;</w:t>
      </w:r>
      <w:r w:rsidR="003A7971">
        <w:t xml:space="preserve"> </w:t>
      </w:r>
      <w:r w:rsidR="00377F83">
        <w:t>maintain</w:t>
      </w:r>
      <w:r w:rsidR="00892E05">
        <w:t>ing</w:t>
      </w:r>
      <w:r w:rsidR="00377F83">
        <w:t xml:space="preserve"> employee records</w:t>
      </w:r>
      <w:r w:rsidR="00D13921">
        <w:t>;</w:t>
      </w:r>
      <w:r w:rsidR="00092FA3">
        <w:t xml:space="preserve"> and ensuring </w:t>
      </w:r>
      <w:r w:rsidR="00D13921">
        <w:t xml:space="preserve">the onboarding of </w:t>
      </w:r>
      <w:r w:rsidR="00092FA3">
        <w:t>new hires</w:t>
      </w:r>
      <w:r w:rsidR="00F97A10">
        <w:t>.</w:t>
      </w:r>
      <w:r w:rsidR="008454A7">
        <w:t xml:space="preserve"> </w:t>
      </w:r>
    </w:p>
    <w:p w14:paraId="48BBA1F6" w14:textId="17C8DD11" w:rsidR="005C54D5" w:rsidRDefault="003C5873" w:rsidP="00AA07D0">
      <w:pPr>
        <w:pStyle w:val="BodyText"/>
      </w:pPr>
      <w:r>
        <w:t>According to district leaders, t</w:t>
      </w:r>
      <w:r w:rsidR="00B57C15">
        <w:t xml:space="preserve">he district </w:t>
      </w:r>
      <w:r w:rsidR="00D13921">
        <w:t xml:space="preserve">uses </w:t>
      </w:r>
      <w:r w:rsidR="00B15DC1">
        <w:t xml:space="preserve">the </w:t>
      </w:r>
      <w:r w:rsidR="00D13921">
        <w:t xml:space="preserve">Munis </w:t>
      </w:r>
      <w:r w:rsidR="00B15DC1">
        <w:t xml:space="preserve">system to </w:t>
      </w:r>
      <w:r w:rsidR="00B57C15">
        <w:t xml:space="preserve">maintain </w:t>
      </w:r>
      <w:r w:rsidR="00B15DC1">
        <w:t>employment and payroll records for all employees</w:t>
      </w:r>
      <w:r w:rsidR="00D13921">
        <w:t>,</w:t>
      </w:r>
      <w:r w:rsidR="00893318">
        <w:t xml:space="preserve"> and human resource data </w:t>
      </w:r>
      <w:r w:rsidR="006777ED">
        <w:t>undergo monthly</w:t>
      </w:r>
      <w:r w:rsidR="00267C4A">
        <w:t xml:space="preserve"> </w:t>
      </w:r>
      <w:r w:rsidR="00893318">
        <w:t>review</w:t>
      </w:r>
      <w:r w:rsidR="006777ED">
        <w:t>s</w:t>
      </w:r>
      <w:r w:rsidR="00893318">
        <w:t>.</w:t>
      </w:r>
      <w:r w:rsidR="00FF226C">
        <w:t xml:space="preserve"> However</w:t>
      </w:r>
      <w:r w:rsidR="004D569E">
        <w:t xml:space="preserve">, district leaders indicated </w:t>
      </w:r>
      <w:r w:rsidR="00D13921">
        <w:t xml:space="preserve">that </w:t>
      </w:r>
      <w:r w:rsidR="00EC3CD2">
        <w:t xml:space="preserve">they are “out of cycle” currently </w:t>
      </w:r>
      <w:r w:rsidR="00D13921">
        <w:t>because of</w:t>
      </w:r>
      <w:r w:rsidR="00EC3CD2">
        <w:t xml:space="preserve"> the </w:t>
      </w:r>
      <w:r w:rsidR="00995FF1">
        <w:t>human resources coordinator vacancy</w:t>
      </w:r>
      <w:r w:rsidR="00995FF1" w:rsidRPr="000B70E7">
        <w:t>.</w:t>
      </w:r>
      <w:r w:rsidR="009C7322" w:rsidRPr="000B70E7">
        <w:t xml:space="preserve"> Ensuring </w:t>
      </w:r>
      <w:r w:rsidR="00A73D67" w:rsidRPr="000B70E7">
        <w:t>appropriate</w:t>
      </w:r>
      <w:r w:rsidR="009C7322" w:rsidRPr="000B70E7">
        <w:t xml:space="preserve"> </w:t>
      </w:r>
      <w:r w:rsidR="00E64CB5">
        <w:t>unfilled</w:t>
      </w:r>
      <w:r w:rsidR="009C7322" w:rsidRPr="000B70E7">
        <w:t xml:space="preserve"> human resources </w:t>
      </w:r>
      <w:r w:rsidR="00E64CB5">
        <w:t xml:space="preserve">positions are </w:t>
      </w:r>
      <w:r w:rsidR="00D2633E">
        <w:t>filled</w:t>
      </w:r>
      <w:r w:rsidR="009C7322" w:rsidRPr="000B70E7">
        <w:t xml:space="preserve"> </w:t>
      </w:r>
      <w:r w:rsidR="00A73D67" w:rsidRPr="000B70E7">
        <w:t xml:space="preserve">to maintain </w:t>
      </w:r>
      <w:r w:rsidR="00C9503E" w:rsidRPr="000B70E7">
        <w:t>operational stability</w:t>
      </w:r>
      <w:r w:rsidR="009C7322" w:rsidRPr="000B70E7">
        <w:t xml:space="preserve"> is an area for growth</w:t>
      </w:r>
      <w:r w:rsidR="00C9503E" w:rsidRPr="000B70E7">
        <w:t>.</w:t>
      </w:r>
    </w:p>
    <w:p w14:paraId="486FA845" w14:textId="0851480C" w:rsidR="00B827DE" w:rsidRDefault="00B827DE" w:rsidP="00B827DE">
      <w:pPr>
        <w:pStyle w:val="Heading3"/>
      </w:pPr>
      <w:bookmarkStart w:id="44" w:name="_Recruitment,_Hiring,_and"/>
      <w:bookmarkEnd w:id="44"/>
      <w:r w:rsidRPr="00CB0607">
        <w:t>Recruitment, Hiring, and Assignment</w:t>
      </w:r>
    </w:p>
    <w:p w14:paraId="49AE9BBF" w14:textId="50C8CDB6" w:rsidR="0018177F" w:rsidRPr="00670823" w:rsidRDefault="00B064C2" w:rsidP="002B217C">
      <w:pPr>
        <w:pStyle w:val="BodyTextposthead"/>
        <w:rPr>
          <w:spacing w:val="-2"/>
        </w:rPr>
      </w:pPr>
      <w:r w:rsidRPr="00670823">
        <w:rPr>
          <w:spacing w:val="-2"/>
        </w:rPr>
        <w:t>According to district leaders,</w:t>
      </w:r>
      <w:r w:rsidR="00D13921" w:rsidRPr="00670823">
        <w:rPr>
          <w:spacing w:val="-2"/>
        </w:rPr>
        <w:t xml:space="preserve"> the first step in</w:t>
      </w:r>
      <w:r w:rsidRPr="00670823">
        <w:rPr>
          <w:spacing w:val="-2"/>
        </w:rPr>
        <w:t xml:space="preserve"> the hiring process</w:t>
      </w:r>
      <w:r w:rsidR="00D13921" w:rsidRPr="00670823">
        <w:rPr>
          <w:spacing w:val="-2"/>
        </w:rPr>
        <w:t xml:space="preserve"> is</w:t>
      </w:r>
      <w:r w:rsidRPr="00670823">
        <w:rPr>
          <w:spacing w:val="-2"/>
        </w:rPr>
        <w:t xml:space="preserve"> </w:t>
      </w:r>
      <w:r w:rsidR="004A156B" w:rsidRPr="00670823">
        <w:rPr>
          <w:spacing w:val="-2"/>
        </w:rPr>
        <w:t>district staff meet</w:t>
      </w:r>
      <w:r w:rsidR="00D13921" w:rsidRPr="00670823">
        <w:rPr>
          <w:spacing w:val="-2"/>
        </w:rPr>
        <w:t>ing</w:t>
      </w:r>
      <w:r w:rsidR="004A156B" w:rsidRPr="00670823">
        <w:rPr>
          <w:spacing w:val="-2"/>
        </w:rPr>
        <w:t xml:space="preserve"> with school principals to determine the staffing needs of each school bui</w:t>
      </w:r>
      <w:r w:rsidR="00511CB0" w:rsidRPr="00670823">
        <w:rPr>
          <w:spacing w:val="-2"/>
        </w:rPr>
        <w:t>lding</w:t>
      </w:r>
      <w:r w:rsidR="007F43D6" w:rsidRPr="00670823">
        <w:rPr>
          <w:spacing w:val="-2"/>
        </w:rPr>
        <w:t>. This process starts early in the school year with ongoing conversations throughout the school year between district</w:t>
      </w:r>
      <w:r w:rsidR="00D13921" w:rsidRPr="00670823">
        <w:rPr>
          <w:spacing w:val="-2"/>
        </w:rPr>
        <w:t>-</w:t>
      </w:r>
      <w:r w:rsidR="007F43D6" w:rsidRPr="00670823">
        <w:rPr>
          <w:spacing w:val="-2"/>
        </w:rPr>
        <w:t xml:space="preserve"> and school-based </w:t>
      </w:r>
      <w:r w:rsidR="00432ED9" w:rsidRPr="00670823">
        <w:rPr>
          <w:spacing w:val="-2"/>
        </w:rPr>
        <w:t>administrators</w:t>
      </w:r>
      <w:r w:rsidR="00C83632" w:rsidRPr="00670823">
        <w:rPr>
          <w:spacing w:val="-2"/>
        </w:rPr>
        <w:t xml:space="preserve"> to</w:t>
      </w:r>
      <w:r w:rsidR="000F4DDB" w:rsidRPr="00670823">
        <w:rPr>
          <w:spacing w:val="-2"/>
        </w:rPr>
        <w:t xml:space="preserve"> </w:t>
      </w:r>
      <w:r w:rsidR="00D13921" w:rsidRPr="00670823">
        <w:rPr>
          <w:spacing w:val="-2"/>
        </w:rPr>
        <w:t xml:space="preserve">address </w:t>
      </w:r>
      <w:r w:rsidR="000F4DDB" w:rsidRPr="00670823">
        <w:rPr>
          <w:spacing w:val="-2"/>
        </w:rPr>
        <w:t>staffing and budgetary needs</w:t>
      </w:r>
      <w:r w:rsidR="00432ED9" w:rsidRPr="00670823">
        <w:rPr>
          <w:spacing w:val="-2"/>
        </w:rPr>
        <w:t xml:space="preserve">. </w:t>
      </w:r>
      <w:r w:rsidR="002864AF" w:rsidRPr="00670823">
        <w:rPr>
          <w:spacing w:val="-2"/>
        </w:rPr>
        <w:t xml:space="preserve">District leaders emphasized the responsibility </w:t>
      </w:r>
      <w:r w:rsidR="003478F3" w:rsidRPr="00670823">
        <w:rPr>
          <w:spacing w:val="-2"/>
        </w:rPr>
        <w:t xml:space="preserve">for hiring has intentionally shifted from </w:t>
      </w:r>
      <w:r w:rsidR="00654244" w:rsidRPr="00670823">
        <w:rPr>
          <w:spacing w:val="-2"/>
        </w:rPr>
        <w:t xml:space="preserve">the </w:t>
      </w:r>
      <w:r w:rsidR="003478F3" w:rsidRPr="00670823">
        <w:rPr>
          <w:spacing w:val="-2"/>
        </w:rPr>
        <w:t xml:space="preserve">district to </w:t>
      </w:r>
      <w:r w:rsidR="00654244" w:rsidRPr="00670823">
        <w:rPr>
          <w:spacing w:val="-2"/>
        </w:rPr>
        <w:t xml:space="preserve">the </w:t>
      </w:r>
      <w:r w:rsidR="003478F3" w:rsidRPr="00670823">
        <w:rPr>
          <w:spacing w:val="-2"/>
        </w:rPr>
        <w:t xml:space="preserve">school level </w:t>
      </w:r>
      <w:r w:rsidR="00670823" w:rsidRPr="00670823">
        <w:rPr>
          <w:spacing w:val="-2"/>
        </w:rPr>
        <w:t xml:space="preserve">in </w:t>
      </w:r>
      <w:r w:rsidR="003478F3" w:rsidRPr="00670823">
        <w:rPr>
          <w:spacing w:val="-2"/>
        </w:rPr>
        <w:t>the past two years</w:t>
      </w:r>
      <w:r w:rsidR="008E39C5" w:rsidRPr="00670823">
        <w:rPr>
          <w:spacing w:val="-2"/>
        </w:rPr>
        <w:t xml:space="preserve"> to decentralize the hiring process and better meet the needs of each school</w:t>
      </w:r>
      <w:r w:rsidR="00670823" w:rsidRPr="00670823">
        <w:rPr>
          <w:spacing w:val="-2"/>
        </w:rPr>
        <w:t>; they also</w:t>
      </w:r>
      <w:r w:rsidR="008C6D2B" w:rsidRPr="00670823">
        <w:rPr>
          <w:spacing w:val="-2"/>
        </w:rPr>
        <w:t xml:space="preserve"> reported </w:t>
      </w:r>
      <w:r w:rsidR="00670823" w:rsidRPr="00670823">
        <w:rPr>
          <w:spacing w:val="-2"/>
        </w:rPr>
        <w:t xml:space="preserve">that </w:t>
      </w:r>
      <w:r w:rsidR="008C6D2B" w:rsidRPr="00670823">
        <w:rPr>
          <w:spacing w:val="-2"/>
        </w:rPr>
        <w:t xml:space="preserve">school principals </w:t>
      </w:r>
      <w:r w:rsidR="00131B3D" w:rsidRPr="00670823">
        <w:rPr>
          <w:spacing w:val="-2"/>
        </w:rPr>
        <w:t xml:space="preserve">collaborate with district curriculum directors to </w:t>
      </w:r>
      <w:r w:rsidR="00FD66A4" w:rsidRPr="00670823">
        <w:rPr>
          <w:spacing w:val="-2"/>
        </w:rPr>
        <w:t xml:space="preserve">conduct a needs assessment and </w:t>
      </w:r>
      <w:r w:rsidR="00FF2500" w:rsidRPr="00670823">
        <w:rPr>
          <w:spacing w:val="-2"/>
        </w:rPr>
        <w:t>determine staffing levels for the coming school year</w:t>
      </w:r>
      <w:r w:rsidR="00CA297F" w:rsidRPr="00670823">
        <w:rPr>
          <w:spacing w:val="-2"/>
        </w:rPr>
        <w:t xml:space="preserve"> based on student enrollment data, planned staff retirements</w:t>
      </w:r>
      <w:r w:rsidR="00F954B1" w:rsidRPr="00670823">
        <w:rPr>
          <w:spacing w:val="-2"/>
        </w:rPr>
        <w:t>, and resignations</w:t>
      </w:r>
      <w:r w:rsidR="00FF2500" w:rsidRPr="00670823">
        <w:rPr>
          <w:spacing w:val="-2"/>
        </w:rPr>
        <w:t xml:space="preserve">. </w:t>
      </w:r>
      <w:r w:rsidR="00FB1B87" w:rsidRPr="00670823">
        <w:rPr>
          <w:spacing w:val="-2"/>
        </w:rPr>
        <w:t>School principals</w:t>
      </w:r>
      <w:r w:rsidR="008C5079" w:rsidRPr="00670823">
        <w:rPr>
          <w:spacing w:val="-2"/>
        </w:rPr>
        <w:t xml:space="preserve"> confirmed the</w:t>
      </w:r>
      <w:r w:rsidR="00606675" w:rsidRPr="00670823">
        <w:rPr>
          <w:spacing w:val="-2"/>
        </w:rPr>
        <w:t xml:space="preserve"> district’s approach to decentralizing the recruitment, hiring, and assignment</w:t>
      </w:r>
      <w:r w:rsidR="00AC155F" w:rsidRPr="00670823">
        <w:rPr>
          <w:spacing w:val="-2"/>
        </w:rPr>
        <w:t xml:space="preserve"> process in the </w:t>
      </w:r>
      <w:r w:rsidR="00B56A07" w:rsidRPr="00670823">
        <w:rPr>
          <w:spacing w:val="-2"/>
        </w:rPr>
        <w:t>district</w:t>
      </w:r>
      <w:r w:rsidR="00AC155F" w:rsidRPr="00670823">
        <w:rPr>
          <w:spacing w:val="-2"/>
        </w:rPr>
        <w:t xml:space="preserve"> </w:t>
      </w:r>
      <w:r w:rsidR="00C96DBA" w:rsidRPr="00670823">
        <w:rPr>
          <w:spacing w:val="-2"/>
        </w:rPr>
        <w:t xml:space="preserve">and noted </w:t>
      </w:r>
      <w:r w:rsidR="00670823" w:rsidRPr="00670823">
        <w:rPr>
          <w:spacing w:val="-2"/>
        </w:rPr>
        <w:t>having</w:t>
      </w:r>
      <w:r w:rsidR="00AC155F" w:rsidRPr="00670823">
        <w:rPr>
          <w:spacing w:val="-2"/>
        </w:rPr>
        <w:t xml:space="preserve"> “complete autonomy</w:t>
      </w:r>
      <w:r w:rsidR="00B56A07" w:rsidRPr="00670823">
        <w:rPr>
          <w:spacing w:val="-2"/>
        </w:rPr>
        <w:t>.</w:t>
      </w:r>
      <w:r w:rsidR="00AC155F" w:rsidRPr="00670823">
        <w:rPr>
          <w:spacing w:val="-2"/>
        </w:rPr>
        <w:t>”</w:t>
      </w:r>
      <w:r w:rsidR="00606675" w:rsidRPr="00670823">
        <w:rPr>
          <w:spacing w:val="-2"/>
        </w:rPr>
        <w:t xml:space="preserve"> </w:t>
      </w:r>
      <w:r w:rsidR="001F126D" w:rsidRPr="00670823">
        <w:rPr>
          <w:spacing w:val="-2"/>
        </w:rPr>
        <w:t>Further, s</w:t>
      </w:r>
      <w:r w:rsidR="009D721C" w:rsidRPr="00670823">
        <w:rPr>
          <w:spacing w:val="-2"/>
        </w:rPr>
        <w:t xml:space="preserve">chool principals </w:t>
      </w:r>
      <w:r w:rsidR="001F126D" w:rsidRPr="00670823">
        <w:rPr>
          <w:spacing w:val="-2"/>
        </w:rPr>
        <w:t xml:space="preserve">reported they </w:t>
      </w:r>
      <w:r w:rsidR="00670823" w:rsidRPr="00670823">
        <w:rPr>
          <w:spacing w:val="-2"/>
        </w:rPr>
        <w:t xml:space="preserve">annually </w:t>
      </w:r>
      <w:r w:rsidR="009D721C" w:rsidRPr="00670823">
        <w:rPr>
          <w:spacing w:val="-2"/>
        </w:rPr>
        <w:t>review student enrollment data as well as course selection enrollment to determine staffing needs. Once</w:t>
      </w:r>
      <w:r w:rsidR="00BE4AEF">
        <w:rPr>
          <w:spacing w:val="-2"/>
        </w:rPr>
        <w:t xml:space="preserve"> principals determine</w:t>
      </w:r>
      <w:r w:rsidR="009D721C" w:rsidRPr="00670823">
        <w:rPr>
          <w:spacing w:val="-2"/>
        </w:rPr>
        <w:t xml:space="preserve"> school-level staffing </w:t>
      </w:r>
      <w:r w:rsidR="00BE4AEF">
        <w:rPr>
          <w:spacing w:val="-2"/>
        </w:rPr>
        <w:t>needs</w:t>
      </w:r>
      <w:r w:rsidR="009D721C" w:rsidRPr="00670823">
        <w:rPr>
          <w:spacing w:val="-2"/>
        </w:rPr>
        <w:t xml:space="preserve">, </w:t>
      </w:r>
      <w:r w:rsidR="00D3280B">
        <w:rPr>
          <w:spacing w:val="-2"/>
        </w:rPr>
        <w:t>they</w:t>
      </w:r>
      <w:r w:rsidR="00D3280B" w:rsidRPr="00670823">
        <w:rPr>
          <w:spacing w:val="-2"/>
        </w:rPr>
        <w:t xml:space="preserve"> </w:t>
      </w:r>
      <w:r w:rsidR="00FF5FE9">
        <w:rPr>
          <w:spacing w:val="-2"/>
        </w:rPr>
        <w:t xml:space="preserve">ask </w:t>
      </w:r>
      <w:r w:rsidR="009D721C" w:rsidRPr="00670823">
        <w:rPr>
          <w:spacing w:val="-2"/>
        </w:rPr>
        <w:t xml:space="preserve">district leaders </w:t>
      </w:r>
      <w:r w:rsidR="00426384">
        <w:rPr>
          <w:spacing w:val="-2"/>
        </w:rPr>
        <w:t xml:space="preserve">to </w:t>
      </w:r>
      <w:r w:rsidR="009D721C" w:rsidRPr="00670823">
        <w:rPr>
          <w:spacing w:val="-2"/>
        </w:rPr>
        <w:t xml:space="preserve">begin the budgeting, posting, and hiring </w:t>
      </w:r>
      <w:r w:rsidR="007C2D91" w:rsidRPr="00670823">
        <w:rPr>
          <w:spacing w:val="-2"/>
        </w:rPr>
        <w:t>process.</w:t>
      </w:r>
      <w:r w:rsidR="007C2D91">
        <w:rPr>
          <w:spacing w:val="-2"/>
        </w:rPr>
        <w:t xml:space="preserve"> </w:t>
      </w:r>
      <w:r w:rsidR="00BE4AEF">
        <w:rPr>
          <w:spacing w:val="-2"/>
        </w:rPr>
        <w:t>T</w:t>
      </w:r>
      <w:r w:rsidR="00F954B1" w:rsidRPr="00670823">
        <w:rPr>
          <w:spacing w:val="-2"/>
        </w:rPr>
        <w:t xml:space="preserve">he human resource coordinator </w:t>
      </w:r>
      <w:r w:rsidR="00BE4AEF">
        <w:rPr>
          <w:spacing w:val="-2"/>
        </w:rPr>
        <w:t xml:space="preserve">then </w:t>
      </w:r>
      <w:r w:rsidR="005D62A3" w:rsidRPr="00670823">
        <w:rPr>
          <w:spacing w:val="-2"/>
        </w:rPr>
        <w:t xml:space="preserve">coordinates with the business manager and </w:t>
      </w:r>
      <w:r w:rsidR="00670823" w:rsidRPr="00670823">
        <w:rPr>
          <w:spacing w:val="-2"/>
        </w:rPr>
        <w:t xml:space="preserve">the </w:t>
      </w:r>
      <w:r w:rsidR="005D62A3" w:rsidRPr="00670823">
        <w:rPr>
          <w:spacing w:val="-2"/>
        </w:rPr>
        <w:t xml:space="preserve">superintendent to </w:t>
      </w:r>
      <w:r w:rsidR="00B66588" w:rsidRPr="00670823">
        <w:rPr>
          <w:spacing w:val="-2"/>
        </w:rPr>
        <w:t>determine budgetary needs.</w:t>
      </w:r>
      <w:r w:rsidR="004A0BCF" w:rsidRPr="00670823">
        <w:rPr>
          <w:spacing w:val="-2"/>
        </w:rPr>
        <w:t xml:space="preserve"> </w:t>
      </w:r>
    </w:p>
    <w:p w14:paraId="0EBCCD0E" w14:textId="42889F66" w:rsidR="004A681D" w:rsidRDefault="004A681D" w:rsidP="00AA07D0">
      <w:pPr>
        <w:pStyle w:val="BodyText"/>
      </w:pPr>
      <w:r>
        <w:t>To ensure consisten</w:t>
      </w:r>
      <w:r w:rsidR="0044600D">
        <w:t>c</w:t>
      </w:r>
      <w:r>
        <w:t>y across schools</w:t>
      </w:r>
      <w:r w:rsidR="00D1292C">
        <w:t xml:space="preserve"> in the interview, hiring, and selection process, district leaders reported the deve</w:t>
      </w:r>
      <w:r w:rsidR="00437F96">
        <w:t xml:space="preserve">lopment of a comprehensive hiring handbook </w:t>
      </w:r>
      <w:r w:rsidR="00670823">
        <w:t xml:space="preserve">that </w:t>
      </w:r>
      <w:r w:rsidR="00437F96">
        <w:t xml:space="preserve">they </w:t>
      </w:r>
      <w:r w:rsidR="00D65E78">
        <w:t>plan</w:t>
      </w:r>
      <w:r w:rsidR="00437F96">
        <w:t xml:space="preserve"> to </w:t>
      </w:r>
      <w:r w:rsidR="00571C38">
        <w:t>implement</w:t>
      </w:r>
      <w:r w:rsidR="00437F96">
        <w:t xml:space="preserve"> </w:t>
      </w:r>
      <w:r w:rsidR="00542937">
        <w:t xml:space="preserve">in </w:t>
      </w:r>
      <w:r w:rsidR="00437F96">
        <w:t>spring</w:t>
      </w:r>
      <w:r w:rsidR="00542937">
        <w:t xml:space="preserve"> 2024</w:t>
      </w:r>
      <w:r w:rsidR="009676AB">
        <w:t xml:space="preserve">. </w:t>
      </w:r>
      <w:r w:rsidR="005807B8">
        <w:t>(</w:t>
      </w:r>
      <w:r w:rsidR="009676AB">
        <w:t>A</w:t>
      </w:r>
      <w:r w:rsidR="008C342F">
        <w:t>t the time of the visit</w:t>
      </w:r>
      <w:r w:rsidR="009676AB">
        <w:t xml:space="preserve">, the handbook had not </w:t>
      </w:r>
      <w:r w:rsidR="009D566B">
        <w:t>been distributed</w:t>
      </w:r>
      <w:r w:rsidR="009D566B" w:rsidDel="00426384">
        <w:t xml:space="preserve"> </w:t>
      </w:r>
      <w:r w:rsidR="00670823" w:rsidDel="00426384">
        <w:t>given</w:t>
      </w:r>
      <w:r w:rsidR="009D566B" w:rsidDel="00426384">
        <w:t xml:space="preserve"> the vacancy </w:t>
      </w:r>
      <w:r w:rsidR="00F673EA" w:rsidDel="00426384">
        <w:t>of the hiring coordinator position</w:t>
      </w:r>
      <w:r w:rsidR="00437F96">
        <w:t>.</w:t>
      </w:r>
      <w:r w:rsidR="005807B8">
        <w:t>)</w:t>
      </w:r>
      <w:r w:rsidR="00437F96">
        <w:t xml:space="preserve"> </w:t>
      </w:r>
      <w:r w:rsidR="005807B8">
        <w:t>T</w:t>
      </w:r>
      <w:r w:rsidR="00D9674C">
        <w:t>he draft hiring handbook</w:t>
      </w:r>
      <w:r w:rsidR="009B0594">
        <w:t xml:space="preserve"> provides </w:t>
      </w:r>
      <w:r w:rsidR="00306F4B">
        <w:t>guidelines</w:t>
      </w:r>
      <w:r w:rsidR="009B0594">
        <w:t xml:space="preserve"> for posting positions, conducting prescreening</w:t>
      </w:r>
      <w:r w:rsidR="005224B9">
        <w:t xml:space="preserve">, establishing an interview team, conducting </w:t>
      </w:r>
      <w:r w:rsidR="00306F4B">
        <w:t xml:space="preserve">interviews, conducting reference checks, </w:t>
      </w:r>
      <w:r w:rsidR="001118DA">
        <w:t>making recommendations to hire, and onboarding.</w:t>
      </w:r>
      <w:r w:rsidR="00654244">
        <w:t xml:space="preserve"> </w:t>
      </w:r>
      <w:r w:rsidR="00FA5863">
        <w:t>In addition</w:t>
      </w:r>
      <w:r w:rsidR="00654244">
        <w:t xml:space="preserve">, hyperlinks within the handbook </w:t>
      </w:r>
      <w:r w:rsidR="00A80565">
        <w:t>direct users to additional resources</w:t>
      </w:r>
      <w:r w:rsidR="00670823">
        <w:t>,</w:t>
      </w:r>
      <w:r w:rsidR="00A80565">
        <w:t xml:space="preserve"> such as protocols, an antibias in hiring </w:t>
      </w:r>
      <w:r w:rsidR="00C1384C">
        <w:t xml:space="preserve">slide deck for the interview </w:t>
      </w:r>
      <w:r w:rsidR="00C1384C">
        <w:lastRenderedPageBreak/>
        <w:t>team to review, and sample interview questions.</w:t>
      </w:r>
      <w:r w:rsidR="00A80565">
        <w:t xml:space="preserve"> </w:t>
      </w:r>
      <w:r w:rsidR="00543785">
        <w:t>The development of the district’s hiring handbook is a strength for the district.</w:t>
      </w:r>
    </w:p>
    <w:p w14:paraId="4B003DE8" w14:textId="304CAAA3" w:rsidR="002D2C62" w:rsidRDefault="00C90DAA" w:rsidP="00AA07D0">
      <w:pPr>
        <w:pStyle w:val="BodyText"/>
      </w:pPr>
      <w:r>
        <w:t xml:space="preserve">District leaders </w:t>
      </w:r>
      <w:r w:rsidR="00557AA5">
        <w:t>note</w:t>
      </w:r>
      <w:r w:rsidR="0014755C">
        <w:t>d</w:t>
      </w:r>
      <w:r w:rsidR="00557AA5">
        <w:t xml:space="preserve"> </w:t>
      </w:r>
      <w:r w:rsidR="00670823">
        <w:t>having</w:t>
      </w:r>
      <w:r w:rsidR="00557AA5">
        <w:t xml:space="preserve"> a districtwide</w:t>
      </w:r>
      <w:r w:rsidRPr="00C90DAA">
        <w:t xml:space="preserve"> goal in the strategic plan </w:t>
      </w:r>
      <w:r w:rsidR="00E44F6F">
        <w:t>to recruit and retain a</w:t>
      </w:r>
      <w:r w:rsidRPr="00C90DAA">
        <w:t xml:space="preserve"> divers</w:t>
      </w:r>
      <w:r w:rsidR="00E44F6F">
        <w:t xml:space="preserve">e workforce. </w:t>
      </w:r>
      <w:r w:rsidR="00B81DE4">
        <w:t>As</w:t>
      </w:r>
      <w:r w:rsidR="000B38C7">
        <w:t xml:space="preserve"> outlined </w:t>
      </w:r>
      <w:r w:rsidR="00BA2F6A">
        <w:t xml:space="preserve">in the district’s </w:t>
      </w:r>
      <w:r w:rsidR="00E44F6F">
        <w:t xml:space="preserve">equity plan, </w:t>
      </w:r>
      <w:r w:rsidR="00B97FF4">
        <w:t>Hingham</w:t>
      </w:r>
      <w:r w:rsidR="00187366">
        <w:t>’s</w:t>
      </w:r>
      <w:r w:rsidR="00B97FF4">
        <w:t xml:space="preserve"> </w:t>
      </w:r>
      <w:r w:rsidR="00B81DE4">
        <w:t xml:space="preserve">goal is to “create and implement clear procedures and practices </w:t>
      </w:r>
      <w:r w:rsidR="009F05F4">
        <w:t xml:space="preserve">for the recruitment, hiring, and the retention </w:t>
      </w:r>
      <w:r w:rsidR="00850F61">
        <w:t>of</w:t>
      </w:r>
      <w:r w:rsidR="009F05F4">
        <w:t xml:space="preserve"> a racially and ethnically diverse staff </w:t>
      </w:r>
      <w:r w:rsidR="00850F61">
        <w:t xml:space="preserve">that reflects the diversity of our school, local, and national and global community.” </w:t>
      </w:r>
      <w:r w:rsidR="00BF7EC0">
        <w:t xml:space="preserve">The human resource coordinator normally monitors demographic data and works with district leaders to promote and report staff diversification. District leaders reported working with the Massachusetts Partnerships for Diversity in Education (MPDE) in the past but have not taken advantage of the opportunities this year </w:t>
      </w:r>
      <w:r w:rsidR="00670823">
        <w:t>because of</w:t>
      </w:r>
      <w:r w:rsidR="00BF7EC0">
        <w:t xml:space="preserve"> human resource department staffing vacancies.</w:t>
      </w:r>
      <w:r w:rsidR="004F6E0F">
        <w:t xml:space="preserve"> </w:t>
      </w:r>
      <w:r w:rsidR="005C791D">
        <w:t xml:space="preserve">The district established six objectives to meet their stated goal: </w:t>
      </w:r>
      <w:r w:rsidR="00670823">
        <w:t>(a</w:t>
      </w:r>
      <w:r w:rsidR="00D76B71">
        <w:t xml:space="preserve">) participate and </w:t>
      </w:r>
      <w:r w:rsidR="00670823">
        <w:t xml:space="preserve">use </w:t>
      </w:r>
      <w:r w:rsidR="00C356DE">
        <w:t xml:space="preserve">resources from MPDE; </w:t>
      </w:r>
      <w:r w:rsidR="00670823">
        <w:t>(b</w:t>
      </w:r>
      <w:r w:rsidR="00C356DE">
        <w:t>)</w:t>
      </w:r>
      <w:r w:rsidR="00670823">
        <w:t> i</w:t>
      </w:r>
      <w:r w:rsidR="00C619D7">
        <w:t xml:space="preserve">mplement consistent exit interviews and survey new staff </w:t>
      </w:r>
      <w:r w:rsidR="00A102CA">
        <w:t xml:space="preserve">for onboarding feedback; </w:t>
      </w:r>
      <w:r w:rsidR="00670823">
        <w:t>(c</w:t>
      </w:r>
      <w:r w:rsidR="00A102CA">
        <w:t xml:space="preserve">) </w:t>
      </w:r>
      <w:r w:rsidR="00670823">
        <w:t>c</w:t>
      </w:r>
      <w:r w:rsidR="00A102CA">
        <w:t xml:space="preserve">reate consistent hiring protocols; </w:t>
      </w:r>
      <w:r w:rsidR="00670823">
        <w:t>(d</w:t>
      </w:r>
      <w:r w:rsidR="00A102CA">
        <w:t xml:space="preserve">) </w:t>
      </w:r>
      <w:r w:rsidR="00670823">
        <w:t>c</w:t>
      </w:r>
      <w:r w:rsidR="00955D43">
        <w:t xml:space="preserve">reate materials and train staff </w:t>
      </w:r>
      <w:r w:rsidR="003F0FD3">
        <w:t xml:space="preserve">in the role of bias in hiring and screening of applicants; </w:t>
      </w:r>
      <w:r w:rsidR="00670823">
        <w:t>(e</w:t>
      </w:r>
      <w:r w:rsidR="003F0FD3">
        <w:t xml:space="preserve">) </w:t>
      </w:r>
      <w:r w:rsidR="00670823">
        <w:t>p</w:t>
      </w:r>
      <w:r w:rsidR="00D71DBC">
        <w:t xml:space="preserve">lan outreach to student teachers, fellows, and practicum students hosted by the district; </w:t>
      </w:r>
      <w:r w:rsidR="00670823">
        <w:t>and (f</w:t>
      </w:r>
      <w:r w:rsidR="00D71DBC">
        <w:t xml:space="preserve">) </w:t>
      </w:r>
      <w:r w:rsidR="00670823">
        <w:t>p</w:t>
      </w:r>
      <w:r w:rsidR="00491733">
        <w:t>ost vacancies in locations and institutions with diverse populations.</w:t>
      </w:r>
      <w:r w:rsidR="008607AF">
        <w:t xml:space="preserve"> </w:t>
      </w:r>
      <w:r w:rsidR="002D2C62">
        <w:t>To support the districtwide goal</w:t>
      </w:r>
      <w:r w:rsidR="00C712FF">
        <w:t xml:space="preserve"> of recruiting and </w:t>
      </w:r>
      <w:r w:rsidR="00F142FC">
        <w:t>retaining a diverse workforce</w:t>
      </w:r>
      <w:r w:rsidR="002D2C62">
        <w:t xml:space="preserve">, </w:t>
      </w:r>
      <w:r w:rsidR="00051234">
        <w:t>the district beg</w:t>
      </w:r>
      <w:r w:rsidR="00670823">
        <w:t>a</w:t>
      </w:r>
      <w:r w:rsidR="00051234">
        <w:t xml:space="preserve">n </w:t>
      </w:r>
      <w:r w:rsidR="00CF536C">
        <w:t>providing professional development to all district</w:t>
      </w:r>
      <w:r w:rsidR="00670823">
        <w:t>-</w:t>
      </w:r>
      <w:r w:rsidR="00CF536C">
        <w:t xml:space="preserve"> and school</w:t>
      </w:r>
      <w:r w:rsidR="00670823">
        <w:t>-</w:t>
      </w:r>
      <w:r w:rsidR="00CF536C">
        <w:t xml:space="preserve">level administrators </w:t>
      </w:r>
      <w:r w:rsidR="00411603">
        <w:t>related to</w:t>
      </w:r>
      <w:r w:rsidR="00CF536C">
        <w:t xml:space="preserve"> </w:t>
      </w:r>
      <w:r w:rsidR="00670823">
        <w:t>b</w:t>
      </w:r>
      <w:r w:rsidR="00D60474">
        <w:t xml:space="preserve">ias in </w:t>
      </w:r>
      <w:r w:rsidR="00670823">
        <w:t>h</w:t>
      </w:r>
      <w:r w:rsidR="00D60474">
        <w:t xml:space="preserve">iring. </w:t>
      </w:r>
      <w:r w:rsidR="00311095">
        <w:t>District and s</w:t>
      </w:r>
      <w:r w:rsidR="002B01D6">
        <w:t xml:space="preserve">chool </w:t>
      </w:r>
      <w:r w:rsidR="00311095">
        <w:t>leaders</w:t>
      </w:r>
      <w:r w:rsidR="002B01D6">
        <w:t xml:space="preserve"> reported </w:t>
      </w:r>
      <w:r w:rsidR="00670823">
        <w:t xml:space="preserve">that </w:t>
      </w:r>
      <w:r w:rsidR="00457B3F">
        <w:t xml:space="preserve">they </w:t>
      </w:r>
      <w:r w:rsidR="00670823">
        <w:t>took</w:t>
      </w:r>
      <w:r w:rsidR="006053BB">
        <w:t xml:space="preserve"> the antibias training</w:t>
      </w:r>
      <w:r w:rsidR="00670823">
        <w:t>,</w:t>
      </w:r>
      <w:r w:rsidR="006053BB">
        <w:t xml:space="preserve"> and </w:t>
      </w:r>
      <w:r w:rsidR="00670823">
        <w:t xml:space="preserve">they incorporated </w:t>
      </w:r>
      <w:r w:rsidR="00DA2D6D">
        <w:t xml:space="preserve">the principles of anti-bias in hiring into the </w:t>
      </w:r>
      <w:r w:rsidR="00C66097">
        <w:t xml:space="preserve">new hiring handbook </w:t>
      </w:r>
      <w:r w:rsidR="00670823">
        <w:t xml:space="preserve">that </w:t>
      </w:r>
      <w:r w:rsidR="00C66097">
        <w:t>the district is implementing.</w:t>
      </w:r>
      <w:r w:rsidR="00D60474">
        <w:t xml:space="preserve"> </w:t>
      </w:r>
    </w:p>
    <w:p w14:paraId="33F03CA2" w14:textId="3A48E896" w:rsidR="00B827DE" w:rsidRPr="00CB0607" w:rsidRDefault="00B827DE" w:rsidP="00B827DE">
      <w:pPr>
        <w:pStyle w:val="Heading3"/>
      </w:pPr>
      <w:bookmarkStart w:id="45" w:name="_Supervision,_Evaluation,_and"/>
      <w:bookmarkEnd w:id="45"/>
      <w:r w:rsidRPr="00CB0607">
        <w:t>Supervision, Evaluation, and Educator Development</w:t>
      </w:r>
    </w:p>
    <w:p w14:paraId="4FF729BF" w14:textId="67BB9534" w:rsidR="006A5DED" w:rsidRDefault="006A5DED" w:rsidP="00AA07D0">
      <w:pPr>
        <w:pStyle w:val="BodyTextposthead"/>
      </w:pPr>
      <w:r w:rsidRPr="000B0BAE">
        <w:t xml:space="preserve">Depending on the school building and </w:t>
      </w:r>
      <w:r w:rsidR="00670823">
        <w:t xml:space="preserve">the </w:t>
      </w:r>
      <w:r w:rsidRPr="000B0BAE">
        <w:t>level of the staff member being evaluated, a building’s principal, assistant principal, or department head oversees evaluations. Throughout the district, evaluations follow DESE regulations, and the district uses a supervision and evaluation tool based on DESE standards</w:t>
      </w:r>
      <w:r w:rsidR="00CD0D9C">
        <w:t>.</w:t>
      </w:r>
      <w:r w:rsidR="00707532" w:rsidRPr="000B0BAE">
        <w:t xml:space="preserve"> </w:t>
      </w:r>
      <w:r w:rsidR="007D6205">
        <w:t>District and school leaders conduct ongoing training for educator evaluations and have been working toward calibrating walkthrough tools to ensure</w:t>
      </w:r>
      <w:r w:rsidR="00670823">
        <w:t xml:space="preserve"> that</w:t>
      </w:r>
      <w:r w:rsidR="007D6205">
        <w:t xml:space="preserve"> school leaders have similar approaches to evaluations, observations, and feedback to teachers. </w:t>
      </w:r>
      <w:r w:rsidR="00707532" w:rsidRPr="000B0BAE">
        <w:t xml:space="preserve">Overall, the evaluation process differs for teachers who have </w:t>
      </w:r>
      <w:r w:rsidR="00AF6DE6">
        <w:t>professional teaching status</w:t>
      </w:r>
      <w:r w:rsidR="00CD0D9C">
        <w:t xml:space="preserve"> </w:t>
      </w:r>
      <w:r w:rsidR="00AF6DE6">
        <w:t xml:space="preserve">and those who do not. Teachers without </w:t>
      </w:r>
      <w:r w:rsidR="000626C0">
        <w:t>professional teaching status</w:t>
      </w:r>
      <w:r w:rsidR="00CD0D9C">
        <w:t xml:space="preserve"> are evaluated on </w:t>
      </w:r>
      <w:r w:rsidR="004D7550">
        <w:t xml:space="preserve">an annual cycle </w:t>
      </w:r>
      <w:r w:rsidR="00713F9B">
        <w:t xml:space="preserve">and </w:t>
      </w:r>
      <w:r w:rsidR="00812CE9">
        <w:t xml:space="preserve">work with evaluators </w:t>
      </w:r>
      <w:r w:rsidR="00AA4CF0">
        <w:t xml:space="preserve">to create a developing educator plan. The developing educator plan </w:t>
      </w:r>
      <w:r w:rsidR="00CA6B99">
        <w:t xml:space="preserve">has five phases and a concurrent timeline that runs from September through June. The five phases include self-assessment and analysis, goal setting, plan implementation and collection of evidence, formative assessment, and summative assessment. </w:t>
      </w:r>
      <w:r w:rsidR="00C53AEF">
        <w:t xml:space="preserve">Teachers with </w:t>
      </w:r>
      <w:r w:rsidR="00D96495">
        <w:t xml:space="preserve">professional status </w:t>
      </w:r>
      <w:r w:rsidR="00670823">
        <w:t xml:space="preserve">use </w:t>
      </w:r>
      <w:r w:rsidR="00D96495">
        <w:t xml:space="preserve">the same five phases but </w:t>
      </w:r>
      <w:r w:rsidR="00670823">
        <w:t xml:space="preserve">undergo </w:t>
      </w:r>
      <w:r w:rsidR="00D96495">
        <w:t>evaluat</w:t>
      </w:r>
      <w:r w:rsidR="00670823">
        <w:t>ions</w:t>
      </w:r>
      <w:r w:rsidR="00D96495">
        <w:t xml:space="preserve"> on a </w:t>
      </w:r>
      <w:r w:rsidR="002F1C17">
        <w:t>two-year</w:t>
      </w:r>
      <w:r w:rsidR="00D96495">
        <w:t xml:space="preserve"> cycle. School leaders</w:t>
      </w:r>
      <w:r w:rsidR="003E42CB">
        <w:t xml:space="preserve"> reported </w:t>
      </w:r>
      <w:r w:rsidR="00670823">
        <w:t xml:space="preserve">that </w:t>
      </w:r>
      <w:r w:rsidR="003E42CB">
        <w:t xml:space="preserve">teachers are </w:t>
      </w:r>
      <w:r w:rsidR="00B25627">
        <w:t xml:space="preserve">formally </w:t>
      </w:r>
      <w:r w:rsidR="003E42CB">
        <w:t xml:space="preserve">evaluated </w:t>
      </w:r>
      <w:r w:rsidR="00B25627">
        <w:t>every year</w:t>
      </w:r>
      <w:r w:rsidR="00670823">
        <w:t>,</w:t>
      </w:r>
      <w:r w:rsidR="00D6440D">
        <w:t xml:space="preserve"> and teachers without professional status are observed five times per year</w:t>
      </w:r>
      <w:r w:rsidR="008656C5">
        <w:t xml:space="preserve">. </w:t>
      </w:r>
      <w:r w:rsidR="00B25627">
        <w:t xml:space="preserve">However, </w:t>
      </w:r>
      <w:r w:rsidR="00D96495">
        <w:t>teacher</w:t>
      </w:r>
      <w:r w:rsidR="00B25627">
        <w:t xml:space="preserve"> focus group participants</w:t>
      </w:r>
      <w:r w:rsidR="00D96495">
        <w:t xml:space="preserve"> reported that </w:t>
      </w:r>
      <w:r w:rsidR="00670823">
        <w:t>with</w:t>
      </w:r>
      <w:r w:rsidR="00D96495">
        <w:t xml:space="preserve"> ongoing labor disputes and the lack of a </w:t>
      </w:r>
      <w:r w:rsidR="00F474FC">
        <w:t xml:space="preserve">contract, </w:t>
      </w:r>
      <w:r w:rsidR="00B25627">
        <w:t>observations</w:t>
      </w:r>
      <w:r w:rsidR="00F474FC">
        <w:t xml:space="preserve"> have not been occurring as regularly as they should. </w:t>
      </w:r>
      <w:r w:rsidR="002F1C17">
        <w:t xml:space="preserve">Ensuring </w:t>
      </w:r>
      <w:r w:rsidR="006B02BC">
        <w:t xml:space="preserve">informal instructional observations occur regularly </w:t>
      </w:r>
      <w:r w:rsidR="002F1C17">
        <w:t>is an area of growth for the district.</w:t>
      </w:r>
    </w:p>
    <w:p w14:paraId="4F273795" w14:textId="0FC67270" w:rsidR="6126340A" w:rsidRDefault="6126340A" w:rsidP="0C714A09">
      <w:pPr>
        <w:pStyle w:val="BodyText"/>
        <w:rPr>
          <w:rFonts w:ascii="Franklin Gothic Book" w:eastAsia="Franklin Gothic Book" w:hAnsi="Franklin Gothic Book" w:cs="Franklin Gothic Book"/>
        </w:rPr>
      </w:pPr>
      <w:r w:rsidRPr="0C714A09">
        <w:rPr>
          <w:rFonts w:ascii="Franklin Gothic Book" w:eastAsia="Franklin Gothic Book" w:hAnsi="Franklin Gothic Book" w:cs="Franklin Gothic Book"/>
        </w:rPr>
        <w:t>District records suggest that teacher evaluations are consistently completed. AIR used simple random sampling to select the sample (29 teachers) due for summative evaluations for the 2022</w:t>
      </w:r>
      <w:r w:rsidR="00426798">
        <w:rPr>
          <w:rFonts w:ascii="Franklin Gothic Book" w:eastAsia="Franklin Gothic Book" w:hAnsi="Franklin Gothic Book" w:cs="Franklin Gothic Book"/>
        </w:rPr>
        <w:t>–</w:t>
      </w:r>
      <w:r w:rsidRPr="0C714A09">
        <w:rPr>
          <w:rFonts w:ascii="Franklin Gothic Book" w:eastAsia="Franklin Gothic Book" w:hAnsi="Franklin Gothic Book" w:cs="Franklin Gothic Book"/>
        </w:rPr>
        <w:t>2023 school year, however</w:t>
      </w:r>
      <w:r w:rsidR="00360358">
        <w:rPr>
          <w:rFonts w:ascii="Franklin Gothic Book" w:eastAsia="Franklin Gothic Book" w:hAnsi="Franklin Gothic Book" w:cs="Franklin Gothic Book"/>
        </w:rPr>
        <w:t>,</w:t>
      </w:r>
      <w:r w:rsidRPr="0C714A09">
        <w:rPr>
          <w:rFonts w:ascii="Franklin Gothic Book" w:eastAsia="Franklin Gothic Book" w:hAnsi="Franklin Gothic Book" w:cs="Franklin Gothic Book"/>
        </w:rPr>
        <w:t xml:space="preserve"> only 25 of the teacher evaluations selected for review had a summative evaluation available for review. All of teacher evaluations available for review were complete and did not omit required components, including a rating for each standard or an overall rating, a student </w:t>
      </w:r>
      <w:r w:rsidRPr="0C714A09">
        <w:rPr>
          <w:rFonts w:ascii="Franklin Gothic Book" w:eastAsia="Franklin Gothic Book" w:hAnsi="Franklin Gothic Book" w:cs="Franklin Gothic Book"/>
        </w:rPr>
        <w:lastRenderedPageBreak/>
        <w:t>learning SMART (specific, measurable, achievable, realistic, and timely) goal, and a professional practice SMART goal. A large majority of the evaluations reviewed (88 percent) included multiple sources of evidence, such as observations, student work samples, or other evidence to support progress toward student learning goals, professional learning goals, standards, and indicators. Most of the summative evaluations (88 percent) included feedback for each standard and overall feedback related to the teacher’s overall rating, incorporating feedback naming strengths or practices the teacher should continue. However</w:t>
      </w:r>
      <w:r w:rsidR="00360358">
        <w:rPr>
          <w:rFonts w:ascii="Franklin Gothic Book" w:eastAsia="Franklin Gothic Book" w:hAnsi="Franklin Gothic Book" w:cs="Franklin Gothic Book"/>
        </w:rPr>
        <w:t>,</w:t>
      </w:r>
      <w:r w:rsidRPr="0C714A09">
        <w:rPr>
          <w:rFonts w:ascii="Franklin Gothic Book" w:eastAsia="Franklin Gothic Book" w:hAnsi="Franklin Gothic Book" w:cs="Franklin Gothic Book"/>
        </w:rPr>
        <w:t xml:space="preserve"> less than one-quarter (20 percent) of evaluations included feedback indicating areas of improvement.</w:t>
      </w:r>
    </w:p>
    <w:p w14:paraId="58558168" w14:textId="72174E66" w:rsidR="6126340A" w:rsidRDefault="00A81E66" w:rsidP="00426798">
      <w:pPr>
        <w:spacing w:before="240" w:after="120"/>
        <w:rPr>
          <w:rFonts w:ascii="Franklin Gothic Book" w:eastAsia="Franklin Gothic Book" w:hAnsi="Franklin Gothic Book" w:cs="Franklin Gothic Book"/>
        </w:rPr>
      </w:pPr>
      <w:r>
        <w:rPr>
          <w:rFonts w:ascii="Franklin Gothic Book" w:eastAsia="Franklin Gothic Book" w:hAnsi="Franklin Gothic Book" w:cs="Franklin Gothic Book"/>
        </w:rPr>
        <w:t>Based on d</w:t>
      </w:r>
      <w:r w:rsidR="6126340A" w:rsidRPr="0C714A09">
        <w:rPr>
          <w:rFonts w:ascii="Franklin Gothic Book" w:eastAsia="Franklin Gothic Book" w:hAnsi="Franklin Gothic Book" w:cs="Franklin Gothic Book"/>
        </w:rPr>
        <w:t>istrict records</w:t>
      </w:r>
      <w:r>
        <w:rPr>
          <w:rFonts w:ascii="Franklin Gothic Book" w:eastAsia="Franklin Gothic Book" w:hAnsi="Franklin Gothic Book" w:cs="Franklin Gothic Book"/>
        </w:rPr>
        <w:t xml:space="preserve">, of </w:t>
      </w:r>
      <w:r w:rsidR="6126340A" w:rsidRPr="0C714A09">
        <w:rPr>
          <w:rFonts w:ascii="Franklin Gothic Book" w:eastAsia="Franklin Gothic Book" w:hAnsi="Franklin Gothic Book" w:cs="Franklin Gothic Book"/>
        </w:rPr>
        <w:t>the 11 administrative district staff who were due for a summative evaluation for the 2022</w:t>
      </w:r>
      <w:r w:rsidR="00426798">
        <w:rPr>
          <w:rFonts w:ascii="Franklin Gothic Book" w:eastAsia="Franklin Gothic Book" w:hAnsi="Franklin Gothic Book" w:cs="Franklin Gothic Book"/>
        </w:rPr>
        <w:t>–</w:t>
      </w:r>
      <w:r w:rsidR="6126340A" w:rsidRPr="0C714A09">
        <w:rPr>
          <w:rFonts w:ascii="Franklin Gothic Book" w:eastAsia="Franklin Gothic Book" w:hAnsi="Franklin Gothic Book" w:cs="Franklin Gothic Book"/>
        </w:rPr>
        <w:t>2023 school year, 10 evaluations were available for review, and all evaluations reviewed were complete with performance ratings and assessment of progress toward goals. Of the 10 summative evaluations reviewed, nearly all (90 percent) included student learning and professional practice SMART goals. About three-quarters (70 percent of the evaluations</w:t>
      </w:r>
      <w:r w:rsidR="000E27BE">
        <w:rPr>
          <w:rFonts w:ascii="Franklin Gothic Book" w:eastAsia="Franklin Gothic Book" w:hAnsi="Franklin Gothic Book" w:cs="Franklin Gothic Book"/>
        </w:rPr>
        <w:t>)</w:t>
      </w:r>
      <w:r w:rsidR="6126340A" w:rsidRPr="0C714A09">
        <w:rPr>
          <w:rFonts w:ascii="Franklin Gothic Book" w:eastAsia="Franklin Gothic Book" w:hAnsi="Franklin Gothic Book" w:cs="Franklin Gothic Book"/>
        </w:rPr>
        <w:t xml:space="preserve"> included school improvement SMART goals. Nearly all evaluations reviewed (90 percent) included multiple sources of evidence to assess performance on summative evaluation standards and feedback for each standard, complete with evaluator comments with specific, actionable feedback naming each administrator’s strengths, </w:t>
      </w:r>
      <w:r w:rsidR="71102099" w:rsidRPr="65FF2316">
        <w:rPr>
          <w:rFonts w:ascii="Franklin Gothic Book" w:eastAsia="Franklin Gothic Book" w:hAnsi="Franklin Gothic Book" w:cs="Franklin Gothic Book"/>
        </w:rPr>
        <w:t>and</w:t>
      </w:r>
      <w:r w:rsidR="6126340A" w:rsidRPr="65FF2316">
        <w:rPr>
          <w:rFonts w:ascii="Franklin Gothic Book" w:eastAsia="Franklin Gothic Book" w:hAnsi="Franklin Gothic Book" w:cs="Franklin Gothic Book"/>
        </w:rPr>
        <w:t xml:space="preserve"> </w:t>
      </w:r>
      <w:r w:rsidR="78714EC5" w:rsidRPr="65FF2316">
        <w:rPr>
          <w:rFonts w:ascii="Franklin Gothic Book" w:eastAsia="Franklin Gothic Book" w:hAnsi="Franklin Gothic Book" w:cs="Franklin Gothic Book"/>
        </w:rPr>
        <w:t>slightly more</w:t>
      </w:r>
      <w:r w:rsidR="6126340A" w:rsidRPr="0C714A09">
        <w:rPr>
          <w:rFonts w:ascii="Franklin Gothic Book" w:eastAsia="Franklin Gothic Book" w:hAnsi="Franklin Gothic Book" w:cs="Franklin Gothic Book"/>
        </w:rPr>
        <w:t xml:space="preserve"> than half of evaluations reviewed (60 percent) identified areas of improvement for administrative district staff.</w:t>
      </w:r>
    </w:p>
    <w:p w14:paraId="33622A9F" w14:textId="0F291629" w:rsidR="6126340A" w:rsidRDefault="6126340A" w:rsidP="00426798">
      <w:pPr>
        <w:spacing w:before="240" w:after="120"/>
        <w:rPr>
          <w:rFonts w:ascii="Franklin Gothic Book" w:eastAsia="Franklin Gothic Book" w:hAnsi="Franklin Gothic Book" w:cs="Franklin Gothic Book"/>
        </w:rPr>
      </w:pPr>
      <w:r w:rsidRPr="0C714A09">
        <w:rPr>
          <w:rFonts w:ascii="Franklin Gothic Book" w:eastAsia="Franklin Gothic Book" w:hAnsi="Franklin Gothic Book" w:cs="Franklin Gothic Book"/>
        </w:rPr>
        <w:t>Taken together, the review of teacher and administration evaluations highlights that a strength of the district is in all staff developing student learning and professional learning SMART goals and highlighting areas of strength through the evaluation process. On the other hand, this evidence also highlights an area for growth for the district is articulating areas for improvement to support all staff in continuous instructional and professional improvement.</w:t>
      </w:r>
    </w:p>
    <w:p w14:paraId="555923B2" w14:textId="2774B0EE" w:rsidR="004E41AF" w:rsidRPr="00CA3162" w:rsidRDefault="00387BB6" w:rsidP="00387BB6">
      <w:pPr>
        <w:pStyle w:val="BodyText"/>
      </w:pPr>
      <w:r w:rsidRPr="000B0BAE" w:rsidDel="00B03951">
        <w:t xml:space="preserve">In terms of other professional development opportunities, </w:t>
      </w:r>
      <w:r w:rsidRPr="000B0BAE">
        <w:t>as detailed in the</w:t>
      </w:r>
      <w:r w:rsidR="00571F28">
        <w:t xml:space="preserve"> two-year</w:t>
      </w:r>
      <w:r w:rsidRPr="000B0BAE">
        <w:t xml:space="preserve"> </w:t>
      </w:r>
      <w:r w:rsidR="000A23F3">
        <w:rPr>
          <w:i/>
          <w:iCs/>
        </w:rPr>
        <w:t>HPS</w:t>
      </w:r>
      <w:r w:rsidRPr="000B0BAE">
        <w:rPr>
          <w:i/>
          <w:iCs/>
        </w:rPr>
        <w:t xml:space="preserve"> Professional </w:t>
      </w:r>
      <w:r w:rsidR="000A23F3">
        <w:rPr>
          <w:i/>
          <w:iCs/>
        </w:rPr>
        <w:t xml:space="preserve">Development </w:t>
      </w:r>
      <w:r w:rsidRPr="000B0BAE">
        <w:rPr>
          <w:i/>
          <w:iCs/>
        </w:rPr>
        <w:t>Plan</w:t>
      </w:r>
      <w:r w:rsidR="00571F28">
        <w:rPr>
          <w:i/>
          <w:iCs/>
        </w:rPr>
        <w:t xml:space="preserve"> (</w:t>
      </w:r>
      <w:r w:rsidR="00571F28" w:rsidRPr="000B0BAE">
        <w:rPr>
          <w:i/>
          <w:iCs/>
        </w:rPr>
        <w:t>2023</w:t>
      </w:r>
      <w:r w:rsidR="00426798">
        <w:rPr>
          <w:i/>
          <w:iCs/>
        </w:rPr>
        <w:t>–</w:t>
      </w:r>
      <w:r w:rsidR="00571F28" w:rsidRPr="000B0BAE">
        <w:rPr>
          <w:i/>
          <w:iCs/>
        </w:rPr>
        <w:t>202</w:t>
      </w:r>
      <w:r w:rsidR="00571F28">
        <w:rPr>
          <w:i/>
          <w:iCs/>
        </w:rPr>
        <w:t>5)</w:t>
      </w:r>
      <w:r w:rsidR="00CA3162">
        <w:rPr>
          <w:i/>
          <w:iCs/>
        </w:rPr>
        <w:t>,</w:t>
      </w:r>
      <w:r w:rsidR="00CA3162">
        <w:t xml:space="preserve"> the district established four professional development goals</w:t>
      </w:r>
      <w:r w:rsidR="00B570B4">
        <w:t xml:space="preserve"> that align with the district</w:t>
      </w:r>
      <w:r w:rsidR="008E76A9">
        <w:t>’</w:t>
      </w:r>
      <w:r w:rsidR="00B570B4">
        <w:t xml:space="preserve">s strategic </w:t>
      </w:r>
      <w:r w:rsidR="00410E8E">
        <w:t>objectives</w:t>
      </w:r>
      <w:r w:rsidR="00CA3162">
        <w:t xml:space="preserve">: </w:t>
      </w:r>
      <w:r w:rsidR="008E76A9">
        <w:t>(a</w:t>
      </w:r>
      <w:r w:rsidR="00CA3162">
        <w:t xml:space="preserve">) </w:t>
      </w:r>
      <w:r w:rsidR="008E76A9">
        <w:t>i</w:t>
      </w:r>
      <w:r w:rsidR="00CA3162">
        <w:t xml:space="preserve">mplementation of </w:t>
      </w:r>
      <w:r w:rsidR="00267CD2">
        <w:t>high-quality</w:t>
      </w:r>
      <w:r w:rsidR="00CA3162">
        <w:t xml:space="preserve"> </w:t>
      </w:r>
      <w:r w:rsidR="008E76A9">
        <w:t xml:space="preserve">curricula </w:t>
      </w:r>
      <w:r w:rsidR="00CA3162">
        <w:t xml:space="preserve">and universally designed instruction, </w:t>
      </w:r>
      <w:r w:rsidR="008E76A9">
        <w:t>(b</w:t>
      </w:r>
      <w:r w:rsidR="00CA3162">
        <w:t>)</w:t>
      </w:r>
      <w:r w:rsidR="00504359">
        <w:t xml:space="preserve"> implementation of inclusive and culturally responsive practices, </w:t>
      </w:r>
      <w:r w:rsidR="008E76A9">
        <w:t>(c</w:t>
      </w:r>
      <w:r w:rsidR="00504359">
        <w:t xml:space="preserve">) fostering a safe and supportive school environment, </w:t>
      </w:r>
      <w:r w:rsidR="008E76A9">
        <w:t>and (d</w:t>
      </w:r>
      <w:r w:rsidR="00504359">
        <w:t>) mentoring and leadership development.</w:t>
      </w:r>
      <w:r w:rsidR="000F117A">
        <w:t xml:space="preserve"> </w:t>
      </w:r>
      <w:r w:rsidR="008E76A9">
        <w:t>Hingham’s</w:t>
      </w:r>
      <w:r w:rsidR="006F1FFB">
        <w:t xml:space="preserve"> </w:t>
      </w:r>
      <w:r w:rsidR="008E76A9">
        <w:t>p</w:t>
      </w:r>
      <w:r w:rsidR="006F1FFB">
        <w:t xml:space="preserve">rofessional </w:t>
      </w:r>
      <w:r w:rsidR="008E76A9">
        <w:t>d</w:t>
      </w:r>
      <w:r w:rsidR="006F1FFB">
        <w:t xml:space="preserve">evelopment </w:t>
      </w:r>
      <w:r w:rsidR="008E76A9">
        <w:t>c</w:t>
      </w:r>
      <w:r w:rsidR="005D70BB">
        <w:t>ommittee,</w:t>
      </w:r>
      <w:r w:rsidR="006F1FFB">
        <w:t xml:space="preserve"> </w:t>
      </w:r>
      <w:r w:rsidR="008E76A9">
        <w:t>comprising</w:t>
      </w:r>
      <w:r w:rsidR="00A52242">
        <w:t xml:space="preserve"> district </w:t>
      </w:r>
      <w:r w:rsidR="008D6DEB">
        <w:t xml:space="preserve">leaders, </w:t>
      </w:r>
      <w:r w:rsidR="00A52242">
        <w:t xml:space="preserve">curriculum </w:t>
      </w:r>
      <w:r w:rsidR="00132352">
        <w:t>directors</w:t>
      </w:r>
      <w:r w:rsidR="00FA053C">
        <w:t>, school principals</w:t>
      </w:r>
      <w:r w:rsidR="00BB0DB3">
        <w:t>, general educators</w:t>
      </w:r>
      <w:r w:rsidR="00D84A60">
        <w:t>, and special educators</w:t>
      </w:r>
      <w:r w:rsidR="00132352">
        <w:t xml:space="preserve"> </w:t>
      </w:r>
      <w:r w:rsidR="00A52242">
        <w:t>within the district</w:t>
      </w:r>
      <w:r w:rsidR="008E76A9">
        <w:t>,</w:t>
      </w:r>
      <w:r w:rsidR="008D6DEB">
        <w:t xml:space="preserve"> </w:t>
      </w:r>
      <w:r w:rsidR="008E76A9">
        <w:t>developed the plan</w:t>
      </w:r>
      <w:r w:rsidR="00A52242">
        <w:t>.</w:t>
      </w:r>
      <w:r w:rsidR="005D70BB">
        <w:t xml:space="preserve"> </w:t>
      </w:r>
      <w:r w:rsidR="008E76A9">
        <w:t>A r</w:t>
      </w:r>
      <w:r w:rsidR="003C3F17">
        <w:t xml:space="preserve">eview of district </w:t>
      </w:r>
      <w:r w:rsidR="00145A16">
        <w:t xml:space="preserve">professional development documents </w:t>
      </w:r>
      <w:r w:rsidR="00ED0395">
        <w:t>reveal</w:t>
      </w:r>
      <w:r w:rsidR="00545718">
        <w:t>ed</w:t>
      </w:r>
      <w:r w:rsidR="00C51487">
        <w:t xml:space="preserve"> a robust catalog of </w:t>
      </w:r>
      <w:r w:rsidR="00893644">
        <w:t>building-based, department-base</w:t>
      </w:r>
      <w:r w:rsidR="008E76A9">
        <w:t>d</w:t>
      </w:r>
      <w:r w:rsidR="00893644">
        <w:t xml:space="preserve">, and districtwide professional development offerings aligned with the </w:t>
      </w:r>
      <w:r w:rsidR="0003489D">
        <w:t>four stated professional development goals. Courses are offered by both internal staff and external partners</w:t>
      </w:r>
      <w:r w:rsidR="000F2BF2">
        <w:t xml:space="preserve"> during </w:t>
      </w:r>
      <w:r w:rsidR="009F4038">
        <w:t>early release days</w:t>
      </w:r>
      <w:r w:rsidR="008E76A9">
        <w:t>,</w:t>
      </w:r>
      <w:r w:rsidR="00FF14C7">
        <w:t xml:space="preserve"> which </w:t>
      </w:r>
      <w:r w:rsidR="00943E5C">
        <w:t>occur</w:t>
      </w:r>
      <w:r w:rsidR="00FF14C7">
        <w:t xml:space="preserve"> </w:t>
      </w:r>
      <w:r w:rsidR="00BA0DBA">
        <w:t>once per month during the school year.</w:t>
      </w:r>
      <w:r w:rsidR="00D92B7E">
        <w:t xml:space="preserve"> The </w:t>
      </w:r>
      <w:r w:rsidR="008E76A9">
        <w:t>p</w:t>
      </w:r>
      <w:r w:rsidR="006207A8">
        <w:t xml:space="preserve">rofessional </w:t>
      </w:r>
      <w:r w:rsidR="008E76A9">
        <w:t>d</w:t>
      </w:r>
      <w:r w:rsidR="006207A8">
        <w:t xml:space="preserve">evelopment </w:t>
      </w:r>
      <w:r w:rsidR="008E76A9">
        <w:t>c</w:t>
      </w:r>
      <w:r w:rsidR="006207A8">
        <w:t xml:space="preserve">ommittee </w:t>
      </w:r>
      <w:r w:rsidR="00302408">
        <w:t>conduct</w:t>
      </w:r>
      <w:r w:rsidR="00410E8E">
        <w:t>ed a mid</w:t>
      </w:r>
      <w:r w:rsidR="00302408">
        <w:t xml:space="preserve">year </w:t>
      </w:r>
      <w:r w:rsidR="00410E8E">
        <w:t xml:space="preserve">(January 2023) </w:t>
      </w:r>
      <w:r w:rsidR="00302408">
        <w:t xml:space="preserve">survey of teachers to </w:t>
      </w:r>
      <w:r w:rsidR="005F4CBC">
        <w:t xml:space="preserve">assess </w:t>
      </w:r>
      <w:r w:rsidR="001A7A94">
        <w:t>course</w:t>
      </w:r>
      <w:r w:rsidR="00286879">
        <w:t xml:space="preserve"> preferences</w:t>
      </w:r>
      <w:r w:rsidR="001A7A94">
        <w:t xml:space="preserve"> and gather feedback</w:t>
      </w:r>
      <w:r w:rsidR="00622383">
        <w:t xml:space="preserve"> </w:t>
      </w:r>
      <w:r w:rsidR="008E76A9">
        <w:t>from</w:t>
      </w:r>
      <w:r w:rsidR="00622383">
        <w:t xml:space="preserve"> participants</w:t>
      </w:r>
      <w:r w:rsidR="00410E8E">
        <w:t xml:space="preserve"> to inform course </w:t>
      </w:r>
      <w:r w:rsidR="0076242C">
        <w:t>offerings</w:t>
      </w:r>
      <w:r w:rsidR="00410E8E">
        <w:t xml:space="preserve"> for </w:t>
      </w:r>
      <w:r w:rsidR="0076242C">
        <w:t xml:space="preserve">the </w:t>
      </w:r>
      <w:r w:rsidR="008E76A9">
        <w:t>2023-</w:t>
      </w:r>
      <w:r w:rsidR="0076242C">
        <w:t>2024 school year</w:t>
      </w:r>
      <w:r w:rsidR="00622383">
        <w:t xml:space="preserve">. </w:t>
      </w:r>
      <w:r w:rsidR="00F304A4">
        <w:t>Elementary t</w:t>
      </w:r>
      <w:r w:rsidR="003C3CB7">
        <w:t xml:space="preserve">eacher focus group participants </w:t>
      </w:r>
      <w:r w:rsidR="00BB5FBD">
        <w:t xml:space="preserve">reported that much of </w:t>
      </w:r>
      <w:r w:rsidR="00563769">
        <w:t xml:space="preserve">their </w:t>
      </w:r>
      <w:r w:rsidR="00F304A4">
        <w:t>professional development this year has focused on implement</w:t>
      </w:r>
      <w:r w:rsidR="008E76A9">
        <w:t>ing</w:t>
      </w:r>
      <w:r w:rsidR="00F304A4">
        <w:t xml:space="preserve"> the new ELA curriculum</w:t>
      </w:r>
      <w:r w:rsidR="00841D34">
        <w:t xml:space="preserve">. At the secondary </w:t>
      </w:r>
      <w:r w:rsidR="007E6A96">
        <w:t xml:space="preserve">level, teacher focus group participants reported the primary focus has been on </w:t>
      </w:r>
      <w:r w:rsidR="007604C9">
        <w:t>implement</w:t>
      </w:r>
      <w:r w:rsidR="008E76A9">
        <w:t>ing</w:t>
      </w:r>
      <w:r w:rsidR="007604C9">
        <w:t xml:space="preserve"> </w:t>
      </w:r>
      <w:r w:rsidR="00623F14">
        <w:t xml:space="preserve">inclusive and </w:t>
      </w:r>
      <w:r w:rsidR="007604C9">
        <w:t>culturally r</w:t>
      </w:r>
      <w:r w:rsidR="00623F14">
        <w:t xml:space="preserve">esponsive strategies. A secondary focus has been on </w:t>
      </w:r>
      <w:r w:rsidR="007D5E58">
        <w:t xml:space="preserve">fostering </w:t>
      </w:r>
      <w:r w:rsidR="00322854">
        <w:t xml:space="preserve">a safe and supportive </w:t>
      </w:r>
      <w:r w:rsidR="00C74512">
        <w:t>school</w:t>
      </w:r>
      <w:r w:rsidR="00322854">
        <w:t xml:space="preserve"> environment </w:t>
      </w:r>
      <w:r w:rsidR="00E1406A">
        <w:t xml:space="preserve">for both academic and nonacademic learning </w:t>
      </w:r>
      <w:r w:rsidR="00E1406A">
        <w:lastRenderedPageBreak/>
        <w:t>needs</w:t>
      </w:r>
      <w:r w:rsidR="00C74512">
        <w:t>.</w:t>
      </w:r>
      <w:r w:rsidR="00E1406A">
        <w:t xml:space="preserve"> Alignment </w:t>
      </w:r>
      <w:r w:rsidR="002275F8">
        <w:t>between the district</w:t>
      </w:r>
      <w:r w:rsidR="008E76A9">
        <w:t>’</w:t>
      </w:r>
      <w:r w:rsidR="002275F8">
        <w:t xml:space="preserve">s </w:t>
      </w:r>
      <w:r w:rsidR="00F261DF">
        <w:t xml:space="preserve">strategic plan and </w:t>
      </w:r>
      <w:r w:rsidR="008E76A9">
        <w:t xml:space="preserve">the </w:t>
      </w:r>
      <w:r w:rsidR="00F261DF">
        <w:t>professional development plan is a strength for the district.</w:t>
      </w:r>
    </w:p>
    <w:p w14:paraId="293935E6" w14:textId="5DD2DCE4" w:rsidR="004E41AF" w:rsidRDefault="00B74483" w:rsidP="007546FD">
      <w:pPr>
        <w:pStyle w:val="BodyText"/>
      </w:pPr>
      <w:r>
        <w:t>D</w:t>
      </w:r>
      <w:r w:rsidR="000D0FC1">
        <w:t xml:space="preserve">istrict and school staff reported </w:t>
      </w:r>
      <w:r w:rsidR="008E76A9">
        <w:t xml:space="preserve">that Hingham </w:t>
      </w:r>
      <w:r w:rsidR="00077F96">
        <w:t>has an establish</w:t>
      </w:r>
      <w:r w:rsidR="00545718">
        <w:t>ed</w:t>
      </w:r>
      <w:r w:rsidR="00077F96">
        <w:t xml:space="preserve"> induction and mentoring program for new instruction</w:t>
      </w:r>
      <w:r w:rsidR="00826B37">
        <w:t>al staff</w:t>
      </w:r>
      <w:r w:rsidR="008E76A9">
        <w:t>,</w:t>
      </w:r>
      <w:r>
        <w:t xml:space="preserve"> which was confirmed by </w:t>
      </w:r>
      <w:r w:rsidR="000D731A">
        <w:t>district documentation</w:t>
      </w:r>
      <w:r w:rsidR="00180C3B">
        <w:t xml:space="preserve"> and </w:t>
      </w:r>
      <w:r w:rsidR="00C37511">
        <w:t>teacher focus groups</w:t>
      </w:r>
      <w:r w:rsidR="00826B37">
        <w:t>.</w:t>
      </w:r>
      <w:r w:rsidR="001B637D">
        <w:t xml:space="preserve"> </w:t>
      </w:r>
      <w:r w:rsidR="00CB3B21">
        <w:t xml:space="preserve">New hires </w:t>
      </w:r>
      <w:r w:rsidR="008329EF">
        <w:t xml:space="preserve">attend </w:t>
      </w:r>
      <w:r w:rsidR="001A4C11">
        <w:t>a two-day</w:t>
      </w:r>
      <w:r w:rsidR="008329EF">
        <w:t xml:space="preserve"> induction program </w:t>
      </w:r>
      <w:r w:rsidR="008E76A9">
        <w:t xml:space="preserve">that </w:t>
      </w:r>
      <w:r w:rsidR="004A73BB">
        <w:t>provides an orientation to the district</w:t>
      </w:r>
      <w:r w:rsidR="009E7CE5">
        <w:t xml:space="preserve">, </w:t>
      </w:r>
      <w:r w:rsidR="00E91400">
        <w:t>professional responsibilities</w:t>
      </w:r>
      <w:r w:rsidR="001074CF">
        <w:t xml:space="preserve">, classroom management, </w:t>
      </w:r>
      <w:r w:rsidR="001A4C11">
        <w:t>and the educator evaluation system</w:t>
      </w:r>
      <w:r w:rsidR="00987FCA">
        <w:t xml:space="preserve">. </w:t>
      </w:r>
      <w:r w:rsidR="00C37511">
        <w:t>Teacher</w:t>
      </w:r>
      <w:r w:rsidR="00232252">
        <w:t xml:space="preserve"> focus group participants reported having been provided mentor teachers </w:t>
      </w:r>
      <w:r w:rsidR="00A512BA">
        <w:t>when first inducted into the district</w:t>
      </w:r>
      <w:r w:rsidR="008E76A9">
        <w:t>,</w:t>
      </w:r>
      <w:r w:rsidR="00A512BA">
        <w:t xml:space="preserve"> and some participants reported serving as mentor teachers.</w:t>
      </w:r>
    </w:p>
    <w:p w14:paraId="7B10A4DC" w14:textId="03E991D4" w:rsidR="00283AFC" w:rsidRDefault="00313472" w:rsidP="007546FD">
      <w:pPr>
        <w:pStyle w:val="BodyText"/>
      </w:pPr>
      <w:r>
        <w:t>The organizational structure for the mentor program include</w:t>
      </w:r>
      <w:r w:rsidR="00E10A89">
        <w:t>s</w:t>
      </w:r>
      <w:r>
        <w:t xml:space="preserve"> two districtwide co-directors</w:t>
      </w:r>
      <w:r w:rsidR="00A12A10">
        <w:t xml:space="preserve">, </w:t>
      </w:r>
      <w:r w:rsidR="00007844">
        <w:t xml:space="preserve">building </w:t>
      </w:r>
      <w:r w:rsidR="008142E3">
        <w:t>liaisons</w:t>
      </w:r>
      <w:r w:rsidR="00007844">
        <w:t xml:space="preserve"> for each school, and mentor</w:t>
      </w:r>
      <w:r w:rsidR="008D14F2">
        <w:t xml:space="preserve"> teachers</w:t>
      </w:r>
      <w:r w:rsidR="008142E3">
        <w:t>.</w:t>
      </w:r>
      <w:r w:rsidR="008D14F2">
        <w:t xml:space="preserve"> The </w:t>
      </w:r>
      <w:r w:rsidR="00410E09">
        <w:t>c</w:t>
      </w:r>
      <w:r w:rsidR="008D14F2">
        <w:t>o-directors</w:t>
      </w:r>
      <w:r w:rsidR="00AD6373">
        <w:t xml:space="preserve"> facilitate </w:t>
      </w:r>
      <w:r w:rsidR="00CB2D2C">
        <w:t>the mentor program</w:t>
      </w:r>
      <w:r w:rsidR="003D075C">
        <w:t xml:space="preserve">, </w:t>
      </w:r>
      <w:r w:rsidR="00117D77">
        <w:t xml:space="preserve">plan and implement </w:t>
      </w:r>
      <w:r w:rsidR="006547D3">
        <w:t xml:space="preserve">orientation and </w:t>
      </w:r>
      <w:r w:rsidR="00117D77">
        <w:t>induction</w:t>
      </w:r>
      <w:r w:rsidR="006547D3">
        <w:t xml:space="preserve"> activities, organize professional development </w:t>
      </w:r>
      <w:r w:rsidR="00B96F4B">
        <w:t>workshops to support new educators</w:t>
      </w:r>
      <w:r w:rsidR="00230A20">
        <w:t xml:space="preserve">, </w:t>
      </w:r>
      <w:r w:rsidR="000A0282">
        <w:t xml:space="preserve">collaborate with building principals and curriculum directors </w:t>
      </w:r>
      <w:r w:rsidR="00480641">
        <w:t>to pair mentors and mentees</w:t>
      </w:r>
      <w:r w:rsidR="00A12A10">
        <w:t xml:space="preserve">, and coordinate with building mentor program </w:t>
      </w:r>
      <w:r w:rsidR="008D14F2">
        <w:t>liaisons</w:t>
      </w:r>
      <w:r w:rsidR="00A12A10">
        <w:t>.</w:t>
      </w:r>
      <w:r w:rsidR="008D14F2">
        <w:t xml:space="preserve"> Building </w:t>
      </w:r>
      <w:r w:rsidR="00E10A89">
        <w:t>liaisons</w:t>
      </w:r>
      <w:r w:rsidR="00334823">
        <w:t xml:space="preserve"> </w:t>
      </w:r>
      <w:r w:rsidR="003441DF">
        <w:t>acclimate new educators to the professional responsibilities of an educator</w:t>
      </w:r>
      <w:r w:rsidR="00EB357C">
        <w:t xml:space="preserve"> and</w:t>
      </w:r>
      <w:r w:rsidR="004F47CA">
        <w:t xml:space="preserve"> formally and informally meet </w:t>
      </w:r>
      <w:r w:rsidR="00C46E9A">
        <w:t>during the school year to</w:t>
      </w:r>
      <w:r w:rsidR="00C84036">
        <w:t xml:space="preserve"> reflect on practice and plan curriculum and lessons with me</w:t>
      </w:r>
      <w:r w:rsidR="00DE2AAA">
        <w:t>n</w:t>
      </w:r>
      <w:r w:rsidR="00C84036">
        <w:t>tors and mentees</w:t>
      </w:r>
      <w:r w:rsidR="00DE2AAA">
        <w:t xml:space="preserve">. </w:t>
      </w:r>
      <w:r w:rsidR="00622594">
        <w:t xml:space="preserve">Mentor </w:t>
      </w:r>
      <w:r w:rsidR="00AD3243">
        <w:t>teachers</w:t>
      </w:r>
      <w:r w:rsidR="00622594">
        <w:t xml:space="preserve"> </w:t>
      </w:r>
      <w:r w:rsidR="00C26722">
        <w:t>possess a valid teacher certification and have a minimum of five years of experience and professional status.</w:t>
      </w:r>
      <w:r w:rsidR="00835765">
        <w:t xml:space="preserve"> </w:t>
      </w:r>
      <w:r w:rsidR="00656A1E">
        <w:t>Mentor</w:t>
      </w:r>
      <w:r w:rsidR="00217901">
        <w:t xml:space="preserve"> responsibilities include attending </w:t>
      </w:r>
      <w:r w:rsidR="008A6349">
        <w:t>start</w:t>
      </w:r>
      <w:r w:rsidR="00EB357C">
        <w:t>-</w:t>
      </w:r>
      <w:r w:rsidR="008A6349">
        <w:t>of</w:t>
      </w:r>
      <w:r w:rsidR="00EB357C">
        <w:t>-</w:t>
      </w:r>
      <w:r w:rsidR="008A6349">
        <w:t>the</w:t>
      </w:r>
      <w:r w:rsidR="00EB357C">
        <w:t>-</w:t>
      </w:r>
      <w:r w:rsidR="008A6349">
        <w:t xml:space="preserve">year </w:t>
      </w:r>
      <w:r w:rsidR="00E602C7">
        <w:t>orientation sessions</w:t>
      </w:r>
      <w:r w:rsidR="00EB357C">
        <w:t>;</w:t>
      </w:r>
      <w:r w:rsidR="008A6349">
        <w:t xml:space="preserve"> </w:t>
      </w:r>
      <w:r w:rsidR="00EB357C">
        <w:t>attend</w:t>
      </w:r>
      <w:r w:rsidR="00A36D7B">
        <w:t>ing</w:t>
      </w:r>
      <w:r w:rsidR="00EB357C">
        <w:t xml:space="preserve"> </w:t>
      </w:r>
      <w:r w:rsidR="008A6349">
        <w:t>monthly afterschool support sessions</w:t>
      </w:r>
      <w:r w:rsidR="00EB357C">
        <w:t>;</w:t>
      </w:r>
      <w:r w:rsidR="008A6349">
        <w:t xml:space="preserve"> conduct</w:t>
      </w:r>
      <w:r w:rsidR="00A36D7B">
        <w:t>ing</w:t>
      </w:r>
      <w:r w:rsidR="008A6349">
        <w:t xml:space="preserve"> peer observations of mentees and provid</w:t>
      </w:r>
      <w:r w:rsidR="00A36D7B">
        <w:t>ing</w:t>
      </w:r>
      <w:r w:rsidR="008A6349">
        <w:t xml:space="preserve"> them feedback</w:t>
      </w:r>
      <w:r w:rsidR="00EB357C">
        <w:t>;</w:t>
      </w:r>
      <w:r w:rsidR="008A6349">
        <w:t xml:space="preserve"> </w:t>
      </w:r>
      <w:r w:rsidR="00DB0DA0">
        <w:t>meet</w:t>
      </w:r>
      <w:r w:rsidR="00A36D7B">
        <w:t>ing</w:t>
      </w:r>
      <w:r w:rsidR="00DB0DA0">
        <w:t xml:space="preserve"> </w:t>
      </w:r>
      <w:r w:rsidR="000903B5">
        <w:t xml:space="preserve">weekly with mentees for </w:t>
      </w:r>
      <w:r w:rsidR="00EB357C">
        <w:t>one</w:t>
      </w:r>
      <w:r w:rsidR="000903B5">
        <w:t xml:space="preserve"> to </w:t>
      </w:r>
      <w:r w:rsidR="00EB357C">
        <w:t>three</w:t>
      </w:r>
      <w:r w:rsidR="000903B5">
        <w:t xml:space="preserve"> hours</w:t>
      </w:r>
      <w:r w:rsidR="00EB357C">
        <w:t>;</w:t>
      </w:r>
      <w:r w:rsidR="00A57A13">
        <w:t xml:space="preserve"> </w:t>
      </w:r>
      <w:r w:rsidR="00DF6C33">
        <w:t>provid</w:t>
      </w:r>
      <w:r w:rsidR="00887157">
        <w:t>ing</w:t>
      </w:r>
      <w:r w:rsidR="00DF6C33">
        <w:t xml:space="preserve"> resources to mentees</w:t>
      </w:r>
      <w:r w:rsidR="00EB357C">
        <w:t>;</w:t>
      </w:r>
      <w:r w:rsidR="00461340">
        <w:t xml:space="preserve"> and support</w:t>
      </w:r>
      <w:r w:rsidR="00887157">
        <w:t>ing</w:t>
      </w:r>
      <w:r w:rsidR="00461340">
        <w:t xml:space="preserve"> the mentee with implementing curriculum, instruction</w:t>
      </w:r>
      <w:r w:rsidR="00E07FDB">
        <w:t>, and student</w:t>
      </w:r>
      <w:r w:rsidR="00835765">
        <w:t>-</w:t>
      </w:r>
      <w:r w:rsidR="00E07FDB">
        <w:t>centered</w:t>
      </w:r>
      <w:r w:rsidR="00835765">
        <w:t xml:space="preserve"> equitable practices.</w:t>
      </w:r>
      <w:r w:rsidR="00E07FDB">
        <w:t xml:space="preserve"> </w:t>
      </w:r>
      <w:r w:rsidR="00283AFC">
        <w:t>All positions are stipend positions</w:t>
      </w:r>
      <w:r w:rsidR="00EB357C">
        <w:t>, with</w:t>
      </w:r>
      <w:r w:rsidR="00283AFC">
        <w:t xml:space="preserve"> compensat</w:t>
      </w:r>
      <w:r w:rsidR="00EB357C">
        <w:t>ion</w:t>
      </w:r>
      <w:r w:rsidR="00283AFC">
        <w:t xml:space="preserve"> </w:t>
      </w:r>
      <w:r w:rsidR="00433582">
        <w:t xml:space="preserve">based on the </w:t>
      </w:r>
      <w:r w:rsidR="009E4A52">
        <w:t xml:space="preserve">Hingham Education Association </w:t>
      </w:r>
      <w:r w:rsidR="00AD1043">
        <w:t>contract.</w:t>
      </w:r>
      <w:r w:rsidR="00C26722">
        <w:t xml:space="preserve"> The high</w:t>
      </w:r>
      <w:r w:rsidR="00A811AD">
        <w:t>ly</w:t>
      </w:r>
      <w:r w:rsidR="00C26722">
        <w:t xml:space="preserve"> structured </w:t>
      </w:r>
      <w:r w:rsidR="003D3126">
        <w:t xml:space="preserve">mentor program at Hingham is a strength for the </w:t>
      </w:r>
      <w:r w:rsidR="00AD3243">
        <w:t>district</w:t>
      </w:r>
      <w:r w:rsidR="003D3126">
        <w:t>.</w:t>
      </w:r>
    </w:p>
    <w:p w14:paraId="3DA5DF89" w14:textId="3A48E896" w:rsidR="00B827DE" w:rsidRDefault="00B827DE" w:rsidP="00B827DE">
      <w:pPr>
        <w:pStyle w:val="Heading3"/>
      </w:pPr>
      <w:bookmarkStart w:id="46" w:name="_Recognition,_Leadership_Development"/>
      <w:bookmarkEnd w:id="46"/>
      <w:r w:rsidRPr="00CB0607">
        <w:t>Recognition, Leadership Development, and Advancement</w:t>
      </w:r>
    </w:p>
    <w:p w14:paraId="58C123B5" w14:textId="456B07BA" w:rsidR="001F4618" w:rsidRDefault="009E1D79" w:rsidP="00AA07D0">
      <w:pPr>
        <w:pStyle w:val="BodyTextposthead"/>
        <w:rPr>
          <w:bdr w:val="none" w:sz="0" w:space="0" w:color="auto" w:frame="1"/>
        </w:rPr>
      </w:pPr>
      <w:r w:rsidRPr="000B0BAE">
        <w:t xml:space="preserve">Across schools, </w:t>
      </w:r>
      <w:r w:rsidRPr="000B0BAE">
        <w:rPr>
          <w:bdr w:val="none" w:sz="0" w:space="0" w:color="auto" w:frame="1"/>
        </w:rPr>
        <w:t xml:space="preserve">the district provides </w:t>
      </w:r>
      <w:r w:rsidR="00EC2503">
        <w:rPr>
          <w:bdr w:val="none" w:sz="0" w:space="0" w:color="auto" w:frame="1"/>
        </w:rPr>
        <w:t xml:space="preserve">some </w:t>
      </w:r>
      <w:r w:rsidRPr="000B0BAE">
        <w:rPr>
          <w:bdr w:val="none" w:sz="0" w:space="0" w:color="auto" w:frame="1"/>
        </w:rPr>
        <w:t>opportunities for participati</w:t>
      </w:r>
      <w:r>
        <w:rPr>
          <w:bdr w:val="none" w:sz="0" w:space="0" w:color="auto" w:frame="1"/>
        </w:rPr>
        <w:t>ng</w:t>
      </w:r>
      <w:r w:rsidRPr="000B0BAE">
        <w:rPr>
          <w:bdr w:val="none" w:sz="0" w:space="0" w:color="auto" w:frame="1"/>
        </w:rPr>
        <w:t xml:space="preserve"> in meaningful teacher leadership activities, such as serving as mentor teachers and </w:t>
      </w:r>
      <w:r>
        <w:rPr>
          <w:bdr w:val="none" w:sz="0" w:space="0" w:color="auto" w:frame="1"/>
        </w:rPr>
        <w:t>working</w:t>
      </w:r>
      <w:r w:rsidRPr="000B0BAE">
        <w:rPr>
          <w:bdr w:val="none" w:sz="0" w:space="0" w:color="auto" w:frame="1"/>
        </w:rPr>
        <w:t xml:space="preserve"> on various committees</w:t>
      </w:r>
      <w:r>
        <w:rPr>
          <w:bdr w:val="none" w:sz="0" w:space="0" w:color="auto" w:frame="1"/>
        </w:rPr>
        <w:t xml:space="preserve">. </w:t>
      </w:r>
      <w:r w:rsidR="009D6242">
        <w:rPr>
          <w:bdr w:val="none" w:sz="0" w:space="0" w:color="auto" w:frame="1"/>
        </w:rPr>
        <w:t xml:space="preserve">District leaders </w:t>
      </w:r>
      <w:r w:rsidR="00730044">
        <w:rPr>
          <w:bdr w:val="none" w:sz="0" w:space="0" w:color="auto" w:frame="1"/>
        </w:rPr>
        <w:t xml:space="preserve">reported </w:t>
      </w:r>
      <w:r w:rsidR="00EB357C">
        <w:rPr>
          <w:bdr w:val="none" w:sz="0" w:space="0" w:color="auto" w:frame="1"/>
        </w:rPr>
        <w:t>that</w:t>
      </w:r>
      <w:r w:rsidR="00730044">
        <w:rPr>
          <w:bdr w:val="none" w:sz="0" w:space="0" w:color="auto" w:frame="1"/>
        </w:rPr>
        <w:t xml:space="preserve"> a goal in the district’s strategic plan</w:t>
      </w:r>
      <w:r w:rsidR="00EB357C">
        <w:rPr>
          <w:bdr w:val="none" w:sz="0" w:space="0" w:color="auto" w:frame="1"/>
        </w:rPr>
        <w:t xml:space="preserve"> is</w:t>
      </w:r>
      <w:r w:rsidR="00730044">
        <w:rPr>
          <w:bdr w:val="none" w:sz="0" w:space="0" w:color="auto" w:frame="1"/>
        </w:rPr>
        <w:t xml:space="preserve"> </w:t>
      </w:r>
      <w:r w:rsidR="00694BEC">
        <w:rPr>
          <w:bdr w:val="none" w:sz="0" w:space="0" w:color="auto" w:frame="1"/>
        </w:rPr>
        <w:t xml:space="preserve">to create more leadership opportunities for </w:t>
      </w:r>
      <w:r w:rsidR="002C1711">
        <w:rPr>
          <w:bdr w:val="none" w:sz="0" w:space="0" w:color="auto" w:frame="1"/>
        </w:rPr>
        <w:t>staff</w:t>
      </w:r>
      <w:r w:rsidR="00EB357C">
        <w:rPr>
          <w:bdr w:val="none" w:sz="0" w:space="0" w:color="auto" w:frame="1"/>
        </w:rPr>
        <w:t>,</w:t>
      </w:r>
      <w:r w:rsidR="002C1711">
        <w:rPr>
          <w:bdr w:val="none" w:sz="0" w:space="0" w:color="auto" w:frame="1"/>
        </w:rPr>
        <w:t xml:space="preserve"> but</w:t>
      </w:r>
      <w:r w:rsidR="00694BEC">
        <w:rPr>
          <w:bdr w:val="none" w:sz="0" w:space="0" w:color="auto" w:frame="1"/>
        </w:rPr>
        <w:t xml:space="preserve"> </w:t>
      </w:r>
      <w:r w:rsidR="00EB357C">
        <w:rPr>
          <w:bdr w:val="none" w:sz="0" w:space="0" w:color="auto" w:frame="1"/>
        </w:rPr>
        <w:t xml:space="preserve">they </w:t>
      </w:r>
      <w:r w:rsidR="004E3C84">
        <w:rPr>
          <w:bdr w:val="none" w:sz="0" w:space="0" w:color="auto" w:frame="1"/>
        </w:rPr>
        <w:t xml:space="preserve">reported </w:t>
      </w:r>
      <w:r w:rsidR="00EB357C">
        <w:rPr>
          <w:bdr w:val="none" w:sz="0" w:space="0" w:color="auto" w:frame="1"/>
        </w:rPr>
        <w:t>a lack of</w:t>
      </w:r>
      <w:r w:rsidR="004E3C84">
        <w:rPr>
          <w:bdr w:val="none" w:sz="0" w:space="0" w:color="auto" w:frame="1"/>
        </w:rPr>
        <w:t xml:space="preserve"> success</w:t>
      </w:r>
      <w:r w:rsidR="00EC2503">
        <w:rPr>
          <w:bdr w:val="none" w:sz="0" w:space="0" w:color="auto" w:frame="1"/>
        </w:rPr>
        <w:t xml:space="preserve"> </w:t>
      </w:r>
      <w:r w:rsidR="00EB357C">
        <w:rPr>
          <w:bdr w:val="none" w:sz="0" w:space="0" w:color="auto" w:frame="1"/>
        </w:rPr>
        <w:t xml:space="preserve">in </w:t>
      </w:r>
      <w:r w:rsidR="00EC2503">
        <w:rPr>
          <w:bdr w:val="none" w:sz="0" w:space="0" w:color="auto" w:frame="1"/>
        </w:rPr>
        <w:t>growing the leadership pipeline from within the district</w:t>
      </w:r>
      <w:r w:rsidR="004E3C84">
        <w:rPr>
          <w:bdr w:val="none" w:sz="0" w:space="0" w:color="auto" w:frame="1"/>
        </w:rPr>
        <w:t xml:space="preserve">. </w:t>
      </w:r>
      <w:r w:rsidR="00B15873">
        <w:rPr>
          <w:bdr w:val="none" w:sz="0" w:space="0" w:color="auto" w:frame="1"/>
        </w:rPr>
        <w:t xml:space="preserve">Teacher focus group participants similarly reported limited </w:t>
      </w:r>
      <w:r w:rsidR="002168CF">
        <w:rPr>
          <w:bdr w:val="none" w:sz="0" w:space="0" w:color="auto" w:frame="1"/>
        </w:rPr>
        <w:t>opportunities for career advancement</w:t>
      </w:r>
      <w:r w:rsidR="005554FC">
        <w:rPr>
          <w:bdr w:val="none" w:sz="0" w:space="0" w:color="auto" w:frame="1"/>
        </w:rPr>
        <w:t xml:space="preserve"> and noted that many of the recent administrative</w:t>
      </w:r>
      <w:r w:rsidR="00EB357C">
        <w:rPr>
          <w:bdr w:val="none" w:sz="0" w:space="0" w:color="auto" w:frame="1"/>
        </w:rPr>
        <w:t>-</w:t>
      </w:r>
      <w:r w:rsidR="005554FC">
        <w:rPr>
          <w:bdr w:val="none" w:sz="0" w:space="0" w:color="auto" w:frame="1"/>
        </w:rPr>
        <w:t xml:space="preserve">level </w:t>
      </w:r>
      <w:r w:rsidR="00103F47">
        <w:rPr>
          <w:bdr w:val="none" w:sz="0" w:space="0" w:color="auto" w:frame="1"/>
        </w:rPr>
        <w:t xml:space="preserve">positions </w:t>
      </w:r>
      <w:r w:rsidR="00EB357C">
        <w:rPr>
          <w:bdr w:val="none" w:sz="0" w:space="0" w:color="auto" w:frame="1"/>
        </w:rPr>
        <w:t>were</w:t>
      </w:r>
      <w:r w:rsidR="00103F47">
        <w:rPr>
          <w:bdr w:val="none" w:sz="0" w:space="0" w:color="auto" w:frame="1"/>
        </w:rPr>
        <w:t xml:space="preserve"> filled by </w:t>
      </w:r>
      <w:r w:rsidR="00EC2503">
        <w:rPr>
          <w:bdr w:val="none" w:sz="0" w:space="0" w:color="auto" w:frame="1"/>
        </w:rPr>
        <w:t xml:space="preserve">individuals from </w:t>
      </w:r>
      <w:r w:rsidR="00D238D4">
        <w:rPr>
          <w:bdr w:val="none" w:sz="0" w:space="0" w:color="auto" w:frame="1"/>
        </w:rPr>
        <w:t>out</w:t>
      </w:r>
      <w:r w:rsidR="00EC2503">
        <w:rPr>
          <w:bdr w:val="none" w:sz="0" w:space="0" w:color="auto" w:frame="1"/>
        </w:rPr>
        <w:t>side</w:t>
      </w:r>
      <w:r w:rsidR="00D238D4">
        <w:rPr>
          <w:bdr w:val="none" w:sz="0" w:space="0" w:color="auto" w:frame="1"/>
        </w:rPr>
        <w:t xml:space="preserve"> </w:t>
      </w:r>
      <w:r w:rsidR="00EC2503">
        <w:rPr>
          <w:bdr w:val="none" w:sz="0" w:space="0" w:color="auto" w:frame="1"/>
        </w:rPr>
        <w:t xml:space="preserve">the </w:t>
      </w:r>
      <w:r w:rsidR="00D238D4">
        <w:rPr>
          <w:bdr w:val="none" w:sz="0" w:space="0" w:color="auto" w:frame="1"/>
        </w:rPr>
        <w:t>district</w:t>
      </w:r>
      <w:r w:rsidR="00EC2503">
        <w:rPr>
          <w:bdr w:val="none" w:sz="0" w:space="0" w:color="auto" w:frame="1"/>
        </w:rPr>
        <w:t>.</w:t>
      </w:r>
      <w:r w:rsidR="005566F1">
        <w:rPr>
          <w:bdr w:val="none" w:sz="0" w:space="0" w:color="auto" w:frame="1"/>
        </w:rPr>
        <w:t xml:space="preserve"> </w:t>
      </w:r>
      <w:r w:rsidR="000400CD">
        <w:t>Accounts from several teacher focus groups and a district leader demonstrated the need for additional pathways for leadership and career development.</w:t>
      </w:r>
      <w:r w:rsidR="000400CD">
        <w:rPr>
          <w:bdr w:val="none" w:sz="0" w:space="0" w:color="auto" w:frame="1"/>
        </w:rPr>
        <w:t xml:space="preserve"> </w:t>
      </w:r>
      <w:r w:rsidR="00EC2503">
        <w:rPr>
          <w:bdr w:val="none" w:sz="0" w:space="0" w:color="auto" w:frame="1"/>
        </w:rPr>
        <w:t>Developing</w:t>
      </w:r>
      <w:r w:rsidR="002C1711">
        <w:rPr>
          <w:bdr w:val="none" w:sz="0" w:space="0" w:color="auto" w:frame="1"/>
        </w:rPr>
        <w:t xml:space="preserve"> lea</w:t>
      </w:r>
      <w:r w:rsidR="006777ED">
        <w:rPr>
          <w:bdr w:val="none" w:sz="0" w:space="0" w:color="auto" w:frame="1"/>
        </w:rPr>
        <w:t>d</w:t>
      </w:r>
      <w:r w:rsidR="002C1711">
        <w:rPr>
          <w:bdr w:val="none" w:sz="0" w:space="0" w:color="auto" w:frame="1"/>
        </w:rPr>
        <w:t>ership opportunities for teachers is an area of growth for the district.</w:t>
      </w:r>
    </w:p>
    <w:p w14:paraId="0F16AA53" w14:textId="154E8903" w:rsidR="006A7E66" w:rsidRDefault="006A7E66" w:rsidP="00AA07D0">
      <w:pPr>
        <w:pStyle w:val="BodyText"/>
        <w:rPr>
          <w:bdr w:val="none" w:sz="0" w:space="0" w:color="auto" w:frame="1"/>
        </w:rPr>
      </w:pPr>
      <w:r>
        <w:rPr>
          <w:bdr w:val="none" w:sz="0" w:space="0" w:color="auto" w:frame="1"/>
        </w:rPr>
        <w:t>Another area of growth for the district is</w:t>
      </w:r>
      <w:r w:rsidR="001600A5">
        <w:rPr>
          <w:bdr w:val="none" w:sz="0" w:space="0" w:color="auto" w:frame="1"/>
        </w:rPr>
        <w:t xml:space="preserve"> a lack of districtwide </w:t>
      </w:r>
      <w:r w:rsidR="008928C8">
        <w:rPr>
          <w:bdr w:val="none" w:sz="0" w:space="0" w:color="auto" w:frame="1"/>
        </w:rPr>
        <w:t xml:space="preserve">programs </w:t>
      </w:r>
      <w:r w:rsidR="001600A5">
        <w:rPr>
          <w:bdr w:val="none" w:sz="0" w:space="0" w:color="auto" w:frame="1"/>
        </w:rPr>
        <w:t xml:space="preserve">to recognize </w:t>
      </w:r>
      <w:r w:rsidR="00EC114D">
        <w:rPr>
          <w:bdr w:val="none" w:sz="0" w:space="0" w:color="auto" w:frame="1"/>
        </w:rPr>
        <w:t xml:space="preserve">excellence of </w:t>
      </w:r>
      <w:r w:rsidR="001600A5">
        <w:rPr>
          <w:bdr w:val="none" w:sz="0" w:space="0" w:color="auto" w:frame="1"/>
        </w:rPr>
        <w:t>teachers wit</w:t>
      </w:r>
      <w:r w:rsidR="00EC114D">
        <w:rPr>
          <w:bdr w:val="none" w:sz="0" w:space="0" w:color="auto" w:frame="1"/>
        </w:rPr>
        <w:t xml:space="preserve">hin the district. </w:t>
      </w:r>
      <w:r w:rsidR="00947187" w:rsidRPr="000B0BAE">
        <w:t>In addition to no district</w:t>
      </w:r>
      <w:r w:rsidR="008928C8">
        <w:t xml:space="preserve"> programs</w:t>
      </w:r>
      <w:r w:rsidR="00947187" w:rsidRPr="000B0BAE">
        <w:t xml:space="preserve">, </w:t>
      </w:r>
      <w:r w:rsidR="00197725">
        <w:t xml:space="preserve">district leaders and </w:t>
      </w:r>
      <w:r w:rsidR="00947187" w:rsidRPr="000B0BAE">
        <w:t xml:space="preserve">teachers across all focus groups </w:t>
      </w:r>
      <w:r w:rsidR="0007649C">
        <w:t xml:space="preserve">reported </w:t>
      </w:r>
      <w:r w:rsidR="00EB357C">
        <w:t>a lack of</w:t>
      </w:r>
      <w:r w:rsidR="0007649C">
        <w:t xml:space="preserve"> formal or</w:t>
      </w:r>
      <w:r w:rsidR="00947187" w:rsidRPr="000B0BAE">
        <w:t xml:space="preserve"> informal mechanisms to recognize teachers for their exemplary work at the school level.</w:t>
      </w:r>
    </w:p>
    <w:p w14:paraId="010626EC" w14:textId="77777777" w:rsidR="002B4CEF" w:rsidRDefault="002B4CEF" w:rsidP="002B4CEF">
      <w:pPr>
        <w:pStyle w:val="Heading3"/>
      </w:pPr>
      <w:r>
        <w:lastRenderedPageBreak/>
        <w:t>DESE Recommendations</w:t>
      </w:r>
    </w:p>
    <w:p w14:paraId="77600101" w14:textId="33B29575" w:rsidR="008D6102" w:rsidRPr="00CB42F2" w:rsidRDefault="00871FBD" w:rsidP="00CB42F2">
      <w:pPr>
        <w:pStyle w:val="Bullet1"/>
        <w:rPr>
          <w:i/>
          <w:iCs/>
        </w:rPr>
      </w:pPr>
      <w:r>
        <w:rPr>
          <w:i/>
          <w:iCs/>
        </w:rPr>
        <w:t xml:space="preserve">The district should </w:t>
      </w:r>
      <w:r w:rsidR="00712FC1">
        <w:rPr>
          <w:i/>
          <w:iCs/>
        </w:rPr>
        <w:t xml:space="preserve">prioritize the filling of human resources vacancies, </w:t>
      </w:r>
      <w:r w:rsidR="00536C78">
        <w:rPr>
          <w:i/>
          <w:iCs/>
        </w:rPr>
        <w:t xml:space="preserve">while </w:t>
      </w:r>
      <w:r w:rsidR="00712FC1">
        <w:rPr>
          <w:i/>
          <w:iCs/>
        </w:rPr>
        <w:t xml:space="preserve">also </w:t>
      </w:r>
      <w:r w:rsidR="00802149">
        <w:rPr>
          <w:i/>
          <w:iCs/>
        </w:rPr>
        <w:t xml:space="preserve">designing plans to ensure continuity of daily </w:t>
      </w:r>
      <w:r w:rsidR="00712FC1">
        <w:rPr>
          <w:i/>
          <w:iCs/>
        </w:rPr>
        <w:t xml:space="preserve">operations and district </w:t>
      </w:r>
      <w:r w:rsidR="00802149">
        <w:rPr>
          <w:i/>
          <w:iCs/>
        </w:rPr>
        <w:t>initiatives</w:t>
      </w:r>
      <w:r w:rsidR="004A7FB4">
        <w:rPr>
          <w:i/>
          <w:iCs/>
        </w:rPr>
        <w:t xml:space="preserve">. </w:t>
      </w:r>
    </w:p>
    <w:p w14:paraId="2F6E5F2A" w14:textId="4AAE6D35" w:rsidR="00586D22" w:rsidRPr="00CB42F2" w:rsidRDefault="00586D22" w:rsidP="00CB42F2">
      <w:pPr>
        <w:pStyle w:val="Bullet1"/>
        <w:rPr>
          <w:i/>
          <w:iCs/>
        </w:rPr>
      </w:pPr>
      <w:r>
        <w:rPr>
          <w:i/>
          <w:iCs/>
        </w:rPr>
        <w:t xml:space="preserve">The district should </w:t>
      </w:r>
      <w:r w:rsidR="00BC3A50">
        <w:rPr>
          <w:i/>
          <w:iCs/>
        </w:rPr>
        <w:t>develop and disseminate guidance for administrators around conducting informal teacher observations and providing meaningful feedback.</w:t>
      </w:r>
      <w:r w:rsidR="00BC3A50" w:rsidRPr="00CB42F2">
        <w:rPr>
          <w:i/>
          <w:iCs/>
        </w:rPr>
        <w:t xml:space="preserve"> </w:t>
      </w:r>
    </w:p>
    <w:p w14:paraId="65B6055D" w14:textId="67AE51E8" w:rsidR="005D3142" w:rsidRPr="00CB42F2" w:rsidRDefault="005D3142" w:rsidP="00CB42F2">
      <w:pPr>
        <w:pStyle w:val="Bullet1"/>
        <w:rPr>
          <w:i/>
          <w:iCs/>
        </w:rPr>
      </w:pPr>
      <w:r w:rsidRPr="00CB42F2">
        <w:rPr>
          <w:i/>
          <w:iCs/>
        </w:rPr>
        <w:t>The district should articulate areas of improvement in its evaluations to support all staff in continuous instructional and professional improvement.</w:t>
      </w:r>
    </w:p>
    <w:p w14:paraId="354534AE" w14:textId="73A2AB64" w:rsidR="00BC3A50" w:rsidRPr="00CB42F2" w:rsidRDefault="001E386E" w:rsidP="00CB42F2">
      <w:pPr>
        <w:pStyle w:val="Bullet1"/>
        <w:rPr>
          <w:i/>
          <w:iCs/>
        </w:rPr>
      </w:pPr>
      <w:r w:rsidRPr="00CB42F2">
        <w:rPr>
          <w:i/>
          <w:iCs/>
        </w:rPr>
        <w:t>The dist</w:t>
      </w:r>
      <w:r w:rsidR="003B5E14" w:rsidRPr="00CB42F2">
        <w:rPr>
          <w:i/>
          <w:iCs/>
        </w:rPr>
        <w:t xml:space="preserve">rict should </w:t>
      </w:r>
      <w:r w:rsidR="00BC7B8C" w:rsidRPr="00CB42F2">
        <w:rPr>
          <w:i/>
          <w:iCs/>
        </w:rPr>
        <w:t xml:space="preserve">explore opportunities to </w:t>
      </w:r>
      <w:r w:rsidR="003B5E14" w:rsidRPr="00CB42F2">
        <w:rPr>
          <w:i/>
          <w:iCs/>
        </w:rPr>
        <w:t xml:space="preserve">build out its teacher leadership pipelines by investing in </w:t>
      </w:r>
      <w:r w:rsidR="00BC7B8C" w:rsidRPr="00CB42F2">
        <w:rPr>
          <w:i/>
          <w:iCs/>
        </w:rPr>
        <w:t>distributive</w:t>
      </w:r>
      <w:r w:rsidR="003B5E14" w:rsidRPr="00CB42F2">
        <w:rPr>
          <w:i/>
          <w:iCs/>
        </w:rPr>
        <w:t xml:space="preserve"> leadership model</w:t>
      </w:r>
      <w:r w:rsidR="00BC4500" w:rsidRPr="00CB42F2">
        <w:rPr>
          <w:i/>
          <w:iCs/>
        </w:rPr>
        <w:t xml:space="preserve">s in which teachers can </w:t>
      </w:r>
      <w:r w:rsidR="00BC7B8C" w:rsidRPr="00CB42F2">
        <w:rPr>
          <w:i/>
          <w:iCs/>
        </w:rPr>
        <w:t>develop</w:t>
      </w:r>
      <w:r w:rsidR="00BC4500" w:rsidRPr="00CB42F2">
        <w:rPr>
          <w:i/>
          <w:iCs/>
        </w:rPr>
        <w:t xml:space="preserve"> leadership </w:t>
      </w:r>
      <w:r w:rsidR="00BC7B8C" w:rsidRPr="00CB42F2">
        <w:rPr>
          <w:i/>
          <w:iCs/>
        </w:rPr>
        <w:t>skills and hold leadership roles</w:t>
      </w:r>
      <w:r w:rsidR="00BC4500" w:rsidRPr="00CB42F2">
        <w:rPr>
          <w:i/>
          <w:iCs/>
        </w:rPr>
        <w:t xml:space="preserve"> while </w:t>
      </w:r>
      <w:r w:rsidR="00BC7B8C" w:rsidRPr="00CB42F2">
        <w:rPr>
          <w:i/>
          <w:iCs/>
        </w:rPr>
        <w:t>continuing to teach.</w:t>
      </w:r>
    </w:p>
    <w:p w14:paraId="40BD2EAA" w14:textId="643579EB" w:rsidR="00BC7B8C" w:rsidRPr="00CB42F2" w:rsidRDefault="00BC7B8C" w:rsidP="00CB42F2">
      <w:pPr>
        <w:pStyle w:val="Bullet1"/>
        <w:rPr>
          <w:i/>
          <w:iCs/>
        </w:rPr>
      </w:pPr>
      <w:r w:rsidRPr="00CB42F2">
        <w:rPr>
          <w:i/>
          <w:iCs/>
        </w:rPr>
        <w:t>The district should work with school leaders to devel</w:t>
      </w:r>
      <w:r w:rsidR="00FD2019" w:rsidRPr="00CB42F2">
        <w:rPr>
          <w:i/>
          <w:iCs/>
        </w:rPr>
        <w:t xml:space="preserve">op recognition mechanisms that recognize outstanding work at the school and district level. </w:t>
      </w:r>
    </w:p>
    <w:p w14:paraId="697D04A6" w14:textId="7F5ABCC0" w:rsidR="009B1F27" w:rsidRPr="00BC7B8C" w:rsidRDefault="009B1F27" w:rsidP="009B1F27">
      <w:pPr>
        <w:pStyle w:val="Bullet1"/>
        <w:numPr>
          <w:ilvl w:val="0"/>
          <w:numId w:val="0"/>
        </w:numPr>
        <w:spacing w:line="240" w:lineRule="auto"/>
        <w:ind w:left="720" w:hanging="360"/>
        <w:rPr>
          <w:bCs/>
          <w:i/>
          <w:iCs/>
        </w:rPr>
      </w:pPr>
    </w:p>
    <w:p w14:paraId="3913897C" w14:textId="184749F2" w:rsidR="008D6102" w:rsidRPr="00CB0607" w:rsidRDefault="008D6102" w:rsidP="008D6102">
      <w:pPr>
        <w:pStyle w:val="Heading2"/>
      </w:pPr>
      <w:bookmarkStart w:id="47" w:name="_Student_Support"/>
      <w:bookmarkStart w:id="48" w:name="_Toc101446231"/>
      <w:bookmarkStart w:id="49" w:name="_Toc170157278"/>
      <w:bookmarkEnd w:id="47"/>
      <w:r w:rsidRPr="00CB0607">
        <w:lastRenderedPageBreak/>
        <w:t>Student Support</w:t>
      </w:r>
      <w:bookmarkEnd w:id="48"/>
      <w:bookmarkEnd w:id="49"/>
    </w:p>
    <w:p w14:paraId="4A3B7917" w14:textId="14FFB693" w:rsidR="00337B65" w:rsidRDefault="00337B65" w:rsidP="00337B65">
      <w:pPr>
        <w:pStyle w:val="BodyText"/>
      </w:pPr>
      <w:bookmarkStart w:id="50" w:name="_Toc101446232"/>
      <w:bookmarkEnd w:id="23"/>
      <w:r>
        <w:t xml:space="preserve">Hingham demonstrates a commitment to ensuring a safe, equitable, and inclusive environment for all students, staff, and families. Following an </w:t>
      </w:r>
      <w:r w:rsidR="007F12EF">
        <w:t>e</w:t>
      </w:r>
      <w:r>
        <w:t xml:space="preserve">quity </w:t>
      </w:r>
      <w:r w:rsidR="007F12EF">
        <w:t>a</w:t>
      </w:r>
      <w:r>
        <w:t>udit conducted by an external consultant in the 2022-</w:t>
      </w:r>
      <w:r w:rsidR="00EB357C">
        <w:t>20</w:t>
      </w:r>
      <w:r>
        <w:t>23 school year, the district initiated various efforts to implement culturally responsive and inclusive practices. These efforts include providing professional development</w:t>
      </w:r>
      <w:r w:rsidR="00012B8A">
        <w:t xml:space="preserve"> </w:t>
      </w:r>
      <w:r w:rsidR="00EB357C">
        <w:t xml:space="preserve">regarding </w:t>
      </w:r>
      <w:r w:rsidR="00012B8A">
        <w:t>cultural competency</w:t>
      </w:r>
      <w:r>
        <w:t xml:space="preserve">, convening an </w:t>
      </w:r>
      <w:r w:rsidR="00EB357C">
        <w:t>e</w:t>
      </w:r>
      <w:r>
        <w:t xml:space="preserve">quity </w:t>
      </w:r>
      <w:r w:rsidR="00EB357C">
        <w:t>t</w:t>
      </w:r>
      <w:r>
        <w:t xml:space="preserve">ask </w:t>
      </w:r>
      <w:r w:rsidR="00EB357C">
        <w:t>f</w:t>
      </w:r>
      <w:r>
        <w:t xml:space="preserve">orce, and </w:t>
      </w:r>
      <w:r w:rsidR="003A485D">
        <w:t>providing a Tier 1 social-</w:t>
      </w:r>
      <w:r w:rsidR="00270424">
        <w:t>emotional</w:t>
      </w:r>
      <w:r w:rsidR="003A485D">
        <w:t xml:space="preserve"> learning curriculum at each school</w:t>
      </w:r>
      <w:r>
        <w:t xml:space="preserve">. Although the implementation of the MTSS is not yet consistent across the district, Hingham has notably strengthened its tiered support system by hiring </w:t>
      </w:r>
      <w:r w:rsidR="00396655">
        <w:t xml:space="preserve">academic specialists, interventionists, and </w:t>
      </w:r>
      <w:r w:rsidR="00E92F09">
        <w:t xml:space="preserve">counselors </w:t>
      </w:r>
      <w:r>
        <w:t xml:space="preserve">and </w:t>
      </w:r>
      <w:r w:rsidR="00396655">
        <w:t xml:space="preserve">by </w:t>
      </w:r>
      <w:r>
        <w:t>revising elementary instructional schedules to include daily intervention blocks for both math</w:t>
      </w:r>
      <w:r w:rsidR="00D15EEA">
        <w:t>ematics</w:t>
      </w:r>
      <w:r>
        <w:t xml:space="preserve"> and ELA.</w:t>
      </w:r>
    </w:p>
    <w:p w14:paraId="14733303" w14:textId="68BCF09F" w:rsidR="00337B65" w:rsidRDefault="00337B65" w:rsidP="00337B65">
      <w:pPr>
        <w:pStyle w:val="BodyText"/>
      </w:pPr>
      <w:r>
        <w:t>Hingham prioritizes engaging families and communities through communication initiatives</w:t>
      </w:r>
      <w:r w:rsidR="00863890">
        <w:t xml:space="preserve"> and strategic partnerships. As part of its </w:t>
      </w:r>
      <w:r w:rsidR="00EB357C">
        <w:t>s</w:t>
      </w:r>
      <w:r w:rsidR="00863890">
        <w:t xml:space="preserve">trategic </w:t>
      </w:r>
      <w:r w:rsidR="00EB357C">
        <w:t>p</w:t>
      </w:r>
      <w:r w:rsidR="00863890">
        <w:t>lan,</w:t>
      </w:r>
      <w:r>
        <w:t xml:space="preserve"> </w:t>
      </w:r>
      <w:r w:rsidR="00863890">
        <w:t>t</w:t>
      </w:r>
      <w:r>
        <w:t xml:space="preserve">he district created a communications plan to increase stakeholder engagement and </w:t>
      </w:r>
      <w:r w:rsidR="00B77992">
        <w:t>streamline</w:t>
      </w:r>
      <w:r>
        <w:t xml:space="preserve"> communication channels. The </w:t>
      </w:r>
      <w:r w:rsidR="00EB357C">
        <w:t>s</w:t>
      </w:r>
      <w:r>
        <w:t xml:space="preserve">uperintendent meets regularly with </w:t>
      </w:r>
      <w:r w:rsidR="00B77992">
        <w:t xml:space="preserve">the district’s </w:t>
      </w:r>
      <w:r>
        <w:t>partners, including parent leadership groups such as the</w:t>
      </w:r>
      <w:r w:rsidR="00EB357C">
        <w:t xml:space="preserve"> parent teacher organization (</w:t>
      </w:r>
      <w:r>
        <w:t>PTO</w:t>
      </w:r>
      <w:r w:rsidR="00EB357C">
        <w:t>)</w:t>
      </w:r>
      <w:r>
        <w:t>, to share information and identify opportunities for collaboration.</w:t>
      </w:r>
    </w:p>
    <w:p w14:paraId="7355BFE9" w14:textId="22D9B14A" w:rsidR="002C6E1C" w:rsidRPr="00CB0607" w:rsidRDefault="002C6E1C" w:rsidP="00337B65">
      <w:pPr>
        <w:pStyle w:val="BodyText"/>
      </w:pPr>
      <w:r w:rsidRPr="00CB0607">
        <w:t xml:space="preserve">Table </w:t>
      </w:r>
      <w:r w:rsidR="009D3EFF">
        <w:t>6</w:t>
      </w:r>
      <w:r w:rsidR="009D3EFF" w:rsidRPr="00CB0607">
        <w:t xml:space="preserve"> </w:t>
      </w:r>
      <w:r w:rsidRPr="00CB0607">
        <w:t>summarizes key strengths and areas for growth in student support.</w:t>
      </w:r>
    </w:p>
    <w:p w14:paraId="59D3556E" w14:textId="77777777" w:rsidR="006F5E70" w:rsidRDefault="006F5E70">
      <w:pPr>
        <w:spacing w:line="240" w:lineRule="auto"/>
        <w:rPr>
          <w:rFonts w:ascii="Franklin Gothic Demi" w:hAnsi="Franklin Gothic Demi"/>
        </w:rPr>
      </w:pPr>
      <w:r>
        <w:br w:type="page"/>
      </w:r>
    </w:p>
    <w:p w14:paraId="0EB4E056" w14:textId="7A383843" w:rsidR="00B827DE" w:rsidRPr="00CB0607" w:rsidRDefault="00B827DE" w:rsidP="00B827DE">
      <w:pPr>
        <w:pStyle w:val="TableTitle0"/>
      </w:pPr>
      <w:r w:rsidRPr="00CB0607">
        <w:lastRenderedPageBreak/>
        <w:t xml:space="preserve">Table </w:t>
      </w:r>
      <w:r w:rsidR="009D3EFF">
        <w:t>6</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Student Support</w:t>
      </w:r>
      <w:r w:rsidR="002C6E1C" w:rsidRPr="00CB0607">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CB0607"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CB0607" w:rsidRDefault="00B827DE" w:rsidP="00B827DE">
            <w:pPr>
              <w:pStyle w:val="TableColHeadingCenter"/>
              <w:rPr>
                <w:bdr w:val="none" w:sz="0" w:space="0" w:color="auto" w:frame="1"/>
              </w:rPr>
            </w:pPr>
            <w:r w:rsidRPr="00CB0607">
              <w:rPr>
                <w:bdr w:val="none" w:sz="0" w:space="0" w:color="auto" w:frame="1"/>
              </w:rPr>
              <w:t>Indicator</w:t>
            </w:r>
          </w:p>
        </w:tc>
        <w:tc>
          <w:tcPr>
            <w:tcW w:w="2117" w:type="pct"/>
          </w:tcPr>
          <w:p w14:paraId="769171B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971" w:type="pct"/>
          </w:tcPr>
          <w:p w14:paraId="44C3E121" w14:textId="17C71646"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2C6E1C" w:rsidRPr="00CB0607">
              <w:rPr>
                <w:bdr w:val="none" w:sz="0" w:space="0" w:color="auto" w:frame="1"/>
              </w:rPr>
              <w:t>growth</w:t>
            </w:r>
          </w:p>
        </w:tc>
      </w:tr>
      <w:tr w:rsidR="00B827DE" w:rsidRPr="00CB0607"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2C4FD1ED" w:rsidR="00B827DE" w:rsidRPr="00CB0607" w:rsidRDefault="00000000" w:rsidP="005D13E7">
            <w:pPr>
              <w:pStyle w:val="TableSubheading"/>
              <w:rPr>
                <w:bdr w:val="none" w:sz="0" w:space="0" w:color="auto" w:frame="1"/>
              </w:rPr>
            </w:pPr>
            <w:hyperlink w:anchor="_Safe_and_Supportive" w:history="1">
              <w:r w:rsidR="00B827DE" w:rsidRPr="004A78AC">
                <w:rPr>
                  <w:rStyle w:val="Hyperlink"/>
                  <w:bdr w:val="none" w:sz="0" w:space="0" w:color="auto" w:frame="1"/>
                </w:rPr>
                <w:t xml:space="preserve">Safe and </w:t>
              </w:r>
              <w:r w:rsidR="002C6E1C" w:rsidRPr="004A78AC">
                <w:rPr>
                  <w:rStyle w:val="Hyperlink"/>
                  <w:bdr w:val="none" w:sz="0" w:space="0" w:color="auto" w:frame="1"/>
                </w:rPr>
                <w:t>s</w:t>
              </w:r>
              <w:r w:rsidR="00B827DE" w:rsidRPr="004A78AC">
                <w:rPr>
                  <w:rStyle w:val="Hyperlink"/>
                  <w:bdr w:val="none" w:sz="0" w:space="0" w:color="auto" w:frame="1"/>
                </w:rPr>
                <w:t xml:space="preserve">upportive </w:t>
              </w:r>
              <w:r w:rsidR="002C6E1C" w:rsidRPr="004A78AC">
                <w:rPr>
                  <w:rStyle w:val="Hyperlink"/>
                  <w:bdr w:val="none" w:sz="0" w:space="0" w:color="auto" w:frame="1"/>
                </w:rPr>
                <w:t>s</w:t>
              </w:r>
              <w:r w:rsidR="00B827DE" w:rsidRPr="004A78AC">
                <w:rPr>
                  <w:rStyle w:val="Hyperlink"/>
                  <w:bdr w:val="none" w:sz="0" w:space="0" w:color="auto" w:frame="1"/>
                </w:rPr>
                <w:t xml:space="preserve">chool </w:t>
              </w:r>
              <w:r w:rsidR="002C6E1C" w:rsidRPr="004A78AC">
                <w:rPr>
                  <w:rStyle w:val="Hyperlink"/>
                  <w:bdr w:val="none" w:sz="0" w:space="0" w:color="auto" w:frame="1"/>
                </w:rPr>
                <w:t>c</w:t>
              </w:r>
              <w:r w:rsidR="00B827DE" w:rsidRPr="004A78AC">
                <w:rPr>
                  <w:rStyle w:val="Hyperlink"/>
                  <w:bdr w:val="none" w:sz="0" w:space="0" w:color="auto" w:frame="1"/>
                </w:rPr>
                <w:t xml:space="preserve">limate and </w:t>
              </w:r>
              <w:r w:rsidR="002C6E1C" w:rsidRPr="004A78AC">
                <w:rPr>
                  <w:rStyle w:val="Hyperlink"/>
                  <w:bdr w:val="none" w:sz="0" w:space="0" w:color="auto" w:frame="1"/>
                </w:rPr>
                <w:t>c</w:t>
              </w:r>
              <w:r w:rsidR="00B827DE" w:rsidRPr="004A78AC">
                <w:rPr>
                  <w:rStyle w:val="Hyperlink"/>
                  <w:bdr w:val="none" w:sz="0" w:space="0" w:color="auto" w:frame="1"/>
                </w:rPr>
                <w:t>ulture</w:t>
              </w:r>
            </w:hyperlink>
          </w:p>
        </w:tc>
        <w:tc>
          <w:tcPr>
            <w:tcW w:w="2117" w:type="pct"/>
          </w:tcPr>
          <w:p w14:paraId="132C8480" w14:textId="651C6BE3" w:rsidR="00B827DE" w:rsidRPr="00CB0607" w:rsidRDefault="00414B44" w:rsidP="007D69BA">
            <w:pPr>
              <w:pStyle w:val="TableBullet1"/>
              <w:rPr>
                <w:bdr w:val="none" w:sz="0" w:space="0" w:color="auto" w:frame="1"/>
              </w:rPr>
            </w:pPr>
            <w:r w:rsidRPr="00190843">
              <w:t>The district</w:t>
            </w:r>
            <w:r>
              <w:t xml:space="preserve"> demonstrates a </w:t>
            </w:r>
            <w:r w:rsidRPr="00190843">
              <w:t>commitment to deepening staff understanding of inclusive and culturally responsive practices</w:t>
            </w:r>
            <w:r>
              <w:t>.</w:t>
            </w:r>
          </w:p>
        </w:tc>
        <w:tc>
          <w:tcPr>
            <w:tcW w:w="1971" w:type="pct"/>
          </w:tcPr>
          <w:p w14:paraId="2DE3D9E0" w14:textId="5403A59B" w:rsidR="00B827DE" w:rsidRPr="007D69BA" w:rsidRDefault="004B2F22" w:rsidP="007D69BA">
            <w:pPr>
              <w:pStyle w:val="TableBullet1"/>
              <w:rPr>
                <w:bCs/>
                <w:bdr w:val="none" w:sz="0" w:space="0" w:color="auto" w:frame="1"/>
              </w:rPr>
            </w:pPr>
            <w:r w:rsidRPr="00875E82">
              <w:t xml:space="preserve">Providing sufficient guidance and support </w:t>
            </w:r>
            <w:r>
              <w:t>for staff at secondary schools to address student needs and build a sense of belonging</w:t>
            </w:r>
            <w:r w:rsidRPr="00875E82">
              <w:t xml:space="preserve"> </w:t>
            </w:r>
            <w:r>
              <w:t>for all students</w:t>
            </w:r>
          </w:p>
        </w:tc>
      </w:tr>
      <w:tr w:rsidR="00B827DE" w:rsidRPr="00CB0607" w14:paraId="491E4833" w14:textId="77777777" w:rsidTr="00B827DE">
        <w:tc>
          <w:tcPr>
            <w:tcW w:w="912" w:type="pct"/>
          </w:tcPr>
          <w:p w14:paraId="0084A27B" w14:textId="5B3075DB" w:rsidR="00B827DE" w:rsidRPr="00CB0607" w:rsidRDefault="00000000" w:rsidP="005D13E7">
            <w:pPr>
              <w:pStyle w:val="TableSubheading"/>
              <w:rPr>
                <w:bdr w:val="none" w:sz="0" w:space="0" w:color="auto" w:frame="1"/>
              </w:rPr>
            </w:pPr>
            <w:hyperlink w:anchor="_Tiered_Systems_of" w:history="1">
              <w:r w:rsidR="00B827DE" w:rsidRPr="004A78AC">
                <w:rPr>
                  <w:rStyle w:val="Hyperlink"/>
                  <w:bdr w:val="none" w:sz="0" w:space="0" w:color="auto" w:frame="1"/>
                </w:rPr>
                <w:t xml:space="preserve">Tiered </w:t>
              </w:r>
              <w:r w:rsidR="002C6E1C" w:rsidRPr="004A78AC">
                <w:rPr>
                  <w:rStyle w:val="Hyperlink"/>
                  <w:bdr w:val="none" w:sz="0" w:space="0" w:color="auto" w:frame="1"/>
                </w:rPr>
                <w:t>s</w:t>
              </w:r>
              <w:r w:rsidR="00B827DE" w:rsidRPr="004A78AC">
                <w:rPr>
                  <w:rStyle w:val="Hyperlink"/>
                  <w:bdr w:val="none" w:sz="0" w:space="0" w:color="auto" w:frame="1"/>
                </w:rPr>
                <w:t xml:space="preserve">ystems of </w:t>
              </w:r>
              <w:r w:rsidR="002C6E1C" w:rsidRPr="004A78AC">
                <w:rPr>
                  <w:rStyle w:val="Hyperlink"/>
                  <w:bdr w:val="none" w:sz="0" w:space="0" w:color="auto" w:frame="1"/>
                </w:rPr>
                <w:t>s</w:t>
              </w:r>
              <w:r w:rsidR="00B827DE" w:rsidRPr="004A78AC">
                <w:rPr>
                  <w:rStyle w:val="Hyperlink"/>
                  <w:bdr w:val="none" w:sz="0" w:space="0" w:color="auto" w:frame="1"/>
                </w:rPr>
                <w:t>upport</w:t>
              </w:r>
            </w:hyperlink>
          </w:p>
        </w:tc>
        <w:tc>
          <w:tcPr>
            <w:tcW w:w="2117" w:type="pct"/>
          </w:tcPr>
          <w:p w14:paraId="7B5A0406" w14:textId="7BBC92E1" w:rsidR="00B827DE" w:rsidRPr="00CB0607" w:rsidRDefault="00D732D3" w:rsidP="007D69BA">
            <w:pPr>
              <w:pStyle w:val="TableBullet1"/>
              <w:rPr>
                <w:bdr w:val="none" w:sz="0" w:space="0" w:color="auto" w:frame="1"/>
              </w:rPr>
            </w:pPr>
            <w:r>
              <w:t xml:space="preserve">The district is </w:t>
            </w:r>
            <w:r w:rsidRPr="009F5017">
              <w:t>dedicat</w:t>
            </w:r>
            <w:r>
              <w:t>ed</w:t>
            </w:r>
            <w:r w:rsidRPr="009F5017">
              <w:t xml:space="preserve"> to strengthening MTSS and </w:t>
            </w:r>
            <w:r w:rsidR="00EB357C">
              <w:t>s</w:t>
            </w:r>
            <w:r w:rsidRPr="009F5017">
              <w:t xml:space="preserve">pecial </w:t>
            </w:r>
            <w:r w:rsidR="00EB357C">
              <w:t>e</w:t>
            </w:r>
            <w:r w:rsidRPr="009F5017">
              <w:t>ducation services</w:t>
            </w:r>
            <w:r>
              <w:t xml:space="preserve"> to </w:t>
            </w:r>
            <w:r w:rsidRPr="009F5017">
              <w:t>promote equity and inclusion</w:t>
            </w:r>
            <w:r w:rsidR="00E70805">
              <w:t>.</w:t>
            </w:r>
          </w:p>
        </w:tc>
        <w:tc>
          <w:tcPr>
            <w:tcW w:w="1971" w:type="pct"/>
          </w:tcPr>
          <w:p w14:paraId="22E5801A" w14:textId="77777777" w:rsidR="000851BC" w:rsidRPr="000851BC" w:rsidRDefault="00D92117" w:rsidP="007D69BA">
            <w:pPr>
              <w:pStyle w:val="TableBullet1"/>
              <w:rPr>
                <w:bCs/>
                <w:bdr w:val="none" w:sz="0" w:space="0" w:color="auto" w:frame="1"/>
              </w:rPr>
            </w:pPr>
            <w:r>
              <w:t>Clarifying the purpose of the IST teams for staff and strengthening the consistency and effectiveness of MTSS processes at the middle and high schools</w:t>
            </w:r>
            <w:r>
              <w:rPr>
                <w:rFonts w:ascii="Franklin Gothic Book" w:hAnsi="Franklin Gothic Book"/>
                <w:color w:val="000000"/>
                <w:bdr w:val="none" w:sz="0" w:space="0" w:color="auto" w:frame="1"/>
              </w:rPr>
              <w:t xml:space="preserve"> </w:t>
            </w:r>
          </w:p>
          <w:p w14:paraId="30A96C99" w14:textId="77777777" w:rsidR="000851BC" w:rsidRPr="000851BC" w:rsidRDefault="000851BC" w:rsidP="007D69BA">
            <w:pPr>
              <w:pStyle w:val="TableBullet1"/>
              <w:rPr>
                <w:bCs/>
                <w:bdr w:val="none" w:sz="0" w:space="0" w:color="auto" w:frame="1"/>
              </w:rPr>
            </w:pPr>
            <w:r>
              <w:rPr>
                <w:bdr w:val="none" w:sz="0" w:space="0" w:color="auto" w:frame="1"/>
              </w:rPr>
              <w:t>Increasing</w:t>
            </w:r>
            <w:r w:rsidRPr="00316B8B">
              <w:rPr>
                <w:bdr w:val="none" w:sz="0" w:space="0" w:color="auto" w:frame="1"/>
              </w:rPr>
              <w:t xml:space="preserve"> the number </w:t>
            </w:r>
            <w:r>
              <w:rPr>
                <w:bdr w:val="none" w:sz="0" w:space="0" w:color="auto" w:frame="1"/>
              </w:rPr>
              <w:t>and effectiveness of</w:t>
            </w:r>
            <w:r w:rsidRPr="00316B8B">
              <w:rPr>
                <w:bdr w:val="none" w:sz="0" w:space="0" w:color="auto" w:frame="1"/>
              </w:rPr>
              <w:t xml:space="preserve"> tiered academic interventions available at the middle and high school</w:t>
            </w:r>
            <w:r>
              <w:rPr>
                <w:bdr w:val="none" w:sz="0" w:space="0" w:color="auto" w:frame="1"/>
              </w:rPr>
              <w:t>s</w:t>
            </w:r>
            <w:r w:rsidRPr="00316B8B">
              <w:rPr>
                <w:bdr w:val="none" w:sz="0" w:space="0" w:color="auto" w:frame="1"/>
              </w:rPr>
              <w:t xml:space="preserve"> </w:t>
            </w:r>
            <w:r>
              <w:rPr>
                <w:bdr w:val="none" w:sz="0" w:space="0" w:color="auto" w:frame="1"/>
              </w:rPr>
              <w:t>focus on organizational and executive function skills</w:t>
            </w:r>
            <w:r>
              <w:t xml:space="preserve"> </w:t>
            </w:r>
          </w:p>
          <w:p w14:paraId="7C9D813B" w14:textId="01FE5FE9" w:rsidR="00B407D3" w:rsidRPr="00D44879" w:rsidRDefault="00D44879" w:rsidP="007D69BA">
            <w:pPr>
              <w:pStyle w:val="TableBullet1"/>
              <w:rPr>
                <w:bCs/>
                <w:bdr w:val="none" w:sz="0" w:space="0" w:color="auto" w:frame="1"/>
              </w:rPr>
            </w:pPr>
            <w:r>
              <w:t>Rebuilding the trust between parents and district regarding special education service delivery</w:t>
            </w:r>
          </w:p>
          <w:p w14:paraId="475954FD" w14:textId="581C9990" w:rsidR="00D44879" w:rsidRPr="003B79A3" w:rsidRDefault="00D44879" w:rsidP="007D69BA">
            <w:pPr>
              <w:pStyle w:val="TableBullet1"/>
              <w:rPr>
                <w:bCs/>
                <w:bdr w:val="none" w:sz="0" w:space="0" w:color="auto" w:frame="1"/>
              </w:rPr>
            </w:pPr>
            <w:r>
              <w:rPr>
                <w:bCs/>
                <w:bdr w:val="none" w:sz="0" w:space="0" w:color="auto" w:frame="1"/>
              </w:rPr>
              <w:t xml:space="preserve">Implementing </w:t>
            </w:r>
            <w:r w:rsidR="00DE2C53">
              <w:rPr>
                <w:bCs/>
                <w:bdr w:val="none" w:sz="0" w:space="0" w:color="auto" w:frame="1"/>
              </w:rPr>
              <w:t>protocols and processes identified in the 2023 special education evaluation report</w:t>
            </w:r>
          </w:p>
        </w:tc>
      </w:tr>
      <w:tr w:rsidR="00B827DE" w:rsidRPr="00CB0607" w14:paraId="0200B2F0"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3AEC98A4" w:rsidR="00B827DE" w:rsidRPr="00CB0607" w:rsidRDefault="00000000" w:rsidP="005D13E7">
            <w:pPr>
              <w:pStyle w:val="TableSubheading"/>
              <w:rPr>
                <w:bdr w:val="none" w:sz="0" w:space="0" w:color="auto" w:frame="1"/>
              </w:rPr>
            </w:pPr>
            <w:hyperlink w:anchor="_Family,_Student,_and" w:history="1">
              <w:r w:rsidR="00B827DE" w:rsidRPr="004A78AC">
                <w:rPr>
                  <w:rStyle w:val="Hyperlink"/>
                  <w:bdr w:val="none" w:sz="0" w:space="0" w:color="auto" w:frame="1"/>
                </w:rPr>
                <w:t xml:space="preserve">Family, </w:t>
              </w:r>
              <w:r w:rsidR="002C6E1C" w:rsidRPr="004A78AC">
                <w:rPr>
                  <w:rStyle w:val="Hyperlink"/>
                  <w:bdr w:val="none" w:sz="0" w:space="0" w:color="auto" w:frame="1"/>
                </w:rPr>
                <w:t>s</w:t>
              </w:r>
              <w:r w:rsidR="00B827DE" w:rsidRPr="004A78AC">
                <w:rPr>
                  <w:rStyle w:val="Hyperlink"/>
                  <w:bdr w:val="none" w:sz="0" w:space="0" w:color="auto" w:frame="1"/>
                </w:rPr>
                <w:t xml:space="preserve">tudent, and </w:t>
              </w:r>
              <w:r w:rsidR="002C6E1C" w:rsidRPr="004A78AC">
                <w:rPr>
                  <w:rStyle w:val="Hyperlink"/>
                  <w:bdr w:val="none" w:sz="0" w:space="0" w:color="auto" w:frame="1"/>
                </w:rPr>
                <w:t>c</w:t>
              </w:r>
              <w:r w:rsidR="00B827DE" w:rsidRPr="004A78AC">
                <w:rPr>
                  <w:rStyle w:val="Hyperlink"/>
                  <w:bdr w:val="none" w:sz="0" w:space="0" w:color="auto" w:frame="1"/>
                </w:rPr>
                <w:t xml:space="preserve">ommunity </w:t>
              </w:r>
              <w:r w:rsidR="002C6E1C" w:rsidRPr="004A78AC">
                <w:rPr>
                  <w:rStyle w:val="Hyperlink"/>
                  <w:bdr w:val="none" w:sz="0" w:space="0" w:color="auto" w:frame="1"/>
                </w:rPr>
                <w:t>e</w:t>
              </w:r>
              <w:r w:rsidR="00B827DE" w:rsidRPr="004A78AC">
                <w:rPr>
                  <w:rStyle w:val="Hyperlink"/>
                  <w:bdr w:val="none" w:sz="0" w:space="0" w:color="auto" w:frame="1"/>
                </w:rPr>
                <w:t xml:space="preserve">ngagement and </w:t>
              </w:r>
              <w:r w:rsidR="002C6E1C" w:rsidRPr="004A78AC">
                <w:rPr>
                  <w:rStyle w:val="Hyperlink"/>
                  <w:bdr w:val="none" w:sz="0" w:space="0" w:color="auto" w:frame="1"/>
                </w:rPr>
                <w:t>p</w:t>
              </w:r>
              <w:r w:rsidR="00B827DE" w:rsidRPr="004A78AC">
                <w:rPr>
                  <w:rStyle w:val="Hyperlink"/>
                  <w:bdr w:val="none" w:sz="0" w:space="0" w:color="auto" w:frame="1"/>
                </w:rPr>
                <w:t>artnerships</w:t>
              </w:r>
            </w:hyperlink>
          </w:p>
        </w:tc>
        <w:tc>
          <w:tcPr>
            <w:tcW w:w="2117" w:type="pct"/>
          </w:tcPr>
          <w:p w14:paraId="15FD2390" w14:textId="76882A4D" w:rsidR="00B827DE" w:rsidRDefault="00B201EE" w:rsidP="007D69BA">
            <w:pPr>
              <w:pStyle w:val="TableBullet1"/>
              <w:rPr>
                <w:bdr w:val="none" w:sz="0" w:space="0" w:color="auto" w:frame="1"/>
              </w:rPr>
            </w:pPr>
            <w:r>
              <w:rPr>
                <w:bdr w:val="none" w:sz="0" w:space="0" w:color="auto" w:frame="1"/>
              </w:rPr>
              <w:t xml:space="preserve">The district has streamlined its communication </w:t>
            </w:r>
            <w:r w:rsidR="00F249E3">
              <w:rPr>
                <w:bdr w:val="none" w:sz="0" w:space="0" w:color="auto" w:frame="1"/>
              </w:rPr>
              <w:t>platforms</w:t>
            </w:r>
            <w:r w:rsidRPr="00B201EE">
              <w:rPr>
                <w:bdr w:val="none" w:sz="0" w:space="0" w:color="auto" w:frame="1"/>
              </w:rPr>
              <w:t xml:space="preserve"> and </w:t>
            </w:r>
            <w:r w:rsidR="00B778E7" w:rsidRPr="00B201EE">
              <w:rPr>
                <w:bdr w:val="none" w:sz="0" w:space="0" w:color="auto" w:frame="1"/>
              </w:rPr>
              <w:t>enhanced</w:t>
            </w:r>
            <w:r w:rsidRPr="00B201EE">
              <w:rPr>
                <w:bdr w:val="none" w:sz="0" w:space="0" w:color="auto" w:frame="1"/>
              </w:rPr>
              <w:t xml:space="preserve"> its</w:t>
            </w:r>
            <w:r>
              <w:rPr>
                <w:bdr w:val="none" w:sz="0" w:space="0" w:color="auto" w:frame="1"/>
              </w:rPr>
              <w:t xml:space="preserve"> overall communication strategy</w:t>
            </w:r>
            <w:r w:rsidRPr="00B201EE">
              <w:rPr>
                <w:bdr w:val="none" w:sz="0" w:space="0" w:color="auto" w:frame="1"/>
              </w:rPr>
              <w:t>.</w:t>
            </w:r>
          </w:p>
          <w:p w14:paraId="777A1DF7" w14:textId="0ADCFEBF" w:rsidR="00B264B3" w:rsidRPr="00CB0607" w:rsidRDefault="00B264B3" w:rsidP="007D69BA">
            <w:pPr>
              <w:pStyle w:val="TableBullet1"/>
              <w:rPr>
                <w:bdr w:val="none" w:sz="0" w:space="0" w:color="auto" w:frame="1"/>
              </w:rPr>
            </w:pPr>
            <w:r>
              <w:rPr>
                <w:bdr w:val="none" w:sz="0" w:space="0" w:color="auto" w:frame="1"/>
              </w:rPr>
              <w:t xml:space="preserve">The district meaningfully engages </w:t>
            </w:r>
            <w:r>
              <w:t>parent leadership groups.</w:t>
            </w:r>
          </w:p>
        </w:tc>
        <w:tc>
          <w:tcPr>
            <w:tcW w:w="1971" w:type="pct"/>
          </w:tcPr>
          <w:p w14:paraId="00B02ED1" w14:textId="72C5DCE0" w:rsidR="00B827DE" w:rsidRPr="00CB0607" w:rsidRDefault="00233BD9" w:rsidP="007D69BA">
            <w:pPr>
              <w:pStyle w:val="TableBullet1"/>
              <w:rPr>
                <w:bdr w:val="none" w:sz="0" w:space="0" w:color="auto" w:frame="1"/>
              </w:rPr>
            </w:pPr>
            <w:r>
              <w:t xml:space="preserve">Providing meaningful opportunities for more </w:t>
            </w:r>
            <w:r w:rsidR="00D678C7">
              <w:t xml:space="preserve">students </w:t>
            </w:r>
            <w:r>
              <w:t>to contribute to decision</w:t>
            </w:r>
            <w:r w:rsidR="00EB357C">
              <w:t xml:space="preserve"> </w:t>
            </w:r>
            <w:r>
              <w:t>making and planning</w:t>
            </w:r>
          </w:p>
        </w:tc>
      </w:tr>
    </w:tbl>
    <w:p w14:paraId="6FDD5EB4" w14:textId="3A48E896" w:rsidR="00B827DE" w:rsidRPr="00CB0607" w:rsidRDefault="00B827DE" w:rsidP="00B827DE">
      <w:pPr>
        <w:pStyle w:val="Heading3"/>
      </w:pPr>
      <w:bookmarkStart w:id="51" w:name="_Safe_and_Supportive"/>
      <w:bookmarkEnd w:id="51"/>
      <w:r w:rsidRPr="00CB0607">
        <w:t>Safe and Supportive School Climate and Culture</w:t>
      </w:r>
    </w:p>
    <w:p w14:paraId="0BA76EC2" w14:textId="667C907F" w:rsidR="00190843" w:rsidRPr="00190843" w:rsidRDefault="00190843" w:rsidP="0080133B">
      <w:pPr>
        <w:pStyle w:val="BodyTextposthead"/>
      </w:pPr>
      <w:r w:rsidRPr="00190843">
        <w:t>The district demonstrates a strong commitment to creating school and classroom environments that are supportive, culturally responsive, and inclusive of all students, staff, and families. Following an equity audit conducted by an external consultant in the 2022-</w:t>
      </w:r>
      <w:r w:rsidR="007F12EF">
        <w:t>20</w:t>
      </w:r>
      <w:r w:rsidRPr="00190843">
        <w:t xml:space="preserve">23 school year, the district drafted a one-year Equity Plan to address identified needs. The plan focuses on crafting a culturally responsive curriculum, promoting inclusive instructional practices (see Curriculum Use section for more details), providing equity-focused professional development, fostering inclusive hiring practices, and analyzing academic and </w:t>
      </w:r>
      <w:r w:rsidR="00FA5863">
        <w:t>social-emotional learning</w:t>
      </w:r>
      <w:r w:rsidRPr="00190843">
        <w:t xml:space="preserve"> data to inform the district’s equity and inclusion strategy. In alignment with the Equity Plan, the district launched several </w:t>
      </w:r>
      <w:r w:rsidR="00001BC9">
        <w:t>additional</w:t>
      </w:r>
      <w:r w:rsidRPr="00190843">
        <w:t xml:space="preserve"> initiatives to promote equity and inclusion, such as convening a monthly </w:t>
      </w:r>
      <w:r w:rsidR="007F12EF">
        <w:t>e</w:t>
      </w:r>
      <w:r w:rsidRPr="00190843">
        <w:t xml:space="preserve">quity </w:t>
      </w:r>
      <w:r w:rsidR="007F12EF">
        <w:t>t</w:t>
      </w:r>
      <w:r w:rsidRPr="00190843">
        <w:t xml:space="preserve">ask </w:t>
      </w:r>
      <w:r w:rsidR="007F12EF">
        <w:t>f</w:t>
      </w:r>
      <w:r w:rsidRPr="00190843">
        <w:t>orce at the district level</w:t>
      </w:r>
      <w:r w:rsidR="007F12EF">
        <w:t>;</w:t>
      </w:r>
      <w:r w:rsidRPr="00190843">
        <w:t xml:space="preserve"> offering professional development in cultural competency and </w:t>
      </w:r>
      <w:r w:rsidR="007F12EF">
        <w:t>diversity, equity, and inclusion</w:t>
      </w:r>
      <w:r w:rsidR="007F12EF" w:rsidRPr="00190843">
        <w:t xml:space="preserve"> </w:t>
      </w:r>
      <w:r w:rsidRPr="00190843">
        <w:t>to leadership and select staff</w:t>
      </w:r>
      <w:r w:rsidR="007F12EF">
        <w:t>;</w:t>
      </w:r>
      <w:r w:rsidRPr="00190843">
        <w:t xml:space="preserve"> and administering climate surveys to students, parents, and faculty.</w:t>
      </w:r>
    </w:p>
    <w:p w14:paraId="0AE3D787" w14:textId="3AF6AF40" w:rsidR="00A0013D" w:rsidRDefault="0067008C" w:rsidP="00A2523F">
      <w:pPr>
        <w:pStyle w:val="BodyText"/>
      </w:pPr>
      <w:r>
        <w:t>The district also developed a three</w:t>
      </w:r>
      <w:r w:rsidR="00EA3B36">
        <w:t>-</w:t>
      </w:r>
      <w:r>
        <w:t xml:space="preserve">year professional development plan that incorporates </w:t>
      </w:r>
      <w:r w:rsidR="00612488">
        <w:t>implementation of inclusive and culturally responsive practices</w:t>
      </w:r>
      <w:r w:rsidR="00176E8F">
        <w:t xml:space="preserve"> specifically to foster </w:t>
      </w:r>
      <w:r w:rsidR="005A4C87">
        <w:t xml:space="preserve">a safe, </w:t>
      </w:r>
      <w:r w:rsidR="005A4C87">
        <w:lastRenderedPageBreak/>
        <w:t>supportive, and welcoming school climate and culture.</w:t>
      </w:r>
      <w:r w:rsidR="007B13F9">
        <w:t xml:space="preserve"> </w:t>
      </w:r>
      <w:r w:rsidR="009F00F4">
        <w:t>D</w:t>
      </w:r>
      <w:r w:rsidR="00190843" w:rsidRPr="00190843">
        <w:t>istrict documents and school leaders highlight</w:t>
      </w:r>
      <w:r w:rsidR="009F00F4">
        <w:t>ed</w:t>
      </w:r>
      <w:r w:rsidR="00190843" w:rsidRPr="00190843">
        <w:t xml:space="preserve"> various </w:t>
      </w:r>
      <w:r w:rsidR="00CF290D">
        <w:t xml:space="preserve">professional development </w:t>
      </w:r>
      <w:r w:rsidR="00190843" w:rsidRPr="00190843">
        <w:t>opportunities aimed at creating equitable and culturally responsive learning environments</w:t>
      </w:r>
      <w:r w:rsidR="007F12EF">
        <w:t>. including</w:t>
      </w:r>
      <w:r w:rsidR="00190843" w:rsidRPr="00190843">
        <w:t xml:space="preserve"> (</w:t>
      </w:r>
      <w:r w:rsidR="007F12EF">
        <w:t>a</w:t>
      </w:r>
      <w:r w:rsidR="00190843" w:rsidRPr="00190843">
        <w:t xml:space="preserve">) </w:t>
      </w:r>
      <w:r w:rsidR="007F12EF">
        <w:t>t</w:t>
      </w:r>
      <w:r w:rsidR="00190843" w:rsidRPr="00190843">
        <w:t xml:space="preserve">he </w:t>
      </w:r>
      <w:r w:rsidR="00A84721">
        <w:t>l</w:t>
      </w:r>
      <w:r w:rsidR="00190843" w:rsidRPr="00190843">
        <w:t xml:space="preserve">eadership </w:t>
      </w:r>
      <w:r w:rsidR="00A84721">
        <w:t>t</w:t>
      </w:r>
      <w:r w:rsidR="00190843" w:rsidRPr="00190843">
        <w:t>eam’s participation in a yearlong professional learning community to strengthen their support for district equity initiatives; (</w:t>
      </w:r>
      <w:r w:rsidR="007F12EF">
        <w:t>b</w:t>
      </w:r>
      <w:r w:rsidR="00190843" w:rsidRPr="00190843">
        <w:t>)</w:t>
      </w:r>
      <w:r w:rsidR="007F12EF">
        <w:t> </w:t>
      </w:r>
      <w:r w:rsidR="00190843" w:rsidRPr="00190843">
        <w:t>select leader and staff participation in DESE’s Culturally Responsive Leadership Academy; (</w:t>
      </w:r>
      <w:r w:rsidR="007F12EF">
        <w:t>c</w:t>
      </w:r>
      <w:r w:rsidR="00190843" w:rsidRPr="00190843">
        <w:t>)</w:t>
      </w:r>
      <w:r w:rsidR="007F12EF">
        <w:t> </w:t>
      </w:r>
      <w:r w:rsidR="00190843" w:rsidRPr="00190843">
        <w:t xml:space="preserve">coaching through </w:t>
      </w:r>
      <w:r w:rsidR="00820B1A">
        <w:t>a third party i</w:t>
      </w:r>
      <w:r w:rsidR="00190843" w:rsidRPr="00190843">
        <w:t xml:space="preserve">nclusive </w:t>
      </w:r>
      <w:r w:rsidR="00820B1A">
        <w:t>p</w:t>
      </w:r>
      <w:r w:rsidR="00190843" w:rsidRPr="00190843">
        <w:t xml:space="preserve">ractices </w:t>
      </w:r>
      <w:r w:rsidR="00820B1A">
        <w:t>coach</w:t>
      </w:r>
      <w:r w:rsidR="00652644">
        <w:t xml:space="preserve"> </w:t>
      </w:r>
      <w:r w:rsidR="00190843" w:rsidRPr="00190843">
        <w:t>at two elementary schools; (</w:t>
      </w:r>
      <w:r w:rsidR="007F12EF">
        <w:t>d</w:t>
      </w:r>
      <w:r w:rsidR="00190843" w:rsidRPr="00190843">
        <w:t xml:space="preserve">) an </w:t>
      </w:r>
      <w:r w:rsidR="007F12EF">
        <w:t>a</w:t>
      </w:r>
      <w:r w:rsidR="00190843" w:rsidRPr="00190843">
        <w:t>nti</w:t>
      </w:r>
      <w:r w:rsidR="007F12EF">
        <w:t>b</w:t>
      </w:r>
      <w:r w:rsidR="00190843" w:rsidRPr="00190843">
        <w:t xml:space="preserve">ias </w:t>
      </w:r>
      <w:r w:rsidR="007F12EF">
        <w:t>w</w:t>
      </w:r>
      <w:r w:rsidR="00190843" w:rsidRPr="00190843">
        <w:t>orkshop held by the Anti-Defamation League; and (</w:t>
      </w:r>
      <w:r w:rsidR="007F12EF">
        <w:t>e</w:t>
      </w:r>
      <w:r w:rsidR="00190843" w:rsidRPr="00190843">
        <w:t xml:space="preserve">) an </w:t>
      </w:r>
      <w:r w:rsidR="007F12EF">
        <w:t>i</w:t>
      </w:r>
      <w:r w:rsidR="00190843" w:rsidRPr="00190843">
        <w:t xml:space="preserve">nclusive </w:t>
      </w:r>
      <w:r w:rsidR="007F12EF">
        <w:t>p</w:t>
      </w:r>
      <w:r w:rsidR="00190843" w:rsidRPr="00190843">
        <w:t xml:space="preserve">ractices </w:t>
      </w:r>
      <w:r w:rsidR="007F12EF">
        <w:t>l</w:t>
      </w:r>
      <w:r w:rsidR="00190843" w:rsidRPr="00190843">
        <w:t xml:space="preserve">eadership fellowship, which offers a select group of teachers yearlong </w:t>
      </w:r>
      <w:r w:rsidR="007F12EF">
        <w:t>professional development</w:t>
      </w:r>
      <w:r w:rsidR="007F12EF" w:rsidRPr="00190843">
        <w:t xml:space="preserve"> </w:t>
      </w:r>
      <w:r w:rsidR="00190843" w:rsidRPr="00190843">
        <w:t xml:space="preserve">to deepen their understanding of inclusive practices. </w:t>
      </w:r>
      <w:r w:rsidR="007F12EF">
        <w:t>Although Y</w:t>
      </w:r>
      <w:r w:rsidR="00D0003E">
        <w:t xml:space="preserve">ear </w:t>
      </w:r>
      <w:r w:rsidR="007F12EF">
        <w:t xml:space="preserve">1 </w:t>
      </w:r>
      <w:r w:rsidR="00EA3B36">
        <w:t>activities</w:t>
      </w:r>
      <w:r w:rsidR="00270A88">
        <w:t xml:space="preserve"> </w:t>
      </w:r>
      <w:r w:rsidR="00EA3B36">
        <w:t>of</w:t>
      </w:r>
      <w:r w:rsidR="00190843" w:rsidRPr="00190843">
        <w:t xml:space="preserve"> these trainings have primarily focused on district and school leadership and select staff, the “Train the Trainer” model aims to disseminate this knowledge to the broader school staff in the </w:t>
      </w:r>
      <w:r w:rsidR="00CF290D">
        <w:t>coming</w:t>
      </w:r>
      <w:r w:rsidR="00CF290D" w:rsidRPr="00190843">
        <w:t xml:space="preserve"> </w:t>
      </w:r>
      <w:r w:rsidR="00190843" w:rsidRPr="00190843">
        <w:t>year</w:t>
      </w:r>
      <w:r w:rsidR="00CF290D">
        <w:t>s</w:t>
      </w:r>
      <w:r w:rsidR="00AB05D1">
        <w:t>.</w:t>
      </w:r>
      <w:r w:rsidR="00F66BC7">
        <w:t xml:space="preserve"> A review of the district</w:t>
      </w:r>
      <w:r w:rsidR="007F12EF">
        <w:t>’</w:t>
      </w:r>
      <w:r w:rsidR="00F66BC7">
        <w:t xml:space="preserve">s professional development </w:t>
      </w:r>
      <w:r w:rsidR="00DB7F05">
        <w:t xml:space="preserve">catalog </w:t>
      </w:r>
      <w:r w:rsidR="00F66BC7">
        <w:t>identified several course offer</w:t>
      </w:r>
      <w:r w:rsidR="005C4E81">
        <w:t xml:space="preserve">ings to </w:t>
      </w:r>
      <w:r w:rsidR="000A66DE">
        <w:t>develop</w:t>
      </w:r>
      <w:r w:rsidR="005C4E81">
        <w:t xml:space="preserve"> staff</w:t>
      </w:r>
      <w:r w:rsidR="007F12EF">
        <w:t>.</w:t>
      </w:r>
      <w:r w:rsidR="005C4E81">
        <w:t xml:space="preserve"> </w:t>
      </w:r>
      <w:r w:rsidR="00190843" w:rsidRPr="00190843">
        <w:t xml:space="preserve">The district’s commitment to deepening staff’s understanding of inclusive and culturally responsive practices </w:t>
      </w:r>
      <w:r w:rsidR="00573DC7">
        <w:t>is a strength for the distric</w:t>
      </w:r>
      <w:r w:rsidR="000612A7">
        <w:t>t</w:t>
      </w:r>
      <w:r w:rsidR="00D678C7">
        <w:t>.</w:t>
      </w:r>
    </w:p>
    <w:p w14:paraId="0052AB1F" w14:textId="406D1438" w:rsidR="00875E82" w:rsidRPr="00875E82" w:rsidRDefault="00875E82" w:rsidP="00875E82">
      <w:pPr>
        <w:pStyle w:val="BodyText"/>
      </w:pPr>
      <w:r w:rsidRPr="00875E82">
        <w:t xml:space="preserve">The </w:t>
      </w:r>
      <w:r w:rsidR="007F12EF">
        <w:t>e</w:t>
      </w:r>
      <w:r w:rsidRPr="00875E82">
        <w:t xml:space="preserve">quity </w:t>
      </w:r>
      <w:r w:rsidR="007F12EF">
        <w:t>a</w:t>
      </w:r>
      <w:r w:rsidRPr="00875E82">
        <w:t xml:space="preserve">udit findings, along with accounts from students and school staff, depict largely welcoming and inclusive school and classroom environments. During equity walks as part of the audit, </w:t>
      </w:r>
      <w:r w:rsidR="003462FE">
        <w:t>the consultant</w:t>
      </w:r>
      <w:r w:rsidRPr="00875E82">
        <w:t xml:space="preserve"> described</w:t>
      </w:r>
      <w:r w:rsidR="00F522F8">
        <w:t xml:space="preserve"> observing</w:t>
      </w:r>
      <w:r w:rsidRPr="00875E82">
        <w:t xml:space="preserve"> “a shared commitment to creating calm, welcoming environments” at the elementary schools and “a commitment to kindness, warmth, and supportive relationships” at the secondary schools. Similarly, students across middle and high school focus groups reported feeling welcomed, respected, and safe. Teachers and students at both the middle and high schools also highlighted various clubs and opportunities that promote student engagement, leadership, and celebration of diversity, such as the Gay-Straight Alliance and the World Language Club at the middle schools and the People of Color and Allies club, the Peer Mentor Group, and the </w:t>
      </w:r>
      <w:r w:rsidR="007F12EF">
        <w:t>s</w:t>
      </w:r>
      <w:r w:rsidRPr="00875E82">
        <w:t xml:space="preserve">tudent </w:t>
      </w:r>
      <w:r w:rsidR="007F12EF">
        <w:t>c</w:t>
      </w:r>
      <w:r w:rsidRPr="00875E82">
        <w:t>ouncil at the high schools. CLASS scores, while indicating the absence of a negative climate, showed middling scores for Positive Climate, with slightly lower scores at the elementary and high schools (5.0 and 4.9</w:t>
      </w:r>
      <w:r w:rsidR="007F12EF">
        <w:t>,</w:t>
      </w:r>
      <w:r w:rsidRPr="00875E82">
        <w:t xml:space="preserve"> respectively) </w:t>
      </w:r>
      <w:r w:rsidR="00E05FDD">
        <w:t>as compared to</w:t>
      </w:r>
      <w:r w:rsidRPr="00875E82">
        <w:t xml:space="preserve"> the middle school (5.8).</w:t>
      </w:r>
      <w:r w:rsidR="005F7AA8">
        <w:t xml:space="preserve"> This indicates that some</w:t>
      </w:r>
      <w:r w:rsidR="00E05FDD">
        <w:t xml:space="preserve">, </w:t>
      </w:r>
      <w:r w:rsidR="005F7AA8">
        <w:t>but not all</w:t>
      </w:r>
      <w:r w:rsidR="00E05FDD">
        <w:t>,</w:t>
      </w:r>
      <w:r w:rsidR="005F7AA8">
        <w:t xml:space="preserve"> students experience a positive classroom climate.</w:t>
      </w:r>
    </w:p>
    <w:p w14:paraId="37C2657B" w14:textId="24BDFBD9" w:rsidR="00875E82" w:rsidRDefault="00875E82" w:rsidP="00875E82">
      <w:pPr>
        <w:pStyle w:val="BodyText"/>
      </w:pPr>
      <w:r w:rsidRPr="00875E82">
        <w:t>Despite these positive aspects, teachers and parents also reported challenges related to intimidation, bullying, and exclusion at the secondary levels. For example, teachers in one focus group described</w:t>
      </w:r>
      <w:r w:rsidR="008E5132">
        <w:t xml:space="preserve"> how</w:t>
      </w:r>
      <w:r w:rsidRPr="00875E82">
        <w:t xml:space="preserve"> </w:t>
      </w:r>
      <w:r w:rsidR="00004CA6">
        <w:t>“</w:t>
      </w:r>
      <w:r w:rsidR="001A4190">
        <w:t xml:space="preserve">there’s a lot of </w:t>
      </w:r>
      <w:r w:rsidR="008E5132">
        <w:t>intimidation</w:t>
      </w:r>
      <w:r w:rsidR="001A4190">
        <w:t xml:space="preserve"> that goes on”</w:t>
      </w:r>
      <w:r w:rsidR="00F45C8F">
        <w:t xml:space="preserve"> during the selection of </w:t>
      </w:r>
      <w:r w:rsidR="000204FD">
        <w:t>after school clubs</w:t>
      </w:r>
      <w:r w:rsidR="00F522F8">
        <w:t xml:space="preserve"> at the middle </w:t>
      </w:r>
      <w:r w:rsidR="00D17529">
        <w:t>school</w:t>
      </w:r>
      <w:r w:rsidR="002C3D55">
        <w:t xml:space="preserve">, </w:t>
      </w:r>
      <w:r w:rsidR="007F12EF">
        <w:t>whereas</w:t>
      </w:r>
      <w:r w:rsidR="007F12EF" w:rsidRPr="00875E82">
        <w:t xml:space="preserve"> </w:t>
      </w:r>
      <w:r w:rsidRPr="00875E82">
        <w:t>parents</w:t>
      </w:r>
      <w:r w:rsidR="005747D4">
        <w:t xml:space="preserve"> mentioned</w:t>
      </w:r>
      <w:r w:rsidRPr="00875E82">
        <w:t xml:space="preserve"> multiple instances of student harassment and bullying that </w:t>
      </w:r>
      <w:r w:rsidR="00943E5C">
        <w:t xml:space="preserve">school and district administrators did </w:t>
      </w:r>
      <w:r w:rsidRPr="00875E82">
        <w:t>not adequately address. Aligned with these findings, survey data collected as part of the equity audit found that approximately 30</w:t>
      </w:r>
      <w:r w:rsidR="00943E5C">
        <w:t> </w:t>
      </w:r>
      <w:r w:rsidR="007F12EF">
        <w:t>percent</w:t>
      </w:r>
      <w:r w:rsidRPr="00875E82">
        <w:t xml:space="preserve"> of secondary students</w:t>
      </w:r>
      <w:r w:rsidR="00D65E18">
        <w:t xml:space="preserve"> responded either “neutral” or disagree” when asked if students have a sense of belonging</w:t>
      </w:r>
      <w:r w:rsidRPr="00875E82">
        <w:t>.</w:t>
      </w:r>
      <w:r w:rsidR="00D65E18">
        <w:t xml:space="preserve"> In the narrative section of the survey, several students also reported instances of feeling isolated and bullied.</w:t>
      </w:r>
      <w:r w:rsidRPr="00875E82">
        <w:t xml:space="preserve"> </w:t>
      </w:r>
      <w:r w:rsidR="00747652">
        <w:t>D</w:t>
      </w:r>
      <w:r w:rsidR="00747652" w:rsidRPr="00747652">
        <w:t xml:space="preserve">istrict leaders described data from climate surveys </w:t>
      </w:r>
      <w:r w:rsidR="007F12EF">
        <w:t>that</w:t>
      </w:r>
      <w:r w:rsidR="007F12EF" w:rsidRPr="00747652">
        <w:t xml:space="preserve"> </w:t>
      </w:r>
      <w:r w:rsidR="00747652" w:rsidRPr="00747652">
        <w:t xml:space="preserve">indicated an area for growth </w:t>
      </w:r>
      <w:r w:rsidR="007F12EF">
        <w:t>related to</w:t>
      </w:r>
      <w:r w:rsidR="007F12EF" w:rsidRPr="00747652">
        <w:t xml:space="preserve"> </w:t>
      </w:r>
      <w:r w:rsidR="00747652" w:rsidRPr="00747652">
        <w:t>students’ sense of belonging</w:t>
      </w:r>
      <w:r w:rsidRPr="00875E82">
        <w:t>,</w:t>
      </w:r>
    </w:p>
    <w:p w14:paraId="417A3A30" w14:textId="33C0863E" w:rsidR="00875E82" w:rsidRDefault="00875E82" w:rsidP="00AA07D0">
      <w:pPr>
        <w:pStyle w:val="BlockQuote"/>
      </w:pPr>
      <w:r w:rsidRPr="00875E82">
        <w:t xml:space="preserve">We got a lot of </w:t>
      </w:r>
      <w:r w:rsidR="00E86C5E" w:rsidRPr="00875E82">
        <w:t>information about</w:t>
      </w:r>
      <w:r w:rsidRPr="00875E82">
        <w:t xml:space="preserve"> how people were feeling they didn’t belong here. There was a certain group of people [and] they felt they weren’t welcome</w:t>
      </w:r>
      <w:r w:rsidR="007F12EF">
        <w:t xml:space="preserve"> </w:t>
      </w:r>
      <w:r w:rsidR="00E86C5E" w:rsidRPr="00875E82">
        <w:t>.</w:t>
      </w:r>
      <w:r w:rsidR="007F12EF">
        <w:t xml:space="preserve"> </w:t>
      </w:r>
      <w:r w:rsidR="00E86C5E" w:rsidRPr="00875E82">
        <w:t>.</w:t>
      </w:r>
      <w:r w:rsidR="007F12EF">
        <w:t xml:space="preserve"> </w:t>
      </w:r>
      <w:r w:rsidR="00E86C5E" w:rsidRPr="00875E82">
        <w:t>. [</w:t>
      </w:r>
      <w:r w:rsidRPr="00875E82">
        <w:t>It] was disturbing that people, you know, kids felt that way. And then I think similar results came up with the second one</w:t>
      </w:r>
      <w:r w:rsidR="00D27139">
        <w:t xml:space="preserve"> [referring to another climate survey]</w:t>
      </w:r>
      <w:r w:rsidRPr="00875E82">
        <w:t xml:space="preserve"> </w:t>
      </w:r>
      <w:r w:rsidR="00D27139">
        <w:t xml:space="preserve">that the district </w:t>
      </w:r>
      <w:r w:rsidRPr="00875E82">
        <w:t>had done.</w:t>
      </w:r>
    </w:p>
    <w:p w14:paraId="52AE39C2" w14:textId="4C9F5955" w:rsidR="00A440FD" w:rsidRDefault="00875E82" w:rsidP="00AA07D0">
      <w:pPr>
        <w:pStyle w:val="BodyText"/>
      </w:pPr>
      <w:r w:rsidRPr="00875E82">
        <w:lastRenderedPageBreak/>
        <w:t xml:space="preserve">Providing sufficient guidance and support </w:t>
      </w:r>
      <w:r w:rsidR="0020768F">
        <w:t xml:space="preserve">for staff </w:t>
      </w:r>
      <w:r w:rsidR="004B2F22">
        <w:t xml:space="preserve">at secondary schools </w:t>
      </w:r>
      <w:r w:rsidR="00B125F7">
        <w:t>to address student needs and build</w:t>
      </w:r>
      <w:r w:rsidR="004B2F22">
        <w:t xml:space="preserve"> a</w:t>
      </w:r>
      <w:r w:rsidRPr="00875E82">
        <w:t xml:space="preserve"> </w:t>
      </w:r>
      <w:r w:rsidR="002F0B0A">
        <w:t>sense of belonging</w:t>
      </w:r>
      <w:r w:rsidRPr="00875E82">
        <w:t xml:space="preserve"> </w:t>
      </w:r>
      <w:r w:rsidR="004B2F22">
        <w:t xml:space="preserve">for all students </w:t>
      </w:r>
      <w:r w:rsidRPr="00875E82">
        <w:t>remains an area of growth for the district.</w:t>
      </w:r>
    </w:p>
    <w:p w14:paraId="24F11C7D" w14:textId="486B7CD2" w:rsidR="00EB4777" w:rsidRPr="00E82327" w:rsidRDefault="00E82327" w:rsidP="00EB4777">
      <w:pPr>
        <w:pStyle w:val="BodyText"/>
      </w:pPr>
      <w:r w:rsidRPr="00E82327">
        <w:t xml:space="preserve">Regarding the district’s approach to promoting positive behaviors and conduct, teachers and staff described several examples of using </w:t>
      </w:r>
      <w:bookmarkStart w:id="52" w:name="_Hlk108549511"/>
      <w:r w:rsidR="007F12EF" w:rsidRPr="00ED182E">
        <w:t>positive behavioral interventions and supports</w:t>
      </w:r>
      <w:bookmarkEnd w:id="52"/>
      <w:r w:rsidR="007F12EF" w:rsidRPr="00E82327">
        <w:t xml:space="preserve"> </w:t>
      </w:r>
      <w:r w:rsidR="007F12EF">
        <w:t>(</w:t>
      </w:r>
      <w:r w:rsidRPr="00E82327">
        <w:t>PBIS</w:t>
      </w:r>
      <w:r w:rsidR="007F12EF">
        <w:t>)</w:t>
      </w:r>
      <w:r w:rsidRPr="00E82327">
        <w:t xml:space="preserve"> at the elementary and middle schools, such as the use of PBIS rubrics at some elementary schools and the Acts of Honor program at the middle school, which recognizes positive student behavior. CLASS scores and accounts by students and staff demonstrate that behavioral expectations are generally well understood and reinforced through student handbooks and the actions of administrators and teachers. Staff in one focus group described that </w:t>
      </w:r>
      <w:r>
        <w:t>the administrators at</w:t>
      </w:r>
      <w:r w:rsidRPr="00E82327">
        <w:t xml:space="preserve"> the</w:t>
      </w:r>
      <w:r>
        <w:t>ir</w:t>
      </w:r>
      <w:r w:rsidRPr="00E82327">
        <w:t xml:space="preserve"> high school “do a really good job” with handling discipline, </w:t>
      </w:r>
      <w:r w:rsidR="002E732C">
        <w:t>and</w:t>
      </w:r>
      <w:r w:rsidR="002E732C" w:rsidRPr="00E82327">
        <w:t xml:space="preserve"> </w:t>
      </w:r>
      <w:r w:rsidRPr="00E82327">
        <w:t>CLASS data included high marks for Behavior Management, with averages ranging between 6.9 and 7.0.</w:t>
      </w:r>
      <w:r w:rsidR="00EB4777">
        <w:t xml:space="preserve"> </w:t>
      </w:r>
      <w:r w:rsidR="00EB4777" w:rsidRPr="00E82327">
        <w:t xml:space="preserve">The district </w:t>
      </w:r>
      <w:r w:rsidR="00EB4777">
        <w:t xml:space="preserve">also </w:t>
      </w:r>
      <w:r w:rsidR="00EB4777" w:rsidRPr="00E82327">
        <w:t>demonstrate</w:t>
      </w:r>
      <w:r w:rsidR="00985D49">
        <w:t>s</w:t>
      </w:r>
      <w:r w:rsidR="00EB4777" w:rsidRPr="00E82327">
        <w:t xml:space="preserve"> a commitment to reviewing and identifying disparities in discipline and absenteeism data. For example, the equity audit found that </w:t>
      </w:r>
      <w:r w:rsidR="0047262E">
        <w:t>although</w:t>
      </w:r>
      <w:r w:rsidR="0047262E" w:rsidRPr="00E82327">
        <w:t xml:space="preserve"> </w:t>
      </w:r>
      <w:r w:rsidR="00EB4777" w:rsidRPr="00E82327">
        <w:t xml:space="preserve">Hingham had a very low student discipline rate, most of the students </w:t>
      </w:r>
      <w:r w:rsidR="0047262E">
        <w:t>receiving discipline actions</w:t>
      </w:r>
      <w:r w:rsidR="00EB4777" w:rsidRPr="00E82327">
        <w:t xml:space="preserve"> were </w:t>
      </w:r>
      <w:r w:rsidR="0047262E">
        <w:t>students</w:t>
      </w:r>
      <w:r w:rsidR="00EB4777" w:rsidRPr="00E82327">
        <w:t xml:space="preserve"> </w:t>
      </w:r>
      <w:r w:rsidR="0047262E">
        <w:t>with</w:t>
      </w:r>
      <w:r w:rsidR="0047262E" w:rsidRPr="00E82327">
        <w:t xml:space="preserve"> </w:t>
      </w:r>
      <w:r w:rsidR="00EB4777" w:rsidRPr="00E82327">
        <w:t xml:space="preserve">high needs or students with disabilities. As explained in the Data Use section, district leaders have been </w:t>
      </w:r>
      <w:r w:rsidR="008167E4">
        <w:t>reviewing</w:t>
      </w:r>
      <w:r w:rsidR="00EB4777" w:rsidRPr="00E82327">
        <w:t xml:space="preserve"> th</w:t>
      </w:r>
      <w:r w:rsidR="0047262E">
        <w:t>ese</w:t>
      </w:r>
      <w:r w:rsidR="00EB4777" w:rsidRPr="00E82327">
        <w:t xml:space="preserve"> data and</w:t>
      </w:r>
      <w:r w:rsidR="0047262E">
        <w:t xml:space="preserve"> are</w:t>
      </w:r>
      <w:r w:rsidR="00EB4777" w:rsidRPr="00E82327">
        <w:t xml:space="preserve"> identify</w:t>
      </w:r>
      <w:r w:rsidR="0047262E">
        <w:t>ing</w:t>
      </w:r>
      <w:r w:rsidR="00EB4777" w:rsidRPr="00E82327">
        <w:t xml:space="preserve"> action steps for addressing these disparities.</w:t>
      </w:r>
    </w:p>
    <w:p w14:paraId="3CF4DABF" w14:textId="5EA05B0E" w:rsidR="00A10C7F" w:rsidRDefault="00D530E8" w:rsidP="00A2523F">
      <w:pPr>
        <w:pStyle w:val="BodyText"/>
      </w:pPr>
      <w:r>
        <w:t>Despit</w:t>
      </w:r>
      <w:r w:rsidR="00511517">
        <w:t>e generally low incidences of disciplin</w:t>
      </w:r>
      <w:r w:rsidR="0095507F">
        <w:t>ary action</w:t>
      </w:r>
      <w:r w:rsidR="00511517">
        <w:t xml:space="preserve">, </w:t>
      </w:r>
      <w:r>
        <w:t>d</w:t>
      </w:r>
      <w:r w:rsidR="0023126A">
        <w:t xml:space="preserve">istrict leaders and support </w:t>
      </w:r>
      <w:r>
        <w:t>staff reported</w:t>
      </w:r>
      <w:r w:rsidR="0023126A">
        <w:t xml:space="preserve"> that since returning from the pandemic, there has been a </w:t>
      </w:r>
      <w:r w:rsidR="00BF65F0">
        <w:t xml:space="preserve">notable increase in </w:t>
      </w:r>
      <w:r w:rsidR="00BF65F0" w:rsidRPr="00E82327">
        <w:t>studen</w:t>
      </w:r>
      <w:r w:rsidR="00B17B85">
        <w:t xml:space="preserve">ts </w:t>
      </w:r>
      <w:r w:rsidR="00E82327" w:rsidRPr="00E82327">
        <w:t>experiencing emotional dysregulation or demonstrating behavioral issues stemming from trauma. At the elementary level, staff acknowledged school leaders</w:t>
      </w:r>
      <w:r w:rsidR="0047262E">
        <w:t>’</w:t>
      </w:r>
      <w:r w:rsidR="00E82327" w:rsidRPr="00E82327">
        <w:t xml:space="preserve"> recognition of the need to address the root causes of misbehavior, with school counselors </w:t>
      </w:r>
      <w:r w:rsidR="00D61019">
        <w:t xml:space="preserve">occasionally asked to </w:t>
      </w:r>
      <w:r w:rsidR="00E026FA">
        <w:t>handle</w:t>
      </w:r>
      <w:r w:rsidR="00E82327" w:rsidRPr="00E82327">
        <w:t xml:space="preserve"> discipline issues using restorative rather than punitive approaches. However, one district leader mentioned</w:t>
      </w:r>
      <w:r w:rsidR="0047262E">
        <w:t xml:space="preserve"> the need for</w:t>
      </w:r>
      <w:r w:rsidR="00E82327" w:rsidRPr="00E82327">
        <w:t xml:space="preserve"> more work </w:t>
      </w:r>
      <w:r w:rsidR="0047262E">
        <w:t>i</w:t>
      </w:r>
      <w:r w:rsidR="00E82327" w:rsidRPr="00E82327">
        <w:t>n implementing equitable discipline practices, citing higher suspension rates and the uptick in behavioral dysregulation and chronic absenteeism. The district provide</w:t>
      </w:r>
      <w:r w:rsidR="0047262E">
        <w:t>s</w:t>
      </w:r>
      <w:r w:rsidR="00E82327" w:rsidRPr="00E82327">
        <w:t xml:space="preserve"> its leadership and counselors with monthly </w:t>
      </w:r>
      <w:r w:rsidR="00E026FA" w:rsidRPr="00E82327">
        <w:t>training</w:t>
      </w:r>
      <w:r w:rsidR="00E82327" w:rsidRPr="00E82327">
        <w:t xml:space="preserve"> on identifying root causes of misbehavior, </w:t>
      </w:r>
      <w:r w:rsidR="0047262E">
        <w:t>whereas special education</w:t>
      </w:r>
      <w:r w:rsidR="0047262E" w:rsidRPr="00E82327">
        <w:t xml:space="preserve"> </w:t>
      </w:r>
      <w:r w:rsidR="00E82327" w:rsidRPr="00E82327">
        <w:t xml:space="preserve">educators and paraprofessionals have received </w:t>
      </w:r>
      <w:r w:rsidRPr="00E82327">
        <w:t>training</w:t>
      </w:r>
      <w:r w:rsidR="00E82327" w:rsidRPr="00E82327">
        <w:t xml:space="preserve"> on behavioral de-escalation. In one focus group, support staff expressed a need for additional training for teachers on identifying </w:t>
      </w:r>
      <w:r w:rsidR="0047262E">
        <w:t xml:space="preserve">students who are </w:t>
      </w:r>
      <w:r w:rsidR="00E82327" w:rsidRPr="00E82327">
        <w:t>struggling.</w:t>
      </w:r>
      <w:r w:rsidR="00E95DFA">
        <w:t xml:space="preserve"> </w:t>
      </w:r>
      <w:r w:rsidR="00A9458D">
        <w:t xml:space="preserve">The provision of </w:t>
      </w:r>
      <w:r w:rsidR="002C3D55">
        <w:t>training</w:t>
      </w:r>
      <w:r w:rsidR="00A9458D">
        <w:t xml:space="preserve"> and supports for addressing </w:t>
      </w:r>
      <w:r w:rsidR="00FA5863">
        <w:t>social-emotional learning</w:t>
      </w:r>
      <w:r w:rsidR="00A9458D">
        <w:t xml:space="preserve"> needs are explored further in the next section</w:t>
      </w:r>
      <w:r w:rsidR="00DE4E70">
        <w:t>.</w:t>
      </w:r>
    </w:p>
    <w:p w14:paraId="145B3895" w14:textId="68363B4E" w:rsidR="00B827DE" w:rsidRDefault="00B827DE" w:rsidP="00B827DE">
      <w:pPr>
        <w:pStyle w:val="Heading3"/>
      </w:pPr>
      <w:bookmarkStart w:id="53" w:name="_Tiered_Systems_of"/>
      <w:bookmarkEnd w:id="53"/>
      <w:r w:rsidRPr="00CB0607">
        <w:t>Tiered Systems of Support</w:t>
      </w:r>
    </w:p>
    <w:p w14:paraId="77C2BDCD" w14:textId="3859AD5D" w:rsidR="00370EAD" w:rsidRDefault="00A5776C" w:rsidP="00AA07D0">
      <w:pPr>
        <w:pStyle w:val="BodyTextposthead"/>
      </w:pPr>
      <w:r>
        <w:rPr>
          <w:rFonts w:ascii="Franklin Gothic Book" w:hAnsi="Franklin Gothic Book"/>
          <w:color w:val="000000"/>
          <w:bdr w:val="none" w:sz="0" w:space="0" w:color="auto" w:frame="1"/>
        </w:rPr>
        <w:t xml:space="preserve">Hingham </w:t>
      </w:r>
      <w:r w:rsidR="00967180">
        <w:rPr>
          <w:rFonts w:ascii="Franklin Gothic Book" w:hAnsi="Franklin Gothic Book"/>
          <w:color w:val="000000"/>
          <w:bdr w:val="none" w:sz="0" w:space="0" w:color="auto" w:frame="1"/>
        </w:rPr>
        <w:t>has structures and systems in place to support the academic, behavioral, and social-emotional needs of all students</w:t>
      </w:r>
      <w:r w:rsidR="005A3B1B">
        <w:rPr>
          <w:rFonts w:ascii="Franklin Gothic Book" w:hAnsi="Franklin Gothic Book"/>
          <w:color w:val="000000"/>
          <w:bdr w:val="none" w:sz="0" w:space="0" w:color="auto" w:frame="1"/>
        </w:rPr>
        <w:t xml:space="preserve"> at the elementary level</w:t>
      </w:r>
      <w:r w:rsidR="00967180">
        <w:rPr>
          <w:rFonts w:ascii="Franklin Gothic Book" w:hAnsi="Franklin Gothic Book"/>
          <w:color w:val="000000"/>
          <w:bdr w:val="none" w:sz="0" w:space="0" w:color="auto" w:frame="1"/>
        </w:rPr>
        <w:t>.</w:t>
      </w:r>
      <w:r>
        <w:rPr>
          <w:rFonts w:ascii="Franklin Gothic Book" w:hAnsi="Franklin Gothic Book"/>
          <w:color w:val="000000"/>
          <w:bdr w:val="none" w:sz="0" w:space="0" w:color="auto" w:frame="1"/>
        </w:rPr>
        <w:t xml:space="preserve"> </w:t>
      </w:r>
      <w:r w:rsidR="008F301D">
        <w:rPr>
          <w:rFonts w:ascii="Franklin Gothic Book" w:hAnsi="Franklin Gothic Book"/>
          <w:color w:val="000000"/>
          <w:bdr w:val="none" w:sz="0" w:space="0" w:color="auto" w:frame="1"/>
        </w:rPr>
        <w:t xml:space="preserve">A review of documents and accounts from school </w:t>
      </w:r>
      <w:r w:rsidR="008A1FF5">
        <w:rPr>
          <w:rFonts w:ascii="Franklin Gothic Book" w:hAnsi="Franklin Gothic Book"/>
          <w:color w:val="000000"/>
          <w:bdr w:val="none" w:sz="0" w:space="0" w:color="auto" w:frame="1"/>
        </w:rPr>
        <w:t xml:space="preserve">committee members, district leaders, and school </w:t>
      </w:r>
      <w:r w:rsidR="008F301D">
        <w:rPr>
          <w:rFonts w:ascii="Franklin Gothic Book" w:hAnsi="Franklin Gothic Book"/>
          <w:color w:val="000000"/>
          <w:bdr w:val="none" w:sz="0" w:space="0" w:color="auto" w:frame="1"/>
        </w:rPr>
        <w:t>leaders</w:t>
      </w:r>
      <w:r w:rsidR="008A1FF5">
        <w:rPr>
          <w:rFonts w:ascii="Franklin Gothic Book" w:hAnsi="Franklin Gothic Book"/>
          <w:color w:val="000000"/>
          <w:bdr w:val="none" w:sz="0" w:space="0" w:color="auto" w:frame="1"/>
        </w:rPr>
        <w:t xml:space="preserve"> </w:t>
      </w:r>
      <w:r w:rsidR="008F301D">
        <w:rPr>
          <w:rFonts w:ascii="Franklin Gothic Book" w:hAnsi="Franklin Gothic Book"/>
          <w:color w:val="000000"/>
          <w:bdr w:val="none" w:sz="0" w:space="0" w:color="auto" w:frame="1"/>
        </w:rPr>
        <w:t>demonstrate the district’s</w:t>
      </w:r>
      <w:r w:rsidR="00793295">
        <w:rPr>
          <w:rFonts w:ascii="Franklin Gothic Book" w:hAnsi="Franklin Gothic Book"/>
          <w:color w:val="000000"/>
          <w:bdr w:val="none" w:sz="0" w:space="0" w:color="auto" w:frame="1"/>
        </w:rPr>
        <w:t xml:space="preserve"> </w:t>
      </w:r>
      <w:r w:rsidR="00987970">
        <w:rPr>
          <w:rFonts w:ascii="Franklin Gothic Book" w:hAnsi="Franklin Gothic Book"/>
          <w:color w:val="000000"/>
          <w:bdr w:val="none" w:sz="0" w:space="0" w:color="auto" w:frame="1"/>
        </w:rPr>
        <w:t>commitment</w:t>
      </w:r>
      <w:r w:rsidR="00B55722">
        <w:rPr>
          <w:rFonts w:ascii="Franklin Gothic Book" w:hAnsi="Franklin Gothic Book"/>
          <w:color w:val="000000"/>
          <w:bdr w:val="none" w:sz="0" w:space="0" w:color="auto" w:frame="1"/>
        </w:rPr>
        <w:t xml:space="preserve"> </w:t>
      </w:r>
      <w:r w:rsidR="008F301D">
        <w:rPr>
          <w:rFonts w:ascii="Franklin Gothic Book" w:hAnsi="Franklin Gothic Book"/>
          <w:color w:val="000000"/>
          <w:bdr w:val="none" w:sz="0" w:space="0" w:color="auto" w:frame="1"/>
        </w:rPr>
        <w:t>to improving MTSS implementation across school</w:t>
      </w:r>
      <w:r w:rsidR="00EC7D12">
        <w:rPr>
          <w:rFonts w:ascii="Franklin Gothic Book" w:hAnsi="Franklin Gothic Book"/>
          <w:color w:val="000000"/>
          <w:bdr w:val="none" w:sz="0" w:space="0" w:color="auto" w:frame="1"/>
        </w:rPr>
        <w:t>s</w:t>
      </w:r>
      <w:r w:rsidR="00B65811">
        <w:rPr>
          <w:rFonts w:ascii="Franklin Gothic Book" w:hAnsi="Franklin Gothic Book"/>
          <w:color w:val="000000"/>
          <w:bdr w:val="none" w:sz="0" w:space="0" w:color="auto" w:frame="1"/>
        </w:rPr>
        <w:t>.</w:t>
      </w:r>
      <w:r w:rsidR="00982394">
        <w:rPr>
          <w:rFonts w:ascii="Franklin Gothic Book" w:hAnsi="Franklin Gothic Book"/>
          <w:color w:val="000000"/>
          <w:bdr w:val="none" w:sz="0" w:space="0" w:color="auto" w:frame="1"/>
        </w:rPr>
        <w:t xml:space="preserve"> The district </w:t>
      </w:r>
      <w:r w:rsidR="008F301D">
        <w:rPr>
          <w:rFonts w:ascii="Franklin Gothic Book" w:hAnsi="Franklin Gothic Book"/>
          <w:color w:val="000000"/>
          <w:bdr w:val="none" w:sz="0" w:space="0" w:color="auto" w:frame="1"/>
        </w:rPr>
        <w:t>allocated</w:t>
      </w:r>
      <w:r w:rsidR="00982394">
        <w:rPr>
          <w:rFonts w:ascii="Franklin Gothic Book" w:hAnsi="Franklin Gothic Book"/>
          <w:color w:val="000000"/>
          <w:bdr w:val="none" w:sz="0" w:space="0" w:color="auto" w:frame="1"/>
        </w:rPr>
        <w:t xml:space="preserve"> funding (initially from </w:t>
      </w:r>
      <w:bookmarkStart w:id="54" w:name="_Hlk166014879"/>
      <w:r w:rsidR="00030E2D">
        <w:t>Elementary and Secondary School Emergency Relief</w:t>
      </w:r>
      <w:bookmarkEnd w:id="54"/>
      <w:r w:rsidR="00030E2D">
        <w:rPr>
          <w:rFonts w:ascii="Franklin Gothic Book" w:hAnsi="Franklin Gothic Book"/>
          <w:color w:val="000000"/>
          <w:bdr w:val="none" w:sz="0" w:space="0" w:color="auto" w:frame="1"/>
        </w:rPr>
        <w:t xml:space="preserve"> (</w:t>
      </w:r>
      <w:r w:rsidR="00982394">
        <w:rPr>
          <w:rFonts w:ascii="Franklin Gothic Book" w:hAnsi="Franklin Gothic Book"/>
          <w:color w:val="000000"/>
          <w:bdr w:val="none" w:sz="0" w:space="0" w:color="auto" w:frame="1"/>
        </w:rPr>
        <w:t>ESSER</w:t>
      </w:r>
      <w:r w:rsidR="00030E2D">
        <w:rPr>
          <w:rFonts w:ascii="Franklin Gothic Book" w:hAnsi="Franklin Gothic Book"/>
          <w:color w:val="000000"/>
          <w:bdr w:val="none" w:sz="0" w:space="0" w:color="auto" w:frame="1"/>
        </w:rPr>
        <w:t>)</w:t>
      </w:r>
      <w:r w:rsidR="00982394">
        <w:rPr>
          <w:rFonts w:ascii="Franklin Gothic Book" w:hAnsi="Franklin Gothic Book"/>
          <w:color w:val="000000"/>
          <w:bdr w:val="none" w:sz="0" w:space="0" w:color="auto" w:frame="1"/>
        </w:rPr>
        <w:t xml:space="preserve">, then through the budget override) to ensure </w:t>
      </w:r>
      <w:r w:rsidR="00CE6DAB">
        <w:rPr>
          <w:rFonts w:ascii="Franklin Gothic Book" w:hAnsi="Franklin Gothic Book"/>
          <w:color w:val="000000"/>
          <w:bdr w:val="none" w:sz="0" w:space="0" w:color="auto" w:frame="1"/>
        </w:rPr>
        <w:t>s</w:t>
      </w:r>
      <w:r w:rsidR="008F301D">
        <w:rPr>
          <w:rFonts w:ascii="Franklin Gothic Book" w:hAnsi="Franklin Gothic Book"/>
          <w:color w:val="000000"/>
          <w:bdr w:val="none" w:sz="0" w:space="0" w:color="auto" w:frame="1"/>
        </w:rPr>
        <w:t>ufficient staff for tiered interventions.</w:t>
      </w:r>
      <w:r w:rsidR="008F301D" w:rsidRPr="008F301D">
        <w:t xml:space="preserve"> </w:t>
      </w:r>
      <w:r w:rsidR="008F301D">
        <w:t>These staff include two reading specialists, a math</w:t>
      </w:r>
      <w:r w:rsidR="00D15EEA">
        <w:t>ematics</w:t>
      </w:r>
      <w:r w:rsidR="008F301D">
        <w:t xml:space="preserve"> specialist, and additional reading and math</w:t>
      </w:r>
      <w:r w:rsidR="00D15EEA">
        <w:t>ematics</w:t>
      </w:r>
      <w:r w:rsidR="008F301D">
        <w:t xml:space="preserve"> interventionists at the elementary schools. The district also added a guidance counselor at each elementary school and more adjustment counselors and </w:t>
      </w:r>
      <w:r w:rsidR="00E10E64">
        <w:t xml:space="preserve">specialists </w:t>
      </w:r>
      <w:r w:rsidR="008F301D">
        <w:t>at the middle and high schools</w:t>
      </w:r>
      <w:r w:rsidR="0036565D">
        <w:rPr>
          <w:rFonts w:ascii="Franklin Gothic Book" w:hAnsi="Franklin Gothic Book"/>
          <w:color w:val="000000"/>
          <w:bdr w:val="none" w:sz="0" w:space="0" w:color="auto" w:frame="1"/>
        </w:rPr>
        <w:t>.</w:t>
      </w:r>
      <w:r w:rsidR="00D47E43">
        <w:rPr>
          <w:rFonts w:ascii="Franklin Gothic Book" w:hAnsi="Franklin Gothic Book"/>
          <w:color w:val="000000"/>
          <w:bdr w:val="none" w:sz="0" w:space="0" w:color="auto" w:frame="1"/>
        </w:rPr>
        <w:t xml:space="preserve"> As </w:t>
      </w:r>
      <w:r w:rsidR="008F301D">
        <w:rPr>
          <w:rFonts w:ascii="Franklin Gothic Book" w:hAnsi="Franklin Gothic Book"/>
          <w:color w:val="000000"/>
          <w:bdr w:val="none" w:sz="0" w:space="0" w:color="auto" w:frame="1"/>
        </w:rPr>
        <w:t>mentioned</w:t>
      </w:r>
      <w:r w:rsidR="00D47E43">
        <w:rPr>
          <w:rFonts w:ascii="Franklin Gothic Book" w:hAnsi="Franklin Gothic Book"/>
          <w:color w:val="000000"/>
          <w:bdr w:val="none" w:sz="0" w:space="0" w:color="auto" w:frame="1"/>
        </w:rPr>
        <w:t xml:space="preserve"> in the Curriculum Use section, the </w:t>
      </w:r>
      <w:r w:rsidR="00987970">
        <w:t>district also provide</w:t>
      </w:r>
      <w:r w:rsidR="0047262E">
        <w:t>s</w:t>
      </w:r>
      <w:r w:rsidR="00987970">
        <w:t xml:space="preserve"> professional development on UDL principles to support inclusive and effective Tier 1 instruction. Finally, the district commissioned </w:t>
      </w:r>
      <w:r w:rsidR="009F5017">
        <w:t xml:space="preserve">an evaluation of its </w:t>
      </w:r>
      <w:r w:rsidR="0047262E">
        <w:t>s</w:t>
      </w:r>
      <w:r w:rsidR="009F5017">
        <w:t xml:space="preserve">pecial </w:t>
      </w:r>
      <w:r w:rsidR="0047262E">
        <w:t>e</w:t>
      </w:r>
      <w:r w:rsidR="009F5017">
        <w:t>ducation department in fall 2023 to guide continuous improvement efforts.</w:t>
      </w:r>
      <w:r w:rsidR="009F5017" w:rsidRPr="009F5017">
        <w:rPr>
          <w:rFonts w:ascii="Times New Roman" w:eastAsia="Times New Roman" w:hAnsi="Times New Roman" w:cs="Times New Roman"/>
          <w:sz w:val="24"/>
          <w:szCs w:val="24"/>
        </w:rPr>
        <w:t xml:space="preserve"> </w:t>
      </w:r>
      <w:r w:rsidR="009F5017" w:rsidRPr="009F5017">
        <w:t>Hingham</w:t>
      </w:r>
      <w:r w:rsidR="0047262E">
        <w:t>’</w:t>
      </w:r>
      <w:r w:rsidR="009F5017" w:rsidRPr="009F5017">
        <w:t xml:space="preserve">s </w:t>
      </w:r>
      <w:r w:rsidR="009F5017" w:rsidRPr="009F5017">
        <w:lastRenderedPageBreak/>
        <w:t xml:space="preserve">dedication to strengthening MTSS and </w:t>
      </w:r>
      <w:r w:rsidR="0047262E">
        <w:t>s</w:t>
      </w:r>
      <w:r w:rsidR="009F5017" w:rsidRPr="009F5017">
        <w:t xml:space="preserve">pecial </w:t>
      </w:r>
      <w:r w:rsidR="0047262E">
        <w:t>e</w:t>
      </w:r>
      <w:r w:rsidR="009F5017" w:rsidRPr="009F5017">
        <w:t>ducation services</w:t>
      </w:r>
      <w:r w:rsidR="009F5017">
        <w:t xml:space="preserve"> to </w:t>
      </w:r>
      <w:r w:rsidR="009F5017" w:rsidRPr="009F5017">
        <w:t>promote equity and inclusion for all students</w:t>
      </w:r>
      <w:r w:rsidR="009F5017">
        <w:t xml:space="preserve"> is a strength for the district.</w:t>
      </w:r>
    </w:p>
    <w:p w14:paraId="47459064" w14:textId="11EA0F42" w:rsidR="00A53723" w:rsidRPr="0082298C" w:rsidRDefault="00A53723" w:rsidP="0080133B">
      <w:pPr>
        <w:pStyle w:val="BodyText"/>
      </w:pPr>
      <w:r>
        <w:t xml:space="preserve">Despite these efforts, district leaders described efforts to implement MTSS systems and processes as emergent. As described in the 2023 </w:t>
      </w:r>
      <w:r w:rsidR="004B2218">
        <w:t>special education</w:t>
      </w:r>
      <w:r>
        <w:t xml:space="preserve"> evaluation, “</w:t>
      </w:r>
      <w:r w:rsidR="0047262E">
        <w:t>T</w:t>
      </w:r>
      <w:r>
        <w:t>here are pockets of Tiered Instruction occurring, especially at the elementary level</w:t>
      </w:r>
      <w:r w:rsidR="007E0492">
        <w:t>.”</w:t>
      </w:r>
      <w:r>
        <w:t xml:space="preserve"> </w:t>
      </w:r>
      <w:r w:rsidR="007E0492">
        <w:t>As</w:t>
      </w:r>
      <w:r>
        <w:t xml:space="preserve"> outlined by the </w:t>
      </w:r>
      <w:r w:rsidR="0047262E">
        <w:t>District Curriculum Accommodation Plan (</w:t>
      </w:r>
      <w:r>
        <w:t>DCAP</w:t>
      </w:r>
      <w:r w:rsidR="0047262E">
        <w:t>)</w:t>
      </w:r>
      <w:r>
        <w:t xml:space="preserve">, each school should have an IST </w:t>
      </w:r>
      <w:r w:rsidR="00943E5C">
        <w:t>consisting of</w:t>
      </w:r>
      <w:r>
        <w:t xml:space="preserve"> administrators, counselors, and specialists </w:t>
      </w:r>
      <w:r w:rsidR="00537DD8">
        <w:t xml:space="preserve">who meet </w:t>
      </w:r>
      <w:r>
        <w:t xml:space="preserve">regularly to review referrals and student data and assign interventions. Support staff at the elementary schools confirmed that each school has an IST that meets </w:t>
      </w:r>
      <w:r w:rsidR="0047262E">
        <w:t xml:space="preserve">approximately </w:t>
      </w:r>
      <w:r>
        <w:t>every 12 school days to review teacher- or parent-initiated referrals, assign interventions, and engage in progress monitoring using a 6-8</w:t>
      </w:r>
      <w:r w:rsidR="00EE564C">
        <w:t xml:space="preserve"> week</w:t>
      </w:r>
      <w:r>
        <w:t xml:space="preserve"> cycle. </w:t>
      </w:r>
      <w:r w:rsidR="0047262E">
        <w:t xml:space="preserve">Although </w:t>
      </w:r>
      <w:r w:rsidR="00D63D73">
        <w:t xml:space="preserve">MTSS processes are more developed at the elementary level, district leaders acknowledged that the “word is still spreading” about IST at the middle and high schools, and no clear structure or system </w:t>
      </w:r>
      <w:r w:rsidR="0047262E">
        <w:t xml:space="preserve">currently exists </w:t>
      </w:r>
      <w:r w:rsidR="00D63D73">
        <w:t xml:space="preserve">for identifying </w:t>
      </w:r>
      <w:r w:rsidR="006D4AEC">
        <w:t>students.</w:t>
      </w:r>
      <w:r w:rsidR="0056606D" w:rsidRPr="0056606D">
        <w:t xml:space="preserve"> </w:t>
      </w:r>
      <w:r>
        <w:t>At the middle school, an IST does not meet regularly, but counselors will instead consult with teachers</w:t>
      </w:r>
      <w:r w:rsidRPr="007D79BD">
        <w:t xml:space="preserve"> directly about student needs. Support staff at the high school level acknowledged that an IST exists, </w:t>
      </w:r>
      <w:r w:rsidR="0047262E">
        <w:t xml:space="preserve">but </w:t>
      </w:r>
      <w:r w:rsidRPr="007D79BD">
        <w:t>“</w:t>
      </w:r>
      <w:r>
        <w:t>w</w:t>
      </w:r>
      <w:r w:rsidRPr="007D79BD">
        <w:t>e definitely could be better about the consistency of meeting.”</w:t>
      </w:r>
    </w:p>
    <w:p w14:paraId="52C12F75" w14:textId="029F0435" w:rsidR="00A53723" w:rsidRPr="001A200C" w:rsidRDefault="0047262E" w:rsidP="0080133B">
      <w:pPr>
        <w:pStyle w:val="BodyText"/>
      </w:pPr>
      <w:r>
        <w:t xml:space="preserve">Although </w:t>
      </w:r>
      <w:r w:rsidR="00A53723">
        <w:t>a DCAP exists, it is not well</w:t>
      </w:r>
      <w:r>
        <w:t xml:space="preserve"> </w:t>
      </w:r>
      <w:r w:rsidR="00A53723">
        <w:t xml:space="preserve">understood by staff, according to accounts from district leaders and school staff, along with the 2023 </w:t>
      </w:r>
      <w:r>
        <w:t xml:space="preserve">special education </w:t>
      </w:r>
      <w:r w:rsidR="00A53723">
        <w:t xml:space="preserve">report. </w:t>
      </w:r>
      <w:r w:rsidR="00B005E2">
        <w:t xml:space="preserve">One district leader acknowledged that institutionalizing the DCAP is an area of growth, which is why </w:t>
      </w:r>
      <w:r w:rsidR="00A935AF">
        <w:t xml:space="preserve">at the time of the review </w:t>
      </w:r>
      <w:r w:rsidR="00B005E2">
        <w:t xml:space="preserve">the district is  revising it through consultation with school staff. </w:t>
      </w:r>
      <w:r w:rsidR="00A53723">
        <w:t xml:space="preserve">Both teachers and support staff described a lot of confusion and </w:t>
      </w:r>
      <w:r w:rsidR="0064367A">
        <w:t>misunderstanding</w:t>
      </w:r>
      <w:r w:rsidR="00A53723">
        <w:t xml:space="preserve">, particularly at the secondary level, </w:t>
      </w:r>
      <w:r w:rsidR="00E33C51">
        <w:t>regarding</w:t>
      </w:r>
      <w:r w:rsidR="00A53723">
        <w:t xml:space="preserve"> the purpose of </w:t>
      </w:r>
      <w:r>
        <w:t xml:space="preserve">the </w:t>
      </w:r>
      <w:r w:rsidR="00A53723">
        <w:t xml:space="preserve">IST and tiered interventions. At </w:t>
      </w:r>
      <w:r w:rsidR="00A6019C">
        <w:t xml:space="preserve">the </w:t>
      </w:r>
      <w:r w:rsidR="004764E7">
        <w:t>middle</w:t>
      </w:r>
      <w:r w:rsidR="00A53723">
        <w:t xml:space="preserve"> school,</w:t>
      </w:r>
      <w:r w:rsidR="0072136B">
        <w:t xml:space="preserve"> </w:t>
      </w:r>
      <w:r w:rsidR="00A53723">
        <w:t xml:space="preserve">teachers and families </w:t>
      </w:r>
      <w:r w:rsidR="00A935AF">
        <w:t xml:space="preserve">described feeling </w:t>
      </w:r>
      <w:r w:rsidR="00A53723" w:rsidRPr="001A200C">
        <w:t>hesitant to make a referral because they do</w:t>
      </w:r>
      <w:r>
        <w:t xml:space="preserve"> </w:t>
      </w:r>
      <w:r w:rsidR="00A53723" w:rsidRPr="001A200C">
        <w:t>n</w:t>
      </w:r>
      <w:r>
        <w:t>o</w:t>
      </w:r>
      <w:r w:rsidR="00A53723" w:rsidRPr="001A200C">
        <w:t xml:space="preserve">t see any interventions or actions usually </w:t>
      </w:r>
      <w:r w:rsidR="00DB052F">
        <w:t>emerging from</w:t>
      </w:r>
      <w:r w:rsidR="00A53723" w:rsidRPr="001A200C">
        <w:t xml:space="preserve"> the IST process</w:t>
      </w:r>
      <w:r w:rsidR="00A53723">
        <w:t xml:space="preserve">. </w:t>
      </w:r>
      <w:r w:rsidR="00876756">
        <w:t xml:space="preserve">Clarifying the purpose of the IST teams </w:t>
      </w:r>
      <w:r w:rsidR="00CC227B">
        <w:t xml:space="preserve">for staff </w:t>
      </w:r>
      <w:r w:rsidR="00876756">
        <w:t>and s</w:t>
      </w:r>
      <w:r w:rsidR="007630B9">
        <w:t>trengthening the consistency and effectiveness of MTSS processes at the middle and high schools is an area of growth for the district.</w:t>
      </w:r>
    </w:p>
    <w:p w14:paraId="7E5934E8" w14:textId="33385836" w:rsidR="00CA4C7F" w:rsidRPr="00CA4C7F" w:rsidRDefault="00CA4C7F" w:rsidP="0080133B">
      <w:pPr>
        <w:pStyle w:val="BodyText"/>
      </w:pPr>
      <w:r w:rsidRPr="00CA4C7F">
        <w:t>District documents and interviews with school staff indicate that schools offer a variety of tiered interventions. At each elementary school, students receive two daily intervention blocks for math</w:t>
      </w:r>
      <w:r w:rsidR="00D15EEA">
        <w:t>ematics</w:t>
      </w:r>
      <w:r w:rsidRPr="00CA4C7F">
        <w:t xml:space="preserve"> and ELA instruction. As mentioned in the Assessment section, teachers use these blocks to deliver Tier 1 differentiated instruction in small groups, determined by i-Ready and DIBELS diagnostic data administered three times </w:t>
      </w:r>
      <w:r w:rsidR="00DB052F">
        <w:t>per</w:t>
      </w:r>
      <w:r w:rsidRPr="00CA4C7F">
        <w:t xml:space="preserve"> year. Students requiring more intensive Tier 2 or 3 instruction receive it from interventionists during these time blocks. For socioemotional supports, each elementary school implements Toolbox for Tier 1 </w:t>
      </w:r>
      <w:r w:rsidR="00DB052F">
        <w:t>social-emotional learning</w:t>
      </w:r>
      <w:r w:rsidRPr="00CA4C7F">
        <w:t xml:space="preserve">, group counseling as a Tier 2 support for students needing social skills development, and individual counseling and crisis management. </w:t>
      </w:r>
      <w:r w:rsidR="00F91CE2">
        <w:t xml:space="preserve">Support staff described </w:t>
      </w:r>
      <w:r w:rsidR="00DB052F">
        <w:t xml:space="preserve">using </w:t>
      </w:r>
      <w:r w:rsidR="00F91CE2">
        <w:t>additional resources (e.g.</w:t>
      </w:r>
      <w:r w:rsidR="00DB052F">
        <w:t>,</w:t>
      </w:r>
      <w:r w:rsidR="00F91CE2">
        <w:t xml:space="preserve"> Everyday Speech, Circle of Friends, Goalbook) to develop additional</w:t>
      </w:r>
      <w:r w:rsidRPr="00CA4C7F">
        <w:t xml:space="preserve"> Tier 2 and 3 supports </w:t>
      </w:r>
      <w:r w:rsidR="00F91CE2">
        <w:t>at the elementary level</w:t>
      </w:r>
      <w:r w:rsidRPr="00CA4C7F">
        <w:t>.</w:t>
      </w:r>
    </w:p>
    <w:p w14:paraId="681B8DFA" w14:textId="46788060" w:rsidR="0074415E" w:rsidRPr="001F10A9" w:rsidRDefault="00DB052F" w:rsidP="0080133B">
      <w:pPr>
        <w:pStyle w:val="BodyText"/>
      </w:pPr>
      <w:r>
        <w:t>T</w:t>
      </w:r>
      <w:r w:rsidR="00CA4C7F" w:rsidRPr="00CA4C7F">
        <w:t xml:space="preserve">iered supports are available at </w:t>
      </w:r>
      <w:r>
        <w:t xml:space="preserve">the </w:t>
      </w:r>
      <w:r w:rsidR="00CA4C7F" w:rsidRPr="00CA4C7F">
        <w:t xml:space="preserve">middle and high schools, </w:t>
      </w:r>
      <w:r>
        <w:t xml:space="preserve">but </w:t>
      </w:r>
      <w:r w:rsidR="00CA4C7F" w:rsidRPr="00CA4C7F">
        <w:t xml:space="preserve">support specialists and the </w:t>
      </w:r>
      <w:r>
        <w:t xml:space="preserve">special education </w:t>
      </w:r>
      <w:r w:rsidR="00CA4C7F" w:rsidRPr="00CA4C7F">
        <w:t>report described a lack of comprehensive Tier 2 and 3 supports accessible to all students. At the middle school, interventions include an afterschool MCAS support class (Tier 1), math</w:t>
      </w:r>
      <w:r w:rsidR="00D15EEA">
        <w:t>ematics</w:t>
      </w:r>
      <w:r w:rsidR="00CA4C7F" w:rsidRPr="00CA4C7F">
        <w:t xml:space="preserve"> and ELA labs providing small</w:t>
      </w:r>
      <w:r>
        <w:t>-</w:t>
      </w:r>
      <w:r w:rsidR="00CA4C7F" w:rsidRPr="00CA4C7F">
        <w:t xml:space="preserve">group instruction (Tier 2), and </w:t>
      </w:r>
      <w:r>
        <w:t>r</w:t>
      </w:r>
      <w:r w:rsidR="00CA4C7F" w:rsidRPr="00CA4C7F">
        <w:t xml:space="preserve">eading and </w:t>
      </w:r>
      <w:r>
        <w:t>d</w:t>
      </w:r>
      <w:r w:rsidR="00CA4C7F" w:rsidRPr="00CA4C7F">
        <w:t xml:space="preserve">ecoding instruction for individual students (Tier 3). Counselors administer Second Step lessons once a month as a Tier 1 </w:t>
      </w:r>
      <w:r w:rsidR="00CA4C7F" w:rsidRPr="00CA4C7F">
        <w:lastRenderedPageBreak/>
        <w:t>intervention. Both</w:t>
      </w:r>
      <w:r>
        <w:t xml:space="preserve"> the</w:t>
      </w:r>
      <w:r w:rsidR="00CA4C7F" w:rsidRPr="00CA4C7F">
        <w:t xml:space="preserve"> middle and high schools provide transition rooms for students returning from extended absences and adjustment counselors for individual or group counseling. The high school offers a Homework Club (Tier 1), a directed study program for organizational and executive functioning skills (Tier 2), and </w:t>
      </w:r>
      <w:r>
        <w:t>r</w:t>
      </w:r>
      <w:r w:rsidR="00CA4C7F" w:rsidRPr="00CA4C7F">
        <w:t xml:space="preserve">eading and </w:t>
      </w:r>
      <w:r>
        <w:t>d</w:t>
      </w:r>
      <w:r w:rsidR="00CA4C7F" w:rsidRPr="00CA4C7F">
        <w:t xml:space="preserve">ecoding interventions (Tier 2). For Tier 1 intervention, the high school offers a freshman advisory class and mental health programming during health class. </w:t>
      </w:r>
      <w:r w:rsidR="00FA5863">
        <w:t>In addition</w:t>
      </w:r>
      <w:r w:rsidR="00CA4C7F" w:rsidRPr="00CA4C7F">
        <w:t xml:space="preserve">, the high school </w:t>
      </w:r>
      <w:r>
        <w:t>ha</w:t>
      </w:r>
      <w:r w:rsidRPr="00CA4C7F">
        <w:t xml:space="preserve">s </w:t>
      </w:r>
      <w:r>
        <w:t>a</w:t>
      </w:r>
      <w:r w:rsidR="00CA4C7F" w:rsidRPr="00CA4C7F">
        <w:t xml:space="preserve"> Supported Learning Center for students on IEPs with intensive </w:t>
      </w:r>
      <w:r w:rsidR="00FA5863">
        <w:t>social-emotional learning</w:t>
      </w:r>
      <w:r w:rsidR="00CA4C7F" w:rsidRPr="00CA4C7F">
        <w:t xml:space="preserve"> needs, </w:t>
      </w:r>
      <w:r>
        <w:t xml:space="preserve">which </w:t>
      </w:r>
      <w:r w:rsidR="00CA4C7F" w:rsidRPr="00CA4C7F">
        <w:t>complement</w:t>
      </w:r>
      <w:r>
        <w:t>s</w:t>
      </w:r>
      <w:r w:rsidR="00CA4C7F" w:rsidRPr="00CA4C7F">
        <w:t xml:space="preserve"> the Comprehensive Learning Center and the RISE (Reaching Independence Through Structure and Education) program available at all schools.</w:t>
      </w:r>
    </w:p>
    <w:p w14:paraId="651975AE" w14:textId="17E1B885" w:rsidR="00316B8B" w:rsidRDefault="00316B8B" w:rsidP="0080133B">
      <w:pPr>
        <w:pStyle w:val="BodyText"/>
        <w:rPr>
          <w:rFonts w:ascii="Franklin Gothic Book" w:hAnsi="Franklin Gothic Book"/>
          <w:color w:val="000000"/>
          <w:bdr w:val="none" w:sz="0" w:space="0" w:color="auto" w:frame="1"/>
        </w:rPr>
      </w:pPr>
      <w:r w:rsidRPr="00316B8B">
        <w:rPr>
          <w:rFonts w:ascii="Franklin Gothic Book" w:hAnsi="Franklin Gothic Book"/>
          <w:color w:val="000000"/>
          <w:bdr w:val="none" w:sz="0" w:space="0" w:color="auto" w:frame="1"/>
        </w:rPr>
        <w:t>Despite the supports available, staff across different focus groups described feeling limited in their ability to adequately address students’ academic and soci</w:t>
      </w:r>
      <w:r w:rsidR="00A85CB7">
        <w:rPr>
          <w:rFonts w:ascii="Franklin Gothic Book" w:hAnsi="Franklin Gothic Book"/>
          <w:color w:val="000000"/>
          <w:bdr w:val="none" w:sz="0" w:space="0" w:color="auto" w:frame="1"/>
        </w:rPr>
        <w:t>al</w:t>
      </w:r>
      <w:r w:rsidRPr="00316B8B">
        <w:rPr>
          <w:rFonts w:ascii="Franklin Gothic Book" w:hAnsi="Franklin Gothic Book"/>
          <w:color w:val="000000"/>
          <w:bdr w:val="none" w:sz="0" w:space="0" w:color="auto" w:frame="1"/>
        </w:rPr>
        <w:t xml:space="preserve">-emotional needs. Staff members in one focus group expressed the need for additional interventions, such as a directed study program at the middle school or a program to help students who have missed instruction </w:t>
      </w:r>
      <w:r w:rsidR="00DB052F">
        <w:rPr>
          <w:rFonts w:ascii="Franklin Gothic Book" w:hAnsi="Franklin Gothic Book"/>
          <w:color w:val="000000"/>
          <w:bdr w:val="none" w:sz="0" w:space="0" w:color="auto" w:frame="1"/>
        </w:rPr>
        <w:t>because of</w:t>
      </w:r>
      <w:r w:rsidRPr="00316B8B">
        <w:rPr>
          <w:rFonts w:ascii="Franklin Gothic Book" w:hAnsi="Franklin Gothic Book"/>
          <w:color w:val="000000"/>
          <w:bdr w:val="none" w:sz="0" w:space="0" w:color="auto" w:frame="1"/>
        </w:rPr>
        <w:t xml:space="preserve"> chronic absenteeism. In another focus group, a staff member explained, </w:t>
      </w:r>
    </w:p>
    <w:p w14:paraId="2AF3B869" w14:textId="38C7EE8D" w:rsidR="00316B8B" w:rsidRPr="00316B8B" w:rsidRDefault="00316B8B" w:rsidP="0080133B">
      <w:pPr>
        <w:pStyle w:val="BlockQuote"/>
        <w:rPr>
          <w:bdr w:val="none" w:sz="0" w:space="0" w:color="auto" w:frame="1"/>
        </w:rPr>
      </w:pPr>
      <w:r w:rsidRPr="00316B8B">
        <w:rPr>
          <w:bdr w:val="none" w:sz="0" w:space="0" w:color="auto" w:frame="1"/>
        </w:rPr>
        <w:t>There</w:t>
      </w:r>
      <w:r w:rsidR="00DB052F">
        <w:rPr>
          <w:bdr w:val="none" w:sz="0" w:space="0" w:color="auto" w:frame="1"/>
        </w:rPr>
        <w:t>’</w:t>
      </w:r>
      <w:r w:rsidRPr="00316B8B">
        <w:rPr>
          <w:bdr w:val="none" w:sz="0" w:space="0" w:color="auto" w:frame="1"/>
        </w:rPr>
        <w:t xml:space="preserve">s </w:t>
      </w:r>
      <w:r w:rsidR="00DB052F">
        <w:rPr>
          <w:bdr w:val="none" w:sz="0" w:space="0" w:color="auto" w:frame="1"/>
        </w:rPr>
        <w:t>two</w:t>
      </w:r>
      <w:r w:rsidRPr="00316B8B">
        <w:rPr>
          <w:bdr w:val="none" w:sz="0" w:space="0" w:color="auto" w:frame="1"/>
        </w:rPr>
        <w:t xml:space="preserve"> games here in Hingham: You</w:t>
      </w:r>
      <w:r w:rsidR="00DB052F">
        <w:rPr>
          <w:bdr w:val="none" w:sz="0" w:space="0" w:color="auto" w:frame="1"/>
        </w:rPr>
        <w:t>’</w:t>
      </w:r>
      <w:r w:rsidRPr="00316B8B">
        <w:rPr>
          <w:bdr w:val="none" w:sz="0" w:space="0" w:color="auto" w:frame="1"/>
        </w:rPr>
        <w:t>re either getting a little bit of support, or you</w:t>
      </w:r>
      <w:r w:rsidR="00DB052F">
        <w:rPr>
          <w:bdr w:val="none" w:sz="0" w:space="0" w:color="auto" w:frame="1"/>
        </w:rPr>
        <w:t>’</w:t>
      </w:r>
      <w:r w:rsidRPr="00316B8B">
        <w:rPr>
          <w:bdr w:val="none" w:sz="0" w:space="0" w:color="auto" w:frame="1"/>
        </w:rPr>
        <w:t>re on a plan [referring to a 504 or IEP]. I don</w:t>
      </w:r>
      <w:r w:rsidR="006777ED">
        <w:rPr>
          <w:bdr w:val="none" w:sz="0" w:space="0" w:color="auto" w:frame="1"/>
        </w:rPr>
        <w:t>’</w:t>
      </w:r>
      <w:r w:rsidRPr="00316B8B">
        <w:rPr>
          <w:bdr w:val="none" w:sz="0" w:space="0" w:color="auto" w:frame="1"/>
        </w:rPr>
        <w:t xml:space="preserve">t feel that we have a good, solid Tier </w:t>
      </w:r>
      <w:r w:rsidR="00DB052F">
        <w:rPr>
          <w:bdr w:val="none" w:sz="0" w:space="0" w:color="auto" w:frame="1"/>
        </w:rPr>
        <w:t>2</w:t>
      </w:r>
      <w:r w:rsidR="00DB052F" w:rsidRPr="00316B8B">
        <w:rPr>
          <w:bdr w:val="none" w:sz="0" w:space="0" w:color="auto" w:frame="1"/>
        </w:rPr>
        <w:t xml:space="preserve"> </w:t>
      </w:r>
      <w:r w:rsidRPr="00316B8B">
        <w:rPr>
          <w:bdr w:val="none" w:sz="0" w:space="0" w:color="auto" w:frame="1"/>
        </w:rPr>
        <w:t>intervention for kids before they get on a plan</w:t>
      </w:r>
      <w:r w:rsidR="00DB052F">
        <w:rPr>
          <w:bdr w:val="none" w:sz="0" w:space="0" w:color="auto" w:frame="1"/>
        </w:rPr>
        <w:t xml:space="preserve"> . . . </w:t>
      </w:r>
      <w:r w:rsidRPr="00316B8B">
        <w:rPr>
          <w:bdr w:val="none" w:sz="0" w:space="0" w:color="auto" w:frame="1"/>
        </w:rPr>
        <w:t>I feel like we have a lot of pockets of support here and there but not a full continuum, structured system, or clear exit and entrance criteria to support those struggling learners that aren’t disabled.</w:t>
      </w:r>
    </w:p>
    <w:p w14:paraId="7B3E11B5" w14:textId="3BE776B2" w:rsidR="00B63C26" w:rsidRDefault="00316B8B" w:rsidP="0080133B">
      <w:pPr>
        <w:pStyle w:val="BodyText"/>
        <w:rPr>
          <w:bdr w:val="none" w:sz="0" w:space="0" w:color="auto" w:frame="1"/>
        </w:rPr>
      </w:pPr>
      <w:r w:rsidRPr="00316B8B">
        <w:rPr>
          <w:bdr w:val="none" w:sz="0" w:space="0" w:color="auto" w:frame="1"/>
        </w:rPr>
        <w:t xml:space="preserve">Aligned with these findings, the </w:t>
      </w:r>
      <w:r w:rsidR="002C1B3B">
        <w:rPr>
          <w:bdr w:val="none" w:sz="0" w:space="0" w:color="auto" w:frame="1"/>
        </w:rPr>
        <w:t>special education evaluation</w:t>
      </w:r>
      <w:r w:rsidR="002C1B3B" w:rsidRPr="00316B8B">
        <w:rPr>
          <w:bdr w:val="none" w:sz="0" w:space="0" w:color="auto" w:frame="1"/>
        </w:rPr>
        <w:t xml:space="preserve"> </w:t>
      </w:r>
      <w:r w:rsidRPr="00316B8B">
        <w:rPr>
          <w:bdr w:val="none" w:sz="0" w:space="0" w:color="auto" w:frame="1"/>
        </w:rPr>
        <w:t>report found that existing tiered supports usually focus on reading and math</w:t>
      </w:r>
      <w:r w:rsidR="00D15EEA">
        <w:rPr>
          <w:bdr w:val="none" w:sz="0" w:space="0" w:color="auto" w:frame="1"/>
        </w:rPr>
        <w:t>ematics</w:t>
      </w:r>
      <w:r w:rsidRPr="00316B8B">
        <w:rPr>
          <w:bdr w:val="none" w:sz="0" w:space="0" w:color="auto" w:frame="1"/>
        </w:rPr>
        <w:t xml:space="preserve"> skill development, rather than addressing general organizational or executive functioning skills. This lack of focus has led to an increase</w:t>
      </w:r>
      <w:r w:rsidR="00943E5C">
        <w:rPr>
          <w:bdr w:val="none" w:sz="0" w:space="0" w:color="auto" w:frame="1"/>
        </w:rPr>
        <w:t xml:space="preserve"> in the</w:t>
      </w:r>
      <w:r w:rsidRPr="00316B8B">
        <w:rPr>
          <w:bdr w:val="none" w:sz="0" w:space="0" w:color="auto" w:frame="1"/>
        </w:rPr>
        <w:t xml:space="preserve"> number of students referred to special education. </w:t>
      </w:r>
      <w:r w:rsidR="00445823">
        <w:rPr>
          <w:bdr w:val="none" w:sz="0" w:space="0" w:color="auto" w:frame="1"/>
        </w:rPr>
        <w:t>Increasing</w:t>
      </w:r>
      <w:r w:rsidRPr="00316B8B">
        <w:rPr>
          <w:bdr w:val="none" w:sz="0" w:space="0" w:color="auto" w:frame="1"/>
        </w:rPr>
        <w:t xml:space="preserve"> the number </w:t>
      </w:r>
      <w:r w:rsidR="00445823">
        <w:rPr>
          <w:bdr w:val="none" w:sz="0" w:space="0" w:color="auto" w:frame="1"/>
        </w:rPr>
        <w:t>and effectiveness of</w:t>
      </w:r>
      <w:r w:rsidRPr="00316B8B">
        <w:rPr>
          <w:bdr w:val="none" w:sz="0" w:space="0" w:color="auto" w:frame="1"/>
        </w:rPr>
        <w:t xml:space="preserve"> tiered academic interventions available at the middle and high school</w:t>
      </w:r>
      <w:r w:rsidR="00B407D3">
        <w:rPr>
          <w:bdr w:val="none" w:sz="0" w:space="0" w:color="auto" w:frame="1"/>
        </w:rPr>
        <w:t>s</w:t>
      </w:r>
      <w:r w:rsidRPr="00316B8B">
        <w:rPr>
          <w:bdr w:val="none" w:sz="0" w:space="0" w:color="auto" w:frame="1"/>
        </w:rPr>
        <w:t xml:space="preserve"> </w:t>
      </w:r>
      <w:r w:rsidR="00DE7DC1">
        <w:rPr>
          <w:bdr w:val="none" w:sz="0" w:space="0" w:color="auto" w:frame="1"/>
        </w:rPr>
        <w:t>focus</w:t>
      </w:r>
      <w:r w:rsidR="0024565F">
        <w:rPr>
          <w:bdr w:val="none" w:sz="0" w:space="0" w:color="auto" w:frame="1"/>
        </w:rPr>
        <w:t>ed</w:t>
      </w:r>
      <w:r w:rsidR="00DE7DC1">
        <w:rPr>
          <w:bdr w:val="none" w:sz="0" w:space="0" w:color="auto" w:frame="1"/>
        </w:rPr>
        <w:t xml:space="preserve"> on </w:t>
      </w:r>
      <w:r w:rsidR="000851BC">
        <w:rPr>
          <w:bdr w:val="none" w:sz="0" w:space="0" w:color="auto" w:frame="1"/>
        </w:rPr>
        <w:t xml:space="preserve">organizational and executive function skills </w:t>
      </w:r>
      <w:r w:rsidRPr="00316B8B">
        <w:rPr>
          <w:bdr w:val="none" w:sz="0" w:space="0" w:color="auto" w:frame="1"/>
        </w:rPr>
        <w:t>is an area of growth for the district.</w:t>
      </w:r>
    </w:p>
    <w:p w14:paraId="0C33D348" w14:textId="71F6F94E" w:rsidR="004B783A" w:rsidRPr="009D01E7" w:rsidRDefault="0059505A" w:rsidP="0080133B">
      <w:pPr>
        <w:pStyle w:val="BodyText"/>
        <w:rPr>
          <w:rFonts w:ascii="Franklin Gothic Book" w:hAnsi="Franklin Gothic Book"/>
          <w:color w:val="000000"/>
          <w:bdr w:val="none" w:sz="0" w:space="0" w:color="auto" w:frame="1"/>
        </w:rPr>
      </w:pPr>
      <w:r w:rsidRPr="0059505A">
        <w:t xml:space="preserve">Both district leaders and school staff described the need for additional interventions and aligned programming to address students with intensive behavioral and emotional issues. As noted in the </w:t>
      </w:r>
      <w:r w:rsidR="002C1B3B">
        <w:rPr>
          <w:rFonts w:ascii="Franklin Gothic Book" w:hAnsi="Franklin Gothic Book"/>
          <w:color w:val="000000"/>
          <w:bdr w:val="none" w:sz="0" w:space="0" w:color="auto" w:frame="1"/>
        </w:rPr>
        <w:t>special education evaluation</w:t>
      </w:r>
      <w:r w:rsidRPr="0059505A">
        <w:t xml:space="preserve"> report, </w:t>
      </w:r>
      <w:r w:rsidR="00DB052F">
        <w:t>although</w:t>
      </w:r>
      <w:r w:rsidR="00DB052F" w:rsidRPr="0059505A">
        <w:t xml:space="preserve"> </w:t>
      </w:r>
      <w:r w:rsidRPr="0059505A">
        <w:t xml:space="preserve">the high school offers </w:t>
      </w:r>
      <w:r w:rsidR="00DB052F">
        <w:t>t</w:t>
      </w:r>
      <w:r w:rsidRPr="0059505A">
        <w:t xml:space="preserve">he Supported Learning Center for students on IEPs, no similar program exists at the elementary or middle school levels. </w:t>
      </w:r>
      <w:r w:rsidR="006F4FE3">
        <w:t>Likewise, e</w:t>
      </w:r>
      <w:r w:rsidRPr="0059505A">
        <w:t xml:space="preserve">lementary school support staff emphasized the need for </w:t>
      </w:r>
      <w:r w:rsidR="00D8005E">
        <w:t>sub</w:t>
      </w:r>
      <w:r w:rsidR="00AC0853">
        <w:t xml:space="preserve">stantially </w:t>
      </w:r>
      <w:r w:rsidR="00D8005E">
        <w:t>sep</w:t>
      </w:r>
      <w:r w:rsidR="0024565F">
        <w:t>a</w:t>
      </w:r>
      <w:r w:rsidR="00D8005E">
        <w:t>rate</w:t>
      </w:r>
      <w:r w:rsidRPr="0059505A">
        <w:t xml:space="preserve"> </w:t>
      </w:r>
      <w:r w:rsidR="00FA5863">
        <w:t>social-emotional learning</w:t>
      </w:r>
      <w:r w:rsidRPr="0059505A">
        <w:t xml:space="preserve"> classrooms, explaining that students with severe emotional issues hinder their ability to deliver academic </w:t>
      </w:r>
      <w:r w:rsidR="006F4FE3" w:rsidRPr="0059505A">
        <w:t>interventions.</w:t>
      </w:r>
      <w:r w:rsidR="00E41680" w:rsidRPr="0059505A">
        <w:rPr>
          <w:rFonts w:ascii="Franklin Gothic Book" w:hAnsi="Franklin Gothic Book"/>
          <w:color w:val="000000"/>
          <w:bdr w:val="none" w:sz="0" w:space="0" w:color="auto" w:frame="1"/>
        </w:rPr>
        <w:t xml:space="preserve"> District leaders recognized this challenge and </w:t>
      </w:r>
      <w:r>
        <w:rPr>
          <w:rFonts w:ascii="Franklin Gothic Book" w:hAnsi="Franklin Gothic Book"/>
          <w:color w:val="000000"/>
          <w:bdr w:val="none" w:sz="0" w:space="0" w:color="auto" w:frame="1"/>
        </w:rPr>
        <w:t xml:space="preserve">reported planning </w:t>
      </w:r>
      <w:r w:rsidR="006F4FE3">
        <w:rPr>
          <w:rFonts w:ascii="Franklin Gothic Book" w:hAnsi="Franklin Gothic Book"/>
          <w:color w:val="000000"/>
          <w:bdr w:val="none" w:sz="0" w:space="0" w:color="auto" w:frame="1"/>
        </w:rPr>
        <w:t>the creation of</w:t>
      </w:r>
      <w:r w:rsidR="0028343A" w:rsidRPr="0059505A">
        <w:rPr>
          <w:rFonts w:ascii="Franklin Gothic Book" w:hAnsi="Franklin Gothic Book"/>
          <w:color w:val="000000"/>
          <w:bdr w:val="none" w:sz="0" w:space="0" w:color="auto" w:frame="1"/>
        </w:rPr>
        <w:t xml:space="preserve"> a more intensive social-</w:t>
      </w:r>
      <w:r w:rsidR="0028343A" w:rsidRPr="009D01E7">
        <w:rPr>
          <w:rFonts w:ascii="Franklin Gothic Book" w:hAnsi="Franklin Gothic Book"/>
          <w:color w:val="000000"/>
          <w:bdr w:val="none" w:sz="0" w:space="0" w:color="auto" w:frame="1"/>
        </w:rPr>
        <w:t>emotional program at each school, starting with the elementar</w:t>
      </w:r>
      <w:r w:rsidR="001D4B37" w:rsidRPr="009D01E7">
        <w:rPr>
          <w:rFonts w:ascii="Franklin Gothic Book" w:hAnsi="Franklin Gothic Book"/>
          <w:color w:val="000000"/>
          <w:bdr w:val="none" w:sz="0" w:space="0" w:color="auto" w:frame="1"/>
        </w:rPr>
        <w:t>y schools</w:t>
      </w:r>
      <w:r w:rsidR="005947D3" w:rsidRPr="009D01E7">
        <w:rPr>
          <w:rFonts w:ascii="Franklin Gothic Book" w:hAnsi="Franklin Gothic Book"/>
          <w:color w:val="000000"/>
          <w:bdr w:val="none" w:sz="0" w:space="0" w:color="auto" w:frame="1"/>
        </w:rPr>
        <w:t xml:space="preserve"> in the 2025-2026 school year.</w:t>
      </w:r>
    </w:p>
    <w:p w14:paraId="22C7114D" w14:textId="681D7984" w:rsidR="008131E4" w:rsidRDefault="009D01E7" w:rsidP="0080133B">
      <w:pPr>
        <w:pStyle w:val="BodyText"/>
        <w:rPr>
          <w:rFonts w:ascii="Franklin Gothic Book" w:hAnsi="Franklin Gothic Book"/>
          <w:color w:val="000000"/>
          <w:bdr w:val="none" w:sz="0" w:space="0" w:color="auto" w:frame="1"/>
        </w:rPr>
      </w:pPr>
      <w:r>
        <w:t xml:space="preserve">Another area for growth for the district is engaging parents meaningfully and </w:t>
      </w:r>
      <w:r w:rsidR="00EC5EB5">
        <w:t>developing a collaborative approach</w:t>
      </w:r>
      <w:r w:rsidR="00BC2574">
        <w:t xml:space="preserve"> between parents and the school district</w:t>
      </w:r>
      <w:r w:rsidR="00EC5EB5">
        <w:t xml:space="preserve"> to</w:t>
      </w:r>
      <w:r>
        <w:t xml:space="preserve"> </w:t>
      </w:r>
      <w:r w:rsidR="00BC2574">
        <w:t>ensure appropriate</w:t>
      </w:r>
      <w:r>
        <w:t xml:space="preserve"> </w:t>
      </w:r>
      <w:r w:rsidR="002C1B3B">
        <w:t xml:space="preserve">special education </w:t>
      </w:r>
      <w:r w:rsidR="005362F6">
        <w:t>service delivery</w:t>
      </w:r>
      <w:r>
        <w:t>.</w:t>
      </w:r>
      <w:r w:rsidR="00AF2861">
        <w:t xml:space="preserve"> One district leader described a historic “lack of trust and a lot of animosity” between the district and parents of students receiving special education services. In one focus </w:t>
      </w:r>
      <w:r w:rsidR="00CD1C7D">
        <w:t xml:space="preserve">group, </w:t>
      </w:r>
      <w:r w:rsidR="007143E5">
        <w:t>multiple parents</w:t>
      </w:r>
      <w:r w:rsidR="00F639D9">
        <w:t xml:space="preserve"> mentioned</w:t>
      </w:r>
      <w:r>
        <w:t xml:space="preserve"> instances of the district being noncompliant with </w:t>
      </w:r>
      <w:r w:rsidR="00783BA9">
        <w:t xml:space="preserve">special education </w:t>
      </w:r>
      <w:r>
        <w:t xml:space="preserve">and 504 procedures, resulting in their children receiving inadequate services. Parents also expressed frustration at what they perceived as a lack of responsiveness from the district on these issues. A 2019 </w:t>
      </w:r>
      <w:r w:rsidR="00DB052F">
        <w:t>n</w:t>
      </w:r>
      <w:r>
        <w:t xml:space="preserve">eeds </w:t>
      </w:r>
      <w:r w:rsidR="00DB052F">
        <w:t>a</w:t>
      </w:r>
      <w:r>
        <w:t xml:space="preserve">ssessment of </w:t>
      </w:r>
      <w:r w:rsidR="00783BA9">
        <w:rPr>
          <w:rFonts w:ascii="Franklin Gothic Book" w:hAnsi="Franklin Gothic Book"/>
          <w:color w:val="000000"/>
          <w:bdr w:val="none" w:sz="0" w:space="0" w:color="auto" w:frame="1"/>
        </w:rPr>
        <w:t xml:space="preserve">special education </w:t>
      </w:r>
      <w:r>
        <w:t xml:space="preserve">programming at the middle school </w:t>
      </w:r>
      <w:r>
        <w:lastRenderedPageBreak/>
        <w:t xml:space="preserve">found that less than half of surveyed parents were satisfied with the available programming. Both the </w:t>
      </w:r>
      <w:r w:rsidR="00DB052F">
        <w:t>n</w:t>
      </w:r>
      <w:r>
        <w:t xml:space="preserve">eeds </w:t>
      </w:r>
      <w:r w:rsidR="00DB052F">
        <w:t>a</w:t>
      </w:r>
      <w:r>
        <w:t xml:space="preserve">ssessment and the 2023 </w:t>
      </w:r>
      <w:r w:rsidR="00783BA9">
        <w:rPr>
          <w:rFonts w:ascii="Franklin Gothic Book" w:hAnsi="Franklin Gothic Book"/>
          <w:color w:val="000000"/>
          <w:bdr w:val="none" w:sz="0" w:space="0" w:color="auto" w:frame="1"/>
        </w:rPr>
        <w:t>special education evaluation</w:t>
      </w:r>
      <w:r w:rsidR="00783BA9" w:rsidRPr="00316B8B">
        <w:rPr>
          <w:rFonts w:ascii="Franklin Gothic Book" w:hAnsi="Franklin Gothic Book"/>
          <w:color w:val="000000"/>
          <w:bdr w:val="none" w:sz="0" w:space="0" w:color="auto" w:frame="1"/>
        </w:rPr>
        <w:t xml:space="preserve"> </w:t>
      </w:r>
      <w:r>
        <w:t>report</w:t>
      </w:r>
      <w:r w:rsidR="00CD1C7D">
        <w:t xml:space="preserve"> </w:t>
      </w:r>
      <w:r>
        <w:t xml:space="preserve">identified district-level issues with engaging parents properly in the IEP process. </w:t>
      </w:r>
      <w:r w:rsidR="0041605F">
        <w:t>These issues</w:t>
      </w:r>
      <w:r>
        <w:t xml:space="preserve"> included inconsistently providing parents with IEP meeting notes, not notifying parents of vacancies in their child’s service delivery, and using overly technical jargon that parents found difficult to understand. The 2023 report recommended protocols and processes for more meaningful and standardized parent engagement in </w:t>
      </w:r>
      <w:r w:rsidR="006B7DCC">
        <w:t xml:space="preserve">the </w:t>
      </w:r>
      <w:r w:rsidR="00783BA9">
        <w:rPr>
          <w:rFonts w:ascii="Franklin Gothic Book" w:hAnsi="Franklin Gothic Book"/>
          <w:color w:val="000000"/>
          <w:bdr w:val="none" w:sz="0" w:space="0" w:color="auto" w:frame="1"/>
        </w:rPr>
        <w:t xml:space="preserve">special education </w:t>
      </w:r>
      <w:r w:rsidR="006B7DCC">
        <w:t>tiered support process</w:t>
      </w:r>
      <w:r w:rsidR="006C2842">
        <w:t>;</w:t>
      </w:r>
      <w:r w:rsidR="002B1407">
        <w:t xml:space="preserve"> </w:t>
      </w:r>
      <w:r w:rsidR="006C2842">
        <w:t xml:space="preserve">their implementation </w:t>
      </w:r>
      <w:r w:rsidR="00112220">
        <w:t>is an area of growth for the district.</w:t>
      </w:r>
    </w:p>
    <w:p w14:paraId="59695C6E" w14:textId="68363B4E" w:rsidR="00B827DE" w:rsidRDefault="00B827DE" w:rsidP="00B827DE">
      <w:pPr>
        <w:pStyle w:val="Heading3"/>
      </w:pPr>
      <w:bookmarkStart w:id="55" w:name="_Family,_Student,_and"/>
      <w:bookmarkEnd w:id="55"/>
      <w:r w:rsidRPr="00CB0607">
        <w:t>Family, Student, and Community Engagement and Partnerships</w:t>
      </w:r>
    </w:p>
    <w:p w14:paraId="5194DB07" w14:textId="43F04EFF" w:rsidR="00883386" w:rsidRDefault="00AA0C39" w:rsidP="0080133B">
      <w:pPr>
        <w:pStyle w:val="BodyTextposthead"/>
      </w:pPr>
      <w:r>
        <w:t>Hingham</w:t>
      </w:r>
      <w:r w:rsidRPr="00A01F49">
        <w:t xml:space="preserve"> recognizes the importance of and has established opportunities toward engaging parents, families, and students in two-way communication and decision making</w:t>
      </w:r>
      <w:r w:rsidR="0098360B">
        <w:t xml:space="preserve">. </w:t>
      </w:r>
      <w:r w:rsidR="0098360B" w:rsidRPr="00A01F49">
        <w:t>As outlined in the</w:t>
      </w:r>
      <w:r w:rsidR="0098360B">
        <w:t xml:space="preserve"> </w:t>
      </w:r>
      <w:r w:rsidR="0098360B" w:rsidRPr="00883386">
        <w:rPr>
          <w:i/>
          <w:iCs/>
        </w:rPr>
        <w:t>District</w:t>
      </w:r>
      <w:r w:rsidR="0098360B" w:rsidRPr="00A01F49">
        <w:t xml:space="preserve"> </w:t>
      </w:r>
      <w:r w:rsidR="0098360B" w:rsidRPr="00883386">
        <w:rPr>
          <w:i/>
          <w:iCs/>
        </w:rPr>
        <w:t>Strategic Plan</w:t>
      </w:r>
      <w:r w:rsidR="0098360B" w:rsidRPr="00A01F49">
        <w:t xml:space="preserve"> and echoed by </w:t>
      </w:r>
      <w:r w:rsidR="0098360B">
        <w:t>district and school leaders</w:t>
      </w:r>
      <w:r w:rsidR="0098360B" w:rsidRPr="00A01F49">
        <w:t xml:space="preserve">, </w:t>
      </w:r>
      <w:r w:rsidR="006D743D">
        <w:t xml:space="preserve">forming partnerships between families, school, and the community </w:t>
      </w:r>
      <w:r w:rsidR="0098360B" w:rsidRPr="00A01F49">
        <w:t>has been a strategic focus for the district</w:t>
      </w:r>
      <w:r w:rsidR="006D743D">
        <w:t>.</w:t>
      </w:r>
      <w:r w:rsidR="003E4AD7">
        <w:t xml:space="preserve"> </w:t>
      </w:r>
      <w:r w:rsidR="00465B92">
        <w:t>T</w:t>
      </w:r>
      <w:r w:rsidR="00C83749">
        <w:t xml:space="preserve">he district created a communications plan to increase stakeholder engagement. As part of the plan, the district conducted surveys in fall 2022 and </w:t>
      </w:r>
      <w:r w:rsidR="00DB052F">
        <w:t xml:space="preserve">fall </w:t>
      </w:r>
      <w:r w:rsidR="00C83749">
        <w:t>2023 to evaluate current communication strategies and identify areas for improvement. The district also implemented several initiatives aligned with the communication plan, such as increasing its social media presence, offering more school events focused on transitioning between schools, and standardizing communication across schools.</w:t>
      </w:r>
    </w:p>
    <w:p w14:paraId="1A2F806A" w14:textId="25B7A197" w:rsidR="00620B9A" w:rsidRDefault="00620B9A" w:rsidP="0080133B">
      <w:pPr>
        <w:pStyle w:val="BodyText"/>
      </w:pPr>
      <w:r>
        <w:t xml:space="preserve">As a result of this plan, each school uses the same platform (SMORE) to deliver a weekly newsletter. The </w:t>
      </w:r>
      <w:r w:rsidR="00DB052F">
        <w:t>d</w:t>
      </w:r>
      <w:r>
        <w:t xml:space="preserve">epartment of </w:t>
      </w:r>
      <w:r w:rsidR="00DB052F">
        <w:t>s</w:t>
      </w:r>
      <w:r>
        <w:t xml:space="preserve">tudent </w:t>
      </w:r>
      <w:r w:rsidR="00DB052F">
        <w:t>s</w:t>
      </w:r>
      <w:r>
        <w:t xml:space="preserve">upports sends out a monthly newsletter, and the district communicates via email as events occur. To improve communication awareness and accessibility, the district released a protocol chain of command and partnered with Lexikeet Language Services to translate communications for </w:t>
      </w:r>
      <w:r w:rsidR="00DB052F">
        <w:t>EL</w:t>
      </w:r>
      <w:r>
        <w:t xml:space="preserve">s and </w:t>
      </w:r>
      <w:r w:rsidR="00DB052F">
        <w:t xml:space="preserve">their </w:t>
      </w:r>
      <w:r>
        <w:t>families. Hingham’s efforts to streamline and enhance its communication strategy represent a strength for the district.</w:t>
      </w:r>
    </w:p>
    <w:p w14:paraId="6BFB0BEE" w14:textId="682D2054" w:rsidR="00620B9A" w:rsidRDefault="00620B9A" w:rsidP="0080133B">
      <w:pPr>
        <w:pStyle w:val="BodyText"/>
      </w:pPr>
      <w:r>
        <w:t>School leaders and staff generally reported a proactive approach to communicating with parents, with one school leader explaining</w:t>
      </w:r>
      <w:r w:rsidR="00F37C12">
        <w:t xml:space="preserve"> that</w:t>
      </w:r>
      <w:r>
        <w:t xml:space="preserve"> “they [referring to parents] expect a lot, and we deliver a lot.” District and school leaders cited multiple opportunities for parents to volunteer at their schools or attend parent nights. Support staff mentioned regularly inviting parents to address issues with their children. Parents reported feeling </w:t>
      </w:r>
      <w:r w:rsidR="007D2C49">
        <w:t>well-informed</w:t>
      </w:r>
      <w:r>
        <w:t xml:space="preserve"> about school events and appreciated teachers</w:t>
      </w:r>
      <w:r w:rsidR="00F37C12">
        <w:t>’</w:t>
      </w:r>
      <w:r>
        <w:t xml:space="preserve"> and staff</w:t>
      </w:r>
      <w:r w:rsidR="00F37C12">
        <w:t>’</w:t>
      </w:r>
      <w:r>
        <w:t xml:space="preserve">s efforts to initiate outreach. However, several parents mentioned challenges with district leadership being nonresponsive, lacking transparency </w:t>
      </w:r>
      <w:r w:rsidR="00F37C12">
        <w:t xml:space="preserve">about </w:t>
      </w:r>
      <w:r>
        <w:t>public events, or being “hostile” in their responses. A district leader acknowledged “animosity” between the parents of students receiving special education services and the district (see Tiered Supports section).</w:t>
      </w:r>
    </w:p>
    <w:p w14:paraId="430394AD" w14:textId="0D5BB354" w:rsidR="00FD6CF6" w:rsidRDefault="00622110" w:rsidP="0080133B">
      <w:pPr>
        <w:pStyle w:val="BodyText"/>
      </w:pPr>
      <w:r>
        <w:t xml:space="preserve">District documents and accounts from leaders and parents outlined various leadership opportunities for parents and families, such as school councils, the PTO, and the Special Education Parent Advisory Council (SEPAC). One parent described her experience on the </w:t>
      </w:r>
      <w:r w:rsidR="00F37C12">
        <w:t>s</w:t>
      </w:r>
      <w:r>
        <w:t xml:space="preserve">chool </w:t>
      </w:r>
      <w:r w:rsidR="00F37C12">
        <w:t>c</w:t>
      </w:r>
      <w:r>
        <w:t xml:space="preserve">ouncil as very positive, calling it a “great forum for change” and a “very satisfying experience.” District and school leaders described both the PTO and SEPAC as very active, citing multiple events organized in collaboration with the school. SEPAC also </w:t>
      </w:r>
      <w:r w:rsidR="00F37C12">
        <w:t xml:space="preserve">annually </w:t>
      </w:r>
      <w:r>
        <w:t xml:space="preserve">surveys the parents of students with special needs and meets with the </w:t>
      </w:r>
      <w:r w:rsidR="00F37C12">
        <w:t>d</w:t>
      </w:r>
      <w:r>
        <w:t xml:space="preserve">irector of </w:t>
      </w:r>
      <w:r w:rsidR="00F37C12">
        <w:t>s</w:t>
      </w:r>
      <w:r>
        <w:t xml:space="preserve">tudent </w:t>
      </w:r>
      <w:r w:rsidR="00F37C12">
        <w:t>s</w:t>
      </w:r>
      <w:r>
        <w:t xml:space="preserve">upports monthly. According to another district leader </w:t>
      </w:r>
      <w:r>
        <w:lastRenderedPageBreak/>
        <w:t xml:space="preserve">and the district self-assessment, the </w:t>
      </w:r>
      <w:r w:rsidR="00F37C12">
        <w:t>s</w:t>
      </w:r>
      <w:r>
        <w:t xml:space="preserve">uperintendent meets monthly with the PTO to support collaboration and share information. </w:t>
      </w:r>
      <w:r w:rsidR="00FD6CF6">
        <w:t>As one district leader explained,</w:t>
      </w:r>
    </w:p>
    <w:p w14:paraId="3117F6F9" w14:textId="02A595D8" w:rsidR="00FD6CF6" w:rsidRPr="00FD6CF6" w:rsidRDefault="00FD6CF6" w:rsidP="0080133B">
      <w:pPr>
        <w:pStyle w:val="BlockQuote"/>
      </w:pPr>
      <w:r w:rsidRPr="00FD6CF6">
        <w:t>I do believe, you know, she meets with all the constituents in town. When there</w:t>
      </w:r>
      <w:r w:rsidR="00F37C12">
        <w:t>’</w:t>
      </w:r>
      <w:r w:rsidRPr="00FD6CF6">
        <w:t>s an opportunity for a grant, she</w:t>
      </w:r>
      <w:r w:rsidR="00F37C12">
        <w:t>’</w:t>
      </w:r>
      <w:r w:rsidRPr="00FD6CF6">
        <w:t>ll meet with those folks who can support the grant. If there</w:t>
      </w:r>
      <w:r w:rsidR="00F37C12">
        <w:t>’</w:t>
      </w:r>
      <w:r w:rsidRPr="00FD6CF6">
        <w:t>s an opportunity to do something in the school, she</w:t>
      </w:r>
      <w:r w:rsidR="00F37C12">
        <w:t>’</w:t>
      </w:r>
      <w:r w:rsidRPr="00FD6CF6">
        <w:t>ll meet with those parents. She meets with the PTOs. So I think as far as communicating, she</w:t>
      </w:r>
      <w:r w:rsidR="00F37C12">
        <w:t>’</w:t>
      </w:r>
      <w:r w:rsidRPr="00FD6CF6">
        <w:t>s out there a lot.</w:t>
      </w:r>
    </w:p>
    <w:p w14:paraId="31537558" w14:textId="53D48462" w:rsidR="003B5A56" w:rsidRDefault="003B5A56" w:rsidP="0080133B">
      <w:pPr>
        <w:pStyle w:val="BodyText"/>
      </w:pPr>
      <w:r>
        <w:t xml:space="preserve">Meaningful engagement </w:t>
      </w:r>
      <w:r w:rsidR="00A2667E">
        <w:t xml:space="preserve">with </w:t>
      </w:r>
      <w:r>
        <w:t>parent leadership groups represents a strength for the district.</w:t>
      </w:r>
    </w:p>
    <w:p w14:paraId="4454FA77" w14:textId="3B55E78F" w:rsidR="00E80A5B" w:rsidRDefault="00622110" w:rsidP="0080133B">
      <w:pPr>
        <w:pStyle w:val="BodyText"/>
      </w:pPr>
      <w:r>
        <w:t>An area for growth, according to parents and students, is providing</w:t>
      </w:r>
      <w:r w:rsidR="00F249E3">
        <w:t xml:space="preserve"> </w:t>
      </w:r>
      <w:r w:rsidR="00233BD9">
        <w:t>meaningful opportunities</w:t>
      </w:r>
      <w:r>
        <w:t xml:space="preserve"> for </w:t>
      </w:r>
      <w:r w:rsidR="00233BD9">
        <w:t xml:space="preserve">more </w:t>
      </w:r>
      <w:r>
        <w:t>youth to contribute to decision</w:t>
      </w:r>
      <w:r w:rsidR="00F37C12">
        <w:t xml:space="preserve"> </w:t>
      </w:r>
      <w:r>
        <w:t>making and planning. One parent mentioned limited opportunities for youth to participate in decision</w:t>
      </w:r>
      <w:r w:rsidR="00F37C12">
        <w:t xml:space="preserve"> </w:t>
      </w:r>
      <w:r>
        <w:t xml:space="preserve">making, with none at the elementary school level. Citing an example </w:t>
      </w:r>
      <w:r w:rsidR="00F37C12">
        <w:t xml:space="preserve">in which </w:t>
      </w:r>
      <w:r>
        <w:t>her elementary-age child wanted to provide feedback on an instructional schedule change that reduced recess time (see Classroom Instruction</w:t>
      </w:r>
      <w:r w:rsidR="00F37C12">
        <w:t xml:space="preserve"> section</w:t>
      </w:r>
      <w:r>
        <w:t xml:space="preserve">), she felt district leadership was overly reactive and dismissive. Similarly, a student in another focus group shared an experience of trying to provide feedback to an administrator and being “shot down.” In both focus groups, students could not recall any instances </w:t>
      </w:r>
      <w:r w:rsidR="00F37C12">
        <w:t xml:space="preserve">in which school </w:t>
      </w:r>
      <w:r w:rsidR="00C7149A">
        <w:t xml:space="preserve">or </w:t>
      </w:r>
      <w:r w:rsidR="00F37C12">
        <w:t>district leaders</w:t>
      </w:r>
      <w:r>
        <w:t xml:space="preserve"> asked for</w:t>
      </w:r>
      <w:r w:rsidR="00F37C12">
        <w:t xml:space="preserve"> their</w:t>
      </w:r>
      <w:r>
        <w:t xml:space="preserve"> feedback. </w:t>
      </w:r>
      <w:r w:rsidR="00F37C12">
        <w:t xml:space="preserve">Although </w:t>
      </w:r>
      <w:r>
        <w:t xml:space="preserve">the high school has a school council and </w:t>
      </w:r>
      <w:r w:rsidR="00BE1090">
        <w:t>one student</w:t>
      </w:r>
      <w:r>
        <w:t xml:space="preserve"> remembered attending a school committee meeting, </w:t>
      </w:r>
      <w:r w:rsidR="00BE1090">
        <w:t xml:space="preserve">students generally reported that </w:t>
      </w:r>
      <w:r>
        <w:t xml:space="preserve">these opportunities were not well </w:t>
      </w:r>
      <w:r w:rsidR="00D8005E">
        <w:t xml:space="preserve">promoted </w:t>
      </w:r>
      <w:r>
        <w:t>to students.</w:t>
      </w:r>
      <w:r w:rsidR="005400BC">
        <w:t xml:space="preserve"> </w:t>
      </w:r>
    </w:p>
    <w:p w14:paraId="3CA179D0" w14:textId="6904D4D5" w:rsidR="003536A5" w:rsidRPr="00F95520" w:rsidRDefault="00E80A5B" w:rsidP="0080133B">
      <w:pPr>
        <w:pStyle w:val="BodyText"/>
      </w:pPr>
      <w:r>
        <w:t>Hingham recognizes the importance of forming partnerships to address the needs of its students and families. District leaders and school staff cited multiple community partnerships that expand student support, including a partnership with Care Solace, which provides mental health coordination and services to students, families, and school staff, and a partnership with Landmark School to support the district’s language-based program. Starting in the 2024-</w:t>
      </w:r>
      <w:r w:rsidR="006777ED">
        <w:t>20</w:t>
      </w:r>
      <w:r>
        <w:t xml:space="preserve">25 school year, the district aims to partner with McLean Hospital to expand mental health support. </w:t>
      </w:r>
      <w:r w:rsidR="00FA5863">
        <w:t>The</w:t>
      </w:r>
      <w:r>
        <w:t xml:space="preserve"> district </w:t>
      </w:r>
      <w:r w:rsidR="00FA5863">
        <w:t xml:space="preserve">also </w:t>
      </w:r>
      <w:r>
        <w:t>plans to expand its dual enrollment offerings through partnerships with Quincy College, Bridgewater State University, and the University of Massachusetts. According to the district self-assessment and district leaders, the Superintendent meets monthly with representatives of these groups to facilitate collaboration with the schools and among the organizations.</w:t>
      </w:r>
    </w:p>
    <w:p w14:paraId="6F5D797E" w14:textId="2E1FAF42" w:rsidR="002B4CEF" w:rsidRDefault="002B4CEF" w:rsidP="002B4CEF">
      <w:pPr>
        <w:pStyle w:val="Heading3"/>
      </w:pPr>
      <w:r>
        <w:t>DESE Recommendations</w:t>
      </w:r>
    </w:p>
    <w:p w14:paraId="700AD2ED" w14:textId="148A1A80" w:rsidR="002B4CEF" w:rsidRPr="00221417" w:rsidRDefault="00533ED0" w:rsidP="002B4CEF">
      <w:pPr>
        <w:pStyle w:val="Bullet1"/>
        <w:rPr>
          <w:bCs/>
        </w:rPr>
      </w:pPr>
      <w:r>
        <w:rPr>
          <w:i/>
          <w:iCs/>
        </w:rPr>
        <w:t>The district should invest in services to support students’ mental health, prevent an</w:t>
      </w:r>
      <w:r w:rsidR="00E75304">
        <w:rPr>
          <w:i/>
          <w:iCs/>
        </w:rPr>
        <w:t xml:space="preserve">d address bullying, and promote a greater sense of belonging at the secondary level. </w:t>
      </w:r>
    </w:p>
    <w:p w14:paraId="5F3B4E17" w14:textId="11276C08" w:rsidR="00221417" w:rsidRPr="004502F3" w:rsidRDefault="0097626D" w:rsidP="002B4CEF">
      <w:pPr>
        <w:pStyle w:val="Bullet1"/>
        <w:rPr>
          <w:bCs/>
          <w:i/>
          <w:iCs/>
        </w:rPr>
      </w:pPr>
      <w:r w:rsidRPr="004502F3">
        <w:rPr>
          <w:bCs/>
          <w:i/>
          <w:iCs/>
        </w:rPr>
        <w:t xml:space="preserve">The district should </w:t>
      </w:r>
      <w:r w:rsidR="00505AA6">
        <w:rPr>
          <w:bCs/>
          <w:i/>
          <w:iCs/>
        </w:rPr>
        <w:t xml:space="preserve">replicate </w:t>
      </w:r>
      <w:r w:rsidRPr="004502F3">
        <w:rPr>
          <w:bCs/>
          <w:i/>
          <w:iCs/>
        </w:rPr>
        <w:t>its success</w:t>
      </w:r>
      <w:r w:rsidR="00505AA6">
        <w:rPr>
          <w:bCs/>
          <w:i/>
          <w:iCs/>
        </w:rPr>
        <w:t>es</w:t>
      </w:r>
      <w:r w:rsidRPr="004502F3">
        <w:rPr>
          <w:bCs/>
          <w:i/>
          <w:iCs/>
        </w:rPr>
        <w:t xml:space="preserve"> in implementing MTSS at the elementary level to further institutionalize the DCAP and strengthen IST and MTSS processes at the secondary level. </w:t>
      </w:r>
    </w:p>
    <w:p w14:paraId="6D757EB4" w14:textId="306825FB" w:rsidR="0097626D" w:rsidRPr="004502F3" w:rsidRDefault="0097626D" w:rsidP="002B4CEF">
      <w:pPr>
        <w:pStyle w:val="Bullet1"/>
        <w:rPr>
          <w:bCs/>
          <w:i/>
          <w:iCs/>
        </w:rPr>
      </w:pPr>
      <w:r w:rsidRPr="004502F3">
        <w:rPr>
          <w:bCs/>
          <w:i/>
          <w:iCs/>
        </w:rPr>
        <w:t>The district should assess the effectiveness and sufficiency of its existing Tier 2 and Tier 3 interventions available at the middle and high school levels and make additional interventions available</w:t>
      </w:r>
      <w:r w:rsidR="00505AA6">
        <w:rPr>
          <w:bCs/>
          <w:i/>
          <w:iCs/>
        </w:rPr>
        <w:t>,</w:t>
      </w:r>
      <w:r w:rsidRPr="004502F3">
        <w:rPr>
          <w:bCs/>
          <w:i/>
          <w:iCs/>
        </w:rPr>
        <w:t xml:space="preserve"> </w:t>
      </w:r>
      <w:r w:rsidR="00505AA6">
        <w:rPr>
          <w:bCs/>
          <w:i/>
          <w:iCs/>
        </w:rPr>
        <w:t>as needed</w:t>
      </w:r>
      <w:r w:rsidRPr="004502F3">
        <w:rPr>
          <w:bCs/>
          <w:i/>
          <w:iCs/>
        </w:rPr>
        <w:t xml:space="preserve">. </w:t>
      </w:r>
    </w:p>
    <w:p w14:paraId="0E9E77E9" w14:textId="7696306A" w:rsidR="00DE2C53" w:rsidRDefault="006A471E" w:rsidP="002B4CEF">
      <w:pPr>
        <w:pStyle w:val="Bullet1"/>
        <w:rPr>
          <w:bCs/>
          <w:i/>
          <w:iCs/>
        </w:rPr>
      </w:pPr>
      <w:r w:rsidRPr="004502F3">
        <w:rPr>
          <w:bCs/>
          <w:i/>
          <w:iCs/>
        </w:rPr>
        <w:t xml:space="preserve">The district </w:t>
      </w:r>
      <w:r w:rsidR="007349D3">
        <w:rPr>
          <w:bCs/>
          <w:i/>
          <w:iCs/>
        </w:rPr>
        <w:t>shoul</w:t>
      </w:r>
      <w:r w:rsidR="00AF15B5">
        <w:rPr>
          <w:bCs/>
          <w:i/>
          <w:iCs/>
        </w:rPr>
        <w:t xml:space="preserve">d work closely with special education administrators and service providers to </w:t>
      </w:r>
      <w:r w:rsidR="00D34FCC">
        <w:rPr>
          <w:bCs/>
          <w:i/>
          <w:iCs/>
        </w:rPr>
        <w:t xml:space="preserve">affirm </w:t>
      </w:r>
      <w:r w:rsidR="00A4214B">
        <w:rPr>
          <w:bCs/>
          <w:i/>
          <w:iCs/>
        </w:rPr>
        <w:t xml:space="preserve">trust </w:t>
      </w:r>
      <w:r w:rsidR="00D34FCC">
        <w:rPr>
          <w:bCs/>
          <w:i/>
          <w:iCs/>
        </w:rPr>
        <w:t xml:space="preserve">with families </w:t>
      </w:r>
      <w:r w:rsidR="00A4214B">
        <w:rPr>
          <w:bCs/>
          <w:i/>
          <w:iCs/>
        </w:rPr>
        <w:t>and demonstrate transparency.</w:t>
      </w:r>
    </w:p>
    <w:p w14:paraId="35B719A1" w14:textId="766A0441" w:rsidR="0097626D" w:rsidRPr="004502F3" w:rsidRDefault="00DE2C53" w:rsidP="002B4CEF">
      <w:pPr>
        <w:pStyle w:val="Bullet1"/>
        <w:rPr>
          <w:bCs/>
          <w:i/>
          <w:iCs/>
        </w:rPr>
      </w:pPr>
      <w:r>
        <w:rPr>
          <w:bCs/>
          <w:i/>
          <w:iCs/>
        </w:rPr>
        <w:lastRenderedPageBreak/>
        <w:t xml:space="preserve">The district should implement the protocols and processes identified in the 2023 special education evaluation report </w:t>
      </w:r>
      <w:r w:rsidR="005C6030">
        <w:rPr>
          <w:bCs/>
          <w:i/>
          <w:iCs/>
        </w:rPr>
        <w:t>so that parents can be more engaged in their children’s education.</w:t>
      </w:r>
      <w:r w:rsidR="00A4214B">
        <w:rPr>
          <w:bCs/>
          <w:i/>
          <w:iCs/>
        </w:rPr>
        <w:t xml:space="preserve"> </w:t>
      </w:r>
      <w:r w:rsidR="00D743F4" w:rsidRPr="004502F3">
        <w:rPr>
          <w:bCs/>
          <w:i/>
          <w:iCs/>
        </w:rPr>
        <w:t xml:space="preserve"> </w:t>
      </w:r>
    </w:p>
    <w:p w14:paraId="0F8E4C4B" w14:textId="2845902C" w:rsidR="00D743F4" w:rsidRPr="004502F3" w:rsidRDefault="00D743F4" w:rsidP="002B4CEF">
      <w:pPr>
        <w:pStyle w:val="Bullet1"/>
        <w:rPr>
          <w:bCs/>
          <w:i/>
          <w:iCs/>
        </w:rPr>
      </w:pPr>
      <w:r w:rsidRPr="004502F3">
        <w:rPr>
          <w:bCs/>
          <w:i/>
          <w:iCs/>
        </w:rPr>
        <w:t>The district shoul</w:t>
      </w:r>
      <w:r w:rsidR="00C4058B" w:rsidRPr="004502F3">
        <w:rPr>
          <w:bCs/>
          <w:i/>
          <w:iCs/>
        </w:rPr>
        <w:t>d create and</w:t>
      </w:r>
      <w:r w:rsidR="004502F3" w:rsidRPr="004502F3">
        <w:rPr>
          <w:bCs/>
          <w:i/>
          <w:iCs/>
        </w:rPr>
        <w:t xml:space="preserve"> advertise </w:t>
      </w:r>
      <w:r w:rsidR="00C4058B" w:rsidRPr="004502F3">
        <w:rPr>
          <w:bCs/>
          <w:i/>
          <w:iCs/>
        </w:rPr>
        <w:t xml:space="preserve">additional opportunities for students to participate in leadership and decision-making across all grades. </w:t>
      </w:r>
    </w:p>
    <w:p w14:paraId="2075BC88" w14:textId="41385213" w:rsidR="002B4CEF" w:rsidRPr="00CB0607" w:rsidRDefault="002B4CEF" w:rsidP="00431D68">
      <w:pPr>
        <w:pStyle w:val="BodyText"/>
      </w:pPr>
    </w:p>
    <w:p w14:paraId="4A6A5268" w14:textId="77777777" w:rsidR="008D6102" w:rsidRPr="00CB0607" w:rsidRDefault="008D6102" w:rsidP="008D6102">
      <w:pPr>
        <w:pStyle w:val="Heading2"/>
      </w:pPr>
      <w:bookmarkStart w:id="56" w:name="_Financial_and_Asset"/>
      <w:bookmarkStart w:id="57" w:name="_Toc170157279"/>
      <w:bookmarkEnd w:id="56"/>
      <w:r w:rsidRPr="00CB0607">
        <w:lastRenderedPageBreak/>
        <w:t>Financial and Asset Management</w:t>
      </w:r>
      <w:bookmarkEnd w:id="50"/>
      <w:bookmarkEnd w:id="57"/>
    </w:p>
    <w:p w14:paraId="0AA74079" w14:textId="6B0D6991" w:rsidR="00773372" w:rsidRPr="003466A4" w:rsidRDefault="00773372" w:rsidP="00773372">
      <w:pPr>
        <w:pStyle w:val="BodyText"/>
        <w:rPr>
          <w:i/>
          <w:iCs/>
        </w:rPr>
      </w:pPr>
      <w:r>
        <w:t xml:space="preserve">Hingham’s town manager and staff from the </w:t>
      </w:r>
      <w:r w:rsidR="00C74E34">
        <w:t>b</w:t>
      </w:r>
      <w:r>
        <w:t xml:space="preserve">usiness and </w:t>
      </w:r>
      <w:r w:rsidR="00C74E34">
        <w:t>s</w:t>
      </w:r>
      <w:r>
        <w:t xml:space="preserve">upport </w:t>
      </w:r>
      <w:r w:rsidR="00C74E34">
        <w:t>s</w:t>
      </w:r>
      <w:r>
        <w:t xml:space="preserve">ervices </w:t>
      </w:r>
      <w:r w:rsidR="00C74E34">
        <w:t xml:space="preserve">office </w:t>
      </w:r>
      <w:r>
        <w:t xml:space="preserve">for Hingham work closely to develop yearly and </w:t>
      </w:r>
      <w:r w:rsidR="003837CA">
        <w:t>longer-term</w:t>
      </w:r>
      <w:r>
        <w:t xml:space="preserve"> budgets. District staff </w:t>
      </w:r>
      <w:r w:rsidR="00033E0E">
        <w:t>prepares</w:t>
      </w:r>
      <w:r>
        <w:t xml:space="preserve"> budget proposals for review and approval by the school committee,</w:t>
      </w:r>
      <w:r w:rsidR="00C74E34">
        <w:t xml:space="preserve"> the</w:t>
      </w:r>
      <w:r>
        <w:t xml:space="preserve"> superintendent, and </w:t>
      </w:r>
      <w:r w:rsidR="00C74E34">
        <w:t xml:space="preserve">the </w:t>
      </w:r>
      <w:r>
        <w:t>town manager</w:t>
      </w:r>
      <w:r w:rsidR="008C330A">
        <w:t xml:space="preserve">, and all key budget documents are </w:t>
      </w:r>
      <w:r w:rsidR="00682253">
        <w:t>publicly available</w:t>
      </w:r>
      <w:r>
        <w:t>.</w:t>
      </w:r>
      <w:r w:rsidRPr="003466A4">
        <w:rPr>
          <w:i/>
          <w:iCs/>
        </w:rPr>
        <w:t xml:space="preserve"> </w:t>
      </w:r>
    </w:p>
    <w:p w14:paraId="0FD07D76" w14:textId="692CAFCA" w:rsidR="005C0018" w:rsidRDefault="00B83CC0" w:rsidP="00064F77">
      <w:pPr>
        <w:pStyle w:val="BodyText"/>
        <w:rPr>
          <w:rFonts w:ascii="Segoe UI" w:hAnsi="Segoe UI" w:cs="Segoe UI"/>
          <w:sz w:val="18"/>
          <w:szCs w:val="18"/>
        </w:rPr>
      </w:pPr>
      <w:r>
        <w:t xml:space="preserve">The town and district share responsibility for some capital planning and maintenance costs and share auditing services as well. </w:t>
      </w:r>
      <w:r w:rsidR="00064F77">
        <w:t>A</w:t>
      </w:r>
      <w:r w:rsidR="005C0018">
        <w:rPr>
          <w:rFonts w:ascii="Franklin Gothic Book" w:hAnsi="Franklin Gothic Book" w:cs="Segoe UI"/>
        </w:rPr>
        <w:t xml:space="preserve">s part of the district’s </w:t>
      </w:r>
      <w:r w:rsidR="00064F77">
        <w:rPr>
          <w:rFonts w:ascii="Franklin Gothic Book" w:hAnsi="Franklin Gothic Book" w:cs="Segoe UI"/>
        </w:rPr>
        <w:t>five-year</w:t>
      </w:r>
      <w:r w:rsidR="005C0018">
        <w:rPr>
          <w:rFonts w:ascii="Franklin Gothic Book" w:hAnsi="Franklin Gothic Book" w:cs="Segoe UI"/>
        </w:rPr>
        <w:t xml:space="preserve"> capital plan, the district is currently focusing on </w:t>
      </w:r>
      <w:r w:rsidR="00064F77">
        <w:rPr>
          <w:rFonts w:ascii="Franklin Gothic Book" w:hAnsi="Franklin Gothic Book" w:cs="Segoe UI"/>
        </w:rPr>
        <w:t>planning for a new school, substantial improvements to an existing school, and planning for ant</w:t>
      </w:r>
      <w:r w:rsidR="00D26A9F">
        <w:rPr>
          <w:rFonts w:ascii="Franklin Gothic Book" w:hAnsi="Franklin Gothic Book" w:cs="Segoe UI"/>
        </w:rPr>
        <w:t xml:space="preserve">icipated capital needs, </w:t>
      </w:r>
      <w:r w:rsidR="00472945">
        <w:rPr>
          <w:rFonts w:ascii="Franklin Gothic Book" w:hAnsi="Franklin Gothic Book" w:cs="Segoe UI"/>
        </w:rPr>
        <w:t xml:space="preserve">which </w:t>
      </w:r>
      <w:r w:rsidR="00033E0E">
        <w:rPr>
          <w:rFonts w:ascii="Franklin Gothic Book" w:hAnsi="Franklin Gothic Book" w:cs="Segoe UI"/>
        </w:rPr>
        <w:t>include</w:t>
      </w:r>
      <w:r w:rsidR="00472945">
        <w:rPr>
          <w:rFonts w:ascii="Franklin Gothic Book" w:hAnsi="Franklin Gothic Book" w:cs="Segoe UI"/>
        </w:rPr>
        <w:t xml:space="preserve"> </w:t>
      </w:r>
      <w:r w:rsidR="00D26A9F">
        <w:rPr>
          <w:rFonts w:ascii="Franklin Gothic Book" w:hAnsi="Franklin Gothic Book" w:cs="Segoe UI"/>
        </w:rPr>
        <w:t xml:space="preserve">ADA transition </w:t>
      </w:r>
      <w:r w:rsidR="00310D08">
        <w:rPr>
          <w:rFonts w:ascii="Franklin Gothic Book" w:hAnsi="Franklin Gothic Book" w:cs="Segoe UI"/>
        </w:rPr>
        <w:t>needs</w:t>
      </w:r>
      <w:r w:rsidR="00D26A9F">
        <w:rPr>
          <w:rFonts w:ascii="Franklin Gothic Book" w:hAnsi="Franklin Gothic Book" w:cs="Segoe UI"/>
        </w:rPr>
        <w:t>, new roofs for several buildings, and aging HVAC systems.</w:t>
      </w:r>
    </w:p>
    <w:p w14:paraId="542F10D1" w14:textId="44949666" w:rsidR="00494638" w:rsidRPr="00CB0607" w:rsidRDefault="00494638" w:rsidP="00B827DE">
      <w:pPr>
        <w:pStyle w:val="BodyText"/>
      </w:pPr>
      <w:r w:rsidRPr="00CB0607">
        <w:t xml:space="preserve">Table </w:t>
      </w:r>
      <w:r w:rsidR="008C36C6">
        <w:t>7</w:t>
      </w:r>
      <w:r w:rsidR="008C36C6" w:rsidRPr="00CB0607">
        <w:t xml:space="preserve"> </w:t>
      </w:r>
      <w:r w:rsidRPr="00CB0607">
        <w:t>summarizes key strengths and areas for growth in financial and asset management.</w:t>
      </w:r>
    </w:p>
    <w:p w14:paraId="127D9DF7" w14:textId="135A94AF" w:rsidR="00B827DE" w:rsidRPr="00CB0607" w:rsidRDefault="00B827DE" w:rsidP="00B827DE">
      <w:pPr>
        <w:pStyle w:val="TableTitle0"/>
      </w:pPr>
      <w:r w:rsidRPr="00CB0607">
        <w:t xml:space="preserve">Table </w:t>
      </w:r>
      <w:r w:rsidR="008C36C6">
        <w:t>7</w:t>
      </w:r>
      <w:r w:rsidRPr="00CB0607">
        <w:t xml:space="preserve">. Summary of </w:t>
      </w:r>
      <w:r w:rsidR="00494638" w:rsidRPr="00CB0607">
        <w:t xml:space="preserve">Key Strengths </w:t>
      </w:r>
      <w:r w:rsidRPr="00CB0607">
        <w:t xml:space="preserve">and </w:t>
      </w:r>
      <w:r w:rsidR="00494638" w:rsidRPr="00CB0607">
        <w:t xml:space="preserve">Areas </w:t>
      </w:r>
      <w:r w:rsidRPr="00CB0607">
        <w:t xml:space="preserve">for </w:t>
      </w:r>
      <w:r w:rsidR="00494638" w:rsidRPr="00CB0607">
        <w:t>Growth:</w:t>
      </w:r>
      <w:r w:rsidRPr="00CB0607">
        <w:t xml:space="preserve"> Financial and Asset Management</w:t>
      </w:r>
      <w:r w:rsidR="00494638" w:rsidRPr="00CB0607">
        <w:t xml:space="preserve"> Standard</w:t>
      </w:r>
    </w:p>
    <w:tbl>
      <w:tblPr>
        <w:tblStyle w:val="MSVTable1"/>
        <w:tblW w:w="5000" w:type="pct"/>
        <w:tblLook w:val="04A0" w:firstRow="1" w:lastRow="0" w:firstColumn="1" w:lastColumn="0" w:noHBand="0" w:noVBand="1"/>
      </w:tblPr>
      <w:tblGrid>
        <w:gridCol w:w="2425"/>
        <w:gridCol w:w="3507"/>
        <w:gridCol w:w="3412"/>
      </w:tblGrid>
      <w:tr w:rsidR="00B827DE" w:rsidRPr="00CB0607" w14:paraId="32BDE053"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7777777" w:rsidR="00B827DE" w:rsidRPr="00CB0607" w:rsidRDefault="00B827DE" w:rsidP="00B827DE">
            <w:pPr>
              <w:pStyle w:val="TableColHeadingCenter"/>
              <w:rPr>
                <w:bdr w:val="none" w:sz="0" w:space="0" w:color="auto" w:frame="1"/>
              </w:rPr>
            </w:pPr>
            <w:r w:rsidRPr="00CB0607">
              <w:rPr>
                <w:bdr w:val="none" w:sz="0" w:space="0" w:color="auto" w:frame="1"/>
              </w:rPr>
              <w:t>Indicator</w:t>
            </w:r>
          </w:p>
        </w:tc>
        <w:tc>
          <w:tcPr>
            <w:tcW w:w="1876" w:type="pct"/>
          </w:tcPr>
          <w:p w14:paraId="419E058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826" w:type="pct"/>
          </w:tcPr>
          <w:p w14:paraId="664651D2" w14:textId="0C40A2BC"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494638" w:rsidRPr="00CB0607">
              <w:rPr>
                <w:bdr w:val="none" w:sz="0" w:space="0" w:color="auto" w:frame="1"/>
              </w:rPr>
              <w:t>growth</w:t>
            </w:r>
          </w:p>
        </w:tc>
      </w:tr>
      <w:tr w:rsidR="00B827DE" w:rsidRPr="00CB0607" w14:paraId="6A18501A"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B8F6186" w:rsidR="00B827DE" w:rsidRPr="00CB0607" w:rsidRDefault="00000000" w:rsidP="005D13E7">
            <w:pPr>
              <w:pStyle w:val="TableSubheading"/>
              <w:rPr>
                <w:bdr w:val="none" w:sz="0" w:space="0" w:color="auto" w:frame="1"/>
              </w:rPr>
            </w:pPr>
            <w:hyperlink w:anchor="_Budget_Documentation_and" w:history="1">
              <w:r w:rsidR="00B827DE" w:rsidRPr="004A78AC">
                <w:rPr>
                  <w:rStyle w:val="Hyperlink"/>
                  <w:bdr w:val="none" w:sz="0" w:space="0" w:color="auto" w:frame="1"/>
                </w:rPr>
                <w:t xml:space="preserve">Budget </w:t>
              </w:r>
              <w:r w:rsidR="00494638" w:rsidRPr="004A78AC">
                <w:rPr>
                  <w:rStyle w:val="Hyperlink"/>
                  <w:bdr w:val="none" w:sz="0" w:space="0" w:color="auto" w:frame="1"/>
                </w:rPr>
                <w:t>d</w:t>
              </w:r>
              <w:r w:rsidR="00B827DE" w:rsidRPr="004A78AC">
                <w:rPr>
                  <w:rStyle w:val="Hyperlink"/>
                  <w:bdr w:val="none" w:sz="0" w:space="0" w:color="auto" w:frame="1"/>
                </w:rPr>
                <w:t xml:space="preserve">ocumentation and </w:t>
              </w:r>
              <w:r w:rsidR="00494638" w:rsidRPr="004A78AC">
                <w:rPr>
                  <w:rStyle w:val="Hyperlink"/>
                  <w:bdr w:val="none" w:sz="0" w:space="0" w:color="auto" w:frame="1"/>
                </w:rPr>
                <w:t>r</w:t>
              </w:r>
              <w:r w:rsidR="00B827DE" w:rsidRPr="004A78AC">
                <w:rPr>
                  <w:rStyle w:val="Hyperlink"/>
                  <w:bdr w:val="none" w:sz="0" w:space="0" w:color="auto" w:frame="1"/>
                </w:rPr>
                <w:t>eporting</w:t>
              </w:r>
            </w:hyperlink>
          </w:p>
        </w:tc>
        <w:tc>
          <w:tcPr>
            <w:tcW w:w="1876" w:type="pct"/>
          </w:tcPr>
          <w:p w14:paraId="55633859" w14:textId="49CBF9A5" w:rsidR="00B827DE" w:rsidRPr="00CB0607" w:rsidRDefault="00EA57CE" w:rsidP="007D69BA">
            <w:pPr>
              <w:pStyle w:val="TableBullet1"/>
              <w:rPr>
                <w:bdr w:val="none" w:sz="0" w:space="0" w:color="auto" w:frame="1"/>
              </w:rPr>
            </w:pPr>
            <w:r>
              <w:rPr>
                <w:bdr w:val="none" w:sz="0" w:space="0" w:color="auto" w:frame="1"/>
              </w:rPr>
              <w:t xml:space="preserve">The district provides clear, user-friendly budget documents that are </w:t>
            </w:r>
            <w:r w:rsidR="00B94622">
              <w:rPr>
                <w:bdr w:val="none" w:sz="0" w:space="0" w:color="auto" w:frame="1"/>
              </w:rPr>
              <w:t>publicly available</w:t>
            </w:r>
            <w:r>
              <w:rPr>
                <w:bdr w:val="none" w:sz="0" w:space="0" w:color="auto" w:frame="1"/>
              </w:rPr>
              <w:t>.</w:t>
            </w:r>
          </w:p>
        </w:tc>
        <w:tc>
          <w:tcPr>
            <w:tcW w:w="1826" w:type="pct"/>
          </w:tcPr>
          <w:p w14:paraId="5A758912" w14:textId="271C2813" w:rsidR="00B827DE" w:rsidRPr="00CB0607" w:rsidRDefault="004B42FF" w:rsidP="004B42FF">
            <w:pPr>
              <w:pStyle w:val="TableBullet1"/>
              <w:ind w:left="360" w:hanging="360"/>
              <w:rPr>
                <w:bdr w:val="none" w:sz="0" w:space="0" w:color="auto" w:frame="1"/>
              </w:rPr>
            </w:pPr>
            <w:r>
              <w:t>Providing specific details to school committee members regarding the equitable use of funds for specific student groups</w:t>
            </w:r>
          </w:p>
        </w:tc>
      </w:tr>
      <w:tr w:rsidR="00B827DE" w:rsidRPr="00CB0607" w14:paraId="0ADE789F" w14:textId="77777777" w:rsidTr="00B827DE">
        <w:tc>
          <w:tcPr>
            <w:tcW w:w="1297" w:type="pct"/>
          </w:tcPr>
          <w:p w14:paraId="41C5EA1C" w14:textId="5B2759CD" w:rsidR="00B827DE" w:rsidRPr="00CB0607" w:rsidRDefault="00000000" w:rsidP="005D13E7">
            <w:pPr>
              <w:pStyle w:val="TableSubheading"/>
              <w:rPr>
                <w:bdr w:val="none" w:sz="0" w:space="0" w:color="auto" w:frame="1"/>
              </w:rPr>
            </w:pPr>
            <w:hyperlink w:anchor="_Adequate_Budget" w:history="1">
              <w:r w:rsidR="00B827DE" w:rsidRPr="001D738A">
                <w:rPr>
                  <w:rStyle w:val="Hyperlink"/>
                  <w:bdr w:val="none" w:sz="0" w:space="0" w:color="auto" w:frame="1"/>
                </w:rPr>
                <w:t xml:space="preserve">Adequate </w:t>
              </w:r>
              <w:r w:rsidR="00494638" w:rsidRPr="001D738A">
                <w:rPr>
                  <w:rStyle w:val="Hyperlink"/>
                  <w:bdr w:val="none" w:sz="0" w:space="0" w:color="auto" w:frame="1"/>
                </w:rPr>
                <w:t>b</w:t>
              </w:r>
              <w:r w:rsidR="00B827DE" w:rsidRPr="001D738A">
                <w:rPr>
                  <w:rStyle w:val="Hyperlink"/>
                  <w:bdr w:val="none" w:sz="0" w:space="0" w:color="auto" w:frame="1"/>
                </w:rPr>
                <w:t>udget</w:t>
              </w:r>
            </w:hyperlink>
          </w:p>
        </w:tc>
        <w:tc>
          <w:tcPr>
            <w:tcW w:w="1876" w:type="pct"/>
          </w:tcPr>
          <w:p w14:paraId="60B306E4" w14:textId="36D46C0C" w:rsidR="00B827DE" w:rsidRPr="00CB0607" w:rsidRDefault="005251E7" w:rsidP="007D69BA">
            <w:pPr>
              <w:pStyle w:val="TableBullet1"/>
              <w:rPr>
                <w:bdr w:val="none" w:sz="0" w:space="0" w:color="auto" w:frame="1"/>
              </w:rPr>
            </w:pPr>
            <w:r>
              <w:rPr>
                <w:bdr w:val="none" w:sz="0" w:space="0" w:color="auto" w:frame="1"/>
              </w:rPr>
              <w:t>The district obtained an operational override to support student needs.</w:t>
            </w:r>
          </w:p>
        </w:tc>
        <w:tc>
          <w:tcPr>
            <w:tcW w:w="1826" w:type="pct"/>
          </w:tcPr>
          <w:p w14:paraId="4F1C470C" w14:textId="57E585EB" w:rsidR="00B827DE" w:rsidRPr="00CB0607" w:rsidRDefault="00B827DE" w:rsidP="00C74E34">
            <w:pPr>
              <w:pStyle w:val="TableBullet1"/>
              <w:numPr>
                <w:ilvl w:val="0"/>
                <w:numId w:val="0"/>
              </w:numPr>
              <w:rPr>
                <w:bdr w:val="none" w:sz="0" w:space="0" w:color="auto" w:frame="1"/>
              </w:rPr>
            </w:pPr>
          </w:p>
        </w:tc>
      </w:tr>
      <w:tr w:rsidR="00B827DE" w:rsidRPr="00CB0607" w14:paraId="178D87DE"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0709E69A" w:rsidR="00B827DE" w:rsidRPr="00CB0607" w:rsidRDefault="00000000" w:rsidP="005D13E7">
            <w:pPr>
              <w:pStyle w:val="TableSubheading"/>
              <w:rPr>
                <w:bdr w:val="none" w:sz="0" w:space="0" w:color="auto" w:frame="1"/>
              </w:rPr>
            </w:pPr>
            <w:hyperlink w:anchor="_Financial_Tracking,_Forecasting," w:history="1">
              <w:r w:rsidR="00B827DE" w:rsidRPr="001D738A">
                <w:rPr>
                  <w:rStyle w:val="Hyperlink"/>
                  <w:bdr w:val="none" w:sz="0" w:space="0" w:color="auto" w:frame="1"/>
                </w:rPr>
                <w:t xml:space="preserve">Financial </w:t>
              </w:r>
              <w:r w:rsidR="00494638" w:rsidRPr="001D738A">
                <w:rPr>
                  <w:rStyle w:val="Hyperlink"/>
                  <w:bdr w:val="none" w:sz="0" w:space="0" w:color="auto" w:frame="1"/>
                </w:rPr>
                <w:t>t</w:t>
              </w:r>
              <w:r w:rsidR="00B827DE" w:rsidRPr="001D738A">
                <w:rPr>
                  <w:rStyle w:val="Hyperlink"/>
                  <w:bdr w:val="none" w:sz="0" w:space="0" w:color="auto" w:frame="1"/>
                </w:rPr>
                <w:t xml:space="preserve">racking, </w:t>
              </w:r>
              <w:r w:rsidR="00494638" w:rsidRPr="001D738A">
                <w:rPr>
                  <w:rStyle w:val="Hyperlink"/>
                  <w:bdr w:val="none" w:sz="0" w:space="0" w:color="auto" w:frame="1"/>
                </w:rPr>
                <w:t>f</w:t>
              </w:r>
              <w:r w:rsidR="00B827DE" w:rsidRPr="001D738A">
                <w:rPr>
                  <w:rStyle w:val="Hyperlink"/>
                  <w:bdr w:val="none" w:sz="0" w:space="0" w:color="auto" w:frame="1"/>
                </w:rPr>
                <w:t xml:space="preserve">orecasting, </w:t>
              </w:r>
              <w:r w:rsidR="00494638" w:rsidRPr="001D738A">
                <w:rPr>
                  <w:rStyle w:val="Hyperlink"/>
                  <w:bdr w:val="none" w:sz="0" w:space="0" w:color="auto" w:frame="1"/>
                </w:rPr>
                <w:t>c</w:t>
              </w:r>
              <w:r w:rsidR="00B827DE" w:rsidRPr="001D738A">
                <w:rPr>
                  <w:rStyle w:val="Hyperlink"/>
                  <w:bdr w:val="none" w:sz="0" w:space="0" w:color="auto" w:frame="1"/>
                </w:rPr>
                <w:t xml:space="preserve">ontrols, and </w:t>
              </w:r>
              <w:r w:rsidR="00494638" w:rsidRPr="001D738A">
                <w:rPr>
                  <w:rStyle w:val="Hyperlink"/>
                  <w:bdr w:val="none" w:sz="0" w:space="0" w:color="auto" w:frame="1"/>
                </w:rPr>
                <w:t>a</w:t>
              </w:r>
              <w:r w:rsidR="00B827DE" w:rsidRPr="001D738A">
                <w:rPr>
                  <w:rStyle w:val="Hyperlink"/>
                  <w:bdr w:val="none" w:sz="0" w:space="0" w:color="auto" w:frame="1"/>
                </w:rPr>
                <w:t>udits</w:t>
              </w:r>
            </w:hyperlink>
          </w:p>
        </w:tc>
        <w:tc>
          <w:tcPr>
            <w:tcW w:w="1876" w:type="pct"/>
          </w:tcPr>
          <w:p w14:paraId="31560818" w14:textId="53CA317F" w:rsidR="00B827DE" w:rsidRPr="00CB0607" w:rsidRDefault="00B827DE" w:rsidP="00C74E34">
            <w:pPr>
              <w:pStyle w:val="TableBullet1"/>
              <w:numPr>
                <w:ilvl w:val="0"/>
                <w:numId w:val="0"/>
              </w:numPr>
              <w:ind w:left="288" w:hanging="288"/>
              <w:rPr>
                <w:bdr w:val="none" w:sz="0" w:space="0" w:color="auto" w:frame="1"/>
              </w:rPr>
            </w:pPr>
          </w:p>
        </w:tc>
        <w:tc>
          <w:tcPr>
            <w:tcW w:w="1826" w:type="pct"/>
          </w:tcPr>
          <w:p w14:paraId="4C814DAB" w14:textId="48CA0593" w:rsidR="00B827DE" w:rsidRPr="00CB0607" w:rsidRDefault="005251E7" w:rsidP="007D5FEF">
            <w:pPr>
              <w:pStyle w:val="TableBullet1"/>
              <w:ind w:left="301"/>
              <w:rPr>
                <w:bdr w:val="none" w:sz="0" w:space="0" w:color="auto" w:frame="1"/>
              </w:rPr>
            </w:pPr>
            <w:r>
              <w:rPr>
                <w:bdr w:val="none" w:sz="0" w:space="0" w:color="auto" w:frame="1"/>
              </w:rPr>
              <w:t>Regularly sharing information about spending with principals</w:t>
            </w:r>
          </w:p>
        </w:tc>
      </w:tr>
      <w:tr w:rsidR="00B827DE" w:rsidRPr="00CB0607" w14:paraId="671ADB7B" w14:textId="77777777" w:rsidTr="00B827DE">
        <w:tc>
          <w:tcPr>
            <w:tcW w:w="1297" w:type="pct"/>
          </w:tcPr>
          <w:p w14:paraId="2BA214F5" w14:textId="3B380C07" w:rsidR="00B827DE" w:rsidRPr="00CB0607" w:rsidRDefault="00000000" w:rsidP="005D13E7">
            <w:pPr>
              <w:pStyle w:val="TableSubheading"/>
              <w:rPr>
                <w:bdr w:val="none" w:sz="0" w:space="0" w:color="auto" w:frame="1"/>
              </w:rPr>
            </w:pPr>
            <w:hyperlink w:anchor="_Capital_Planning_and" w:history="1">
              <w:r w:rsidR="00B827DE" w:rsidRPr="001D738A">
                <w:rPr>
                  <w:rStyle w:val="Hyperlink"/>
                  <w:bdr w:val="none" w:sz="0" w:space="0" w:color="auto" w:frame="1"/>
                </w:rPr>
                <w:t xml:space="preserve">Capital </w:t>
              </w:r>
              <w:r w:rsidR="00494638" w:rsidRPr="001D738A">
                <w:rPr>
                  <w:rStyle w:val="Hyperlink"/>
                  <w:bdr w:val="none" w:sz="0" w:space="0" w:color="auto" w:frame="1"/>
                </w:rPr>
                <w:t>p</w:t>
              </w:r>
              <w:r w:rsidR="00B827DE" w:rsidRPr="001D738A">
                <w:rPr>
                  <w:rStyle w:val="Hyperlink"/>
                  <w:bdr w:val="none" w:sz="0" w:space="0" w:color="auto" w:frame="1"/>
                </w:rPr>
                <w:t xml:space="preserve">lanning and </w:t>
              </w:r>
              <w:r w:rsidR="00494638" w:rsidRPr="001D738A">
                <w:rPr>
                  <w:rStyle w:val="Hyperlink"/>
                  <w:bdr w:val="none" w:sz="0" w:space="0" w:color="auto" w:frame="1"/>
                </w:rPr>
                <w:t>f</w:t>
              </w:r>
              <w:r w:rsidR="00B827DE" w:rsidRPr="001D738A">
                <w:rPr>
                  <w:rStyle w:val="Hyperlink"/>
                  <w:bdr w:val="none" w:sz="0" w:space="0" w:color="auto" w:frame="1"/>
                </w:rPr>
                <w:t xml:space="preserve">acility </w:t>
              </w:r>
              <w:r w:rsidR="00494638" w:rsidRPr="001D738A">
                <w:rPr>
                  <w:rStyle w:val="Hyperlink"/>
                  <w:bdr w:val="none" w:sz="0" w:space="0" w:color="auto" w:frame="1"/>
                </w:rPr>
                <w:t>m</w:t>
              </w:r>
              <w:r w:rsidR="00B827DE" w:rsidRPr="001D738A">
                <w:rPr>
                  <w:rStyle w:val="Hyperlink"/>
                  <w:bdr w:val="none" w:sz="0" w:space="0" w:color="auto" w:frame="1"/>
                </w:rPr>
                <w:t>aintenance</w:t>
              </w:r>
            </w:hyperlink>
          </w:p>
        </w:tc>
        <w:tc>
          <w:tcPr>
            <w:tcW w:w="1876" w:type="pct"/>
          </w:tcPr>
          <w:p w14:paraId="040AD585" w14:textId="79CB38FD" w:rsidR="00B827DE" w:rsidRPr="00CB0607" w:rsidRDefault="003A56D0" w:rsidP="007D69BA">
            <w:pPr>
              <w:pStyle w:val="TableBullet1"/>
              <w:rPr>
                <w:bdr w:val="none" w:sz="0" w:space="0" w:color="auto" w:frame="1"/>
              </w:rPr>
            </w:pPr>
            <w:r>
              <w:rPr>
                <w:bdr w:val="none" w:sz="0" w:space="0" w:color="auto" w:frame="1"/>
              </w:rPr>
              <w:t xml:space="preserve">The town and district collaborate regularly to proactively identify and address capital needs. </w:t>
            </w:r>
          </w:p>
        </w:tc>
        <w:tc>
          <w:tcPr>
            <w:tcW w:w="1826" w:type="pct"/>
          </w:tcPr>
          <w:p w14:paraId="2EAE12FA" w14:textId="0ED9C72E" w:rsidR="00B827DE" w:rsidRPr="00CB0607" w:rsidRDefault="00B827DE" w:rsidP="00C74E34">
            <w:pPr>
              <w:pStyle w:val="TableBullet1"/>
              <w:numPr>
                <w:ilvl w:val="0"/>
                <w:numId w:val="0"/>
              </w:numPr>
              <w:rPr>
                <w:bdr w:val="none" w:sz="0" w:space="0" w:color="auto" w:frame="1"/>
              </w:rPr>
            </w:pPr>
          </w:p>
        </w:tc>
      </w:tr>
    </w:tbl>
    <w:p w14:paraId="0C62F5A6" w14:textId="68363B4E" w:rsidR="00B827DE" w:rsidRDefault="00B827DE" w:rsidP="00B827DE">
      <w:pPr>
        <w:pStyle w:val="Heading3"/>
      </w:pPr>
      <w:bookmarkStart w:id="58" w:name="_Budget_Documentation_and"/>
      <w:bookmarkEnd w:id="58"/>
      <w:r w:rsidRPr="00CB0607">
        <w:t>Budget Documentation and Reporting</w:t>
      </w:r>
    </w:p>
    <w:p w14:paraId="1E0AA7D5" w14:textId="472F9E9C" w:rsidR="00D42B6B" w:rsidRDefault="00C74E34" w:rsidP="00D55A8D">
      <w:pPr>
        <w:pStyle w:val="BodyTextposthead"/>
      </w:pPr>
      <w:r>
        <w:t xml:space="preserve">The </w:t>
      </w:r>
      <w:r w:rsidR="00257AF6">
        <w:t xml:space="preserve">financial </w:t>
      </w:r>
      <w:r w:rsidR="006E2AF9">
        <w:t>management plan</w:t>
      </w:r>
      <w:r w:rsidR="00A635CD">
        <w:t xml:space="preserve"> for </w:t>
      </w:r>
      <w:r>
        <w:t>fiscal years 20</w:t>
      </w:r>
      <w:r w:rsidR="00A635CD">
        <w:t>24-</w:t>
      </w:r>
      <w:r>
        <w:t>20</w:t>
      </w:r>
      <w:r w:rsidR="00A635CD">
        <w:t>28</w:t>
      </w:r>
      <w:r w:rsidR="006E2AF9">
        <w:t xml:space="preserve">, a nonbinding document signed by the </w:t>
      </w:r>
      <w:r>
        <w:t>S</w:t>
      </w:r>
      <w:r w:rsidR="006E2AF9">
        <w:t xml:space="preserve">elect </w:t>
      </w:r>
      <w:r>
        <w:t>B</w:t>
      </w:r>
      <w:r w:rsidR="006E2AF9">
        <w:t xml:space="preserve">oard, the school committee, the </w:t>
      </w:r>
      <w:r>
        <w:t>s</w:t>
      </w:r>
      <w:r w:rsidR="006E2AF9">
        <w:t>uperintendent</w:t>
      </w:r>
      <w:r w:rsidR="00D205D6">
        <w:t>, and the town manage</w:t>
      </w:r>
      <w:r w:rsidR="007C3B48">
        <w:t>r</w:t>
      </w:r>
      <w:r>
        <w:t>,</w:t>
      </w:r>
      <w:r w:rsidR="007C3B48">
        <w:t xml:space="preserve"> </w:t>
      </w:r>
      <w:r>
        <w:t xml:space="preserve">guides Hingham’s spending and </w:t>
      </w:r>
      <w:r w:rsidR="008C56E4">
        <w:t xml:space="preserve">outlines the budget for the </w:t>
      </w:r>
      <w:r w:rsidR="002A3453">
        <w:t xml:space="preserve">next several school years. </w:t>
      </w:r>
      <w:r w:rsidR="0059006E">
        <w:t>District staff</w:t>
      </w:r>
      <w:r w:rsidR="008C330A">
        <w:t xml:space="preserve">, led by </w:t>
      </w:r>
      <w:r w:rsidR="00310D08">
        <w:t xml:space="preserve">the director </w:t>
      </w:r>
      <w:r w:rsidR="008C330A">
        <w:t xml:space="preserve">for </w:t>
      </w:r>
      <w:r w:rsidR="00EC1574">
        <w:t>b</w:t>
      </w:r>
      <w:r w:rsidR="008C330A">
        <w:t xml:space="preserve">usiness and </w:t>
      </w:r>
      <w:r w:rsidR="00EC1574">
        <w:t>s</w:t>
      </w:r>
      <w:r w:rsidR="008C330A">
        <w:t xml:space="preserve">upport </w:t>
      </w:r>
      <w:r w:rsidR="00EC1574">
        <w:t>s</w:t>
      </w:r>
      <w:r w:rsidR="008C330A">
        <w:t>ervices,</w:t>
      </w:r>
      <w:r w:rsidR="0059006E">
        <w:t xml:space="preserve"> described a process for gathering information from di</w:t>
      </w:r>
      <w:r w:rsidR="00D547B2">
        <w:t>rectors, principals, and other school leaders</w:t>
      </w:r>
      <w:r w:rsidR="00291083">
        <w:t xml:space="preserve"> about staffing and other needs to</w:t>
      </w:r>
      <w:r w:rsidR="00B716DD">
        <w:t xml:space="preserve"> better understand individual school needs </w:t>
      </w:r>
      <w:r w:rsidR="00634572">
        <w:t>and priorities</w:t>
      </w:r>
      <w:r w:rsidR="00210D33">
        <w:t>. Using this information</w:t>
      </w:r>
      <w:r w:rsidR="00634572">
        <w:t xml:space="preserve">, </w:t>
      </w:r>
      <w:r w:rsidR="00145D58">
        <w:t xml:space="preserve">they provide </w:t>
      </w:r>
      <w:r w:rsidR="00210D33">
        <w:t>publicly available</w:t>
      </w:r>
      <w:r w:rsidR="00AC7E59">
        <w:t xml:space="preserve"> </w:t>
      </w:r>
      <w:r w:rsidR="00145D58">
        <w:t>budget-related presentations, including a financial forecast for the next five years, during the annual budgeting process.</w:t>
      </w:r>
    </w:p>
    <w:p w14:paraId="53853270" w14:textId="14345998" w:rsidR="0070794D" w:rsidRPr="006777ED" w:rsidRDefault="00D42B6B" w:rsidP="00AA07D0">
      <w:pPr>
        <w:pStyle w:val="BodyText"/>
        <w:rPr>
          <w:spacing w:val="-1"/>
        </w:rPr>
      </w:pPr>
      <w:r w:rsidRPr="006777ED">
        <w:rPr>
          <w:spacing w:val="-1"/>
        </w:rPr>
        <w:t>Budget documents shared by the district are clear and user-friendly, with item</w:t>
      </w:r>
      <w:r w:rsidR="00D704D3" w:rsidRPr="006777ED">
        <w:rPr>
          <w:spacing w:val="-1"/>
        </w:rPr>
        <w:t xml:space="preserve">ized information about the allocation of resources and </w:t>
      </w:r>
      <w:r w:rsidR="00EC1574" w:rsidRPr="006777ED">
        <w:rPr>
          <w:spacing w:val="-1"/>
        </w:rPr>
        <w:t xml:space="preserve">the </w:t>
      </w:r>
      <w:r w:rsidR="00F94CA3" w:rsidRPr="006777ED">
        <w:rPr>
          <w:spacing w:val="-1"/>
        </w:rPr>
        <w:t>sources of funds</w:t>
      </w:r>
      <w:r w:rsidR="00F613ED" w:rsidRPr="006777ED">
        <w:rPr>
          <w:spacing w:val="-1"/>
        </w:rPr>
        <w:t xml:space="preserve">. </w:t>
      </w:r>
      <w:r w:rsidR="00E24FDB" w:rsidRPr="006777ED">
        <w:rPr>
          <w:spacing w:val="-1"/>
        </w:rPr>
        <w:t>The budget documents available also compare budgeted costs to actual costs each yea</w:t>
      </w:r>
      <w:r w:rsidR="00142A64" w:rsidRPr="006777ED">
        <w:rPr>
          <w:spacing w:val="-1"/>
        </w:rPr>
        <w:t xml:space="preserve">r </w:t>
      </w:r>
      <w:r w:rsidR="00B3478D" w:rsidRPr="006777ED">
        <w:rPr>
          <w:spacing w:val="-1"/>
        </w:rPr>
        <w:t xml:space="preserve">with enough detail that stakeholders can understand </w:t>
      </w:r>
      <w:r w:rsidR="00561054" w:rsidRPr="006777ED">
        <w:rPr>
          <w:spacing w:val="-1"/>
        </w:rPr>
        <w:t xml:space="preserve">how </w:t>
      </w:r>
      <w:r w:rsidR="00561054" w:rsidRPr="006777ED">
        <w:rPr>
          <w:spacing w:val="-1"/>
        </w:rPr>
        <w:lastRenderedPageBreak/>
        <w:t xml:space="preserve">resources </w:t>
      </w:r>
      <w:r w:rsidR="00EC1574" w:rsidRPr="006777ED">
        <w:rPr>
          <w:spacing w:val="-1"/>
        </w:rPr>
        <w:t xml:space="preserve">past and future budget </w:t>
      </w:r>
      <w:r w:rsidR="00B3478D" w:rsidRPr="006777ED">
        <w:rPr>
          <w:spacing w:val="-1"/>
        </w:rPr>
        <w:t>allocat</w:t>
      </w:r>
      <w:r w:rsidR="00EC1574" w:rsidRPr="006777ED">
        <w:rPr>
          <w:spacing w:val="-1"/>
        </w:rPr>
        <w:t>ions</w:t>
      </w:r>
      <w:r w:rsidR="00561054" w:rsidRPr="006777ED">
        <w:rPr>
          <w:spacing w:val="-1"/>
        </w:rPr>
        <w:t>.</w:t>
      </w:r>
      <w:r w:rsidR="003C06DA" w:rsidRPr="006777ED">
        <w:rPr>
          <w:spacing w:val="-1"/>
        </w:rPr>
        <w:t xml:space="preserve"> All budget documents, </w:t>
      </w:r>
      <w:r w:rsidR="00A96005" w:rsidRPr="006777ED">
        <w:rPr>
          <w:spacing w:val="-1"/>
        </w:rPr>
        <w:t xml:space="preserve">going back 10 years and </w:t>
      </w:r>
      <w:r w:rsidR="003C06DA" w:rsidRPr="006777ED">
        <w:rPr>
          <w:spacing w:val="-1"/>
        </w:rPr>
        <w:t xml:space="preserve">including </w:t>
      </w:r>
      <w:r w:rsidR="002551ED" w:rsidRPr="006777ED">
        <w:rPr>
          <w:spacing w:val="-1"/>
        </w:rPr>
        <w:t>all budget presentations</w:t>
      </w:r>
      <w:r w:rsidR="00E05F37" w:rsidRPr="006777ED">
        <w:rPr>
          <w:spacing w:val="-1"/>
        </w:rPr>
        <w:t xml:space="preserve"> and</w:t>
      </w:r>
      <w:r w:rsidR="002551ED" w:rsidRPr="006777ED">
        <w:rPr>
          <w:spacing w:val="-1"/>
        </w:rPr>
        <w:t xml:space="preserve"> itemized budget summary reports, </w:t>
      </w:r>
      <w:r w:rsidR="00E05F37" w:rsidRPr="006777ED">
        <w:rPr>
          <w:spacing w:val="-1"/>
        </w:rPr>
        <w:t xml:space="preserve">are </w:t>
      </w:r>
      <w:r w:rsidR="000C7D8C" w:rsidRPr="006777ED">
        <w:rPr>
          <w:spacing w:val="-1"/>
        </w:rPr>
        <w:t>publicly available</w:t>
      </w:r>
      <w:r w:rsidR="00E05F37" w:rsidRPr="006777ED">
        <w:rPr>
          <w:spacing w:val="-1"/>
        </w:rPr>
        <w:t xml:space="preserve"> on the district website.</w:t>
      </w:r>
      <w:r w:rsidR="002551ED" w:rsidRPr="006777ED">
        <w:rPr>
          <w:spacing w:val="-1"/>
        </w:rPr>
        <w:t xml:space="preserve"> </w:t>
      </w:r>
      <w:r w:rsidR="008A4235" w:rsidRPr="006777ED">
        <w:rPr>
          <w:spacing w:val="-1"/>
        </w:rPr>
        <w:t xml:space="preserve">The </w:t>
      </w:r>
      <w:r w:rsidR="009407FF" w:rsidRPr="006777ED">
        <w:rPr>
          <w:spacing w:val="-1"/>
        </w:rPr>
        <w:t>provision</w:t>
      </w:r>
      <w:r w:rsidR="008A4235" w:rsidRPr="006777ED">
        <w:rPr>
          <w:spacing w:val="-1"/>
        </w:rPr>
        <w:t xml:space="preserve"> of clear, user-friendly budget documents is a strength of the district.</w:t>
      </w:r>
    </w:p>
    <w:p w14:paraId="3D8A6390" w14:textId="3BB8DFEC" w:rsidR="00340175" w:rsidRPr="00BD6F21" w:rsidRDefault="00753354" w:rsidP="00AA07D0">
      <w:pPr>
        <w:pStyle w:val="BodyText"/>
      </w:pPr>
      <w:r w:rsidRPr="00BD6F21">
        <w:t>According to school committee members, district staff have not always report</w:t>
      </w:r>
      <w:r w:rsidR="0089211C" w:rsidRPr="00BD6F21">
        <w:t xml:space="preserve">ed </w:t>
      </w:r>
      <w:r w:rsidR="000E67D2" w:rsidRPr="00BD6F21">
        <w:t xml:space="preserve">on spending </w:t>
      </w:r>
      <w:r w:rsidR="00031F14" w:rsidRPr="00BD6F21">
        <w:t xml:space="preserve">in a </w:t>
      </w:r>
      <w:r w:rsidR="00F553CE" w:rsidRPr="00BD6F21">
        <w:t>detailed e</w:t>
      </w:r>
      <w:r w:rsidR="00A57797" w:rsidRPr="00BD6F21">
        <w:t xml:space="preserve">nough way that committee members could </w:t>
      </w:r>
      <w:r w:rsidR="00F601CF" w:rsidRPr="00BD6F21">
        <w:t xml:space="preserve">assess </w:t>
      </w:r>
      <w:r w:rsidR="00AC40B0">
        <w:t xml:space="preserve">the </w:t>
      </w:r>
      <w:r w:rsidR="00F601CF" w:rsidRPr="00BD6F21">
        <w:t>effectiveness of efforts. However, t</w:t>
      </w:r>
      <w:r w:rsidR="00340175" w:rsidRPr="00BD6F21">
        <w:t xml:space="preserve">he district recently hired a new business director </w:t>
      </w:r>
      <w:r w:rsidR="007A6902" w:rsidRPr="00BD6F21">
        <w:t>and established a finance facilities subcommittee that meets monthly. A</w:t>
      </w:r>
      <w:r w:rsidR="00312534" w:rsidRPr="00BD6F21">
        <w:t xml:space="preserve">ccording to school committee members, </w:t>
      </w:r>
      <w:r w:rsidR="007A6902" w:rsidRPr="00BD6F21">
        <w:t>these efforts have</w:t>
      </w:r>
      <w:r w:rsidR="00285154" w:rsidRPr="00BD6F21">
        <w:t xml:space="preserve"> been “helpful at improving the budget-related information tha</w:t>
      </w:r>
      <w:r w:rsidR="000F2AD5" w:rsidRPr="00BD6F21">
        <w:t>t committee members receive.”</w:t>
      </w:r>
      <w:r w:rsidR="003F3F20" w:rsidRPr="00BD6F21">
        <w:t xml:space="preserve"> Still, committee members would like to receive more </w:t>
      </w:r>
      <w:r w:rsidR="002E0D4C" w:rsidRPr="00BD6F21">
        <w:t xml:space="preserve">information related </w:t>
      </w:r>
      <w:r w:rsidR="00763749" w:rsidRPr="00BD6F21">
        <w:t xml:space="preserve">to </w:t>
      </w:r>
      <w:r w:rsidR="00D8121E" w:rsidRPr="00BD6F21">
        <w:t xml:space="preserve">how equitably, or not, funds are used to meet the needs of specific student groups. </w:t>
      </w:r>
      <w:r w:rsidR="00022AB3">
        <w:t xml:space="preserve">Providing </w:t>
      </w:r>
      <w:r w:rsidR="00022103">
        <w:t>specific details</w:t>
      </w:r>
      <w:r w:rsidR="004B42FF">
        <w:t xml:space="preserve"> to school committee members</w:t>
      </w:r>
      <w:r w:rsidR="00022103">
        <w:t xml:space="preserve"> regarding </w:t>
      </w:r>
      <w:r w:rsidR="004B42FF">
        <w:t>the equitable use of funds for specific student groups is an area of growth for the district.</w:t>
      </w:r>
    </w:p>
    <w:p w14:paraId="1ECCF473" w14:textId="68363B4E" w:rsidR="00B827DE" w:rsidRPr="00BD6F21" w:rsidRDefault="00B827DE" w:rsidP="00B827DE">
      <w:pPr>
        <w:pStyle w:val="Heading3"/>
      </w:pPr>
      <w:bookmarkStart w:id="59" w:name="_Adequate_Budget"/>
      <w:bookmarkEnd w:id="59"/>
      <w:r w:rsidRPr="00BD6F21">
        <w:t>Adequate Budget</w:t>
      </w:r>
    </w:p>
    <w:p w14:paraId="121E2FD3" w14:textId="08E4AA55" w:rsidR="00BB38FB" w:rsidRPr="00BD6F21" w:rsidRDefault="46933B5F" w:rsidP="00F045C4">
      <w:pPr>
        <w:pStyle w:val="BodyTextposthead"/>
      </w:pPr>
      <w:r w:rsidRPr="00BD6F21">
        <w:t>D</w:t>
      </w:r>
      <w:r w:rsidR="00F045C4" w:rsidRPr="00BD6F21">
        <w:t>istrict staff and finance reports</w:t>
      </w:r>
      <w:r w:rsidR="6084D8B3" w:rsidRPr="00BD6F21">
        <w:t xml:space="preserve"> </w:t>
      </w:r>
      <w:r w:rsidR="78B5F961" w:rsidRPr="00BD6F21">
        <w:t>show that</w:t>
      </w:r>
      <w:r w:rsidR="00F045C4" w:rsidRPr="00BD6F21">
        <w:t xml:space="preserve"> the district exceeded its net school spending requirements for the previous school year. </w:t>
      </w:r>
      <w:r w:rsidR="00EA3ADA" w:rsidRPr="00BD6F21">
        <w:t>However, a</w:t>
      </w:r>
      <w:r w:rsidR="00EA3ADA" w:rsidRPr="00BD6F21">
        <w:rPr>
          <w:rFonts w:ascii="Franklin Gothic Book" w:hAnsi="Franklin Gothic Book"/>
          <w:color w:val="000000"/>
          <w:shd w:val="clear" w:color="auto" w:fill="FFFFFF"/>
        </w:rPr>
        <w:t>ccording to RADAR data, Hingham’s in-district per-pupil expenditure in 2022 was $18,62</w:t>
      </w:r>
      <w:r w:rsidR="00031148">
        <w:rPr>
          <w:rFonts w:ascii="Franklin Gothic Book" w:hAnsi="Franklin Gothic Book"/>
          <w:color w:val="000000"/>
          <w:shd w:val="clear" w:color="auto" w:fill="FFFFFF"/>
        </w:rPr>
        <w:t>5</w:t>
      </w:r>
      <w:r w:rsidR="00EA3ADA" w:rsidRPr="00BD6F21">
        <w:rPr>
          <w:rFonts w:ascii="Franklin Gothic Book" w:hAnsi="Franklin Gothic Book"/>
          <w:color w:val="000000"/>
          <w:shd w:val="clear" w:color="auto" w:fill="FFFFFF"/>
        </w:rPr>
        <w:t>, which is lower than the state average and lower than many comparable districts, in terms of wealth and demographics.</w:t>
      </w:r>
      <w:r w:rsidR="00316C90" w:rsidRPr="00BD6F21">
        <w:rPr>
          <w:rFonts w:ascii="Franklin Gothic Book" w:hAnsi="Franklin Gothic Book"/>
          <w:color w:val="000000"/>
          <w:shd w:val="clear" w:color="auto" w:fill="FFFFFF"/>
        </w:rPr>
        <w:t xml:space="preserve"> In fact, </w:t>
      </w:r>
      <w:r w:rsidR="00316C90" w:rsidRPr="00BD6F21">
        <w:t>s</w:t>
      </w:r>
      <w:r w:rsidR="00F045C4" w:rsidRPr="00BD6F21">
        <w:t>chool committee members</w:t>
      </w:r>
      <w:r w:rsidR="0010512F" w:rsidRPr="00BD6F21">
        <w:t xml:space="preserve"> reported that</w:t>
      </w:r>
      <w:r w:rsidR="00F045C4" w:rsidRPr="00BD6F21">
        <w:t xml:space="preserve"> the yearly appropriation funds for the district </w:t>
      </w:r>
      <w:r w:rsidR="001B4B29">
        <w:t xml:space="preserve">meet, but </w:t>
      </w:r>
      <w:r w:rsidR="00F045C4" w:rsidRPr="00BD6F21">
        <w:t>“never exceed”</w:t>
      </w:r>
      <w:r w:rsidR="001B4B29">
        <w:t>,</w:t>
      </w:r>
      <w:r w:rsidR="00F045C4" w:rsidRPr="00BD6F21">
        <w:t xml:space="preserve"> the district’s needs</w:t>
      </w:r>
      <w:r w:rsidR="20BB906F" w:rsidRPr="00BD6F21">
        <w:t>, especially given significant capital needs (see Capital</w:t>
      </w:r>
      <w:r w:rsidR="34B8DC59" w:rsidRPr="00BD6F21">
        <w:t xml:space="preserve"> Planning and Facility Maintenance)</w:t>
      </w:r>
      <w:r w:rsidR="00F045C4" w:rsidRPr="00BD6F21">
        <w:t xml:space="preserve">. </w:t>
      </w:r>
    </w:p>
    <w:p w14:paraId="1C32FDD9" w14:textId="47672252" w:rsidR="008E43B8" w:rsidRPr="006777ED" w:rsidRDefault="007C698B" w:rsidP="00AA07D0">
      <w:pPr>
        <w:pStyle w:val="BodyText"/>
        <w:rPr>
          <w:spacing w:val="-2"/>
        </w:rPr>
      </w:pPr>
      <w:r w:rsidRPr="006777ED">
        <w:rPr>
          <w:spacing w:val="-1"/>
        </w:rPr>
        <w:t xml:space="preserve">Furthermore, as outlined in the </w:t>
      </w:r>
      <w:r w:rsidRPr="006777ED">
        <w:rPr>
          <w:i/>
          <w:iCs/>
          <w:spacing w:val="-1"/>
        </w:rPr>
        <w:t>FY2025 Budget Presentation</w:t>
      </w:r>
      <w:r w:rsidRPr="006777ED">
        <w:rPr>
          <w:spacing w:val="-1"/>
        </w:rPr>
        <w:t xml:space="preserve"> and echoed by district leaders, </w:t>
      </w:r>
      <w:r w:rsidR="00BD2424">
        <w:rPr>
          <w:spacing w:val="-1"/>
        </w:rPr>
        <w:t xml:space="preserve">the </w:t>
      </w:r>
      <w:r w:rsidRPr="006777ED">
        <w:rPr>
          <w:spacing w:val="-1"/>
        </w:rPr>
        <w:t>rising costs of gas, special education out-of-district placements, increased student needs requiring more comprehensive MTSS supports, and contractual obligations on personnel have contributed to a projected budget deficit for 2024-2025 school year</w:t>
      </w:r>
      <w:r w:rsidR="00E21AB3">
        <w:rPr>
          <w:spacing w:val="-1"/>
        </w:rPr>
        <w:t xml:space="preserve"> at the time of the </w:t>
      </w:r>
      <w:r w:rsidR="0049457F">
        <w:rPr>
          <w:spacing w:val="-1"/>
        </w:rPr>
        <w:t xml:space="preserve">district </w:t>
      </w:r>
      <w:r w:rsidR="00E21AB3">
        <w:rPr>
          <w:spacing w:val="-1"/>
        </w:rPr>
        <w:t>visit</w:t>
      </w:r>
      <w:r w:rsidRPr="006777ED">
        <w:rPr>
          <w:spacing w:val="-1"/>
        </w:rPr>
        <w:t xml:space="preserve">. </w:t>
      </w:r>
      <w:r w:rsidR="00B260E9" w:rsidRPr="006777ED">
        <w:rPr>
          <w:spacing w:val="-1"/>
        </w:rPr>
        <w:t>The</w:t>
      </w:r>
      <w:r w:rsidR="000115AA" w:rsidRPr="006777ED">
        <w:rPr>
          <w:spacing w:val="-1"/>
        </w:rPr>
        <w:t xml:space="preserve"> Superintendent explained that d</w:t>
      </w:r>
      <w:r w:rsidR="00937DF5" w:rsidRPr="006777ED">
        <w:rPr>
          <w:spacing w:val="-1"/>
        </w:rPr>
        <w:t xml:space="preserve">uring and in the aftermath of </w:t>
      </w:r>
      <w:r w:rsidR="00EC1574" w:rsidRPr="006777ED">
        <w:rPr>
          <w:spacing w:val="-1"/>
        </w:rPr>
        <w:t xml:space="preserve">the </w:t>
      </w:r>
      <w:r w:rsidR="00937DF5" w:rsidRPr="006777ED">
        <w:rPr>
          <w:spacing w:val="-1"/>
        </w:rPr>
        <w:t>COVID</w:t>
      </w:r>
      <w:r w:rsidR="00EC1574" w:rsidRPr="006777ED">
        <w:rPr>
          <w:spacing w:val="-1"/>
        </w:rPr>
        <w:t>-19 pandemic</w:t>
      </w:r>
      <w:r w:rsidR="00937DF5" w:rsidRPr="006777ED">
        <w:rPr>
          <w:spacing w:val="-1"/>
        </w:rPr>
        <w:t xml:space="preserve">, the district experienced an influx of new positions. </w:t>
      </w:r>
      <w:r w:rsidR="0004190A">
        <w:rPr>
          <w:spacing w:val="-1"/>
        </w:rPr>
        <w:t>As noted in the leadership and governance section,</w:t>
      </w:r>
      <w:r w:rsidR="00937DF5" w:rsidRPr="006777ED">
        <w:rPr>
          <w:spacing w:val="-1"/>
        </w:rPr>
        <w:t xml:space="preserve"> </w:t>
      </w:r>
      <w:r w:rsidR="0004190A">
        <w:rPr>
          <w:spacing w:val="-1"/>
        </w:rPr>
        <w:t>i</w:t>
      </w:r>
      <w:r w:rsidR="005A4F61" w:rsidRPr="006777ED">
        <w:rPr>
          <w:spacing w:val="-1"/>
        </w:rPr>
        <w:t xml:space="preserve">n 2023, </w:t>
      </w:r>
      <w:r w:rsidR="0007474A" w:rsidRPr="006777ED">
        <w:rPr>
          <w:spacing w:val="-1"/>
        </w:rPr>
        <w:t xml:space="preserve">the </w:t>
      </w:r>
      <w:r w:rsidR="00EC1574" w:rsidRPr="006777ED">
        <w:rPr>
          <w:spacing w:val="-1"/>
        </w:rPr>
        <w:t>s</w:t>
      </w:r>
      <w:r w:rsidR="0007474A" w:rsidRPr="006777ED">
        <w:rPr>
          <w:spacing w:val="-1"/>
        </w:rPr>
        <w:t xml:space="preserve">uperintendent </w:t>
      </w:r>
      <w:r w:rsidR="005A4F61" w:rsidRPr="006777ED">
        <w:rPr>
          <w:spacing w:val="-1"/>
        </w:rPr>
        <w:t xml:space="preserve">developed </w:t>
      </w:r>
      <w:r w:rsidR="0007474A" w:rsidRPr="006777ED">
        <w:rPr>
          <w:spacing w:val="-1"/>
        </w:rPr>
        <w:t xml:space="preserve">an </w:t>
      </w:r>
      <w:r w:rsidR="005A4F61" w:rsidRPr="006777ED">
        <w:rPr>
          <w:spacing w:val="-1"/>
        </w:rPr>
        <w:t xml:space="preserve">MOU with </w:t>
      </w:r>
      <w:r w:rsidR="0007474A" w:rsidRPr="006777ED">
        <w:rPr>
          <w:spacing w:val="-1"/>
        </w:rPr>
        <w:t xml:space="preserve">the </w:t>
      </w:r>
      <w:r w:rsidR="005A4F61" w:rsidRPr="006777ED">
        <w:rPr>
          <w:spacing w:val="-1"/>
        </w:rPr>
        <w:t xml:space="preserve">town of Hingham to approve </w:t>
      </w:r>
      <w:r w:rsidR="0007474A" w:rsidRPr="006777ED">
        <w:rPr>
          <w:spacing w:val="-1"/>
        </w:rPr>
        <w:t xml:space="preserve">an </w:t>
      </w:r>
      <w:r w:rsidR="005A4F61" w:rsidRPr="006777ED">
        <w:rPr>
          <w:spacing w:val="-1"/>
        </w:rPr>
        <w:t xml:space="preserve">operational override for </w:t>
      </w:r>
      <w:r w:rsidR="00EC1574" w:rsidRPr="006777ED">
        <w:rPr>
          <w:spacing w:val="-1"/>
        </w:rPr>
        <w:t>fiscal year</w:t>
      </w:r>
      <w:r w:rsidR="005A4F61" w:rsidRPr="006777ED">
        <w:rPr>
          <w:spacing w:val="-1"/>
        </w:rPr>
        <w:t xml:space="preserve"> 2024</w:t>
      </w:r>
      <w:r w:rsidR="001C1DC0" w:rsidRPr="006777ED">
        <w:rPr>
          <w:spacing w:val="-1"/>
        </w:rPr>
        <w:t>, above the 3.5 perce</w:t>
      </w:r>
      <w:r w:rsidR="00CF5CC0" w:rsidRPr="006777ED">
        <w:rPr>
          <w:spacing w:val="-1"/>
        </w:rPr>
        <w:t xml:space="preserve">nt </w:t>
      </w:r>
      <w:r w:rsidR="001E6BBB" w:rsidRPr="006777ED">
        <w:rPr>
          <w:spacing w:val="-1"/>
        </w:rPr>
        <w:t xml:space="preserve">increase </w:t>
      </w:r>
      <w:r w:rsidR="00CF5CC0" w:rsidRPr="006777ED">
        <w:rPr>
          <w:spacing w:val="-1"/>
        </w:rPr>
        <w:t>cap</w:t>
      </w:r>
      <w:r w:rsidR="001E6BBB" w:rsidRPr="006777ED">
        <w:rPr>
          <w:spacing w:val="-1"/>
        </w:rPr>
        <w:t xml:space="preserve"> in place for the </w:t>
      </w:r>
      <w:r w:rsidR="00556DA3" w:rsidRPr="006777ED">
        <w:rPr>
          <w:spacing w:val="-1"/>
        </w:rPr>
        <w:t>town</w:t>
      </w:r>
      <w:r w:rsidR="006B3B04" w:rsidRPr="006777ED">
        <w:rPr>
          <w:spacing w:val="-1"/>
        </w:rPr>
        <w:t>, to maintain some of those positions</w:t>
      </w:r>
      <w:r w:rsidR="000115AA" w:rsidRPr="006777ED">
        <w:rPr>
          <w:spacing w:val="-1"/>
        </w:rPr>
        <w:t>, particularly those supporting special education need</w:t>
      </w:r>
      <w:r w:rsidR="001F2869" w:rsidRPr="006777ED">
        <w:rPr>
          <w:spacing w:val="-1"/>
        </w:rPr>
        <w:t>s</w:t>
      </w:r>
      <w:r w:rsidR="005A4F61" w:rsidRPr="006777ED">
        <w:rPr>
          <w:spacing w:val="-1"/>
        </w:rPr>
        <w:t xml:space="preserve">. </w:t>
      </w:r>
      <w:r w:rsidR="00FB0A2A" w:rsidRPr="006777ED">
        <w:rPr>
          <w:spacing w:val="-1"/>
        </w:rPr>
        <w:t>T</w:t>
      </w:r>
      <w:r w:rsidR="00FE070E" w:rsidRPr="006777ED">
        <w:rPr>
          <w:spacing w:val="-1"/>
        </w:rPr>
        <w:t xml:space="preserve">he Select Board of Hingham, </w:t>
      </w:r>
      <w:r w:rsidR="00EC1574" w:rsidRPr="006777ED">
        <w:rPr>
          <w:spacing w:val="-1"/>
        </w:rPr>
        <w:t xml:space="preserve">the </w:t>
      </w:r>
      <w:r w:rsidR="00FE070E" w:rsidRPr="006777ED">
        <w:rPr>
          <w:spacing w:val="-1"/>
        </w:rPr>
        <w:t>school committee</w:t>
      </w:r>
      <w:r w:rsidR="00EC1574" w:rsidRPr="006777ED">
        <w:rPr>
          <w:spacing w:val="-1"/>
        </w:rPr>
        <w:t>,</w:t>
      </w:r>
      <w:r w:rsidR="00FE070E" w:rsidRPr="006777ED">
        <w:rPr>
          <w:spacing w:val="-1"/>
        </w:rPr>
        <w:t xml:space="preserve"> and </w:t>
      </w:r>
      <w:r w:rsidR="00EC1574" w:rsidRPr="006777ED">
        <w:rPr>
          <w:spacing w:val="-1"/>
        </w:rPr>
        <w:t xml:space="preserve">the </w:t>
      </w:r>
      <w:r w:rsidR="00FE070E" w:rsidRPr="006777ED">
        <w:rPr>
          <w:spacing w:val="-1"/>
        </w:rPr>
        <w:t>advisory committee</w:t>
      </w:r>
      <w:r w:rsidR="00FE10E2">
        <w:rPr>
          <w:spacing w:val="-1"/>
        </w:rPr>
        <w:t xml:space="preserve"> approved the override</w:t>
      </w:r>
      <w:r w:rsidR="00BB38FB" w:rsidRPr="006777ED">
        <w:rPr>
          <w:spacing w:val="-1"/>
        </w:rPr>
        <w:t>.</w:t>
      </w:r>
      <w:r w:rsidR="00270045" w:rsidRPr="006777ED">
        <w:rPr>
          <w:spacing w:val="-1"/>
        </w:rPr>
        <w:t xml:space="preserve"> </w:t>
      </w:r>
      <w:r w:rsidR="00900659" w:rsidRPr="006777ED">
        <w:rPr>
          <w:spacing w:val="-1"/>
        </w:rPr>
        <w:t>There is reportedly some contention among stakeholders, though, about how these override funds are being used; teachers expected that the additional funds would support salary increases. Still, seeking and obtaining approval for the override to support student needs is a strength of the district</w:t>
      </w:r>
      <w:r w:rsidR="00613D63">
        <w:rPr>
          <w:spacing w:val="-2"/>
        </w:rPr>
        <w:t>.</w:t>
      </w:r>
      <w:r w:rsidR="005654A2">
        <w:rPr>
          <w:spacing w:val="-2"/>
        </w:rPr>
        <w:t xml:space="preserve"> </w:t>
      </w:r>
      <w:r w:rsidR="00030E2D" w:rsidRPr="006777ED">
        <w:rPr>
          <w:spacing w:val="-2"/>
        </w:rPr>
        <w:t>The</w:t>
      </w:r>
      <w:r w:rsidR="00270045" w:rsidRPr="006777ED">
        <w:rPr>
          <w:spacing w:val="-2"/>
        </w:rPr>
        <w:t xml:space="preserve"> district is seeking additional funds from the town to cover the part of the deficit relating to special education costs (as outlined in the MOU), </w:t>
      </w:r>
      <w:r w:rsidR="00030E2D" w:rsidRPr="006777ED">
        <w:rPr>
          <w:spacing w:val="-2"/>
        </w:rPr>
        <w:t xml:space="preserve">yet </w:t>
      </w:r>
      <w:r w:rsidR="00270045" w:rsidRPr="006777ED">
        <w:rPr>
          <w:spacing w:val="-2"/>
        </w:rPr>
        <w:t xml:space="preserve">district leaders also project potential staff layoffs. However, the exact number of layoffs is challenging to determine </w:t>
      </w:r>
      <w:r w:rsidR="00030E2D" w:rsidRPr="006777ED">
        <w:rPr>
          <w:spacing w:val="-2"/>
        </w:rPr>
        <w:t>because</w:t>
      </w:r>
      <w:r w:rsidR="00270045" w:rsidRPr="006777ED">
        <w:rPr>
          <w:spacing w:val="-2"/>
        </w:rPr>
        <w:t xml:space="preserve"> the district is still negotiating contracts with the Hingham Education Association, which will impact teacher compensation.</w:t>
      </w:r>
      <w:r w:rsidR="00556DA3" w:rsidRPr="006777ED">
        <w:rPr>
          <w:spacing w:val="-2"/>
        </w:rPr>
        <w:t xml:space="preserve"> </w:t>
      </w:r>
    </w:p>
    <w:p w14:paraId="4146E0D0" w14:textId="5A9C7A68" w:rsidR="008D1912" w:rsidRPr="00BD6F21" w:rsidRDefault="008D1912" w:rsidP="00AA07D0">
      <w:pPr>
        <w:pStyle w:val="BodyText"/>
      </w:pPr>
      <w:r w:rsidRPr="00BD6F21">
        <w:t xml:space="preserve">School committee members and town representatives agreed that </w:t>
      </w:r>
      <w:r w:rsidR="0072053E" w:rsidRPr="00BD6F21">
        <w:t>the district generally uses its budget effectively. They note</w:t>
      </w:r>
      <w:r w:rsidR="00030E2D">
        <w:t>d</w:t>
      </w:r>
      <w:r w:rsidR="0072053E" w:rsidRPr="00BD6F21">
        <w:t xml:space="preserve"> that the district’s MCAS scores </w:t>
      </w:r>
      <w:r w:rsidR="00BB49D9" w:rsidRPr="00BD6F21">
        <w:t>and college acceptance rates are both high</w:t>
      </w:r>
      <w:r w:rsidR="00935843" w:rsidRPr="00BD6F21">
        <w:t>, despite per pupil spending that is “middle of the road”</w:t>
      </w:r>
      <w:r w:rsidR="00EB36A9">
        <w:t xml:space="preserve"> </w:t>
      </w:r>
      <w:r w:rsidR="00183D47">
        <w:t>d</w:t>
      </w:r>
      <w:r w:rsidR="00EB36A9">
        <w:t xml:space="preserve">espite </w:t>
      </w:r>
      <w:r w:rsidR="00CC65D5">
        <w:t xml:space="preserve">data suggesting they are </w:t>
      </w:r>
      <w:r w:rsidR="00845F0C">
        <w:t>below comparable school districts</w:t>
      </w:r>
      <w:r w:rsidR="00EB36A9">
        <w:t xml:space="preserve"> </w:t>
      </w:r>
      <w:r w:rsidR="00935843" w:rsidRPr="00BD6F21">
        <w:t xml:space="preserve"> </w:t>
      </w:r>
      <w:r w:rsidR="0050686E" w:rsidRPr="00BD6F21">
        <w:t xml:space="preserve">Committee members added, however, that </w:t>
      </w:r>
      <w:r w:rsidR="009F58C9" w:rsidRPr="00BD6F21">
        <w:t xml:space="preserve">the district has had to increase </w:t>
      </w:r>
      <w:r w:rsidR="0050686E" w:rsidRPr="00BD6F21">
        <w:t>special education</w:t>
      </w:r>
      <w:r w:rsidR="00030E2D">
        <w:t>–</w:t>
      </w:r>
      <w:r w:rsidR="009F58C9" w:rsidRPr="00BD6F21">
        <w:t>related funding to en</w:t>
      </w:r>
      <w:r w:rsidR="0092503E" w:rsidRPr="00BD6F21">
        <w:t xml:space="preserve">sure </w:t>
      </w:r>
      <w:r w:rsidR="00030E2D">
        <w:t xml:space="preserve">that </w:t>
      </w:r>
      <w:r w:rsidR="0092503E" w:rsidRPr="00BD6F21">
        <w:t>student needs are met</w:t>
      </w:r>
      <w:r w:rsidR="0050686E" w:rsidRPr="00BD6F21">
        <w:t>, which</w:t>
      </w:r>
      <w:r w:rsidR="00D92969" w:rsidRPr="00BD6F21">
        <w:t xml:space="preserve"> led to the </w:t>
      </w:r>
      <w:r w:rsidR="005F2D73" w:rsidRPr="00BD6F21">
        <w:lastRenderedPageBreak/>
        <w:t xml:space="preserve">requested override </w:t>
      </w:r>
      <w:r w:rsidR="00BB4300" w:rsidRPr="00BD6F21">
        <w:t xml:space="preserve">for </w:t>
      </w:r>
      <w:r w:rsidR="00030E2D">
        <w:t>fiscal year</w:t>
      </w:r>
      <w:r w:rsidR="00BB4300" w:rsidRPr="00BD6F21">
        <w:t xml:space="preserve"> 2024.</w:t>
      </w:r>
      <w:r w:rsidR="00512C9F" w:rsidRPr="00BD6F21">
        <w:t xml:space="preserve"> District staff reported conducting a staffing audit to examine class sizes and staffing needs. Specifically, the audit helped identify especially small classes</w:t>
      </w:r>
      <w:r w:rsidR="00FA56C2" w:rsidRPr="00BD6F21">
        <w:t>, and</w:t>
      </w:r>
      <w:r w:rsidR="00512C9F" w:rsidRPr="00BD6F21">
        <w:t xml:space="preserve"> </w:t>
      </w:r>
      <w:r w:rsidR="00030E2D">
        <w:t xml:space="preserve">the district used </w:t>
      </w:r>
      <w:r w:rsidR="00512C9F" w:rsidRPr="00BD6F21">
        <w:t xml:space="preserve">this information to inform staffing decisions. </w:t>
      </w:r>
    </w:p>
    <w:p w14:paraId="73AB2726" w14:textId="5344B8DB" w:rsidR="00B827DE" w:rsidRPr="00BD6F21" w:rsidRDefault="00B827DE" w:rsidP="00B827DE">
      <w:pPr>
        <w:pStyle w:val="Heading3"/>
      </w:pPr>
      <w:bookmarkStart w:id="60" w:name="_Financial_Tracking,_Forecasting,"/>
      <w:bookmarkEnd w:id="60"/>
      <w:r w:rsidRPr="00BD6F21">
        <w:t>Financial Tracking, Forecasting, Controls, and Audits</w:t>
      </w:r>
    </w:p>
    <w:p w14:paraId="19C18A7F" w14:textId="5DBE43FC" w:rsidR="003636F8" w:rsidRPr="00BD6F21" w:rsidRDefault="00062296" w:rsidP="003636F8">
      <w:pPr>
        <w:pStyle w:val="BodyTextposthead"/>
      </w:pPr>
      <w:r w:rsidRPr="00BD6F21">
        <w:t xml:space="preserve">The district’s </w:t>
      </w:r>
      <w:r w:rsidR="00030E2D">
        <w:t>d</w:t>
      </w:r>
      <w:r w:rsidRPr="00BD6F21">
        <w:t xml:space="preserve">irector of </w:t>
      </w:r>
      <w:r w:rsidR="00030E2D">
        <w:t>b</w:t>
      </w:r>
      <w:r w:rsidR="002C5D97" w:rsidRPr="00BD6F21">
        <w:t xml:space="preserve">usiness and </w:t>
      </w:r>
      <w:r w:rsidR="00030E2D">
        <w:t>s</w:t>
      </w:r>
      <w:r w:rsidR="002C5D97" w:rsidRPr="00BD6F21">
        <w:t xml:space="preserve">upport </w:t>
      </w:r>
      <w:r w:rsidR="00030E2D">
        <w:t>s</w:t>
      </w:r>
      <w:r w:rsidR="002C5D97" w:rsidRPr="00BD6F21">
        <w:t>ervices</w:t>
      </w:r>
      <w:r w:rsidR="001B228B" w:rsidRPr="00BD6F21">
        <w:t xml:space="preserve"> is responsible for </w:t>
      </w:r>
      <w:r w:rsidR="00FF1B88" w:rsidRPr="00BD6F21">
        <w:t>tracking, forecasting</w:t>
      </w:r>
      <w:r w:rsidR="00030E2D">
        <w:t>,</w:t>
      </w:r>
      <w:r w:rsidR="00FF1B88" w:rsidRPr="00BD6F21">
        <w:t xml:space="preserve"> and reporting on district spending. </w:t>
      </w:r>
      <w:r w:rsidR="003636F8" w:rsidRPr="00BD6F21">
        <w:t xml:space="preserve">According to the </w:t>
      </w:r>
      <w:r w:rsidR="00030E2D">
        <w:t>s</w:t>
      </w:r>
      <w:r w:rsidR="003636F8" w:rsidRPr="00BD6F21">
        <w:t xml:space="preserve">uperintendent, the </w:t>
      </w:r>
      <w:r w:rsidR="00030E2D">
        <w:t>d</w:t>
      </w:r>
      <w:r w:rsidR="003636F8" w:rsidRPr="00BD6F21">
        <w:t xml:space="preserve">irector of </w:t>
      </w:r>
      <w:r w:rsidR="00030E2D">
        <w:t>b</w:t>
      </w:r>
      <w:r w:rsidR="003636F8" w:rsidRPr="00BD6F21">
        <w:t xml:space="preserve">usiness and </w:t>
      </w:r>
      <w:r w:rsidR="00030E2D">
        <w:t>s</w:t>
      </w:r>
      <w:r w:rsidR="003636F8" w:rsidRPr="00BD6F21">
        <w:t xml:space="preserve">upport </w:t>
      </w:r>
      <w:r w:rsidR="00030E2D">
        <w:t>s</w:t>
      </w:r>
      <w:r w:rsidR="003636F8" w:rsidRPr="00BD6F21">
        <w:t>ervices works with a team to do end</w:t>
      </w:r>
      <w:r w:rsidR="00030E2D">
        <w:t>-</w:t>
      </w:r>
      <w:r w:rsidR="003636F8" w:rsidRPr="00BD6F21">
        <w:t>of</w:t>
      </w:r>
      <w:r w:rsidR="00030E2D">
        <w:t>-the-</w:t>
      </w:r>
      <w:r w:rsidR="003636F8" w:rsidRPr="00BD6F21">
        <w:t xml:space="preserve">year reporting. District staff added that they have met their year-end reporting requirements, which </w:t>
      </w:r>
      <w:r w:rsidR="006914E5">
        <w:t>include</w:t>
      </w:r>
      <w:r w:rsidR="006914E5" w:rsidRPr="00BD6F21">
        <w:t xml:space="preserve"> </w:t>
      </w:r>
      <w:r w:rsidR="003636F8" w:rsidRPr="00BD6F21">
        <w:t xml:space="preserve">presenting to the school committee </w:t>
      </w:r>
      <w:r w:rsidR="0079712B" w:rsidRPr="00BD6F21">
        <w:t xml:space="preserve">(typically in June) </w:t>
      </w:r>
      <w:r w:rsidR="003636F8" w:rsidRPr="00BD6F21">
        <w:t xml:space="preserve">and getting committee approval for any spending </w:t>
      </w:r>
      <w:r w:rsidR="006914E5">
        <w:t xml:space="preserve">greater </w:t>
      </w:r>
      <w:r w:rsidR="00030E2D">
        <w:t>than</w:t>
      </w:r>
      <w:r w:rsidR="00030E2D" w:rsidRPr="00BD6F21">
        <w:t xml:space="preserve"> </w:t>
      </w:r>
      <w:r w:rsidR="003636F8" w:rsidRPr="00BD6F21">
        <w:t>10</w:t>
      </w:r>
      <w:r w:rsidR="00030E2D">
        <w:t xml:space="preserve"> percent</w:t>
      </w:r>
      <w:r w:rsidR="003636F8" w:rsidRPr="00BD6F21">
        <w:t xml:space="preserve"> of </w:t>
      </w:r>
      <w:r w:rsidR="00030E2D">
        <w:t>the budget</w:t>
      </w:r>
      <w:r w:rsidR="003636F8" w:rsidRPr="00BD6F21">
        <w:t>. Committee members added that the finance subcommittee typically receives preliminary end-of-year spending reports between May and June and final reports in July.</w:t>
      </w:r>
    </w:p>
    <w:p w14:paraId="0A368C35" w14:textId="36FC18AE" w:rsidR="003636F8" w:rsidRPr="00BD6F21" w:rsidRDefault="00030E2D" w:rsidP="00AA07D0">
      <w:pPr>
        <w:pStyle w:val="BodyText"/>
      </w:pPr>
      <w:r>
        <w:t>School c</w:t>
      </w:r>
      <w:r w:rsidR="003636F8" w:rsidRPr="00BD6F21">
        <w:t xml:space="preserve">ommittee members reported receiving updates from district staff on spending at least once </w:t>
      </w:r>
      <w:r>
        <w:t>per</w:t>
      </w:r>
      <w:r w:rsidR="003636F8" w:rsidRPr="00BD6F21">
        <w:t xml:space="preserve"> year, through the budgeting process, and then as needed. District staff, however, described provid</w:t>
      </w:r>
      <w:r>
        <w:t>ing</w:t>
      </w:r>
      <w:r w:rsidR="003636F8" w:rsidRPr="00BD6F21">
        <w:t xml:space="preserve"> quarterly reports on spending to the school committee and the </w:t>
      </w:r>
      <w:r>
        <w:t>s</w:t>
      </w:r>
      <w:r w:rsidR="003636F8" w:rsidRPr="00BD6F21">
        <w:t xml:space="preserve">uperintendent. They acknowledged </w:t>
      </w:r>
      <w:r w:rsidR="00EE3FB7" w:rsidRPr="00BD6F21">
        <w:t>that they</w:t>
      </w:r>
      <w:r w:rsidR="003636F8" w:rsidRPr="00BD6F21">
        <w:t xml:space="preserve"> share information about spending with principals less frequently, </w:t>
      </w:r>
      <w:r>
        <w:t>which</w:t>
      </w:r>
      <w:r w:rsidR="003636F8" w:rsidRPr="00BD6F21">
        <w:t xml:space="preserve"> is an area of growth for the district. </w:t>
      </w:r>
    </w:p>
    <w:p w14:paraId="47F80D62" w14:textId="5204C04A" w:rsidR="00B21D8C" w:rsidRPr="00BD6F21" w:rsidRDefault="00164269" w:rsidP="00AA07D0">
      <w:pPr>
        <w:pStyle w:val="BodyText"/>
      </w:pPr>
      <w:r w:rsidRPr="00BD6F21">
        <w:t>To forecast spending, district staff describ</w:t>
      </w:r>
      <w:r w:rsidR="00714BD0" w:rsidRPr="00BD6F21">
        <w:t>ed</w:t>
      </w:r>
      <w:r w:rsidRPr="00BD6F21">
        <w:t xml:space="preserve"> a process for examining spending from the </w:t>
      </w:r>
      <w:r w:rsidR="00B21D8C" w:rsidRPr="00BD6F21">
        <w:t>previous year</w:t>
      </w:r>
      <w:r w:rsidRPr="00BD6F21">
        <w:t xml:space="preserve"> and </w:t>
      </w:r>
      <w:r w:rsidR="00B21D8C" w:rsidRPr="00BD6F21">
        <w:t xml:space="preserve">evaluating any changes </w:t>
      </w:r>
      <w:r w:rsidR="00373AF3" w:rsidRPr="00BD6F21">
        <w:t xml:space="preserve">to spending that may be </w:t>
      </w:r>
      <w:r w:rsidR="00030E2D">
        <w:t>necessary</w:t>
      </w:r>
      <w:r w:rsidR="00CB2928" w:rsidRPr="00BD6F21">
        <w:t xml:space="preserve">. </w:t>
      </w:r>
      <w:r w:rsidR="00111B05" w:rsidRPr="00BD6F21">
        <w:t xml:space="preserve">For example, </w:t>
      </w:r>
      <w:r w:rsidR="00EA25CC" w:rsidRPr="00BD6F21">
        <w:t>staff talked abou</w:t>
      </w:r>
      <w:r w:rsidR="00F20CDE" w:rsidRPr="00BD6F21">
        <w:t>t</w:t>
      </w:r>
      <w:r w:rsidR="00EA25CC" w:rsidRPr="00BD6F21">
        <w:t xml:space="preserve"> </w:t>
      </w:r>
      <w:r w:rsidR="00B21D8C" w:rsidRPr="00BD6F21">
        <w:t>CareSolis</w:t>
      </w:r>
      <w:r w:rsidR="00EA25CC" w:rsidRPr="00BD6F21">
        <w:t>, a me</w:t>
      </w:r>
      <w:r w:rsidR="00B21D8C" w:rsidRPr="00BD6F21">
        <w:t xml:space="preserve">ntal health resource funded by </w:t>
      </w:r>
      <w:r w:rsidR="00EA25CC" w:rsidRPr="00BD6F21">
        <w:t xml:space="preserve">the </w:t>
      </w:r>
      <w:r w:rsidR="00B21D8C" w:rsidRPr="00BD6F21">
        <w:t>ESS</w:t>
      </w:r>
      <w:r w:rsidR="002648A3" w:rsidRPr="00BD6F21">
        <w:t>E</w:t>
      </w:r>
      <w:r w:rsidR="00B21D8C" w:rsidRPr="00BD6F21">
        <w:t>R grant</w:t>
      </w:r>
      <w:r w:rsidR="00EA25CC" w:rsidRPr="00BD6F21">
        <w:t xml:space="preserve">. </w:t>
      </w:r>
      <w:r w:rsidR="00030E2D">
        <w:t>T</w:t>
      </w:r>
      <w:r w:rsidR="00EA25CC" w:rsidRPr="00BD6F21">
        <w:t xml:space="preserve">o </w:t>
      </w:r>
      <w:r w:rsidR="00B21D8C" w:rsidRPr="00BD6F21">
        <w:t>keep this resource</w:t>
      </w:r>
      <w:r w:rsidR="00EA25CC" w:rsidRPr="00BD6F21">
        <w:t>, without ESS</w:t>
      </w:r>
      <w:r w:rsidR="002648A3" w:rsidRPr="00BD6F21">
        <w:t>E</w:t>
      </w:r>
      <w:r w:rsidR="00EA25CC" w:rsidRPr="00BD6F21">
        <w:t>R funds, the district</w:t>
      </w:r>
      <w:r w:rsidR="00F973D4" w:rsidRPr="00BD6F21">
        <w:t xml:space="preserve"> </w:t>
      </w:r>
      <w:r w:rsidR="006470AF" w:rsidRPr="00BD6F21">
        <w:t>had to make room in the budget</w:t>
      </w:r>
      <w:r w:rsidR="00EA25CC" w:rsidRPr="00BD6F21">
        <w:t xml:space="preserve">. </w:t>
      </w:r>
      <w:r w:rsidR="00502573" w:rsidRPr="00BD6F21">
        <w:t xml:space="preserve">District staff also </w:t>
      </w:r>
      <w:r w:rsidR="006470AF" w:rsidRPr="00BD6F21">
        <w:t xml:space="preserve">reported </w:t>
      </w:r>
      <w:r w:rsidR="00502573" w:rsidRPr="00BD6F21">
        <w:t>us</w:t>
      </w:r>
      <w:r w:rsidR="006470AF" w:rsidRPr="00BD6F21">
        <w:t>ing</w:t>
      </w:r>
      <w:r w:rsidR="00B21D8C" w:rsidRPr="00BD6F21">
        <w:t xml:space="preserve"> enrollment data</w:t>
      </w:r>
      <w:r w:rsidR="00030E2D">
        <w:t>;</w:t>
      </w:r>
      <w:r w:rsidR="00B21D8C" w:rsidRPr="00BD6F21">
        <w:t xml:space="preserve"> </w:t>
      </w:r>
      <w:r w:rsidR="00502573" w:rsidRPr="00BD6F21">
        <w:t xml:space="preserve">data regarding special needs such as </w:t>
      </w:r>
      <w:r w:rsidR="00B21D8C" w:rsidRPr="00BD6F21">
        <w:t>speech</w:t>
      </w:r>
      <w:r w:rsidR="006470AF" w:rsidRPr="00BD6F21">
        <w:t>,</w:t>
      </w:r>
      <w:r w:rsidR="00B21D8C" w:rsidRPr="00BD6F21">
        <w:t xml:space="preserve"> language, </w:t>
      </w:r>
      <w:r w:rsidR="006470AF" w:rsidRPr="00BD6F21">
        <w:t xml:space="preserve">and </w:t>
      </w:r>
      <w:r w:rsidR="00B21D8C" w:rsidRPr="00BD6F21">
        <w:t>behavioral needs</w:t>
      </w:r>
      <w:r w:rsidR="00030E2D">
        <w:t>;</w:t>
      </w:r>
      <w:r w:rsidR="00B21D8C" w:rsidRPr="00BD6F21">
        <w:t xml:space="preserve"> </w:t>
      </w:r>
      <w:r w:rsidR="006470AF" w:rsidRPr="00BD6F21">
        <w:t>and data</w:t>
      </w:r>
      <w:r w:rsidR="0047608F" w:rsidRPr="00BD6F21">
        <w:t xml:space="preserve"> regarding </w:t>
      </w:r>
      <w:r w:rsidR="00B21D8C" w:rsidRPr="00BD6F21">
        <w:t>out</w:t>
      </w:r>
      <w:r w:rsidR="0047608F" w:rsidRPr="00BD6F21">
        <w:t>-</w:t>
      </w:r>
      <w:r w:rsidR="00B21D8C" w:rsidRPr="00BD6F21">
        <w:t>of</w:t>
      </w:r>
      <w:r w:rsidR="0047608F" w:rsidRPr="00BD6F21">
        <w:t>-</w:t>
      </w:r>
      <w:r w:rsidR="00B21D8C" w:rsidRPr="00BD6F21">
        <w:t xml:space="preserve">district placements </w:t>
      </w:r>
      <w:r w:rsidR="0047608F" w:rsidRPr="00BD6F21">
        <w:t xml:space="preserve">to accurately forecast spending. </w:t>
      </w:r>
      <w:bookmarkStart w:id="61" w:name="_Capital_Planning_and"/>
      <w:bookmarkEnd w:id="61"/>
    </w:p>
    <w:p w14:paraId="122638A1" w14:textId="103E7947" w:rsidR="00B21D8C" w:rsidRPr="00BD6F21" w:rsidRDefault="0047608F" w:rsidP="00AA07D0">
      <w:pPr>
        <w:pStyle w:val="BodyText"/>
      </w:pPr>
      <w:r w:rsidRPr="00BD6F21">
        <w:t xml:space="preserve">To monitor the effectiveness of programs, district staff reported </w:t>
      </w:r>
      <w:r w:rsidR="00AE14D6" w:rsidRPr="00BD6F21">
        <w:t>relying primarily on</w:t>
      </w:r>
      <w:r w:rsidR="00B651A4" w:rsidRPr="00BD6F21">
        <w:t xml:space="preserve"> </w:t>
      </w:r>
      <w:r w:rsidR="00B21D8C" w:rsidRPr="00BD6F21">
        <w:t xml:space="preserve">student </w:t>
      </w:r>
      <w:r w:rsidR="00030E2D">
        <w:t>assessment</w:t>
      </w:r>
      <w:r w:rsidR="00030E2D" w:rsidRPr="00BD6F21">
        <w:t xml:space="preserve"> </w:t>
      </w:r>
      <w:r w:rsidR="00B21D8C" w:rsidRPr="00BD6F21">
        <w:t>data</w:t>
      </w:r>
      <w:r w:rsidR="00922E11" w:rsidRPr="00BD6F21">
        <w:t xml:space="preserve">. District staff pointed to the implementation of MTSS, during and </w:t>
      </w:r>
      <w:r w:rsidR="00D91B77" w:rsidRPr="00BD6F21">
        <w:t>after the COVID</w:t>
      </w:r>
      <w:r w:rsidR="00030E2D">
        <w:noBreakHyphen/>
      </w:r>
      <w:r w:rsidR="00D91B77" w:rsidRPr="00BD6F21">
        <w:t>19 pandemic, as a</w:t>
      </w:r>
      <w:r w:rsidR="00044652" w:rsidRPr="00BD6F21">
        <w:t xml:space="preserve">n effective approach to improving student achievement and therefore </w:t>
      </w:r>
      <w:r w:rsidR="00E14F9A" w:rsidRPr="00BD6F21">
        <w:t xml:space="preserve">made sure to </w:t>
      </w:r>
      <w:r w:rsidR="008C58B0" w:rsidRPr="00BD6F21">
        <w:t xml:space="preserve">maintain funding for MTSS in current and future budgeting. </w:t>
      </w:r>
      <w:r w:rsidR="007D1964" w:rsidRPr="00BD6F21">
        <w:t xml:space="preserve">District staff reported formally tracking spending on a monthly basis </w:t>
      </w:r>
      <w:r w:rsidR="00E01859">
        <w:t>and</w:t>
      </w:r>
      <w:r w:rsidR="007D1964" w:rsidRPr="00BD6F21">
        <w:t xml:space="preserve"> “looking at numbers every day” </w:t>
      </w:r>
      <w:r w:rsidR="00030E2D">
        <w:t>because</w:t>
      </w:r>
      <w:r w:rsidR="00030E2D" w:rsidRPr="00BD6F21">
        <w:t xml:space="preserve"> </w:t>
      </w:r>
      <w:r w:rsidR="007D1964" w:rsidRPr="00BD6F21">
        <w:t>they are responsible for all pr</w:t>
      </w:r>
      <w:r w:rsidR="003B7496" w:rsidRPr="00BD6F21">
        <w:t>ocurements.</w:t>
      </w:r>
    </w:p>
    <w:p w14:paraId="4DE0D2DF" w14:textId="1F03CA76" w:rsidR="00EC744B" w:rsidRDefault="00096658" w:rsidP="00AA07D0">
      <w:pPr>
        <w:pStyle w:val="BodyText"/>
      </w:pPr>
      <w:r w:rsidRPr="00BD6F21">
        <w:t xml:space="preserve">District staff explained that they have </w:t>
      </w:r>
      <w:r w:rsidR="00EF1998" w:rsidRPr="00BD6F21">
        <w:t>a grant manager</w:t>
      </w:r>
      <w:r w:rsidR="00DF1978" w:rsidRPr="00BD6F21">
        <w:t xml:space="preserve"> who works in collaboration with the finance</w:t>
      </w:r>
      <w:r w:rsidR="00DF1978">
        <w:t xml:space="preserve"> office to </w:t>
      </w:r>
      <w:r w:rsidR="004E7099">
        <w:t xml:space="preserve">help monitor and manage grant funds. </w:t>
      </w:r>
      <w:r w:rsidR="00BB0188">
        <w:t>The district provided a</w:t>
      </w:r>
      <w:r w:rsidR="00EC744B">
        <w:t xml:space="preserve"> grant summary report in June 2023, which show</w:t>
      </w:r>
      <w:r w:rsidR="00BB0188">
        <w:t>ed</w:t>
      </w:r>
      <w:r w:rsidR="00EC744B">
        <w:t xml:space="preserve"> allocations by grant, with both expended and encumbered</w:t>
      </w:r>
      <w:r w:rsidR="00561A0F">
        <w:t xml:space="preserve"> costs</w:t>
      </w:r>
      <w:r w:rsidR="00EE3FB7">
        <w:t>. District staff also shared and maintain a</w:t>
      </w:r>
      <w:r w:rsidR="00EC744B">
        <w:t xml:space="preserve"> 10-year summary of grants and revolving accounts</w:t>
      </w:r>
      <w:r w:rsidR="00EE3FB7">
        <w:t xml:space="preserve"> for long-term planning and tracking purposes</w:t>
      </w:r>
      <w:r w:rsidR="00486E2E">
        <w:t>.</w:t>
      </w:r>
    </w:p>
    <w:p w14:paraId="2A19F48F" w14:textId="5AC59CD7" w:rsidR="00B21D8C" w:rsidRPr="005F78F8" w:rsidRDefault="00096658" w:rsidP="00AA07D0">
      <w:pPr>
        <w:pStyle w:val="BodyText"/>
      </w:pPr>
      <w:r>
        <w:t xml:space="preserve">Both the town and district finance staff use Munis software for accounting purposes, which district staff described as a “major upgrade” compared </w:t>
      </w:r>
      <w:r w:rsidR="00030E2D">
        <w:t xml:space="preserve">with </w:t>
      </w:r>
      <w:r>
        <w:t xml:space="preserve">previous systems. </w:t>
      </w:r>
      <w:r w:rsidR="002323ED">
        <w:t xml:space="preserve">According to district staff, </w:t>
      </w:r>
      <w:r w:rsidR="00BB09EE">
        <w:t xml:space="preserve">the </w:t>
      </w:r>
      <w:r w:rsidR="00B21D8C">
        <w:t xml:space="preserve">town </w:t>
      </w:r>
      <w:r w:rsidR="007012A6">
        <w:t>is responsible for procurin</w:t>
      </w:r>
      <w:r w:rsidR="00155662">
        <w:t>g independent financial auditing services for both the town and district at the same time.</w:t>
      </w:r>
      <w:r w:rsidR="00D719DA">
        <w:t xml:space="preserve"> District staff provided documentation of external auditing</w:t>
      </w:r>
      <w:r w:rsidR="00916FC8">
        <w:t>,</w:t>
      </w:r>
      <w:r w:rsidR="00761A28">
        <w:t xml:space="preserve"> </w:t>
      </w:r>
      <w:r w:rsidR="00916FC8">
        <w:t xml:space="preserve">in compliance with DESE requirements, </w:t>
      </w:r>
      <w:r w:rsidR="00761A28">
        <w:t xml:space="preserve">that </w:t>
      </w:r>
      <w:r w:rsidR="00030E2D">
        <w:t>occurred</w:t>
      </w:r>
      <w:r w:rsidR="00761A28">
        <w:t xml:space="preserve"> in June </w:t>
      </w:r>
      <w:r w:rsidR="00916FC8">
        <w:t>2021.</w:t>
      </w:r>
    </w:p>
    <w:p w14:paraId="22E56B0C" w14:textId="5344B8DB" w:rsidR="00B827DE" w:rsidRDefault="00B827DE" w:rsidP="00B827DE">
      <w:pPr>
        <w:pStyle w:val="Heading3"/>
      </w:pPr>
      <w:r w:rsidRPr="00CB0607">
        <w:lastRenderedPageBreak/>
        <w:t>Capital Planning and Facility Maintenance</w:t>
      </w:r>
    </w:p>
    <w:p w14:paraId="1CDAB883" w14:textId="60CC43B1" w:rsidR="00FD4417" w:rsidRDefault="009751A8" w:rsidP="0095662E">
      <w:pPr>
        <w:pStyle w:val="BodyTextposthead"/>
      </w:pPr>
      <w:r>
        <w:t xml:space="preserve">According to district staff, the current </w:t>
      </w:r>
      <w:r w:rsidR="00030E2D">
        <w:t>s</w:t>
      </w:r>
      <w:r>
        <w:t>uperintendent inherited a five-year capital plan from her predecessor</w:t>
      </w:r>
      <w:r w:rsidR="00434B5C">
        <w:t>, which</w:t>
      </w:r>
      <w:r>
        <w:t xml:space="preserve"> was developed with the help of an external vendor in spring 2021 and includes considerations related to class size and space needs for specialized student supports.</w:t>
      </w:r>
      <w:r w:rsidR="009C628D">
        <w:t xml:space="preserve"> </w:t>
      </w:r>
      <w:r w:rsidR="00A54AF0">
        <w:t>The Hingham town manager</w:t>
      </w:r>
      <w:r w:rsidR="00F56953">
        <w:t xml:space="preserve"> works closely with the Hingham </w:t>
      </w:r>
      <w:r w:rsidR="00187366">
        <w:t>s</w:t>
      </w:r>
      <w:r w:rsidR="00F56953">
        <w:t xml:space="preserve">uperintendent and </w:t>
      </w:r>
      <w:r w:rsidR="00030E2D">
        <w:t xml:space="preserve">the </w:t>
      </w:r>
      <w:r w:rsidR="00F56953">
        <w:t xml:space="preserve">school committee to identify and make plans for addressing the district’s </w:t>
      </w:r>
      <w:r w:rsidR="00EE1A1D">
        <w:t xml:space="preserve">long-term capital </w:t>
      </w:r>
      <w:r w:rsidR="00326B90">
        <w:t>and ongoing maintenance needs</w:t>
      </w:r>
      <w:r w:rsidR="009C628D">
        <w:t xml:space="preserve">, as outlined in the </w:t>
      </w:r>
      <w:r w:rsidR="008C664F">
        <w:t xml:space="preserve">five-year </w:t>
      </w:r>
      <w:r w:rsidR="009C628D">
        <w:t>plan</w:t>
      </w:r>
      <w:r w:rsidR="00326B90" w:rsidRPr="00F836F4">
        <w:t>.</w:t>
      </w:r>
      <w:r w:rsidR="00154B2C" w:rsidRPr="00F836F4">
        <w:t xml:space="preserve"> </w:t>
      </w:r>
      <w:r w:rsidR="00B85938" w:rsidRPr="00F836F4">
        <w:t>These k</w:t>
      </w:r>
      <w:r w:rsidR="00D67BEA" w:rsidRPr="00F836F4">
        <w:t xml:space="preserve">ey stakeholders </w:t>
      </w:r>
      <w:r w:rsidR="00B85938" w:rsidRPr="00F836F4">
        <w:t>representing both</w:t>
      </w:r>
      <w:r w:rsidR="00D67BEA" w:rsidRPr="00F836F4">
        <w:t xml:space="preserve"> the town</w:t>
      </w:r>
      <w:r w:rsidR="00DA2D1C" w:rsidRPr="00F836F4">
        <w:t xml:space="preserve"> and the</w:t>
      </w:r>
      <w:r w:rsidR="005055B7" w:rsidRPr="00F836F4">
        <w:t xml:space="preserve"> school district</w:t>
      </w:r>
      <w:r w:rsidR="0096155D" w:rsidRPr="00F836F4">
        <w:t xml:space="preserve"> </w:t>
      </w:r>
      <w:r w:rsidR="0024371D" w:rsidRPr="00F836F4">
        <w:t xml:space="preserve">reportedly </w:t>
      </w:r>
      <w:r w:rsidR="0096155D" w:rsidRPr="00F836F4">
        <w:t xml:space="preserve">work together “early and often” </w:t>
      </w:r>
      <w:r w:rsidR="00C96D34" w:rsidRPr="00F836F4">
        <w:t xml:space="preserve">before </w:t>
      </w:r>
      <w:r w:rsidR="00B85938" w:rsidRPr="00F836F4">
        <w:t xml:space="preserve">district </w:t>
      </w:r>
      <w:r w:rsidR="00C96D34" w:rsidRPr="00F836F4">
        <w:t>needs become “acute</w:t>
      </w:r>
      <w:r w:rsidR="00857901" w:rsidRPr="00F836F4">
        <w:t>,</w:t>
      </w:r>
      <w:r w:rsidR="00C96D34" w:rsidRPr="00F836F4">
        <w:t>”</w:t>
      </w:r>
      <w:r w:rsidR="00857901" w:rsidRPr="00F836F4">
        <w:t xml:space="preserve"> and this regular process is a strength of the district</w:t>
      </w:r>
      <w:r w:rsidR="003A56D0" w:rsidRPr="00F836F4">
        <w:t>.</w:t>
      </w:r>
      <w:r w:rsidR="006B0315">
        <w:t xml:space="preserve"> </w:t>
      </w:r>
    </w:p>
    <w:p w14:paraId="1CA18DF7" w14:textId="72E388B3" w:rsidR="00AD4B09" w:rsidRDefault="006B0315" w:rsidP="00AA07D0">
      <w:pPr>
        <w:pStyle w:val="BodyText"/>
      </w:pPr>
      <w:r>
        <w:t xml:space="preserve">The </w:t>
      </w:r>
      <w:r w:rsidR="00030E2D">
        <w:t>s</w:t>
      </w:r>
      <w:r>
        <w:t xml:space="preserve">uperintendent </w:t>
      </w:r>
      <w:r w:rsidR="008653C8">
        <w:t>explained</w:t>
      </w:r>
      <w:r>
        <w:t xml:space="preserve"> that </w:t>
      </w:r>
      <w:r w:rsidR="00A27472">
        <w:t xml:space="preserve">planning for capital needs is part of the district’s overall improvement </w:t>
      </w:r>
      <w:r>
        <w:t>planning process</w:t>
      </w:r>
      <w:r w:rsidR="00030E2D">
        <w:t>,</w:t>
      </w:r>
      <w:r w:rsidR="00B70D6F">
        <w:t xml:space="preserve"> and </w:t>
      </w:r>
      <w:r w:rsidR="00A1333C">
        <w:t xml:space="preserve">capital planning </w:t>
      </w:r>
      <w:r w:rsidR="007E1600">
        <w:t xml:space="preserve">is </w:t>
      </w:r>
      <w:r w:rsidR="00FE10E2">
        <w:t>integral to</w:t>
      </w:r>
      <w:r w:rsidR="007E1600">
        <w:t xml:space="preserve"> the district’s </w:t>
      </w:r>
      <w:r w:rsidR="002301E2">
        <w:t>annual budget development, review, and approval process</w:t>
      </w:r>
      <w:r w:rsidR="00A1333C">
        <w:t>.</w:t>
      </w:r>
      <w:r>
        <w:t xml:space="preserve"> </w:t>
      </w:r>
      <w:r w:rsidR="00AD4B09">
        <w:t>For example, t</w:t>
      </w:r>
      <w:r w:rsidR="00996050">
        <w:t xml:space="preserve">his year, the </w:t>
      </w:r>
      <w:r w:rsidR="00030E2D">
        <w:t>s</w:t>
      </w:r>
      <w:r w:rsidR="00996050">
        <w:t xml:space="preserve">uperintendent requested additional funding for capital planning projects, including a new school building and improvements to the Plymouth River </w:t>
      </w:r>
      <w:r w:rsidR="00030E2D">
        <w:t>Elementary School</w:t>
      </w:r>
      <w:r w:rsidR="00996050">
        <w:t>.</w:t>
      </w:r>
    </w:p>
    <w:p w14:paraId="5F81872D" w14:textId="11691EEC" w:rsidR="001715D4" w:rsidRPr="007E1600" w:rsidRDefault="00323513" w:rsidP="00AA07D0">
      <w:pPr>
        <w:pStyle w:val="BodyText"/>
      </w:pPr>
      <w:r>
        <w:t>To inform the</w:t>
      </w:r>
      <w:r w:rsidR="007D5200">
        <w:t xml:space="preserve"> district’s annual capital planning </w:t>
      </w:r>
      <w:r w:rsidR="008675B4">
        <w:t xml:space="preserve">and facilities maintenance </w:t>
      </w:r>
      <w:r>
        <w:t xml:space="preserve">efforts, Hingham’s </w:t>
      </w:r>
      <w:r w:rsidR="00030E2D">
        <w:t>d</w:t>
      </w:r>
      <w:r>
        <w:t xml:space="preserve">irector of </w:t>
      </w:r>
      <w:r w:rsidR="00030E2D">
        <w:t>f</w:t>
      </w:r>
      <w:r>
        <w:t xml:space="preserve">acilities meets with each building principal and with finance staff early each school year to review and update the district’s five-year capital plan. The </w:t>
      </w:r>
      <w:r w:rsidR="00030E2D">
        <w:t>d</w:t>
      </w:r>
      <w:r>
        <w:t xml:space="preserve">irector of </w:t>
      </w:r>
      <w:r w:rsidR="00030E2D">
        <w:t>f</w:t>
      </w:r>
      <w:r>
        <w:t>acilities presents any proposed update</w:t>
      </w:r>
      <w:r w:rsidR="00362B3A">
        <w:t>s</w:t>
      </w:r>
      <w:r>
        <w:t xml:space="preserve"> to the </w:t>
      </w:r>
      <w:r w:rsidR="00030E2D">
        <w:t>s</w:t>
      </w:r>
      <w:r>
        <w:t>uperintendent,</w:t>
      </w:r>
      <w:r w:rsidR="00EB6701">
        <w:t xml:space="preserve"> the school committee</w:t>
      </w:r>
      <w:r w:rsidR="00D54E6B">
        <w:t xml:space="preserve"> and </w:t>
      </w:r>
      <w:r w:rsidR="004707D8">
        <w:t xml:space="preserve">its finance </w:t>
      </w:r>
      <w:r>
        <w:t xml:space="preserve">subcommittee, and </w:t>
      </w:r>
      <w:r w:rsidR="00030E2D">
        <w:t xml:space="preserve">the </w:t>
      </w:r>
      <w:r>
        <w:t>town manager for approval.</w:t>
      </w:r>
      <w:r w:rsidR="00CB52E4">
        <w:t xml:space="preserve"> </w:t>
      </w:r>
      <w:r w:rsidR="002F4847">
        <w:t xml:space="preserve">Updates may </w:t>
      </w:r>
      <w:r w:rsidR="00D72A67">
        <w:t>relate to</w:t>
      </w:r>
      <w:r w:rsidR="002F4847">
        <w:t xml:space="preserve"> preventive maintenance needs or anticipated maintenance or capital needs. For example, the five-year plan includes new roofs, boilers, and HVAC systems that will need updat</w:t>
      </w:r>
      <w:r w:rsidR="00030E2D">
        <w:t>ing</w:t>
      </w:r>
      <w:r w:rsidR="002F4847">
        <w:t xml:space="preserve"> within the next few years, and facilities sta</w:t>
      </w:r>
      <w:r w:rsidR="0067092A">
        <w:t>ff assesses these needs each year to determine whether the</w:t>
      </w:r>
      <w:r w:rsidR="00C02920">
        <w:t xml:space="preserve">y </w:t>
      </w:r>
      <w:r w:rsidR="00CF4FD5">
        <w:t xml:space="preserve">need </w:t>
      </w:r>
      <w:r w:rsidR="00030E2D">
        <w:t>updates</w:t>
      </w:r>
      <w:r w:rsidR="00CF4FD5">
        <w:t xml:space="preserve"> in the coming year.</w:t>
      </w:r>
      <w:r w:rsidR="003551AF" w:rsidRPr="003551AF">
        <w:t xml:space="preserve"> </w:t>
      </w:r>
      <w:r w:rsidR="00CB52E4">
        <w:t>Even though</w:t>
      </w:r>
      <w:r w:rsidR="007354C6">
        <w:t xml:space="preserve"> </w:t>
      </w:r>
      <w:r w:rsidR="006F0345">
        <w:t>efforts are guided by a five-year plan, t</w:t>
      </w:r>
      <w:r w:rsidR="00CB52E4">
        <w:t>he town’s capital committee is responsible for reviewing and approving the</w:t>
      </w:r>
      <w:r w:rsidR="006F0345">
        <w:t xml:space="preserve"> plan each year,</w:t>
      </w:r>
      <w:r w:rsidR="00CB52E4">
        <w:t xml:space="preserve"> for one fiscal year at a time.</w:t>
      </w:r>
      <w:r w:rsidR="003B7984">
        <w:t xml:space="preserve"> </w:t>
      </w:r>
    </w:p>
    <w:p w14:paraId="5E00FEC8" w14:textId="24DBDA93" w:rsidR="005612CA" w:rsidRDefault="00C7144C" w:rsidP="00AA07D0">
      <w:pPr>
        <w:pStyle w:val="BodyText"/>
      </w:pPr>
      <w:r>
        <w:t xml:space="preserve">According to both town and school committee representatives, the </w:t>
      </w:r>
      <w:r w:rsidR="005853C0">
        <w:t>town and distric</w:t>
      </w:r>
      <w:r w:rsidR="00C25E92">
        <w:t>t</w:t>
      </w:r>
      <w:r>
        <w:t xml:space="preserve"> share responsibility for </w:t>
      </w:r>
      <w:r w:rsidR="00554B14">
        <w:t xml:space="preserve">some </w:t>
      </w:r>
      <w:r w:rsidR="00863784">
        <w:t xml:space="preserve">ongoing facility </w:t>
      </w:r>
      <w:r w:rsidR="00554B14">
        <w:t>maintenance needs, such as snow removal</w:t>
      </w:r>
      <w:r w:rsidR="00513F60">
        <w:t xml:space="preserve">, whereas </w:t>
      </w:r>
      <w:r w:rsidR="00F42DF8">
        <w:t xml:space="preserve">the school district handles </w:t>
      </w:r>
      <w:r w:rsidR="00DB67CC">
        <w:t xml:space="preserve">individual grounds maintenance for each school building. </w:t>
      </w:r>
      <w:r w:rsidR="00863784" w:rsidRPr="00E04324">
        <w:t>District staff added that they try to address preventive maintenance needs as much as possible each year</w:t>
      </w:r>
      <w:r w:rsidR="00863784">
        <w:t>.</w:t>
      </w:r>
    </w:p>
    <w:p w14:paraId="6E5340B4" w14:textId="08D40560" w:rsidR="00633C5D" w:rsidRPr="00A54AF0" w:rsidRDefault="00633C5D" w:rsidP="00AA07D0">
      <w:pPr>
        <w:pStyle w:val="BodyText"/>
      </w:pPr>
      <w:r>
        <w:t xml:space="preserve">According to </w:t>
      </w:r>
      <w:r w:rsidR="00A738D7">
        <w:t xml:space="preserve">key stakeholders, </w:t>
      </w:r>
      <w:r w:rsidR="00CE078E">
        <w:t xml:space="preserve">Hingham schools </w:t>
      </w:r>
      <w:r w:rsidR="008900C0">
        <w:t>“have a great custodial program, school resource officer program, ADA transition plan, and building compliance plans.” In fact, the district</w:t>
      </w:r>
      <w:r w:rsidR="00DE07BE">
        <w:t xml:space="preserve"> contracted with an external partner </w:t>
      </w:r>
      <w:r w:rsidR="0054548A">
        <w:t>in fall 2023</w:t>
      </w:r>
      <w:r w:rsidR="004251AA">
        <w:t xml:space="preserve"> to develop an ADA transition plan for all schools in the district.</w:t>
      </w:r>
      <w:r w:rsidR="005612CA">
        <w:t xml:space="preserve"> </w:t>
      </w:r>
      <w:r w:rsidR="009B42EE">
        <w:t xml:space="preserve">However, stakeholders also added that they “always need more money” and reported creating a capital stabilization </w:t>
      </w:r>
      <w:r w:rsidR="007E7B64">
        <w:t>fund</w:t>
      </w:r>
      <w:r w:rsidR="009B42EE">
        <w:t xml:space="preserve"> for the </w:t>
      </w:r>
      <w:r w:rsidR="008E4281">
        <w:t>first-time</w:t>
      </w:r>
      <w:r w:rsidR="009B42EE">
        <w:t xml:space="preserve"> last year to </w:t>
      </w:r>
      <w:r w:rsidR="00663462" w:rsidRPr="00663462">
        <w:t>provide a more stable source of funding for capital</w:t>
      </w:r>
      <w:r w:rsidR="00663462">
        <w:t xml:space="preserve"> needs</w:t>
      </w:r>
      <w:r w:rsidR="00D508E9">
        <w:t xml:space="preserve">. </w:t>
      </w:r>
    </w:p>
    <w:p w14:paraId="6A8BD12D" w14:textId="77777777" w:rsidR="002B4CEF" w:rsidRDefault="002B4CEF" w:rsidP="002B4CEF">
      <w:pPr>
        <w:pStyle w:val="Heading3"/>
      </w:pPr>
      <w:r>
        <w:t>DESE Recommendations</w:t>
      </w:r>
    </w:p>
    <w:p w14:paraId="171B08AB" w14:textId="081D4ADD" w:rsidR="00683627" w:rsidRPr="00683627" w:rsidRDefault="00683627" w:rsidP="002B4CEF">
      <w:pPr>
        <w:pStyle w:val="Bullet1"/>
        <w:rPr>
          <w:bCs/>
        </w:rPr>
      </w:pPr>
      <w:r>
        <w:rPr>
          <w:bCs/>
          <w:i/>
          <w:iCs/>
        </w:rPr>
        <w:t xml:space="preserve">The district should provide regular updates to its school committee on </w:t>
      </w:r>
      <w:r w:rsidR="001064A2">
        <w:rPr>
          <w:bCs/>
          <w:i/>
          <w:iCs/>
        </w:rPr>
        <w:t>how its spending is (or is not) being equitably spent on different student groups.</w:t>
      </w:r>
    </w:p>
    <w:p w14:paraId="10E4978C" w14:textId="1456DC87" w:rsidR="002B4CEF" w:rsidRPr="00CB0607" w:rsidRDefault="0076042F" w:rsidP="002B4CEF">
      <w:pPr>
        <w:pStyle w:val="Bullet1"/>
        <w:rPr>
          <w:bCs/>
        </w:rPr>
      </w:pPr>
      <w:r>
        <w:rPr>
          <w:i/>
          <w:iCs/>
        </w:rPr>
        <w:t xml:space="preserve">The district should develop a system for regularly updating principals on </w:t>
      </w:r>
      <w:r w:rsidR="003B3A4F">
        <w:rPr>
          <w:i/>
          <w:iCs/>
        </w:rPr>
        <w:t>district</w:t>
      </w:r>
      <w:r>
        <w:rPr>
          <w:i/>
          <w:iCs/>
        </w:rPr>
        <w:t xml:space="preserve"> spending. </w:t>
      </w:r>
    </w:p>
    <w:p w14:paraId="26CC0050" w14:textId="23F54D24" w:rsidR="002B4CEF" w:rsidRPr="00CB0607" w:rsidRDefault="002B4CEF" w:rsidP="00711976">
      <w:pPr>
        <w:pStyle w:val="BodyText"/>
        <w:sectPr w:rsidR="002B4CEF" w:rsidRPr="00CB0607" w:rsidSect="00D67AD2">
          <w:headerReference w:type="default" r:id="rId22"/>
          <w:footerReference w:type="default" r:id="rId23"/>
          <w:footerReference w:type="first" r:id="rId24"/>
          <w:pgSz w:w="12240" w:h="15840" w:code="1"/>
          <w:pgMar w:top="1440" w:right="1440" w:bottom="1440" w:left="1440" w:header="720" w:footer="720" w:gutter="0"/>
          <w:pgNumType w:start="1"/>
          <w:cols w:space="720"/>
          <w:docGrid w:linePitch="360"/>
        </w:sectPr>
      </w:pPr>
    </w:p>
    <w:p w14:paraId="3086BDED" w14:textId="6668ACD0" w:rsidR="008E314D" w:rsidRPr="00CB0607" w:rsidRDefault="008E314D" w:rsidP="009E578A">
      <w:pPr>
        <w:pStyle w:val="Heading2"/>
      </w:pPr>
      <w:bookmarkStart w:id="62" w:name="_Toc170157280"/>
      <w:r w:rsidRPr="00CB0607">
        <w:lastRenderedPageBreak/>
        <w:t>Appendix A</w:t>
      </w:r>
      <w:r w:rsidR="006A3A0E" w:rsidRPr="00CB0607">
        <w:t>.</w:t>
      </w:r>
      <w:r w:rsidRPr="00CB0607">
        <w:t xml:space="preserve"> </w:t>
      </w:r>
      <w:bookmarkEnd w:id="4"/>
      <w:bookmarkEnd w:id="5"/>
      <w:bookmarkEnd w:id="6"/>
      <w:r w:rsidR="00E475E7" w:rsidRPr="00CB0607">
        <w:t>Summary of Site Visit Activities</w:t>
      </w:r>
      <w:bookmarkEnd w:id="7"/>
      <w:bookmarkEnd w:id="62"/>
    </w:p>
    <w:p w14:paraId="5CB5BDC4" w14:textId="63C725A6" w:rsidR="00B827DE" w:rsidRPr="00CB0607" w:rsidRDefault="00B827DE" w:rsidP="00B827DE">
      <w:pPr>
        <w:pStyle w:val="BodyText"/>
      </w:pPr>
      <w:r w:rsidRPr="00CB0607">
        <w:t xml:space="preserve">The </w:t>
      </w:r>
      <w:r w:rsidR="00494638" w:rsidRPr="00CB0607">
        <w:t>AIR</w:t>
      </w:r>
      <w:r w:rsidRPr="00CB0607">
        <w:t xml:space="preserve"> team completed the following activities as part of the district review activities in </w:t>
      </w:r>
      <w:r w:rsidR="002648A3">
        <w:t>Hingham</w:t>
      </w:r>
      <w:r w:rsidRPr="00CB0607">
        <w:t>. The team conducted </w:t>
      </w:r>
      <w:r w:rsidR="00BF0D60">
        <w:t>98</w:t>
      </w:r>
      <w:r w:rsidRPr="00CB0607">
        <w:t xml:space="preserve"> classroom observations during the week of </w:t>
      </w:r>
      <w:r w:rsidR="00BF0D60">
        <w:t>April 22</w:t>
      </w:r>
      <w:r w:rsidR="006919C0">
        <w:t xml:space="preserve">, </w:t>
      </w:r>
      <w:r w:rsidR="0091501B">
        <w:t>2024</w:t>
      </w:r>
      <w:r w:rsidRPr="00CB0607">
        <w:t xml:space="preserve">, and held interviews and focus groups between </w:t>
      </w:r>
      <w:r w:rsidR="0091501B">
        <w:t>April 22 and April 24</w:t>
      </w:r>
      <w:r w:rsidRPr="00CB0607">
        <w:t>. The site visit team conducted interviews and focus groups with the following representatives from the school and the district: </w:t>
      </w:r>
    </w:p>
    <w:p w14:paraId="433DFA3E" w14:textId="77777777" w:rsidR="00B827DE" w:rsidRPr="00CB0607" w:rsidRDefault="00B827DE" w:rsidP="00B827DE">
      <w:pPr>
        <w:pStyle w:val="Bullet1"/>
      </w:pPr>
      <w:r w:rsidRPr="00CB0607">
        <w:t xml:space="preserve">Superintendent </w:t>
      </w:r>
    </w:p>
    <w:p w14:paraId="3BB607E5" w14:textId="77777777" w:rsidR="00B827DE" w:rsidRPr="00CB0607" w:rsidRDefault="00B827DE" w:rsidP="00B827DE">
      <w:pPr>
        <w:pStyle w:val="Bullet1"/>
      </w:pPr>
      <w:r w:rsidRPr="00CB0607">
        <w:t xml:space="preserve">Other district leaders </w:t>
      </w:r>
    </w:p>
    <w:p w14:paraId="5159C132" w14:textId="77777777" w:rsidR="00B827DE" w:rsidRPr="00CB0607" w:rsidRDefault="00B827DE" w:rsidP="00B827DE">
      <w:pPr>
        <w:pStyle w:val="Bullet1"/>
      </w:pPr>
      <w:r w:rsidRPr="00CB0607">
        <w:t xml:space="preserve">School committee members </w:t>
      </w:r>
    </w:p>
    <w:p w14:paraId="7B556F4E" w14:textId="77777777" w:rsidR="00B827DE" w:rsidRPr="00CB0607" w:rsidRDefault="00B827DE" w:rsidP="00B827DE">
      <w:pPr>
        <w:pStyle w:val="Bullet1"/>
      </w:pPr>
      <w:r w:rsidRPr="00CB0607">
        <w:t xml:space="preserve">Teachers’ association members </w:t>
      </w:r>
    </w:p>
    <w:p w14:paraId="179C02DE" w14:textId="77777777" w:rsidR="00B827DE" w:rsidRPr="00CB0607" w:rsidRDefault="00B827DE" w:rsidP="00B827DE">
      <w:pPr>
        <w:pStyle w:val="Bullet1"/>
      </w:pPr>
      <w:r w:rsidRPr="00CB0607">
        <w:t xml:space="preserve">Principals </w:t>
      </w:r>
    </w:p>
    <w:p w14:paraId="5726B81E" w14:textId="77777777" w:rsidR="00B827DE" w:rsidRPr="00CB0607" w:rsidRDefault="00B827DE" w:rsidP="00B827DE">
      <w:pPr>
        <w:pStyle w:val="Bullet1"/>
      </w:pPr>
      <w:r w:rsidRPr="00CB0607">
        <w:t xml:space="preserve">Teachers </w:t>
      </w:r>
    </w:p>
    <w:p w14:paraId="03723CF4" w14:textId="77777777" w:rsidR="00B827DE" w:rsidRPr="00CB0607" w:rsidRDefault="00B827DE" w:rsidP="00B827DE">
      <w:pPr>
        <w:pStyle w:val="Bullet1"/>
      </w:pPr>
      <w:r w:rsidRPr="00CB0607">
        <w:t xml:space="preserve">Support specialists </w:t>
      </w:r>
    </w:p>
    <w:p w14:paraId="50991F40" w14:textId="77777777" w:rsidR="00B827DE" w:rsidRPr="00CB0607" w:rsidRDefault="00B827DE" w:rsidP="00B827DE">
      <w:pPr>
        <w:pStyle w:val="Bullet1"/>
      </w:pPr>
      <w:r w:rsidRPr="00CB0607">
        <w:t xml:space="preserve">Parents </w:t>
      </w:r>
    </w:p>
    <w:p w14:paraId="1D50C673" w14:textId="77777777" w:rsidR="00B827DE" w:rsidRPr="00CB0607" w:rsidRDefault="00B827DE" w:rsidP="00B827DE">
      <w:pPr>
        <w:pStyle w:val="Bullet1"/>
      </w:pPr>
      <w:r w:rsidRPr="00CB0607">
        <w:t xml:space="preserve">Students </w:t>
      </w:r>
    </w:p>
    <w:p w14:paraId="3ED9E858" w14:textId="4E2F2656" w:rsidR="00B827DE" w:rsidRPr="00CB0607" w:rsidRDefault="00B827DE" w:rsidP="00B827DE">
      <w:pPr>
        <w:pStyle w:val="Bullet1"/>
      </w:pPr>
      <w:r w:rsidRPr="00CB0607">
        <w:t>Town representative</w:t>
      </w:r>
      <w:r w:rsidR="0091501B">
        <w:t>s</w:t>
      </w:r>
    </w:p>
    <w:p w14:paraId="48B34525" w14:textId="24EFC9BA" w:rsidR="00B827DE" w:rsidRPr="00CB0607" w:rsidRDefault="00B827DE" w:rsidP="00B827DE">
      <w:pPr>
        <w:pStyle w:val="BodyText"/>
      </w:pPr>
      <w:r w:rsidRPr="00CB0607">
        <w:t>The review team analyzed multiple datasets and reviewed numerous documents before and during the site visit, including</w:t>
      </w:r>
      <w:r w:rsidR="00494638" w:rsidRPr="00CB0607">
        <w:t xml:space="preserve"> the following</w:t>
      </w:r>
      <w:r w:rsidRPr="00CB0607">
        <w:t xml:space="preserve">: </w:t>
      </w:r>
    </w:p>
    <w:p w14:paraId="207079BB" w14:textId="1E1AA310" w:rsidR="00B827DE" w:rsidRPr="00CB0607" w:rsidRDefault="00B827DE" w:rsidP="00B827DE">
      <w:pPr>
        <w:pStyle w:val="Bullet1"/>
      </w:pPr>
      <w:r w:rsidRPr="00CB0607">
        <w:t>Student and school performance data, including achievement and growth, enrollment, graduation, dropout, retention, suspension, and attendance rates</w:t>
      </w:r>
    </w:p>
    <w:p w14:paraId="15FAB3E2" w14:textId="7EEE6304" w:rsidR="00B827DE" w:rsidRPr="00CB0607" w:rsidRDefault="00B827DE" w:rsidP="00B827DE">
      <w:pPr>
        <w:pStyle w:val="Bullet1"/>
      </w:pPr>
      <w:r w:rsidRPr="00CB0607">
        <w:t xml:space="preserve">Data on the district’s staffing and finances </w:t>
      </w:r>
    </w:p>
    <w:p w14:paraId="4DD39A60" w14:textId="7A31A1A3" w:rsidR="00B827DE" w:rsidRPr="00CB0607" w:rsidRDefault="0054101D" w:rsidP="00B827DE">
      <w:pPr>
        <w:pStyle w:val="Bullet1"/>
      </w:pPr>
      <w:r w:rsidRPr="00CB0607">
        <w:t xml:space="preserve">Curricular </w:t>
      </w:r>
      <w:r w:rsidR="00B827DE" w:rsidRPr="00CB0607">
        <w:t>review process and timeline</w:t>
      </w:r>
    </w:p>
    <w:p w14:paraId="49D63455" w14:textId="1922E0DB" w:rsidR="00B827DE" w:rsidRPr="00CB0607" w:rsidRDefault="0034568C" w:rsidP="00B827DE">
      <w:pPr>
        <w:pStyle w:val="Bullet1"/>
      </w:pPr>
      <w:r>
        <w:t>C</w:t>
      </w:r>
      <w:r w:rsidR="00B827DE" w:rsidRPr="00CB0607">
        <w:t>urriculum unit template</w:t>
      </w:r>
    </w:p>
    <w:p w14:paraId="39A28A74" w14:textId="212B18BC" w:rsidR="00B827DE" w:rsidRPr="00CB0607" w:rsidRDefault="00B827DE" w:rsidP="00B827DE">
      <w:pPr>
        <w:pStyle w:val="Bullet1"/>
      </w:pPr>
      <w:r w:rsidRPr="00CB0607">
        <w:t>Published educational reports on the district by DESE, the New England Association of Schools and Colleges, and the former Office of Educational Quality and Accountability</w:t>
      </w:r>
    </w:p>
    <w:p w14:paraId="2BA65B5C" w14:textId="64699D20" w:rsidR="00B827DE" w:rsidRPr="00CB0607" w:rsidRDefault="00B827DE" w:rsidP="00B827DE">
      <w:pPr>
        <w:pStyle w:val="Bullet1"/>
      </w:pPr>
      <w:r w:rsidRPr="00CB0607">
        <w:t xml:space="preserve">District documents such as district and </w:t>
      </w:r>
      <w:r w:rsidR="00494638" w:rsidRPr="00CB0607">
        <w:t xml:space="preserve">school </w:t>
      </w:r>
      <w:r w:rsidRPr="00CB0607">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CB0607" w:rsidRDefault="00B827DE" w:rsidP="00B827DE">
      <w:pPr>
        <w:pStyle w:val="Bullet1"/>
      </w:pPr>
      <w:r w:rsidRPr="00CB0607">
        <w:t>All completed program and administrator evaluations and a random selection of completed teacher evaluations</w:t>
      </w:r>
    </w:p>
    <w:p w14:paraId="463A5006" w14:textId="131068F2" w:rsidR="008D6102" w:rsidRPr="00CB0607" w:rsidRDefault="008D6102" w:rsidP="00DA6C44">
      <w:pPr>
        <w:pStyle w:val="Bullet1"/>
        <w:numPr>
          <w:ilvl w:val="0"/>
          <w:numId w:val="0"/>
        </w:numPr>
        <w:ind w:left="720" w:hanging="360"/>
      </w:pPr>
    </w:p>
    <w:p w14:paraId="6A7B59BA" w14:textId="77777777" w:rsidR="006D0B48" w:rsidRPr="00CB0607"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CB0607" w:rsidSect="00D67AD2">
          <w:footerReference w:type="default" r:id="rId25"/>
          <w:pgSz w:w="12240" w:h="15840" w:code="1"/>
          <w:pgMar w:top="1440" w:right="1440" w:bottom="1440" w:left="1440" w:header="720" w:footer="720" w:gutter="0"/>
          <w:pgNumType w:start="1"/>
          <w:cols w:space="720"/>
          <w:docGrid w:linePitch="360"/>
        </w:sectPr>
      </w:pPr>
    </w:p>
    <w:p w14:paraId="2A2032DD" w14:textId="77777777" w:rsidR="00486B55" w:rsidRPr="00CB0607" w:rsidRDefault="00486B55" w:rsidP="00486B55">
      <w:pPr>
        <w:pStyle w:val="Heading2"/>
        <w:pageBreakBefore w:val="0"/>
      </w:pPr>
      <w:bookmarkStart w:id="63" w:name="_Toc101878651"/>
      <w:bookmarkStart w:id="64" w:name="_Toc170157281"/>
      <w:bookmarkStart w:id="65" w:name="_Hlk100740908"/>
      <w:bookmarkStart w:id="66" w:name="_Toc101878652"/>
      <w:bookmarkStart w:id="67" w:name="_Toc101878650"/>
      <w:r w:rsidRPr="00CB0607">
        <w:lastRenderedPageBreak/>
        <w:t xml:space="preserve">Appendix </w:t>
      </w:r>
      <w:r>
        <w:t>B</w:t>
      </w:r>
      <w:r w:rsidRPr="00CB0607">
        <w:t>. Districtwide Instructional Observation Report</w:t>
      </w:r>
      <w:bookmarkEnd w:id="63"/>
      <w:r w:rsidRPr="00CB0607">
        <w:t xml:space="preserve"> </w:t>
      </w:r>
      <w:bookmarkEnd w:id="64"/>
    </w:p>
    <w:p w14:paraId="7ACE6F71" w14:textId="77777777" w:rsidR="00486B55" w:rsidRDefault="00486B55" w:rsidP="00486B55">
      <w:pPr>
        <w:spacing w:line="240" w:lineRule="auto"/>
      </w:pPr>
    </w:p>
    <w:p w14:paraId="3DA20C84" w14:textId="77777777" w:rsidR="00B47AE8" w:rsidRDefault="00B47AE8" w:rsidP="00486B55">
      <w:pPr>
        <w:spacing w:line="240" w:lineRule="auto"/>
        <w:sectPr w:rsidR="00B47AE8" w:rsidSect="00D67AD2">
          <w:footerReference w:type="default" r:id="rId26"/>
          <w:pgSz w:w="12240" w:h="15840" w:code="1"/>
          <w:pgMar w:top="1440" w:right="1440" w:bottom="1440" w:left="1440" w:header="720" w:footer="720" w:gutter="0"/>
          <w:pgNumType w:start="1"/>
          <w:cols w:space="720"/>
          <w:docGrid w:linePitch="360"/>
        </w:sectPr>
      </w:pPr>
    </w:p>
    <w:p w14:paraId="6AE1625B" w14:textId="77777777" w:rsidR="00B47AE8" w:rsidRPr="006C0161" w:rsidRDefault="00B47AE8">
      <w:pPr>
        <w:pStyle w:val="CoverTopLogo"/>
      </w:pPr>
      <w:r w:rsidRPr="00A51539">
        <w:rPr>
          <w:rFonts w:ascii="Times New Roman" w:eastAsia="Calibri" w:hAnsi="Times New Roman" w:cs="Times New Roman"/>
          <w:noProof/>
          <w:sz w:val="20"/>
        </w:rPr>
        <w:lastRenderedPageBreak/>
        <w:drawing>
          <wp:inline distT="0" distB="0" distL="0" distR="0" wp14:anchorId="020BF364" wp14:editId="1F84E74C">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6C0161">
        <w:rPr>
          <w:noProof/>
        </w:rPr>
        <w:drawing>
          <wp:anchor distT="0" distB="0" distL="114300" distR="114300" simplePos="0" relativeHeight="251658240" behindDoc="1" locked="1" layoutInCell="1" allowOverlap="1" wp14:anchorId="48AA0948" wp14:editId="3E32E241">
            <wp:simplePos x="0" y="0"/>
            <wp:positionH relativeFrom="column">
              <wp:align>center</wp:align>
            </wp:positionH>
            <wp:positionV relativeFrom="margin">
              <wp:align>top</wp:align>
            </wp:positionV>
            <wp:extent cx="6665976" cy="9134856"/>
            <wp:effectExtent l="0" t="0" r="1905" b="0"/>
            <wp:wrapNone/>
            <wp:docPr id="945324441" name="Picture 945324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63871B78" w14:textId="77777777" w:rsidR="00B47AE8" w:rsidRPr="00BD0F26" w:rsidRDefault="00B47AE8">
      <w:pPr>
        <w:pStyle w:val="CoverDistrictName"/>
        <w:ind w:left="4032"/>
      </w:pPr>
      <w:bookmarkStart w:id="68" w:name="District1"/>
      <w:r>
        <w:t>Hingham</w:t>
      </w:r>
      <w:bookmarkEnd w:id="68"/>
      <w:r w:rsidRPr="00BD0F26">
        <w:t xml:space="preserve"> Public Schools</w:t>
      </w:r>
    </w:p>
    <w:p w14:paraId="5135B66A" w14:textId="77777777" w:rsidR="00B47AE8" w:rsidRPr="00E70CDF" w:rsidRDefault="00B47AE8" w:rsidP="00B47AE8">
      <w:pPr>
        <w:pStyle w:val="CoverSubtitle3"/>
        <w:ind w:left="4032"/>
      </w:pPr>
      <w:r w:rsidRPr="006C0161">
        <w:t>Classroom</w:t>
      </w:r>
      <w:r w:rsidRPr="00B72BFB">
        <w:t xml:space="preserve"> Visits: Summary of Findings</w:t>
      </w:r>
    </w:p>
    <w:p w14:paraId="14A3E8F6" w14:textId="77777777" w:rsidR="00B47AE8" w:rsidRPr="00775E9F" w:rsidRDefault="00B47AE8" w:rsidP="00B47AE8">
      <w:pPr>
        <w:pStyle w:val="CoverSubtitle2-SIOR"/>
        <w:shd w:val="clear" w:color="auto" w:fill="2F5597"/>
        <w:spacing w:before="720"/>
        <w:ind w:left="4032"/>
      </w:pPr>
      <w:r w:rsidRPr="006C0161">
        <w:t>Districtwide</w:t>
      </w:r>
      <w:r w:rsidRPr="00775E9F">
        <w:t xml:space="preserve"> Instructional Observation Report</w:t>
      </w:r>
    </w:p>
    <w:p w14:paraId="6F2CE0C8" w14:textId="77777777" w:rsidR="00B47AE8" w:rsidRDefault="00B47AE8" w:rsidP="00B47AE8">
      <w:pPr>
        <w:pStyle w:val="CoverDate"/>
        <w:ind w:left="4032"/>
      </w:pPr>
      <w:bookmarkStart w:id="69" w:name="MonthName1"/>
      <w:r>
        <w:t>April</w:t>
      </w:r>
      <w:bookmarkEnd w:id="69"/>
      <w:r>
        <w:t xml:space="preserve"> 2024</w:t>
      </w:r>
    </w:p>
    <w:p w14:paraId="27B85A6F" w14:textId="77777777" w:rsidR="00B47AE8" w:rsidRDefault="00B47AE8">
      <w:pPr>
        <w:pStyle w:val="CoverBottomLogo"/>
        <w:spacing w:before="6200"/>
        <w:ind w:left="450"/>
        <w:sectPr w:rsidR="00B47AE8" w:rsidSect="007A0CFB">
          <w:footerReference w:type="default" r:id="rId29"/>
          <w:pgSz w:w="12240" w:h="15840" w:code="1"/>
          <w:pgMar w:top="720" w:right="1008" w:bottom="720" w:left="1008" w:header="720" w:footer="720" w:gutter="0"/>
          <w:cols w:space="720"/>
          <w:docGrid w:linePitch="360"/>
        </w:sectPr>
      </w:pPr>
    </w:p>
    <w:p w14:paraId="66721EE0" w14:textId="77777777" w:rsidR="00B47AE8" w:rsidRPr="00B72BFB" w:rsidRDefault="00B47AE8">
      <w:pPr>
        <w:pStyle w:val="CoverBottomLogo"/>
        <w:spacing w:before="6200"/>
        <w:ind w:left="450"/>
      </w:pPr>
      <w:r>
        <w:rPr>
          <w:noProof/>
        </w:rPr>
        <w:drawing>
          <wp:inline distT="0" distB="0" distL="0" distR="0" wp14:anchorId="411E9BF3" wp14:editId="673FE572">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43176D50" w14:textId="77777777" w:rsidR="00B47AE8" w:rsidRPr="001C2EBA" w:rsidRDefault="00B47AE8" w:rsidP="00B47AE8">
      <w:pPr>
        <w:pStyle w:val="Cover-AIRaddress"/>
        <w:spacing w:before="6120"/>
        <w:ind w:left="0"/>
      </w:pPr>
      <w:r>
        <w:br w:type="column"/>
      </w:r>
      <w:r w:rsidRPr="001C2EBA">
        <w:t>201 Jones Road</w:t>
      </w:r>
      <w:r>
        <w:br/>
      </w:r>
      <w:r w:rsidRPr="001C2EBA">
        <w:t xml:space="preserve">Waltham, </w:t>
      </w:r>
      <w:r w:rsidRPr="00D52F1C">
        <w:t>Massachusetts</w:t>
      </w:r>
      <w:r w:rsidRPr="001C2EBA">
        <w:br/>
        <w:t>781-373-7000 | TTY 877.334.3499</w:t>
      </w:r>
    </w:p>
    <w:p w14:paraId="6E47090E" w14:textId="7AE910C2" w:rsidR="00B47AE8" w:rsidRDefault="00000000" w:rsidP="00B47AE8">
      <w:pPr>
        <w:pStyle w:val="Cover-AIRaddress"/>
        <w:ind w:left="0"/>
      </w:pPr>
      <w:hyperlink r:id="rId31" w:history="1">
        <w:r w:rsidR="00B47AE8" w:rsidRPr="001C2EBA">
          <w:rPr>
            <w:rStyle w:val="FranklinGothicDemi"/>
            <w:u w:val="single"/>
          </w:rPr>
          <w:t>www.air.org</w:t>
        </w:r>
      </w:hyperlink>
    </w:p>
    <w:p w14:paraId="363345B6" w14:textId="77777777" w:rsidR="00B47AE8" w:rsidRPr="00680137" w:rsidRDefault="00B47AE8">
      <w:pPr>
        <w:pStyle w:val="Cover-AIRaddress"/>
        <w:sectPr w:rsidR="00B47AE8" w:rsidRPr="00680137" w:rsidSect="00B47AE8">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51C76AB5" w14:textId="77777777" w:rsidR="00B47AE8" w:rsidRPr="00E359BF" w:rsidRDefault="00B47AE8">
      <w:pPr>
        <w:pStyle w:val="TOCHeading"/>
      </w:pPr>
      <w:r w:rsidRPr="00E359BF">
        <w:lastRenderedPageBreak/>
        <w:t>Contents</w:t>
      </w:r>
    </w:p>
    <w:p w14:paraId="6A558A6D" w14:textId="77777777" w:rsidR="00B47AE8" w:rsidRDefault="00B47AE8">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6EAC6E48" w14:textId="096A83D3" w:rsidR="00B47AE8" w:rsidRDefault="00B47AE8">
      <w:pPr>
        <w:pStyle w:val="TOC1"/>
        <w:rPr>
          <w:rFonts w:eastAsiaTheme="minorEastAsia"/>
          <w:noProof/>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2 - SIOR,1" </w:instrText>
      </w:r>
      <w:r>
        <w:rPr>
          <w:rFonts w:ascii="Calibri" w:eastAsia="Times New Roman" w:hAnsi="Calibri" w:cs="Calibri"/>
          <w:b/>
          <w:bCs/>
          <w:szCs w:val="20"/>
        </w:rPr>
        <w:fldChar w:fldCharType="separate"/>
      </w:r>
      <w:hyperlink w:anchor="_Toc92194253" w:history="1">
        <w:r w:rsidRPr="00CB272A">
          <w:rPr>
            <w:rStyle w:val="Hyperlink"/>
            <w:noProof/>
          </w:rPr>
          <w:t>Introduction</w:t>
        </w:r>
        <w:r>
          <w:rPr>
            <w:noProof/>
            <w:webHidden/>
          </w:rPr>
          <w:tab/>
        </w:r>
        <w:r>
          <w:rPr>
            <w:noProof/>
            <w:webHidden/>
          </w:rPr>
          <w:fldChar w:fldCharType="begin"/>
        </w:r>
        <w:r>
          <w:rPr>
            <w:noProof/>
            <w:webHidden/>
          </w:rPr>
          <w:instrText xml:space="preserve"> PAGEREF _Toc92194253 \h </w:instrText>
        </w:r>
        <w:r>
          <w:rPr>
            <w:noProof/>
            <w:webHidden/>
          </w:rPr>
        </w:r>
        <w:r>
          <w:rPr>
            <w:noProof/>
            <w:webHidden/>
          </w:rPr>
          <w:fldChar w:fldCharType="separate"/>
        </w:r>
        <w:r w:rsidR="00331B5B">
          <w:rPr>
            <w:noProof/>
            <w:webHidden/>
          </w:rPr>
          <w:t>1</w:t>
        </w:r>
        <w:r>
          <w:rPr>
            <w:noProof/>
            <w:webHidden/>
          </w:rPr>
          <w:fldChar w:fldCharType="end"/>
        </w:r>
      </w:hyperlink>
    </w:p>
    <w:p w14:paraId="680FB591" w14:textId="54FF8E05" w:rsidR="00B47AE8" w:rsidRDefault="00000000">
      <w:pPr>
        <w:pStyle w:val="TOC1"/>
        <w:rPr>
          <w:rFonts w:eastAsiaTheme="minorEastAsia"/>
          <w:noProof/>
        </w:rPr>
      </w:pPr>
      <w:hyperlink w:anchor="_Toc92194254" w:history="1">
        <w:r w:rsidR="00B47AE8" w:rsidRPr="00CB272A">
          <w:rPr>
            <w:rStyle w:val="Hyperlink"/>
            <w:noProof/>
          </w:rPr>
          <w:t>Positive Climate</w:t>
        </w:r>
        <w:r w:rsidR="00B47AE8">
          <w:rPr>
            <w:noProof/>
            <w:webHidden/>
          </w:rPr>
          <w:tab/>
        </w:r>
        <w:r w:rsidR="00B47AE8">
          <w:rPr>
            <w:noProof/>
            <w:webHidden/>
          </w:rPr>
          <w:fldChar w:fldCharType="begin"/>
        </w:r>
        <w:r w:rsidR="00B47AE8">
          <w:rPr>
            <w:noProof/>
            <w:webHidden/>
          </w:rPr>
          <w:instrText xml:space="preserve"> PAGEREF _Toc92194254 \h </w:instrText>
        </w:r>
        <w:r w:rsidR="00B47AE8">
          <w:rPr>
            <w:noProof/>
            <w:webHidden/>
          </w:rPr>
        </w:r>
        <w:r w:rsidR="00B47AE8">
          <w:rPr>
            <w:noProof/>
            <w:webHidden/>
          </w:rPr>
          <w:fldChar w:fldCharType="separate"/>
        </w:r>
        <w:r w:rsidR="00331B5B">
          <w:rPr>
            <w:noProof/>
            <w:webHidden/>
          </w:rPr>
          <w:t>3</w:t>
        </w:r>
        <w:r w:rsidR="00B47AE8">
          <w:rPr>
            <w:noProof/>
            <w:webHidden/>
          </w:rPr>
          <w:fldChar w:fldCharType="end"/>
        </w:r>
      </w:hyperlink>
    </w:p>
    <w:p w14:paraId="3DB56DCB" w14:textId="4D7A1B04" w:rsidR="00B47AE8" w:rsidRDefault="00000000">
      <w:pPr>
        <w:pStyle w:val="TOC1"/>
        <w:rPr>
          <w:rFonts w:eastAsiaTheme="minorEastAsia"/>
          <w:noProof/>
        </w:rPr>
      </w:pPr>
      <w:hyperlink w:anchor="_Toc92194255" w:history="1">
        <w:r w:rsidR="00B47AE8" w:rsidRPr="00CB272A">
          <w:rPr>
            <w:rStyle w:val="Hyperlink"/>
            <w:noProof/>
          </w:rPr>
          <w:t>Teacher Sensitivity</w:t>
        </w:r>
        <w:r w:rsidR="00B47AE8">
          <w:rPr>
            <w:noProof/>
            <w:webHidden/>
          </w:rPr>
          <w:tab/>
        </w:r>
        <w:r w:rsidR="00B47AE8">
          <w:rPr>
            <w:noProof/>
            <w:webHidden/>
          </w:rPr>
          <w:fldChar w:fldCharType="begin"/>
        </w:r>
        <w:r w:rsidR="00B47AE8">
          <w:rPr>
            <w:noProof/>
            <w:webHidden/>
          </w:rPr>
          <w:instrText xml:space="preserve"> PAGEREF _Toc92194255 \h </w:instrText>
        </w:r>
        <w:r w:rsidR="00B47AE8">
          <w:rPr>
            <w:noProof/>
            <w:webHidden/>
          </w:rPr>
        </w:r>
        <w:r w:rsidR="00B47AE8">
          <w:rPr>
            <w:noProof/>
            <w:webHidden/>
          </w:rPr>
          <w:fldChar w:fldCharType="separate"/>
        </w:r>
        <w:r w:rsidR="00331B5B">
          <w:rPr>
            <w:noProof/>
            <w:webHidden/>
          </w:rPr>
          <w:t>4</w:t>
        </w:r>
        <w:r w:rsidR="00B47AE8">
          <w:rPr>
            <w:noProof/>
            <w:webHidden/>
          </w:rPr>
          <w:fldChar w:fldCharType="end"/>
        </w:r>
      </w:hyperlink>
    </w:p>
    <w:p w14:paraId="7441D0B8" w14:textId="0C42DB49" w:rsidR="00B47AE8" w:rsidRDefault="00000000">
      <w:pPr>
        <w:pStyle w:val="TOC1"/>
        <w:rPr>
          <w:rFonts w:eastAsiaTheme="minorEastAsia"/>
          <w:noProof/>
        </w:rPr>
      </w:pPr>
      <w:hyperlink w:anchor="_Toc92194256" w:history="1">
        <w:r w:rsidR="00B47AE8" w:rsidRPr="00CB272A">
          <w:rPr>
            <w:rStyle w:val="Hyperlink"/>
            <w:noProof/>
          </w:rPr>
          <w:t>Regard for Student Perspectives</w:t>
        </w:r>
        <w:r w:rsidR="00B47AE8">
          <w:rPr>
            <w:noProof/>
            <w:webHidden/>
          </w:rPr>
          <w:tab/>
        </w:r>
        <w:r w:rsidR="00B47AE8">
          <w:rPr>
            <w:noProof/>
            <w:webHidden/>
          </w:rPr>
          <w:fldChar w:fldCharType="begin"/>
        </w:r>
        <w:r w:rsidR="00B47AE8">
          <w:rPr>
            <w:noProof/>
            <w:webHidden/>
          </w:rPr>
          <w:instrText xml:space="preserve"> PAGEREF _Toc92194256 \h </w:instrText>
        </w:r>
        <w:r w:rsidR="00B47AE8">
          <w:rPr>
            <w:noProof/>
            <w:webHidden/>
          </w:rPr>
        </w:r>
        <w:r w:rsidR="00B47AE8">
          <w:rPr>
            <w:noProof/>
            <w:webHidden/>
          </w:rPr>
          <w:fldChar w:fldCharType="separate"/>
        </w:r>
        <w:r w:rsidR="00331B5B">
          <w:rPr>
            <w:noProof/>
            <w:webHidden/>
          </w:rPr>
          <w:t>5</w:t>
        </w:r>
        <w:r w:rsidR="00B47AE8">
          <w:rPr>
            <w:noProof/>
            <w:webHidden/>
          </w:rPr>
          <w:fldChar w:fldCharType="end"/>
        </w:r>
      </w:hyperlink>
    </w:p>
    <w:p w14:paraId="1BF12A18" w14:textId="578CA245" w:rsidR="00B47AE8" w:rsidRDefault="00000000">
      <w:pPr>
        <w:pStyle w:val="TOC1"/>
        <w:rPr>
          <w:rFonts w:eastAsiaTheme="minorEastAsia"/>
          <w:noProof/>
        </w:rPr>
      </w:pPr>
      <w:hyperlink w:anchor="_Toc92194257" w:history="1">
        <w:r w:rsidR="00B47AE8" w:rsidRPr="00CB272A">
          <w:rPr>
            <w:rStyle w:val="Hyperlink"/>
            <w:noProof/>
          </w:rPr>
          <w:t>Negative Climate</w:t>
        </w:r>
        <w:r w:rsidR="00B47AE8">
          <w:rPr>
            <w:noProof/>
            <w:webHidden/>
          </w:rPr>
          <w:tab/>
        </w:r>
        <w:r w:rsidR="00B47AE8">
          <w:rPr>
            <w:noProof/>
            <w:webHidden/>
          </w:rPr>
          <w:fldChar w:fldCharType="begin"/>
        </w:r>
        <w:r w:rsidR="00B47AE8">
          <w:rPr>
            <w:noProof/>
            <w:webHidden/>
          </w:rPr>
          <w:instrText xml:space="preserve"> PAGEREF _Toc92194257 \h </w:instrText>
        </w:r>
        <w:r w:rsidR="00B47AE8">
          <w:rPr>
            <w:noProof/>
            <w:webHidden/>
          </w:rPr>
        </w:r>
        <w:r w:rsidR="00B47AE8">
          <w:rPr>
            <w:noProof/>
            <w:webHidden/>
          </w:rPr>
          <w:fldChar w:fldCharType="separate"/>
        </w:r>
        <w:r w:rsidR="00331B5B">
          <w:rPr>
            <w:noProof/>
            <w:webHidden/>
          </w:rPr>
          <w:t>6</w:t>
        </w:r>
        <w:r w:rsidR="00B47AE8">
          <w:rPr>
            <w:noProof/>
            <w:webHidden/>
          </w:rPr>
          <w:fldChar w:fldCharType="end"/>
        </w:r>
      </w:hyperlink>
    </w:p>
    <w:p w14:paraId="0DE888F4" w14:textId="56984BB9" w:rsidR="00B47AE8" w:rsidRDefault="00000000">
      <w:pPr>
        <w:pStyle w:val="TOC1"/>
        <w:rPr>
          <w:rFonts w:eastAsiaTheme="minorEastAsia"/>
          <w:noProof/>
        </w:rPr>
      </w:pPr>
      <w:hyperlink w:anchor="_Toc92194258" w:history="1">
        <w:r w:rsidR="00B47AE8" w:rsidRPr="00CB272A">
          <w:rPr>
            <w:rStyle w:val="Hyperlink"/>
            <w:noProof/>
          </w:rPr>
          <w:t>Behavior Management</w:t>
        </w:r>
        <w:r w:rsidR="00B47AE8">
          <w:rPr>
            <w:noProof/>
            <w:webHidden/>
          </w:rPr>
          <w:tab/>
        </w:r>
        <w:r w:rsidR="00B47AE8">
          <w:rPr>
            <w:noProof/>
            <w:webHidden/>
          </w:rPr>
          <w:fldChar w:fldCharType="begin"/>
        </w:r>
        <w:r w:rsidR="00B47AE8">
          <w:rPr>
            <w:noProof/>
            <w:webHidden/>
          </w:rPr>
          <w:instrText xml:space="preserve"> PAGEREF _Toc92194258 \h </w:instrText>
        </w:r>
        <w:r w:rsidR="00B47AE8">
          <w:rPr>
            <w:noProof/>
            <w:webHidden/>
          </w:rPr>
        </w:r>
        <w:r w:rsidR="00B47AE8">
          <w:rPr>
            <w:noProof/>
            <w:webHidden/>
          </w:rPr>
          <w:fldChar w:fldCharType="separate"/>
        </w:r>
        <w:r w:rsidR="00331B5B">
          <w:rPr>
            <w:noProof/>
            <w:webHidden/>
          </w:rPr>
          <w:t>7</w:t>
        </w:r>
        <w:r w:rsidR="00B47AE8">
          <w:rPr>
            <w:noProof/>
            <w:webHidden/>
          </w:rPr>
          <w:fldChar w:fldCharType="end"/>
        </w:r>
      </w:hyperlink>
    </w:p>
    <w:p w14:paraId="2CDAAEE4" w14:textId="61FFD77A" w:rsidR="00B47AE8" w:rsidRDefault="00000000">
      <w:pPr>
        <w:pStyle w:val="TOC1"/>
        <w:rPr>
          <w:rFonts w:eastAsiaTheme="minorEastAsia"/>
          <w:noProof/>
        </w:rPr>
      </w:pPr>
      <w:hyperlink w:anchor="_Toc92194259" w:history="1">
        <w:r w:rsidR="00B47AE8" w:rsidRPr="00CB272A">
          <w:rPr>
            <w:rStyle w:val="Hyperlink"/>
            <w:noProof/>
          </w:rPr>
          <w:t>Productivity</w:t>
        </w:r>
        <w:r w:rsidR="00B47AE8">
          <w:rPr>
            <w:noProof/>
            <w:webHidden/>
          </w:rPr>
          <w:tab/>
        </w:r>
        <w:r w:rsidR="00B47AE8">
          <w:rPr>
            <w:noProof/>
            <w:webHidden/>
          </w:rPr>
          <w:fldChar w:fldCharType="begin"/>
        </w:r>
        <w:r w:rsidR="00B47AE8">
          <w:rPr>
            <w:noProof/>
            <w:webHidden/>
          </w:rPr>
          <w:instrText xml:space="preserve"> PAGEREF _Toc92194259 \h </w:instrText>
        </w:r>
        <w:r w:rsidR="00B47AE8">
          <w:rPr>
            <w:noProof/>
            <w:webHidden/>
          </w:rPr>
        </w:r>
        <w:r w:rsidR="00B47AE8">
          <w:rPr>
            <w:noProof/>
            <w:webHidden/>
          </w:rPr>
          <w:fldChar w:fldCharType="separate"/>
        </w:r>
        <w:r w:rsidR="00331B5B">
          <w:rPr>
            <w:noProof/>
            <w:webHidden/>
          </w:rPr>
          <w:t>8</w:t>
        </w:r>
        <w:r w:rsidR="00B47AE8">
          <w:rPr>
            <w:noProof/>
            <w:webHidden/>
          </w:rPr>
          <w:fldChar w:fldCharType="end"/>
        </w:r>
      </w:hyperlink>
    </w:p>
    <w:p w14:paraId="5C7427C9" w14:textId="5267CFCA" w:rsidR="00B47AE8" w:rsidRDefault="00000000">
      <w:pPr>
        <w:pStyle w:val="TOC1"/>
        <w:rPr>
          <w:rFonts w:eastAsiaTheme="minorEastAsia"/>
          <w:noProof/>
        </w:rPr>
      </w:pPr>
      <w:hyperlink w:anchor="_Toc92194260" w:history="1">
        <w:r w:rsidR="00B47AE8" w:rsidRPr="00CB272A">
          <w:rPr>
            <w:rStyle w:val="Hyperlink"/>
            <w:noProof/>
          </w:rPr>
          <w:t>Instructional Learning Formats</w:t>
        </w:r>
        <w:r w:rsidR="00B47AE8">
          <w:rPr>
            <w:noProof/>
            <w:webHidden/>
          </w:rPr>
          <w:tab/>
        </w:r>
        <w:r w:rsidR="00B47AE8">
          <w:rPr>
            <w:noProof/>
            <w:webHidden/>
          </w:rPr>
          <w:fldChar w:fldCharType="begin"/>
        </w:r>
        <w:r w:rsidR="00B47AE8">
          <w:rPr>
            <w:noProof/>
            <w:webHidden/>
          </w:rPr>
          <w:instrText xml:space="preserve"> PAGEREF _Toc92194260 \h </w:instrText>
        </w:r>
        <w:r w:rsidR="00B47AE8">
          <w:rPr>
            <w:noProof/>
            <w:webHidden/>
          </w:rPr>
        </w:r>
        <w:r w:rsidR="00B47AE8">
          <w:rPr>
            <w:noProof/>
            <w:webHidden/>
          </w:rPr>
          <w:fldChar w:fldCharType="separate"/>
        </w:r>
        <w:r w:rsidR="00331B5B">
          <w:rPr>
            <w:noProof/>
            <w:webHidden/>
          </w:rPr>
          <w:t>9</w:t>
        </w:r>
        <w:r w:rsidR="00B47AE8">
          <w:rPr>
            <w:noProof/>
            <w:webHidden/>
          </w:rPr>
          <w:fldChar w:fldCharType="end"/>
        </w:r>
      </w:hyperlink>
    </w:p>
    <w:p w14:paraId="6F272461" w14:textId="2801AE24" w:rsidR="00B47AE8" w:rsidRDefault="00000000">
      <w:pPr>
        <w:pStyle w:val="TOC1"/>
        <w:rPr>
          <w:rFonts w:eastAsiaTheme="minorEastAsia"/>
          <w:noProof/>
        </w:rPr>
      </w:pPr>
      <w:hyperlink w:anchor="_Toc92194261" w:history="1">
        <w:r w:rsidR="00B47AE8" w:rsidRPr="00CB272A">
          <w:rPr>
            <w:rStyle w:val="Hyperlink"/>
            <w:noProof/>
          </w:rPr>
          <w:t>Concept Development</w:t>
        </w:r>
        <w:r w:rsidR="00B47AE8">
          <w:rPr>
            <w:noProof/>
            <w:webHidden/>
          </w:rPr>
          <w:tab/>
        </w:r>
        <w:r w:rsidR="00B47AE8">
          <w:rPr>
            <w:noProof/>
            <w:webHidden/>
          </w:rPr>
          <w:fldChar w:fldCharType="begin"/>
        </w:r>
        <w:r w:rsidR="00B47AE8">
          <w:rPr>
            <w:noProof/>
            <w:webHidden/>
          </w:rPr>
          <w:instrText xml:space="preserve"> PAGEREF _Toc92194261 \h </w:instrText>
        </w:r>
        <w:r w:rsidR="00B47AE8">
          <w:rPr>
            <w:noProof/>
            <w:webHidden/>
          </w:rPr>
        </w:r>
        <w:r w:rsidR="00B47AE8">
          <w:rPr>
            <w:noProof/>
            <w:webHidden/>
          </w:rPr>
          <w:fldChar w:fldCharType="separate"/>
        </w:r>
        <w:r w:rsidR="00331B5B">
          <w:rPr>
            <w:noProof/>
            <w:webHidden/>
          </w:rPr>
          <w:t>10</w:t>
        </w:r>
        <w:r w:rsidR="00B47AE8">
          <w:rPr>
            <w:noProof/>
            <w:webHidden/>
          </w:rPr>
          <w:fldChar w:fldCharType="end"/>
        </w:r>
      </w:hyperlink>
    </w:p>
    <w:p w14:paraId="4BAB9FB0" w14:textId="1B8A928D" w:rsidR="00B47AE8" w:rsidRDefault="00000000">
      <w:pPr>
        <w:pStyle w:val="TOC1"/>
        <w:rPr>
          <w:rFonts w:eastAsiaTheme="minorEastAsia"/>
          <w:noProof/>
        </w:rPr>
      </w:pPr>
      <w:hyperlink w:anchor="_Toc92194262" w:history="1">
        <w:r w:rsidR="00B47AE8" w:rsidRPr="00CB272A">
          <w:rPr>
            <w:rStyle w:val="Hyperlink"/>
            <w:noProof/>
          </w:rPr>
          <w:t>Content Understanding</w:t>
        </w:r>
        <w:r w:rsidR="00B47AE8">
          <w:rPr>
            <w:noProof/>
            <w:webHidden/>
          </w:rPr>
          <w:tab/>
        </w:r>
        <w:r w:rsidR="00B47AE8">
          <w:rPr>
            <w:noProof/>
            <w:webHidden/>
          </w:rPr>
          <w:fldChar w:fldCharType="begin"/>
        </w:r>
        <w:r w:rsidR="00B47AE8">
          <w:rPr>
            <w:noProof/>
            <w:webHidden/>
          </w:rPr>
          <w:instrText xml:space="preserve"> PAGEREF _Toc92194262 \h </w:instrText>
        </w:r>
        <w:r w:rsidR="00B47AE8">
          <w:rPr>
            <w:noProof/>
            <w:webHidden/>
          </w:rPr>
        </w:r>
        <w:r w:rsidR="00B47AE8">
          <w:rPr>
            <w:noProof/>
            <w:webHidden/>
          </w:rPr>
          <w:fldChar w:fldCharType="separate"/>
        </w:r>
        <w:r w:rsidR="00331B5B">
          <w:rPr>
            <w:noProof/>
            <w:webHidden/>
          </w:rPr>
          <w:t>11</w:t>
        </w:r>
        <w:r w:rsidR="00B47AE8">
          <w:rPr>
            <w:noProof/>
            <w:webHidden/>
          </w:rPr>
          <w:fldChar w:fldCharType="end"/>
        </w:r>
      </w:hyperlink>
    </w:p>
    <w:p w14:paraId="121A05EC" w14:textId="584F4163" w:rsidR="00B47AE8" w:rsidRDefault="00000000">
      <w:pPr>
        <w:pStyle w:val="TOC1"/>
        <w:rPr>
          <w:rFonts w:eastAsiaTheme="minorEastAsia"/>
          <w:noProof/>
        </w:rPr>
      </w:pPr>
      <w:hyperlink w:anchor="_Toc92194263" w:history="1">
        <w:r w:rsidR="00B47AE8" w:rsidRPr="00CB272A">
          <w:rPr>
            <w:rStyle w:val="Hyperlink"/>
            <w:noProof/>
          </w:rPr>
          <w:t>Analysis and Inquiry</w:t>
        </w:r>
        <w:r w:rsidR="00B47AE8">
          <w:rPr>
            <w:noProof/>
            <w:webHidden/>
          </w:rPr>
          <w:tab/>
        </w:r>
        <w:r w:rsidR="00B47AE8">
          <w:rPr>
            <w:noProof/>
            <w:webHidden/>
          </w:rPr>
          <w:fldChar w:fldCharType="begin"/>
        </w:r>
        <w:r w:rsidR="00B47AE8">
          <w:rPr>
            <w:noProof/>
            <w:webHidden/>
          </w:rPr>
          <w:instrText xml:space="preserve"> PAGEREF _Toc92194263 \h </w:instrText>
        </w:r>
        <w:r w:rsidR="00B47AE8">
          <w:rPr>
            <w:noProof/>
            <w:webHidden/>
          </w:rPr>
        </w:r>
        <w:r w:rsidR="00B47AE8">
          <w:rPr>
            <w:noProof/>
            <w:webHidden/>
          </w:rPr>
          <w:fldChar w:fldCharType="separate"/>
        </w:r>
        <w:r w:rsidR="00331B5B">
          <w:rPr>
            <w:noProof/>
            <w:webHidden/>
          </w:rPr>
          <w:t>12</w:t>
        </w:r>
        <w:r w:rsidR="00B47AE8">
          <w:rPr>
            <w:noProof/>
            <w:webHidden/>
          </w:rPr>
          <w:fldChar w:fldCharType="end"/>
        </w:r>
      </w:hyperlink>
    </w:p>
    <w:p w14:paraId="0B61E031" w14:textId="69E0FBB1" w:rsidR="00B47AE8" w:rsidRDefault="00000000">
      <w:pPr>
        <w:pStyle w:val="TOC1"/>
        <w:rPr>
          <w:rFonts w:eastAsiaTheme="minorEastAsia"/>
          <w:noProof/>
        </w:rPr>
      </w:pPr>
      <w:hyperlink w:anchor="_Toc92194264" w:history="1">
        <w:r w:rsidR="00B47AE8" w:rsidRPr="00CB272A">
          <w:rPr>
            <w:rStyle w:val="Hyperlink"/>
            <w:noProof/>
          </w:rPr>
          <w:t>Quality of Feedback</w:t>
        </w:r>
        <w:r w:rsidR="00B47AE8">
          <w:rPr>
            <w:noProof/>
            <w:webHidden/>
          </w:rPr>
          <w:tab/>
        </w:r>
        <w:r w:rsidR="00B47AE8">
          <w:rPr>
            <w:noProof/>
            <w:webHidden/>
          </w:rPr>
          <w:fldChar w:fldCharType="begin"/>
        </w:r>
        <w:r w:rsidR="00B47AE8">
          <w:rPr>
            <w:noProof/>
            <w:webHidden/>
          </w:rPr>
          <w:instrText xml:space="preserve"> PAGEREF _Toc92194264 \h </w:instrText>
        </w:r>
        <w:r w:rsidR="00B47AE8">
          <w:rPr>
            <w:noProof/>
            <w:webHidden/>
          </w:rPr>
        </w:r>
        <w:r w:rsidR="00B47AE8">
          <w:rPr>
            <w:noProof/>
            <w:webHidden/>
          </w:rPr>
          <w:fldChar w:fldCharType="separate"/>
        </w:r>
        <w:r w:rsidR="00331B5B">
          <w:rPr>
            <w:noProof/>
            <w:webHidden/>
          </w:rPr>
          <w:t>13</w:t>
        </w:r>
        <w:r w:rsidR="00B47AE8">
          <w:rPr>
            <w:noProof/>
            <w:webHidden/>
          </w:rPr>
          <w:fldChar w:fldCharType="end"/>
        </w:r>
      </w:hyperlink>
    </w:p>
    <w:p w14:paraId="44E266C8" w14:textId="567665FB" w:rsidR="00B47AE8" w:rsidRDefault="00000000">
      <w:pPr>
        <w:pStyle w:val="TOC1"/>
        <w:rPr>
          <w:rFonts w:eastAsiaTheme="minorEastAsia"/>
          <w:noProof/>
        </w:rPr>
      </w:pPr>
      <w:hyperlink w:anchor="_Toc92194265" w:history="1">
        <w:r w:rsidR="00B47AE8" w:rsidRPr="00CB272A">
          <w:rPr>
            <w:rStyle w:val="Hyperlink"/>
            <w:noProof/>
          </w:rPr>
          <w:t>Language Modeling</w:t>
        </w:r>
        <w:r w:rsidR="00B47AE8">
          <w:rPr>
            <w:noProof/>
            <w:webHidden/>
          </w:rPr>
          <w:tab/>
        </w:r>
        <w:r w:rsidR="00B47AE8">
          <w:rPr>
            <w:noProof/>
            <w:webHidden/>
          </w:rPr>
          <w:fldChar w:fldCharType="begin"/>
        </w:r>
        <w:r w:rsidR="00B47AE8">
          <w:rPr>
            <w:noProof/>
            <w:webHidden/>
          </w:rPr>
          <w:instrText xml:space="preserve"> PAGEREF _Toc92194265 \h </w:instrText>
        </w:r>
        <w:r w:rsidR="00B47AE8">
          <w:rPr>
            <w:noProof/>
            <w:webHidden/>
          </w:rPr>
        </w:r>
        <w:r w:rsidR="00B47AE8">
          <w:rPr>
            <w:noProof/>
            <w:webHidden/>
          </w:rPr>
          <w:fldChar w:fldCharType="separate"/>
        </w:r>
        <w:r w:rsidR="00331B5B">
          <w:rPr>
            <w:noProof/>
            <w:webHidden/>
          </w:rPr>
          <w:t>14</w:t>
        </w:r>
        <w:r w:rsidR="00B47AE8">
          <w:rPr>
            <w:noProof/>
            <w:webHidden/>
          </w:rPr>
          <w:fldChar w:fldCharType="end"/>
        </w:r>
      </w:hyperlink>
    </w:p>
    <w:p w14:paraId="3C8DDC3A" w14:textId="2498518E" w:rsidR="00B47AE8" w:rsidRDefault="00000000">
      <w:pPr>
        <w:pStyle w:val="TOC1"/>
        <w:rPr>
          <w:rFonts w:eastAsiaTheme="minorEastAsia"/>
          <w:noProof/>
        </w:rPr>
      </w:pPr>
      <w:hyperlink w:anchor="_Toc92194266" w:history="1">
        <w:r w:rsidR="00B47AE8" w:rsidRPr="00CB272A">
          <w:rPr>
            <w:rStyle w:val="Hyperlink"/>
            <w:noProof/>
          </w:rPr>
          <w:t>Instructional Dialogue</w:t>
        </w:r>
        <w:r w:rsidR="00B47AE8">
          <w:rPr>
            <w:noProof/>
            <w:webHidden/>
          </w:rPr>
          <w:tab/>
        </w:r>
        <w:r w:rsidR="00B47AE8">
          <w:rPr>
            <w:noProof/>
            <w:webHidden/>
          </w:rPr>
          <w:fldChar w:fldCharType="begin"/>
        </w:r>
        <w:r w:rsidR="00B47AE8">
          <w:rPr>
            <w:noProof/>
            <w:webHidden/>
          </w:rPr>
          <w:instrText xml:space="preserve"> PAGEREF _Toc92194266 \h </w:instrText>
        </w:r>
        <w:r w:rsidR="00B47AE8">
          <w:rPr>
            <w:noProof/>
            <w:webHidden/>
          </w:rPr>
        </w:r>
        <w:r w:rsidR="00B47AE8">
          <w:rPr>
            <w:noProof/>
            <w:webHidden/>
          </w:rPr>
          <w:fldChar w:fldCharType="separate"/>
        </w:r>
        <w:r w:rsidR="00331B5B">
          <w:rPr>
            <w:noProof/>
            <w:webHidden/>
          </w:rPr>
          <w:t>15</w:t>
        </w:r>
        <w:r w:rsidR="00B47AE8">
          <w:rPr>
            <w:noProof/>
            <w:webHidden/>
          </w:rPr>
          <w:fldChar w:fldCharType="end"/>
        </w:r>
      </w:hyperlink>
    </w:p>
    <w:p w14:paraId="2946612F" w14:textId="231BDC4F" w:rsidR="00B47AE8" w:rsidRDefault="00000000">
      <w:pPr>
        <w:pStyle w:val="TOC1"/>
        <w:rPr>
          <w:rFonts w:eastAsiaTheme="minorEastAsia"/>
          <w:noProof/>
        </w:rPr>
      </w:pPr>
      <w:hyperlink w:anchor="_Toc92194267" w:history="1">
        <w:r w:rsidR="00B47AE8" w:rsidRPr="00CB272A">
          <w:rPr>
            <w:rStyle w:val="Hyperlink"/>
            <w:noProof/>
          </w:rPr>
          <w:t>Student Engagement</w:t>
        </w:r>
        <w:r w:rsidR="00B47AE8">
          <w:rPr>
            <w:noProof/>
            <w:webHidden/>
          </w:rPr>
          <w:tab/>
        </w:r>
        <w:r w:rsidR="00B47AE8">
          <w:rPr>
            <w:noProof/>
            <w:webHidden/>
          </w:rPr>
          <w:fldChar w:fldCharType="begin"/>
        </w:r>
        <w:r w:rsidR="00B47AE8">
          <w:rPr>
            <w:noProof/>
            <w:webHidden/>
          </w:rPr>
          <w:instrText xml:space="preserve"> PAGEREF _Toc92194267 \h </w:instrText>
        </w:r>
        <w:r w:rsidR="00B47AE8">
          <w:rPr>
            <w:noProof/>
            <w:webHidden/>
          </w:rPr>
        </w:r>
        <w:r w:rsidR="00B47AE8">
          <w:rPr>
            <w:noProof/>
            <w:webHidden/>
          </w:rPr>
          <w:fldChar w:fldCharType="separate"/>
        </w:r>
        <w:r w:rsidR="00331B5B">
          <w:rPr>
            <w:noProof/>
            <w:webHidden/>
          </w:rPr>
          <w:t>16</w:t>
        </w:r>
        <w:r w:rsidR="00B47AE8">
          <w:rPr>
            <w:noProof/>
            <w:webHidden/>
          </w:rPr>
          <w:fldChar w:fldCharType="end"/>
        </w:r>
      </w:hyperlink>
    </w:p>
    <w:p w14:paraId="0C0AFFD3" w14:textId="62321211" w:rsidR="00B47AE8" w:rsidRDefault="00000000">
      <w:pPr>
        <w:pStyle w:val="TOC1"/>
        <w:rPr>
          <w:rFonts w:eastAsiaTheme="minorEastAsia"/>
          <w:noProof/>
        </w:rPr>
      </w:pPr>
      <w:hyperlink w:anchor="_Toc92194268" w:history="1">
        <w:r w:rsidR="00B47AE8" w:rsidRPr="00CB272A">
          <w:rPr>
            <w:rStyle w:val="Hyperlink"/>
            <w:noProof/>
          </w:rPr>
          <w:t xml:space="preserve">Summary of Average Ratings: </w:t>
        </w:r>
        <w:r w:rsidR="00B47AE8">
          <w:rPr>
            <w:rStyle w:val="Hyperlink"/>
            <w:noProof/>
          </w:rPr>
          <w:t>Grades K-5</w:t>
        </w:r>
        <w:r w:rsidR="00B47AE8">
          <w:rPr>
            <w:noProof/>
            <w:webHidden/>
          </w:rPr>
          <w:tab/>
        </w:r>
        <w:r w:rsidR="00B47AE8">
          <w:rPr>
            <w:noProof/>
            <w:webHidden/>
          </w:rPr>
          <w:fldChar w:fldCharType="begin"/>
        </w:r>
        <w:r w:rsidR="00B47AE8">
          <w:rPr>
            <w:noProof/>
            <w:webHidden/>
          </w:rPr>
          <w:instrText xml:space="preserve"> PAGEREF _Toc92194268 \h </w:instrText>
        </w:r>
        <w:r w:rsidR="00B47AE8">
          <w:rPr>
            <w:noProof/>
            <w:webHidden/>
          </w:rPr>
        </w:r>
        <w:r w:rsidR="00B47AE8">
          <w:rPr>
            <w:noProof/>
            <w:webHidden/>
          </w:rPr>
          <w:fldChar w:fldCharType="separate"/>
        </w:r>
        <w:r w:rsidR="00331B5B">
          <w:rPr>
            <w:noProof/>
            <w:webHidden/>
          </w:rPr>
          <w:t>17</w:t>
        </w:r>
        <w:r w:rsidR="00B47AE8">
          <w:rPr>
            <w:noProof/>
            <w:webHidden/>
          </w:rPr>
          <w:fldChar w:fldCharType="end"/>
        </w:r>
      </w:hyperlink>
    </w:p>
    <w:p w14:paraId="1D04FA86" w14:textId="39DBFEAD" w:rsidR="00B47AE8" w:rsidRDefault="00000000">
      <w:pPr>
        <w:pStyle w:val="TOC1"/>
        <w:rPr>
          <w:rFonts w:eastAsiaTheme="minorEastAsia"/>
          <w:noProof/>
        </w:rPr>
      </w:pPr>
      <w:hyperlink w:anchor="_Toc92194269" w:history="1">
        <w:r w:rsidR="00B47AE8" w:rsidRPr="00CB272A">
          <w:rPr>
            <w:rStyle w:val="Hyperlink"/>
            <w:noProof/>
          </w:rPr>
          <w:t xml:space="preserve">Summary of Average Ratings: </w:t>
        </w:r>
        <w:r w:rsidR="00B47AE8">
          <w:rPr>
            <w:rStyle w:val="Hyperlink"/>
            <w:noProof/>
          </w:rPr>
          <w:t>Grades 6-8</w:t>
        </w:r>
        <w:r w:rsidR="00B47AE8">
          <w:rPr>
            <w:noProof/>
            <w:webHidden/>
          </w:rPr>
          <w:tab/>
        </w:r>
        <w:r w:rsidR="00B47AE8">
          <w:rPr>
            <w:noProof/>
            <w:webHidden/>
          </w:rPr>
          <w:fldChar w:fldCharType="begin"/>
        </w:r>
        <w:r w:rsidR="00B47AE8">
          <w:rPr>
            <w:noProof/>
            <w:webHidden/>
          </w:rPr>
          <w:instrText xml:space="preserve"> PAGEREF _Toc92194269 \h </w:instrText>
        </w:r>
        <w:r w:rsidR="00B47AE8">
          <w:rPr>
            <w:noProof/>
            <w:webHidden/>
          </w:rPr>
        </w:r>
        <w:r w:rsidR="00B47AE8">
          <w:rPr>
            <w:noProof/>
            <w:webHidden/>
          </w:rPr>
          <w:fldChar w:fldCharType="separate"/>
        </w:r>
        <w:r w:rsidR="00331B5B">
          <w:rPr>
            <w:noProof/>
            <w:webHidden/>
          </w:rPr>
          <w:t>18</w:t>
        </w:r>
        <w:r w:rsidR="00B47AE8">
          <w:rPr>
            <w:noProof/>
            <w:webHidden/>
          </w:rPr>
          <w:fldChar w:fldCharType="end"/>
        </w:r>
      </w:hyperlink>
    </w:p>
    <w:p w14:paraId="630BBB59" w14:textId="102CF84A" w:rsidR="00B47AE8" w:rsidRDefault="00000000">
      <w:pPr>
        <w:pStyle w:val="TOC1"/>
        <w:rPr>
          <w:rFonts w:eastAsiaTheme="minorEastAsia"/>
          <w:noProof/>
        </w:rPr>
      </w:pPr>
      <w:hyperlink w:anchor="_Toc92194270" w:history="1">
        <w:r w:rsidR="00B47AE8" w:rsidRPr="00CB272A">
          <w:rPr>
            <w:rStyle w:val="Hyperlink"/>
            <w:noProof/>
          </w:rPr>
          <w:t xml:space="preserve">Summary of Average Ratings: </w:t>
        </w:r>
        <w:r w:rsidR="00B47AE8">
          <w:rPr>
            <w:rStyle w:val="Hyperlink"/>
            <w:noProof/>
          </w:rPr>
          <w:t>Grades 9-12</w:t>
        </w:r>
        <w:r w:rsidR="00B47AE8">
          <w:rPr>
            <w:noProof/>
            <w:webHidden/>
          </w:rPr>
          <w:tab/>
        </w:r>
        <w:r w:rsidR="00B47AE8">
          <w:rPr>
            <w:noProof/>
            <w:webHidden/>
          </w:rPr>
          <w:fldChar w:fldCharType="begin"/>
        </w:r>
        <w:r w:rsidR="00B47AE8">
          <w:rPr>
            <w:noProof/>
            <w:webHidden/>
          </w:rPr>
          <w:instrText xml:space="preserve"> PAGEREF _Toc92194270 \h </w:instrText>
        </w:r>
        <w:r w:rsidR="00B47AE8">
          <w:rPr>
            <w:noProof/>
            <w:webHidden/>
          </w:rPr>
        </w:r>
        <w:r w:rsidR="00B47AE8">
          <w:rPr>
            <w:noProof/>
            <w:webHidden/>
          </w:rPr>
          <w:fldChar w:fldCharType="separate"/>
        </w:r>
        <w:r w:rsidR="00331B5B">
          <w:rPr>
            <w:noProof/>
            <w:webHidden/>
          </w:rPr>
          <w:t>19</w:t>
        </w:r>
        <w:r w:rsidR="00B47AE8">
          <w:rPr>
            <w:noProof/>
            <w:webHidden/>
          </w:rPr>
          <w:fldChar w:fldCharType="end"/>
        </w:r>
      </w:hyperlink>
    </w:p>
    <w:p w14:paraId="541F28E9" w14:textId="6BA5981F" w:rsidR="00B47AE8" w:rsidRDefault="00000000">
      <w:pPr>
        <w:pStyle w:val="TOC1"/>
        <w:rPr>
          <w:rFonts w:eastAsiaTheme="minorEastAsia"/>
          <w:noProof/>
        </w:rPr>
      </w:pPr>
      <w:hyperlink w:anchor="_Toc92194271" w:history="1">
        <w:r w:rsidR="00B47AE8" w:rsidRPr="00CB272A">
          <w:rPr>
            <w:rStyle w:val="Hyperlink"/>
            <w:noProof/>
          </w:rPr>
          <w:t>References</w:t>
        </w:r>
        <w:r w:rsidR="00B47AE8">
          <w:rPr>
            <w:noProof/>
            <w:webHidden/>
          </w:rPr>
          <w:tab/>
        </w:r>
        <w:r w:rsidR="00B47AE8">
          <w:rPr>
            <w:noProof/>
            <w:webHidden/>
          </w:rPr>
          <w:fldChar w:fldCharType="begin"/>
        </w:r>
        <w:r w:rsidR="00B47AE8">
          <w:rPr>
            <w:noProof/>
            <w:webHidden/>
          </w:rPr>
          <w:instrText xml:space="preserve"> PAGEREF _Toc92194271 \h </w:instrText>
        </w:r>
        <w:r w:rsidR="00B47AE8">
          <w:rPr>
            <w:noProof/>
            <w:webHidden/>
          </w:rPr>
        </w:r>
        <w:r w:rsidR="00B47AE8">
          <w:rPr>
            <w:noProof/>
            <w:webHidden/>
          </w:rPr>
          <w:fldChar w:fldCharType="separate"/>
        </w:r>
        <w:r w:rsidR="00331B5B">
          <w:rPr>
            <w:noProof/>
            <w:webHidden/>
          </w:rPr>
          <w:t>20</w:t>
        </w:r>
        <w:r w:rsidR="00B47AE8">
          <w:rPr>
            <w:noProof/>
            <w:webHidden/>
          </w:rPr>
          <w:fldChar w:fldCharType="end"/>
        </w:r>
      </w:hyperlink>
    </w:p>
    <w:p w14:paraId="4A715BD8" w14:textId="77777777" w:rsidR="00B47AE8" w:rsidRDefault="00B47AE8">
      <w:pPr>
        <w:spacing w:after="120"/>
        <w:rPr>
          <w:rFonts w:ascii="Calibri" w:eastAsia="Times New Roman" w:hAnsi="Calibri" w:cs="Calibri"/>
          <w:b/>
          <w:bCs/>
          <w:szCs w:val="20"/>
        </w:rPr>
      </w:pPr>
      <w:r>
        <w:rPr>
          <w:rFonts w:ascii="Calibri" w:eastAsia="Times New Roman" w:hAnsi="Calibri" w:cs="Calibri"/>
          <w:b/>
          <w:bCs/>
          <w:szCs w:val="20"/>
        </w:rPr>
        <w:fldChar w:fldCharType="end"/>
      </w:r>
    </w:p>
    <w:p w14:paraId="3927F1D2" w14:textId="77777777" w:rsidR="00B47AE8" w:rsidRDefault="00B47AE8">
      <w:pPr>
        <w:spacing w:after="120"/>
        <w:rPr>
          <w:rFonts w:ascii="Calibri" w:eastAsia="Times New Roman" w:hAnsi="Calibri" w:cs="Calibri"/>
          <w:b/>
          <w:bCs/>
          <w:szCs w:val="20"/>
        </w:rPr>
      </w:pPr>
    </w:p>
    <w:p w14:paraId="4C74D3BD" w14:textId="77777777" w:rsidR="00B47AE8" w:rsidRDefault="00B47AE8">
      <w:pPr>
        <w:spacing w:after="120"/>
        <w:jc w:val="right"/>
        <w:rPr>
          <w:rFonts w:ascii="Calibri" w:eastAsia="Times New Roman" w:hAnsi="Calibri" w:cs="Calibri"/>
          <w:b/>
          <w:bCs/>
          <w:szCs w:val="20"/>
        </w:rPr>
        <w:sectPr w:rsidR="00B47AE8" w:rsidSect="007A0CFB">
          <w:headerReference w:type="default" r:id="rId32"/>
          <w:footerReference w:type="default" r:id="rId33"/>
          <w:footnotePr>
            <w:numRestart w:val="eachSect"/>
          </w:footnotePr>
          <w:pgSz w:w="12240" w:h="15840"/>
          <w:pgMar w:top="1080" w:right="1440" w:bottom="1080" w:left="1440" w:header="720" w:footer="720" w:gutter="0"/>
          <w:cols w:space="720"/>
          <w:docGrid w:linePitch="360"/>
        </w:sectPr>
      </w:pPr>
    </w:p>
    <w:p w14:paraId="38EBDA52" w14:textId="77777777" w:rsidR="00B47AE8" w:rsidRPr="00E359BF" w:rsidRDefault="00B47AE8">
      <w:pPr>
        <w:pStyle w:val="Heading2-SIOR"/>
        <w:pageBreakBefore w:val="0"/>
      </w:pPr>
      <w:bookmarkStart w:id="70" w:name="_Toc411329825"/>
      <w:bookmarkStart w:id="71" w:name="_Toc430114874"/>
      <w:bookmarkStart w:id="72" w:name="_Toc496109989"/>
      <w:bookmarkStart w:id="73" w:name="_Toc92194253"/>
      <w:r w:rsidRPr="00E359BF">
        <w:lastRenderedPageBreak/>
        <w:t>Introduction</w:t>
      </w:r>
      <w:bookmarkEnd w:id="70"/>
      <w:bookmarkEnd w:id="71"/>
      <w:bookmarkEnd w:id="72"/>
      <w:bookmarkEnd w:id="73"/>
    </w:p>
    <w:p w14:paraId="4B233B67" w14:textId="77777777" w:rsidR="00B47AE8" w:rsidRPr="00E359BF" w:rsidRDefault="00B47AE8">
      <w:pPr>
        <w:pStyle w:val="BodyText"/>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21AAC06D" w14:textId="77777777" w:rsidR="00B47AE8" w:rsidRPr="00E359BF" w:rsidRDefault="00B47AE8">
      <w:pPr>
        <w:pStyle w:val="BodyText"/>
      </w:pPr>
      <w:bookmarkStart w:id="74" w:name="N_Observers1"/>
      <w:r>
        <w:t>Three</w:t>
      </w:r>
      <w:bookmarkEnd w:id="74"/>
      <w:r>
        <w:t xml:space="preserve"> observers visited </w:t>
      </w:r>
      <w:bookmarkStart w:id="75" w:name="District2"/>
      <w:r>
        <w:t>Hingham</w:t>
      </w:r>
      <w:bookmarkEnd w:id="75"/>
      <w:r w:rsidRPr="00BC09E0">
        <w:t xml:space="preserve"> </w:t>
      </w:r>
      <w:r>
        <w:t>Public Schools during the week of</w:t>
      </w:r>
      <w:r w:rsidRPr="00BC09E0">
        <w:t xml:space="preserve"> </w:t>
      </w:r>
      <w:bookmarkStart w:id="76" w:name="Obs_Dates1"/>
      <w:r>
        <w:t>April 22, 2024</w:t>
      </w:r>
      <w:bookmarkEnd w:id="76"/>
      <w:r w:rsidRPr="00BC09E0">
        <w:t xml:space="preserve">. </w:t>
      </w:r>
      <w:r>
        <w:t>O</w:t>
      </w:r>
      <w:r w:rsidRPr="00BC09E0">
        <w:t xml:space="preserve">bservers conducted </w:t>
      </w:r>
      <w:bookmarkStart w:id="77" w:name="N_Observations1"/>
      <w:r>
        <w:t>98</w:t>
      </w:r>
      <w:bookmarkEnd w:id="77"/>
      <w:r w:rsidRPr="00BC09E0">
        <w:t xml:space="preserve"> observations in a sample of classrooms across </w:t>
      </w:r>
      <w:bookmarkStart w:id="78" w:name="N_SchoolsObserved1"/>
      <w:r>
        <w:t>six</w:t>
      </w:r>
      <w:bookmarkEnd w:id="78"/>
      <w:r>
        <w:t xml:space="preserve"> schools. Observations were conducted in grades K-12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2EA4DF8E" w14:textId="77777777" w:rsidR="00B47AE8" w:rsidRPr="00E359BF" w:rsidRDefault="00B47AE8">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062108C8" w14:textId="77777777" w:rsidR="00B47AE8" w:rsidRPr="00E359BF" w:rsidRDefault="00B47AE8">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3C5A8AFE" w14:textId="77777777" w:rsidR="00B47AE8" w:rsidRPr="00E359BF" w:rsidRDefault="00B47AE8">
      <w:pPr>
        <w:pStyle w:val="TableTitle0"/>
      </w:pPr>
      <w:r w:rsidRPr="00E359BF">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B47AE8" w:rsidRPr="00E359BF" w14:paraId="747D294E" w14:textId="77777777" w:rsidTr="00B47AE8">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7892FDCC" w14:textId="77777777" w:rsidR="00B47AE8" w:rsidRPr="00E359BF" w:rsidRDefault="00B47AE8">
            <w:pPr>
              <w:pStyle w:val="TableColHeadingCenter"/>
              <w:rPr>
                <w:rFonts w:eastAsia="MS Mincho"/>
              </w:rPr>
            </w:pPr>
            <w:r w:rsidRPr="00E359BF">
              <w:rPr>
                <w:rFonts w:eastAsia="MS Mincho"/>
              </w:rPr>
              <w:t>Emotional Support</w:t>
            </w:r>
          </w:p>
        </w:tc>
        <w:tc>
          <w:tcPr>
            <w:tcW w:w="3192" w:type="dxa"/>
          </w:tcPr>
          <w:p w14:paraId="3A1F7EE9" w14:textId="77777777" w:rsidR="00B47AE8" w:rsidRPr="00E359BF" w:rsidRDefault="00B47AE8">
            <w:pPr>
              <w:pStyle w:val="TableColHeadingCenter"/>
              <w:rPr>
                <w:rFonts w:eastAsia="MS Mincho"/>
              </w:rPr>
            </w:pPr>
            <w:r w:rsidRPr="00E359BF">
              <w:rPr>
                <w:rFonts w:eastAsia="MS Mincho"/>
              </w:rPr>
              <w:t>Classroom Organization</w:t>
            </w:r>
          </w:p>
        </w:tc>
        <w:tc>
          <w:tcPr>
            <w:tcW w:w="3192" w:type="dxa"/>
          </w:tcPr>
          <w:p w14:paraId="6554779A" w14:textId="77777777" w:rsidR="00B47AE8" w:rsidRPr="00E359BF" w:rsidRDefault="00B47AE8">
            <w:pPr>
              <w:pStyle w:val="TableColHeadingCenter"/>
              <w:rPr>
                <w:rFonts w:eastAsia="MS Mincho"/>
              </w:rPr>
            </w:pPr>
            <w:r w:rsidRPr="00E359BF">
              <w:rPr>
                <w:rFonts w:eastAsia="MS Mincho"/>
              </w:rPr>
              <w:t>Instructional Support</w:t>
            </w:r>
          </w:p>
        </w:tc>
      </w:tr>
      <w:tr w:rsidR="00B47AE8" w:rsidRPr="00E359BF" w14:paraId="31F53439" w14:textId="77777777" w:rsidTr="00B47AE8">
        <w:trPr>
          <w:jc w:val="center"/>
        </w:trPr>
        <w:tc>
          <w:tcPr>
            <w:tcW w:w="3192" w:type="dxa"/>
          </w:tcPr>
          <w:p w14:paraId="00A697CA" w14:textId="77777777" w:rsidR="00B47AE8" w:rsidRPr="00680137" w:rsidRDefault="00B47AE8" w:rsidP="00B47AE8">
            <w:pPr>
              <w:pStyle w:val="TableBullet1"/>
              <w:numPr>
                <w:ilvl w:val="0"/>
                <w:numId w:val="7"/>
              </w:numPr>
            </w:pPr>
            <w:r w:rsidRPr="00680137">
              <w:t>Positive Climate</w:t>
            </w:r>
          </w:p>
          <w:p w14:paraId="1219DD01" w14:textId="77777777" w:rsidR="00B47AE8" w:rsidRPr="00680137" w:rsidRDefault="00B47AE8" w:rsidP="00B47AE8">
            <w:pPr>
              <w:pStyle w:val="TableBullet1"/>
              <w:numPr>
                <w:ilvl w:val="0"/>
                <w:numId w:val="7"/>
              </w:numPr>
            </w:pPr>
            <w:r w:rsidRPr="00680137">
              <w:t>Negative Climate</w:t>
            </w:r>
          </w:p>
          <w:p w14:paraId="054020D2" w14:textId="77777777" w:rsidR="00B47AE8" w:rsidRPr="00680137" w:rsidRDefault="00B47AE8" w:rsidP="00B47AE8">
            <w:pPr>
              <w:pStyle w:val="TableBullet1"/>
              <w:numPr>
                <w:ilvl w:val="0"/>
                <w:numId w:val="7"/>
              </w:numPr>
            </w:pPr>
            <w:r w:rsidRPr="00680137">
              <w:t>Teacher Sensitivity</w:t>
            </w:r>
          </w:p>
          <w:p w14:paraId="0837D2C6" w14:textId="77777777" w:rsidR="00B47AE8" w:rsidRPr="00680137" w:rsidRDefault="00B47AE8" w:rsidP="00B47AE8">
            <w:pPr>
              <w:pStyle w:val="TableBullet1"/>
              <w:numPr>
                <w:ilvl w:val="0"/>
                <w:numId w:val="7"/>
              </w:numPr>
            </w:pPr>
            <w:r w:rsidRPr="00680137">
              <w:t>Regard for Student Perspectives</w:t>
            </w:r>
          </w:p>
        </w:tc>
        <w:tc>
          <w:tcPr>
            <w:tcW w:w="3192" w:type="dxa"/>
          </w:tcPr>
          <w:p w14:paraId="609DB3C8" w14:textId="77777777" w:rsidR="00B47AE8" w:rsidRPr="00680137" w:rsidRDefault="00B47AE8" w:rsidP="00B47AE8">
            <w:pPr>
              <w:pStyle w:val="TableBullet1"/>
              <w:numPr>
                <w:ilvl w:val="0"/>
                <w:numId w:val="7"/>
              </w:numPr>
            </w:pPr>
            <w:r w:rsidRPr="00680137">
              <w:t>Behavior Management</w:t>
            </w:r>
          </w:p>
          <w:p w14:paraId="1D06EA8B" w14:textId="77777777" w:rsidR="00B47AE8" w:rsidRPr="00680137" w:rsidRDefault="00B47AE8" w:rsidP="00B47AE8">
            <w:pPr>
              <w:pStyle w:val="TableBullet1"/>
              <w:numPr>
                <w:ilvl w:val="0"/>
                <w:numId w:val="7"/>
              </w:numPr>
            </w:pPr>
            <w:r w:rsidRPr="00680137">
              <w:t>Productivity</w:t>
            </w:r>
          </w:p>
          <w:p w14:paraId="2D60A16D" w14:textId="77777777" w:rsidR="00B47AE8" w:rsidRPr="00680137" w:rsidRDefault="00B47AE8" w:rsidP="00B47AE8">
            <w:pPr>
              <w:pStyle w:val="TableBullet1"/>
              <w:numPr>
                <w:ilvl w:val="0"/>
                <w:numId w:val="7"/>
              </w:numPr>
            </w:pPr>
            <w:r w:rsidRPr="00680137">
              <w:t>Instructional Learning Formats</w:t>
            </w:r>
          </w:p>
        </w:tc>
        <w:tc>
          <w:tcPr>
            <w:tcW w:w="3192" w:type="dxa"/>
          </w:tcPr>
          <w:p w14:paraId="6F1D9EA6" w14:textId="77777777" w:rsidR="00B47AE8" w:rsidRPr="00680137" w:rsidRDefault="00B47AE8" w:rsidP="00B47AE8">
            <w:pPr>
              <w:pStyle w:val="TableBullet1"/>
              <w:numPr>
                <w:ilvl w:val="0"/>
                <w:numId w:val="7"/>
              </w:numPr>
            </w:pPr>
            <w:r w:rsidRPr="00680137">
              <w:t>Concept Development</w:t>
            </w:r>
          </w:p>
          <w:p w14:paraId="5E5C2E27" w14:textId="77777777" w:rsidR="00B47AE8" w:rsidRPr="00680137" w:rsidRDefault="00B47AE8" w:rsidP="00B47AE8">
            <w:pPr>
              <w:pStyle w:val="TableBullet1"/>
              <w:numPr>
                <w:ilvl w:val="0"/>
                <w:numId w:val="7"/>
              </w:numPr>
            </w:pPr>
            <w:r w:rsidRPr="00680137">
              <w:t>Quality of Feedback</w:t>
            </w:r>
          </w:p>
          <w:p w14:paraId="11638515" w14:textId="77777777" w:rsidR="00B47AE8" w:rsidRPr="00680137" w:rsidRDefault="00B47AE8" w:rsidP="00B47AE8">
            <w:pPr>
              <w:pStyle w:val="TableBullet1"/>
              <w:numPr>
                <w:ilvl w:val="0"/>
                <w:numId w:val="7"/>
              </w:numPr>
            </w:pPr>
            <w:r w:rsidRPr="00680137">
              <w:t>Language Modeling</w:t>
            </w:r>
          </w:p>
        </w:tc>
      </w:tr>
    </w:tbl>
    <w:p w14:paraId="26E12E06" w14:textId="77777777" w:rsidR="00B47AE8" w:rsidRPr="00E359BF" w:rsidRDefault="00B47AE8">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27AF6250" w14:textId="77777777" w:rsidR="00B47AE8" w:rsidRPr="00E359BF" w:rsidRDefault="00B47AE8">
      <w:pPr>
        <w:pStyle w:val="TableTitle0"/>
      </w:pPr>
      <w:r w:rsidRPr="00E359BF">
        <w:t xml:space="preserve">Table 2. CLASS Upper Elementary </w:t>
      </w:r>
      <w:r>
        <w:t xml:space="preserve">and Secondary </w:t>
      </w:r>
      <w:r w:rsidRPr="00E359BF">
        <w:t>Domains and Dimensions</w:t>
      </w:r>
    </w:p>
    <w:tbl>
      <w:tblPr>
        <w:tblStyle w:val="MSVTable1"/>
        <w:tblW w:w="5000" w:type="pct"/>
        <w:jc w:val="center"/>
        <w:tblLook w:val="06A0" w:firstRow="1" w:lastRow="0" w:firstColumn="1" w:lastColumn="0" w:noHBand="1" w:noVBand="1"/>
      </w:tblPr>
      <w:tblGrid>
        <w:gridCol w:w="3111"/>
        <w:gridCol w:w="3114"/>
        <w:gridCol w:w="3119"/>
      </w:tblGrid>
      <w:tr w:rsidR="00B47AE8" w:rsidRPr="00E359BF" w14:paraId="0AF269BD"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0E5B7181" w14:textId="77777777" w:rsidR="00B47AE8" w:rsidRPr="00E359BF" w:rsidRDefault="00B47AE8">
            <w:pPr>
              <w:pStyle w:val="TableColHeadingCenter"/>
              <w:rPr>
                <w:rFonts w:eastAsia="MS Mincho"/>
              </w:rPr>
            </w:pPr>
            <w:r w:rsidRPr="00E359BF">
              <w:rPr>
                <w:rFonts w:eastAsia="MS Mincho"/>
              </w:rPr>
              <w:t>Emotional Support</w:t>
            </w:r>
          </w:p>
        </w:tc>
        <w:tc>
          <w:tcPr>
            <w:tcW w:w="3114" w:type="dxa"/>
          </w:tcPr>
          <w:p w14:paraId="651E1E8E" w14:textId="77777777" w:rsidR="00B47AE8" w:rsidRPr="00E359BF" w:rsidRDefault="00B47AE8">
            <w:pPr>
              <w:pStyle w:val="TableColHeadingCenter"/>
              <w:rPr>
                <w:rFonts w:eastAsia="MS Mincho"/>
              </w:rPr>
            </w:pPr>
            <w:r w:rsidRPr="00E359BF">
              <w:rPr>
                <w:rFonts w:eastAsia="MS Mincho"/>
              </w:rPr>
              <w:t>Classroom Organization</w:t>
            </w:r>
          </w:p>
        </w:tc>
        <w:tc>
          <w:tcPr>
            <w:tcW w:w="3119" w:type="dxa"/>
          </w:tcPr>
          <w:p w14:paraId="4F870C5F" w14:textId="77777777" w:rsidR="00B47AE8" w:rsidRPr="00E359BF" w:rsidRDefault="00B47AE8">
            <w:pPr>
              <w:pStyle w:val="TableColHeadingCenter"/>
              <w:rPr>
                <w:rFonts w:eastAsia="MS Mincho"/>
              </w:rPr>
            </w:pPr>
            <w:r w:rsidRPr="00E359BF">
              <w:rPr>
                <w:rFonts w:eastAsia="MS Mincho"/>
              </w:rPr>
              <w:t>Instructional Support</w:t>
            </w:r>
          </w:p>
        </w:tc>
      </w:tr>
      <w:tr w:rsidR="00B47AE8" w:rsidRPr="00E359BF" w14:paraId="584F5E00" w14:textId="77777777" w:rsidTr="00B47AE8">
        <w:trPr>
          <w:jc w:val="center"/>
        </w:trPr>
        <w:tc>
          <w:tcPr>
            <w:tcW w:w="3111" w:type="dxa"/>
          </w:tcPr>
          <w:p w14:paraId="10CF273E" w14:textId="77777777" w:rsidR="00B47AE8" w:rsidRPr="00E359BF" w:rsidRDefault="00B47AE8" w:rsidP="00B47AE8">
            <w:pPr>
              <w:pStyle w:val="TableBullet1"/>
              <w:numPr>
                <w:ilvl w:val="0"/>
                <w:numId w:val="7"/>
              </w:numPr>
            </w:pPr>
            <w:r w:rsidRPr="00E359BF">
              <w:t>Positive Climate</w:t>
            </w:r>
          </w:p>
          <w:p w14:paraId="7621361C" w14:textId="77777777" w:rsidR="00B47AE8" w:rsidRPr="00E359BF" w:rsidRDefault="00B47AE8" w:rsidP="00B47AE8">
            <w:pPr>
              <w:pStyle w:val="TableBullet1"/>
              <w:numPr>
                <w:ilvl w:val="0"/>
                <w:numId w:val="7"/>
              </w:numPr>
            </w:pPr>
            <w:r w:rsidRPr="00E359BF">
              <w:t>Teacher Sensitivity</w:t>
            </w:r>
          </w:p>
          <w:p w14:paraId="7325C009" w14:textId="77777777" w:rsidR="00B47AE8" w:rsidRPr="00E359BF" w:rsidRDefault="00B47AE8" w:rsidP="00B47AE8">
            <w:pPr>
              <w:pStyle w:val="TableBullet1"/>
              <w:numPr>
                <w:ilvl w:val="0"/>
                <w:numId w:val="7"/>
              </w:numPr>
            </w:pPr>
            <w:r w:rsidRPr="00E359BF">
              <w:t>Regard for Student Perspectives</w:t>
            </w:r>
          </w:p>
        </w:tc>
        <w:tc>
          <w:tcPr>
            <w:tcW w:w="3114" w:type="dxa"/>
          </w:tcPr>
          <w:p w14:paraId="0A4520D2" w14:textId="77777777" w:rsidR="00B47AE8" w:rsidRPr="00E359BF" w:rsidRDefault="00B47AE8" w:rsidP="00B47AE8">
            <w:pPr>
              <w:pStyle w:val="TableBullet1"/>
              <w:numPr>
                <w:ilvl w:val="0"/>
                <w:numId w:val="7"/>
              </w:numPr>
              <w:rPr>
                <w:b/>
                <w:bCs/>
                <w:szCs w:val="20"/>
              </w:rPr>
            </w:pPr>
            <w:r w:rsidRPr="00E359BF">
              <w:t>Behavior Management</w:t>
            </w:r>
          </w:p>
          <w:p w14:paraId="1908BC08" w14:textId="77777777" w:rsidR="00B47AE8" w:rsidRPr="00E359BF" w:rsidRDefault="00B47AE8" w:rsidP="00B47AE8">
            <w:pPr>
              <w:pStyle w:val="TableBullet1"/>
              <w:numPr>
                <w:ilvl w:val="0"/>
                <w:numId w:val="7"/>
              </w:numPr>
              <w:rPr>
                <w:b/>
                <w:bCs/>
                <w:szCs w:val="20"/>
              </w:rPr>
            </w:pPr>
            <w:r w:rsidRPr="00E359BF">
              <w:t>Productivity</w:t>
            </w:r>
          </w:p>
          <w:p w14:paraId="7F224B08" w14:textId="77777777" w:rsidR="00B47AE8" w:rsidRPr="00E359BF" w:rsidRDefault="00B47AE8" w:rsidP="00B47AE8">
            <w:pPr>
              <w:pStyle w:val="TableBullet1"/>
              <w:numPr>
                <w:ilvl w:val="0"/>
                <w:numId w:val="7"/>
              </w:numPr>
            </w:pPr>
            <w:r w:rsidRPr="00E359BF">
              <w:t>Negative Climate</w:t>
            </w:r>
          </w:p>
        </w:tc>
        <w:tc>
          <w:tcPr>
            <w:tcW w:w="3119" w:type="dxa"/>
          </w:tcPr>
          <w:p w14:paraId="61A560B9" w14:textId="77777777" w:rsidR="00B47AE8" w:rsidRPr="00E359BF" w:rsidRDefault="00B47AE8" w:rsidP="00B47AE8">
            <w:pPr>
              <w:pStyle w:val="TableBullet1"/>
              <w:numPr>
                <w:ilvl w:val="0"/>
                <w:numId w:val="7"/>
              </w:numPr>
              <w:rPr>
                <w:b/>
                <w:bCs/>
                <w:szCs w:val="20"/>
              </w:rPr>
            </w:pPr>
            <w:r w:rsidRPr="00E359BF">
              <w:t xml:space="preserve">Instructional Learning Formats </w:t>
            </w:r>
          </w:p>
          <w:p w14:paraId="207C8BED" w14:textId="77777777" w:rsidR="00B47AE8" w:rsidRPr="00E359BF" w:rsidRDefault="00B47AE8" w:rsidP="00B47AE8">
            <w:pPr>
              <w:pStyle w:val="TableBullet1"/>
              <w:numPr>
                <w:ilvl w:val="0"/>
                <w:numId w:val="7"/>
              </w:numPr>
              <w:rPr>
                <w:b/>
                <w:bCs/>
                <w:szCs w:val="20"/>
              </w:rPr>
            </w:pPr>
            <w:r w:rsidRPr="00E359BF">
              <w:t>Content Understanding</w:t>
            </w:r>
          </w:p>
          <w:p w14:paraId="6510BA18" w14:textId="77777777" w:rsidR="00B47AE8" w:rsidRPr="00E359BF" w:rsidRDefault="00B47AE8" w:rsidP="00B47AE8">
            <w:pPr>
              <w:pStyle w:val="TableBullet1"/>
              <w:numPr>
                <w:ilvl w:val="0"/>
                <w:numId w:val="7"/>
              </w:numPr>
              <w:rPr>
                <w:b/>
                <w:bCs/>
                <w:szCs w:val="20"/>
              </w:rPr>
            </w:pPr>
            <w:r w:rsidRPr="00E359BF">
              <w:t>Analysis and Inquiry</w:t>
            </w:r>
          </w:p>
          <w:p w14:paraId="4DC010FF" w14:textId="77777777" w:rsidR="00B47AE8" w:rsidRPr="00E359BF" w:rsidRDefault="00B47AE8" w:rsidP="00B47AE8">
            <w:pPr>
              <w:pStyle w:val="TableBullet1"/>
              <w:numPr>
                <w:ilvl w:val="0"/>
                <w:numId w:val="7"/>
              </w:numPr>
              <w:rPr>
                <w:b/>
                <w:bCs/>
                <w:szCs w:val="20"/>
              </w:rPr>
            </w:pPr>
            <w:r w:rsidRPr="00E359BF">
              <w:t>Quality of Feedback</w:t>
            </w:r>
          </w:p>
          <w:p w14:paraId="5C58DE27" w14:textId="77777777" w:rsidR="00B47AE8" w:rsidRPr="00E359BF" w:rsidRDefault="00B47AE8" w:rsidP="00B47AE8">
            <w:pPr>
              <w:pStyle w:val="TableBullet1"/>
              <w:numPr>
                <w:ilvl w:val="0"/>
                <w:numId w:val="7"/>
              </w:numPr>
              <w:rPr>
                <w:b/>
                <w:bCs/>
                <w:szCs w:val="20"/>
              </w:rPr>
            </w:pPr>
            <w:r w:rsidRPr="00E359BF">
              <w:t>Instructional Dialogue</w:t>
            </w:r>
          </w:p>
        </w:tc>
      </w:tr>
      <w:tr w:rsidR="00B47AE8" w:rsidRPr="00E359BF" w14:paraId="699937B2" w14:textId="77777777" w:rsidTr="00B47AE8">
        <w:trPr>
          <w:jc w:val="center"/>
        </w:trPr>
        <w:tc>
          <w:tcPr>
            <w:tcW w:w="9344" w:type="dxa"/>
            <w:gridSpan w:val="3"/>
            <w:shd w:val="clear" w:color="auto" w:fill="D9E2F3" w:themeFill="accent5" w:themeFillTint="33"/>
          </w:tcPr>
          <w:p w14:paraId="77D60C0D" w14:textId="77777777" w:rsidR="00B47AE8" w:rsidRPr="00E359BF" w:rsidRDefault="00B47AE8">
            <w:pPr>
              <w:pStyle w:val="TableSubheadingCentered"/>
            </w:pPr>
            <w:r w:rsidRPr="00E359BF">
              <w:t>Student Engagement</w:t>
            </w:r>
          </w:p>
        </w:tc>
      </w:tr>
    </w:tbl>
    <w:p w14:paraId="35FA93F0" w14:textId="77777777" w:rsidR="00B47AE8" w:rsidRPr="00BC09E0" w:rsidRDefault="00B47AE8">
      <w:pPr>
        <w:pStyle w:val="BodyText"/>
      </w:pPr>
      <w:bookmarkStart w:id="79" w:name="_Toc411329826"/>
      <w:bookmarkStart w:id="80" w:name="_Toc430114875"/>
      <w:bookmarkStart w:id="81" w:name="_Toc496109990"/>
      <w:r w:rsidRPr="00BC09E0">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w:t>
      </w:r>
      <w:r w:rsidRPr="00BC09E0">
        <w:lastRenderedPageBreak/>
        <w:t xml:space="preserve">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690A23B8" w14:textId="77777777" w:rsidR="00B47AE8" w:rsidRPr="00BC09E0" w:rsidRDefault="00B47AE8">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45093943" w14:textId="77777777" w:rsidR="00B47AE8" w:rsidRPr="00B47AE8" w:rsidRDefault="00B47AE8">
      <w:pPr>
        <w:pStyle w:val="BodyText"/>
        <w:rPr>
          <w:spacing w:val="-2"/>
        </w:rPr>
      </w:pPr>
      <w:r w:rsidRPr="00B47AE8">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0DE69D01" w14:textId="77777777" w:rsidR="00B47AE8" w:rsidRPr="00BC09E0" w:rsidRDefault="00B47AE8">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results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6321E4C9" w14:textId="77777777" w:rsidR="00B47AE8" w:rsidRPr="00E359BF" w:rsidRDefault="00B47AE8">
      <w:pPr>
        <w:pStyle w:val="Heading2-SIOR"/>
      </w:pPr>
      <w:bookmarkStart w:id="82" w:name="_Toc92194254"/>
      <w:bookmarkStart w:id="83" w:name="_Hlk92190807"/>
      <w:r w:rsidRPr="00E359BF">
        <w:lastRenderedPageBreak/>
        <w:t>Positive Climate</w:t>
      </w:r>
      <w:bookmarkEnd w:id="79"/>
      <w:bookmarkEnd w:id="80"/>
      <w:bookmarkEnd w:id="81"/>
      <w:bookmarkEnd w:id="82"/>
    </w:p>
    <w:p w14:paraId="2652E06B" w14:textId="77777777" w:rsidR="00B47AE8" w:rsidRPr="00626C03" w:rsidRDefault="00B47AE8">
      <w:pPr>
        <w:pStyle w:val="BodyTextDomain"/>
      </w:pPr>
      <w:r w:rsidRPr="00626C03">
        <w:t xml:space="preserve">Emotional Support domain, Grades </w:t>
      </w:r>
      <w:r>
        <w:t>K</w:t>
      </w:r>
      <w:r w:rsidRPr="00626C03">
        <w:t>−</w:t>
      </w:r>
      <w:r>
        <w:t>12</w:t>
      </w:r>
    </w:p>
    <w:p w14:paraId="547823D7" w14:textId="77777777" w:rsidR="00B47AE8" w:rsidRPr="00E359BF" w:rsidRDefault="00B47AE8">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2003C713" w14:textId="77777777" w:rsidR="00B47AE8" w:rsidRPr="00E359BF" w:rsidRDefault="00B47AE8">
      <w:pPr>
        <w:pStyle w:val="TableTitle0"/>
      </w:pPr>
      <w:r w:rsidRPr="00E359BF">
        <w:t xml:space="preserve">Table 3. </w:t>
      </w:r>
      <w:r w:rsidRPr="00BC09E0">
        <w:t xml:space="preserve">Positive Climate: Number of Classrooms for Each Rating </w:t>
      </w:r>
      <w:r w:rsidRPr="0000126A">
        <w:t>and District Average</w:t>
      </w:r>
    </w:p>
    <w:p w14:paraId="4BF8E0D2" w14:textId="77777777" w:rsidR="00B47AE8" w:rsidRPr="00E359BF" w:rsidRDefault="00B47AE8">
      <w:pPr>
        <w:pStyle w:val="BodyTextDemi"/>
      </w:pPr>
      <w:r w:rsidRPr="00E359BF">
        <w:t xml:space="preserve">Positive </w:t>
      </w:r>
      <w:r w:rsidRPr="00BC09E0">
        <w:t xml:space="preserve">Climate </w:t>
      </w:r>
      <w:r>
        <w:t xml:space="preserve">District </w:t>
      </w:r>
      <w:r w:rsidRPr="00BC09E0">
        <w:t xml:space="preserve">Average*: </w:t>
      </w:r>
      <w:bookmarkStart w:id="84" w:name="Dist_PC_Avg"/>
      <w:r>
        <w:t>5.2</w:t>
      </w:r>
      <w:bookmarkEnd w:id="8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794E4D90"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5D5A59E" w14:textId="77777777" w:rsidR="00B47AE8" w:rsidRPr="00E359BF" w:rsidRDefault="00B47AE8">
            <w:pPr>
              <w:pStyle w:val="TableColHeadingCenter"/>
              <w:rPr>
                <w:rFonts w:eastAsia="MS Mincho"/>
              </w:rPr>
            </w:pPr>
            <w:bookmarkStart w:id="85" w:name="Tbl_PC"/>
            <w:r>
              <w:rPr>
                <w:rFonts w:eastAsia="MS Mincho"/>
              </w:rPr>
              <w:t>Grade Band</w:t>
            </w:r>
          </w:p>
        </w:tc>
        <w:tc>
          <w:tcPr>
            <w:tcW w:w="1748" w:type="dxa"/>
            <w:gridSpan w:val="2"/>
          </w:tcPr>
          <w:p w14:paraId="103F6343"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6ACFB20A"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3CEE2C62"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18298418" w14:textId="77777777" w:rsidR="00B47AE8" w:rsidRPr="00E359BF" w:rsidRDefault="00B47AE8">
            <w:pPr>
              <w:pStyle w:val="TableColHeadingCenter"/>
              <w:rPr>
                <w:rFonts w:eastAsia="MS Mincho"/>
              </w:rPr>
            </w:pPr>
            <w:r>
              <w:rPr>
                <w:rFonts w:eastAsia="MS Mincho"/>
              </w:rPr>
              <w:t>n</w:t>
            </w:r>
          </w:p>
        </w:tc>
        <w:tc>
          <w:tcPr>
            <w:tcW w:w="892" w:type="dxa"/>
          </w:tcPr>
          <w:p w14:paraId="0BBD540E" w14:textId="77777777" w:rsidR="00B47AE8" w:rsidRPr="00E359BF" w:rsidRDefault="00B47AE8">
            <w:pPr>
              <w:pStyle w:val="TableColHeadingCenter"/>
              <w:rPr>
                <w:rFonts w:eastAsia="MS Mincho"/>
              </w:rPr>
            </w:pPr>
            <w:r>
              <w:rPr>
                <w:rFonts w:eastAsia="MS Mincho"/>
              </w:rPr>
              <w:t>Average</w:t>
            </w:r>
          </w:p>
        </w:tc>
      </w:tr>
      <w:tr w:rsidR="00B47AE8" w:rsidRPr="00E359BF" w14:paraId="1BF70C6D" w14:textId="77777777" w:rsidTr="00B47AE8">
        <w:trPr>
          <w:jc w:val="center"/>
        </w:trPr>
        <w:tc>
          <w:tcPr>
            <w:tcW w:w="1432" w:type="dxa"/>
            <w:shd w:val="clear" w:color="auto" w:fill="D9E2F3" w:themeFill="accent5" w:themeFillTint="33"/>
          </w:tcPr>
          <w:p w14:paraId="4C027B28" w14:textId="77777777" w:rsidR="00B47AE8" w:rsidRPr="00E359BF" w:rsidRDefault="00B47AE8">
            <w:pPr>
              <w:pStyle w:val="TableSubheadingCentered"/>
            </w:pPr>
          </w:p>
        </w:tc>
        <w:tc>
          <w:tcPr>
            <w:tcW w:w="874" w:type="dxa"/>
            <w:shd w:val="clear" w:color="auto" w:fill="D9E2F3" w:themeFill="accent5" w:themeFillTint="33"/>
          </w:tcPr>
          <w:p w14:paraId="163B9276" w14:textId="77777777" w:rsidR="00B47AE8" w:rsidRPr="00E359BF" w:rsidRDefault="00B47AE8">
            <w:pPr>
              <w:pStyle w:val="TableSubheadingCentered"/>
            </w:pPr>
            <w:r w:rsidRPr="00E359BF">
              <w:t>1</w:t>
            </w:r>
          </w:p>
        </w:tc>
        <w:tc>
          <w:tcPr>
            <w:tcW w:w="874" w:type="dxa"/>
            <w:shd w:val="clear" w:color="auto" w:fill="D9E2F3" w:themeFill="accent5" w:themeFillTint="33"/>
          </w:tcPr>
          <w:p w14:paraId="066E860C" w14:textId="77777777" w:rsidR="00B47AE8" w:rsidRPr="00E359BF" w:rsidRDefault="00B47AE8">
            <w:pPr>
              <w:pStyle w:val="TableSubheadingCentered"/>
            </w:pPr>
            <w:r w:rsidRPr="00E359BF">
              <w:t>2</w:t>
            </w:r>
          </w:p>
        </w:tc>
        <w:tc>
          <w:tcPr>
            <w:tcW w:w="874" w:type="dxa"/>
            <w:shd w:val="clear" w:color="auto" w:fill="D9E2F3" w:themeFill="accent5" w:themeFillTint="33"/>
          </w:tcPr>
          <w:p w14:paraId="59193148" w14:textId="77777777" w:rsidR="00B47AE8" w:rsidRPr="00E359BF" w:rsidRDefault="00B47AE8">
            <w:pPr>
              <w:pStyle w:val="TableSubheadingCentered"/>
            </w:pPr>
            <w:r w:rsidRPr="00E359BF">
              <w:t>3</w:t>
            </w:r>
          </w:p>
        </w:tc>
        <w:tc>
          <w:tcPr>
            <w:tcW w:w="875" w:type="dxa"/>
            <w:shd w:val="clear" w:color="auto" w:fill="D9E2F3" w:themeFill="accent5" w:themeFillTint="33"/>
          </w:tcPr>
          <w:p w14:paraId="36847677" w14:textId="77777777" w:rsidR="00B47AE8" w:rsidRPr="00E359BF" w:rsidRDefault="00B47AE8">
            <w:pPr>
              <w:pStyle w:val="TableSubheadingCentered"/>
            </w:pPr>
            <w:r w:rsidRPr="00E359BF">
              <w:t>4</w:t>
            </w:r>
          </w:p>
        </w:tc>
        <w:tc>
          <w:tcPr>
            <w:tcW w:w="874" w:type="dxa"/>
            <w:shd w:val="clear" w:color="auto" w:fill="D9E2F3" w:themeFill="accent5" w:themeFillTint="33"/>
          </w:tcPr>
          <w:p w14:paraId="12C18EDF" w14:textId="77777777" w:rsidR="00B47AE8" w:rsidRPr="00E359BF" w:rsidRDefault="00B47AE8">
            <w:pPr>
              <w:pStyle w:val="TableSubheadingCentered"/>
            </w:pPr>
            <w:r w:rsidRPr="00E359BF">
              <w:t>5</w:t>
            </w:r>
          </w:p>
        </w:tc>
        <w:tc>
          <w:tcPr>
            <w:tcW w:w="874" w:type="dxa"/>
            <w:shd w:val="clear" w:color="auto" w:fill="D9E2F3" w:themeFill="accent5" w:themeFillTint="33"/>
          </w:tcPr>
          <w:p w14:paraId="2692BA1C" w14:textId="77777777" w:rsidR="00B47AE8" w:rsidRPr="00E359BF" w:rsidRDefault="00B47AE8">
            <w:pPr>
              <w:pStyle w:val="TableSubheadingCentered"/>
            </w:pPr>
            <w:r w:rsidRPr="00E359BF">
              <w:t>6</w:t>
            </w:r>
          </w:p>
        </w:tc>
        <w:tc>
          <w:tcPr>
            <w:tcW w:w="875" w:type="dxa"/>
            <w:shd w:val="clear" w:color="auto" w:fill="D9E2F3" w:themeFill="accent5" w:themeFillTint="33"/>
          </w:tcPr>
          <w:p w14:paraId="65FA8761" w14:textId="77777777" w:rsidR="00B47AE8" w:rsidRPr="00E359BF" w:rsidRDefault="00B47AE8">
            <w:pPr>
              <w:pStyle w:val="TableSubheadingCentered"/>
            </w:pPr>
            <w:r w:rsidRPr="00E359BF">
              <w:t>7</w:t>
            </w:r>
          </w:p>
        </w:tc>
        <w:tc>
          <w:tcPr>
            <w:tcW w:w="900" w:type="dxa"/>
            <w:shd w:val="clear" w:color="auto" w:fill="D9E2F3" w:themeFill="accent5" w:themeFillTint="33"/>
          </w:tcPr>
          <w:p w14:paraId="572891D1" w14:textId="77777777" w:rsidR="00B47AE8" w:rsidRPr="00E359BF" w:rsidRDefault="00B47AE8">
            <w:pPr>
              <w:pStyle w:val="TableSubheadingCentered"/>
            </w:pPr>
            <w:r>
              <w:t>98</w:t>
            </w:r>
          </w:p>
        </w:tc>
        <w:tc>
          <w:tcPr>
            <w:tcW w:w="892" w:type="dxa"/>
            <w:shd w:val="clear" w:color="auto" w:fill="D9E2F3" w:themeFill="accent5" w:themeFillTint="33"/>
          </w:tcPr>
          <w:p w14:paraId="4A6EE940" w14:textId="77777777" w:rsidR="00B47AE8" w:rsidRPr="00E359BF" w:rsidRDefault="00B47AE8">
            <w:pPr>
              <w:pStyle w:val="TableSubheadingCentered"/>
            </w:pPr>
            <w:r>
              <w:t>5.2</w:t>
            </w:r>
          </w:p>
        </w:tc>
      </w:tr>
      <w:tr w:rsidR="00B47AE8" w:rsidRPr="00E359BF" w14:paraId="723152A7" w14:textId="77777777" w:rsidTr="00B47AE8">
        <w:trPr>
          <w:jc w:val="center"/>
        </w:trPr>
        <w:tc>
          <w:tcPr>
            <w:tcW w:w="1432" w:type="dxa"/>
          </w:tcPr>
          <w:p w14:paraId="6FA472B5" w14:textId="77777777" w:rsidR="00B47AE8" w:rsidRPr="008F6B0C" w:rsidRDefault="00B47AE8">
            <w:pPr>
              <w:pStyle w:val="TableText"/>
            </w:pPr>
            <w:r>
              <w:t>Grades K-5</w:t>
            </w:r>
          </w:p>
        </w:tc>
        <w:tc>
          <w:tcPr>
            <w:tcW w:w="874" w:type="dxa"/>
          </w:tcPr>
          <w:p w14:paraId="12D1840A" w14:textId="77777777" w:rsidR="00B47AE8" w:rsidRPr="00E359BF" w:rsidRDefault="00B47AE8">
            <w:pPr>
              <w:pStyle w:val="TableTextCentered"/>
              <w:rPr>
                <w:rFonts w:eastAsia="Times New Roman"/>
              </w:rPr>
            </w:pPr>
            <w:r>
              <w:rPr>
                <w:rFonts w:eastAsia="Times New Roman"/>
              </w:rPr>
              <w:t>0</w:t>
            </w:r>
          </w:p>
        </w:tc>
        <w:tc>
          <w:tcPr>
            <w:tcW w:w="874" w:type="dxa"/>
          </w:tcPr>
          <w:p w14:paraId="0AC337E5" w14:textId="77777777" w:rsidR="00B47AE8" w:rsidRPr="00E359BF" w:rsidRDefault="00B47AE8">
            <w:pPr>
              <w:pStyle w:val="TableTextCentered"/>
              <w:rPr>
                <w:rFonts w:eastAsia="Times New Roman"/>
              </w:rPr>
            </w:pPr>
            <w:r>
              <w:rPr>
                <w:rFonts w:eastAsia="Times New Roman"/>
              </w:rPr>
              <w:t>0</w:t>
            </w:r>
          </w:p>
        </w:tc>
        <w:tc>
          <w:tcPr>
            <w:tcW w:w="874" w:type="dxa"/>
          </w:tcPr>
          <w:p w14:paraId="7E4411DF" w14:textId="77777777" w:rsidR="00B47AE8" w:rsidRPr="00E359BF" w:rsidRDefault="00B47AE8">
            <w:pPr>
              <w:pStyle w:val="TableTextCentered"/>
              <w:rPr>
                <w:rFonts w:eastAsia="Times New Roman"/>
              </w:rPr>
            </w:pPr>
            <w:r>
              <w:rPr>
                <w:rFonts w:eastAsia="Times New Roman"/>
              </w:rPr>
              <w:t>2</w:t>
            </w:r>
          </w:p>
        </w:tc>
        <w:tc>
          <w:tcPr>
            <w:tcW w:w="875" w:type="dxa"/>
          </w:tcPr>
          <w:p w14:paraId="146E955F" w14:textId="77777777" w:rsidR="00B47AE8" w:rsidRPr="00E359BF" w:rsidRDefault="00B47AE8">
            <w:pPr>
              <w:pStyle w:val="TableTextCentered"/>
              <w:rPr>
                <w:rFonts w:eastAsia="Times New Roman"/>
              </w:rPr>
            </w:pPr>
            <w:r>
              <w:rPr>
                <w:rFonts w:eastAsia="Times New Roman"/>
              </w:rPr>
              <w:t>12</w:t>
            </w:r>
          </w:p>
        </w:tc>
        <w:tc>
          <w:tcPr>
            <w:tcW w:w="874" w:type="dxa"/>
          </w:tcPr>
          <w:p w14:paraId="71650CA4" w14:textId="77777777" w:rsidR="00B47AE8" w:rsidRPr="00E359BF" w:rsidRDefault="00B47AE8">
            <w:pPr>
              <w:pStyle w:val="TableTextCentered"/>
              <w:rPr>
                <w:rFonts w:eastAsia="Times New Roman"/>
              </w:rPr>
            </w:pPr>
            <w:r>
              <w:rPr>
                <w:rFonts w:eastAsia="Times New Roman"/>
              </w:rPr>
              <w:t>14</w:t>
            </w:r>
          </w:p>
        </w:tc>
        <w:tc>
          <w:tcPr>
            <w:tcW w:w="874" w:type="dxa"/>
          </w:tcPr>
          <w:p w14:paraId="4CA2D315" w14:textId="77777777" w:rsidR="00B47AE8" w:rsidRPr="00E359BF" w:rsidRDefault="00B47AE8">
            <w:pPr>
              <w:pStyle w:val="TableTextCentered"/>
              <w:rPr>
                <w:rFonts w:eastAsia="Times New Roman"/>
              </w:rPr>
            </w:pPr>
            <w:r>
              <w:rPr>
                <w:rFonts w:eastAsia="Times New Roman"/>
              </w:rPr>
              <w:t>12</w:t>
            </w:r>
          </w:p>
        </w:tc>
        <w:tc>
          <w:tcPr>
            <w:tcW w:w="875" w:type="dxa"/>
          </w:tcPr>
          <w:p w14:paraId="1D88AEDD" w14:textId="77777777" w:rsidR="00B47AE8" w:rsidRPr="00E359BF" w:rsidRDefault="00B47AE8">
            <w:pPr>
              <w:pStyle w:val="TableTextCentered"/>
              <w:rPr>
                <w:rFonts w:eastAsia="Times New Roman"/>
              </w:rPr>
            </w:pPr>
            <w:r>
              <w:rPr>
                <w:rFonts w:eastAsia="Times New Roman"/>
              </w:rPr>
              <w:t>3</w:t>
            </w:r>
          </w:p>
        </w:tc>
        <w:tc>
          <w:tcPr>
            <w:tcW w:w="900" w:type="dxa"/>
          </w:tcPr>
          <w:p w14:paraId="1FA90CC9" w14:textId="77777777" w:rsidR="00B47AE8" w:rsidRPr="00E359BF" w:rsidRDefault="00B47AE8">
            <w:pPr>
              <w:pStyle w:val="TableTextCentered"/>
              <w:rPr>
                <w:rFonts w:eastAsia="Times New Roman"/>
              </w:rPr>
            </w:pPr>
            <w:r>
              <w:rPr>
                <w:rFonts w:eastAsia="Times New Roman"/>
              </w:rPr>
              <w:t>43</w:t>
            </w:r>
          </w:p>
        </w:tc>
        <w:tc>
          <w:tcPr>
            <w:tcW w:w="892" w:type="dxa"/>
          </w:tcPr>
          <w:p w14:paraId="335C2CD9" w14:textId="77777777" w:rsidR="00B47AE8" w:rsidRPr="00E359BF" w:rsidRDefault="00B47AE8">
            <w:pPr>
              <w:pStyle w:val="TableTextCentered"/>
              <w:rPr>
                <w:rFonts w:eastAsia="Times New Roman"/>
              </w:rPr>
            </w:pPr>
            <w:r>
              <w:rPr>
                <w:rFonts w:eastAsia="Times New Roman"/>
              </w:rPr>
              <w:t>5.0</w:t>
            </w:r>
          </w:p>
        </w:tc>
      </w:tr>
      <w:tr w:rsidR="00B47AE8" w:rsidRPr="00E359BF" w14:paraId="7B8501BC" w14:textId="77777777" w:rsidTr="00B47AE8">
        <w:trPr>
          <w:jc w:val="center"/>
        </w:trPr>
        <w:tc>
          <w:tcPr>
            <w:tcW w:w="1432" w:type="dxa"/>
          </w:tcPr>
          <w:p w14:paraId="693CB7FE" w14:textId="77777777" w:rsidR="00B47AE8" w:rsidRPr="008F6B0C" w:rsidRDefault="00B47AE8">
            <w:pPr>
              <w:pStyle w:val="TableText"/>
            </w:pPr>
            <w:r>
              <w:t>Grades 6-8</w:t>
            </w:r>
          </w:p>
        </w:tc>
        <w:tc>
          <w:tcPr>
            <w:tcW w:w="874" w:type="dxa"/>
          </w:tcPr>
          <w:p w14:paraId="596B77B2" w14:textId="77777777" w:rsidR="00B47AE8" w:rsidRPr="00E359BF" w:rsidRDefault="00B47AE8">
            <w:pPr>
              <w:pStyle w:val="TableTextCentered"/>
              <w:rPr>
                <w:rFonts w:eastAsia="Times New Roman"/>
              </w:rPr>
            </w:pPr>
            <w:r>
              <w:rPr>
                <w:rFonts w:eastAsia="Times New Roman"/>
              </w:rPr>
              <w:t>0</w:t>
            </w:r>
          </w:p>
        </w:tc>
        <w:tc>
          <w:tcPr>
            <w:tcW w:w="874" w:type="dxa"/>
          </w:tcPr>
          <w:p w14:paraId="0ADBBB23" w14:textId="77777777" w:rsidR="00B47AE8" w:rsidRPr="00E359BF" w:rsidRDefault="00B47AE8">
            <w:pPr>
              <w:pStyle w:val="TableTextCentered"/>
              <w:rPr>
                <w:rFonts w:eastAsia="Times New Roman"/>
              </w:rPr>
            </w:pPr>
            <w:r>
              <w:rPr>
                <w:rFonts w:eastAsia="Times New Roman"/>
              </w:rPr>
              <w:t>0</w:t>
            </w:r>
          </w:p>
        </w:tc>
        <w:tc>
          <w:tcPr>
            <w:tcW w:w="874" w:type="dxa"/>
          </w:tcPr>
          <w:p w14:paraId="2AA6EE88" w14:textId="77777777" w:rsidR="00B47AE8" w:rsidRPr="00E359BF" w:rsidRDefault="00B47AE8">
            <w:pPr>
              <w:pStyle w:val="TableTextCentered"/>
              <w:rPr>
                <w:rFonts w:eastAsia="Times New Roman"/>
              </w:rPr>
            </w:pPr>
            <w:r>
              <w:rPr>
                <w:rFonts w:eastAsia="Times New Roman"/>
              </w:rPr>
              <w:t>2</w:t>
            </w:r>
          </w:p>
        </w:tc>
        <w:tc>
          <w:tcPr>
            <w:tcW w:w="875" w:type="dxa"/>
          </w:tcPr>
          <w:p w14:paraId="61198F73" w14:textId="77777777" w:rsidR="00B47AE8" w:rsidRPr="00E359BF" w:rsidRDefault="00B47AE8">
            <w:pPr>
              <w:pStyle w:val="TableTextCentered"/>
              <w:rPr>
                <w:rFonts w:eastAsia="Times New Roman"/>
              </w:rPr>
            </w:pPr>
            <w:r>
              <w:rPr>
                <w:rFonts w:eastAsia="Times New Roman"/>
              </w:rPr>
              <w:t>2</w:t>
            </w:r>
          </w:p>
        </w:tc>
        <w:tc>
          <w:tcPr>
            <w:tcW w:w="874" w:type="dxa"/>
          </w:tcPr>
          <w:p w14:paraId="2CA129E3" w14:textId="77777777" w:rsidR="00B47AE8" w:rsidRPr="00E359BF" w:rsidRDefault="00B47AE8">
            <w:pPr>
              <w:pStyle w:val="TableTextCentered"/>
              <w:rPr>
                <w:rFonts w:eastAsia="Times New Roman"/>
              </w:rPr>
            </w:pPr>
            <w:r>
              <w:rPr>
                <w:rFonts w:eastAsia="Times New Roman"/>
              </w:rPr>
              <w:t>5</w:t>
            </w:r>
          </w:p>
        </w:tc>
        <w:tc>
          <w:tcPr>
            <w:tcW w:w="874" w:type="dxa"/>
          </w:tcPr>
          <w:p w14:paraId="3DD0ADA6" w14:textId="77777777" w:rsidR="00B47AE8" w:rsidRPr="00E359BF" w:rsidRDefault="00B47AE8">
            <w:pPr>
              <w:pStyle w:val="TableTextCentered"/>
              <w:rPr>
                <w:rFonts w:eastAsia="Times New Roman"/>
              </w:rPr>
            </w:pPr>
            <w:r>
              <w:rPr>
                <w:rFonts w:eastAsia="Times New Roman"/>
              </w:rPr>
              <w:t>4</w:t>
            </w:r>
          </w:p>
        </w:tc>
        <w:tc>
          <w:tcPr>
            <w:tcW w:w="875" w:type="dxa"/>
          </w:tcPr>
          <w:p w14:paraId="09A29E63" w14:textId="77777777" w:rsidR="00B47AE8" w:rsidRPr="00E359BF" w:rsidRDefault="00B47AE8">
            <w:pPr>
              <w:pStyle w:val="TableTextCentered"/>
              <w:rPr>
                <w:rFonts w:eastAsia="Times New Roman"/>
              </w:rPr>
            </w:pPr>
            <w:r>
              <w:rPr>
                <w:rFonts w:eastAsia="Times New Roman"/>
              </w:rPr>
              <w:t>10</w:t>
            </w:r>
          </w:p>
        </w:tc>
        <w:tc>
          <w:tcPr>
            <w:tcW w:w="900" w:type="dxa"/>
          </w:tcPr>
          <w:p w14:paraId="3EA2F0B7" w14:textId="77777777" w:rsidR="00B47AE8" w:rsidRPr="00E359BF" w:rsidRDefault="00B47AE8">
            <w:pPr>
              <w:pStyle w:val="TableTextCentered"/>
              <w:rPr>
                <w:rFonts w:eastAsia="Times New Roman"/>
              </w:rPr>
            </w:pPr>
            <w:r>
              <w:rPr>
                <w:rFonts w:eastAsia="Times New Roman"/>
              </w:rPr>
              <w:t>23</w:t>
            </w:r>
          </w:p>
        </w:tc>
        <w:tc>
          <w:tcPr>
            <w:tcW w:w="892" w:type="dxa"/>
          </w:tcPr>
          <w:p w14:paraId="0BF97187" w14:textId="77777777" w:rsidR="00B47AE8" w:rsidRPr="00E359BF" w:rsidRDefault="00B47AE8">
            <w:pPr>
              <w:pStyle w:val="TableTextCentered"/>
              <w:rPr>
                <w:rFonts w:eastAsia="Times New Roman"/>
              </w:rPr>
            </w:pPr>
            <w:r>
              <w:rPr>
                <w:rFonts w:eastAsia="Times New Roman"/>
              </w:rPr>
              <w:t>5.8</w:t>
            </w:r>
          </w:p>
        </w:tc>
      </w:tr>
      <w:tr w:rsidR="00B47AE8" w:rsidRPr="00E359BF" w14:paraId="18387E04" w14:textId="77777777" w:rsidTr="00B47AE8">
        <w:trPr>
          <w:jc w:val="center"/>
        </w:trPr>
        <w:tc>
          <w:tcPr>
            <w:tcW w:w="1432" w:type="dxa"/>
          </w:tcPr>
          <w:p w14:paraId="38A08441" w14:textId="77777777" w:rsidR="00B47AE8" w:rsidRPr="008F6B0C" w:rsidRDefault="00B47AE8">
            <w:pPr>
              <w:pStyle w:val="TableText"/>
            </w:pPr>
            <w:r>
              <w:t>Grades 9-12</w:t>
            </w:r>
          </w:p>
        </w:tc>
        <w:tc>
          <w:tcPr>
            <w:tcW w:w="874" w:type="dxa"/>
          </w:tcPr>
          <w:p w14:paraId="00FE8E4E" w14:textId="77777777" w:rsidR="00B47AE8" w:rsidRPr="00E359BF" w:rsidRDefault="00B47AE8">
            <w:pPr>
              <w:pStyle w:val="TableTextCentered"/>
              <w:rPr>
                <w:rFonts w:eastAsia="Times New Roman"/>
              </w:rPr>
            </w:pPr>
            <w:r>
              <w:rPr>
                <w:rFonts w:eastAsia="Times New Roman"/>
              </w:rPr>
              <w:t>0</w:t>
            </w:r>
          </w:p>
        </w:tc>
        <w:tc>
          <w:tcPr>
            <w:tcW w:w="874" w:type="dxa"/>
          </w:tcPr>
          <w:p w14:paraId="40A5EDE6" w14:textId="77777777" w:rsidR="00B47AE8" w:rsidRPr="00E359BF" w:rsidRDefault="00B47AE8">
            <w:pPr>
              <w:pStyle w:val="TableTextCentered"/>
              <w:rPr>
                <w:rFonts w:eastAsia="Times New Roman"/>
              </w:rPr>
            </w:pPr>
            <w:r>
              <w:rPr>
                <w:rFonts w:eastAsia="Times New Roman"/>
              </w:rPr>
              <w:t>2</w:t>
            </w:r>
          </w:p>
        </w:tc>
        <w:tc>
          <w:tcPr>
            <w:tcW w:w="874" w:type="dxa"/>
          </w:tcPr>
          <w:p w14:paraId="38A466CD" w14:textId="77777777" w:rsidR="00B47AE8" w:rsidRPr="00E359BF" w:rsidRDefault="00B47AE8">
            <w:pPr>
              <w:pStyle w:val="TableTextCentered"/>
              <w:rPr>
                <w:rFonts w:eastAsia="Times New Roman"/>
              </w:rPr>
            </w:pPr>
            <w:r>
              <w:rPr>
                <w:rFonts w:eastAsia="Times New Roman"/>
              </w:rPr>
              <w:t>4</w:t>
            </w:r>
          </w:p>
        </w:tc>
        <w:tc>
          <w:tcPr>
            <w:tcW w:w="875" w:type="dxa"/>
          </w:tcPr>
          <w:p w14:paraId="1608880A" w14:textId="77777777" w:rsidR="00B47AE8" w:rsidRPr="00E359BF" w:rsidRDefault="00B47AE8">
            <w:pPr>
              <w:pStyle w:val="TableTextCentered"/>
              <w:rPr>
                <w:rFonts w:eastAsia="Times New Roman"/>
              </w:rPr>
            </w:pPr>
            <w:r>
              <w:rPr>
                <w:rFonts w:eastAsia="Times New Roman"/>
              </w:rPr>
              <w:t>7</w:t>
            </w:r>
          </w:p>
        </w:tc>
        <w:tc>
          <w:tcPr>
            <w:tcW w:w="874" w:type="dxa"/>
          </w:tcPr>
          <w:p w14:paraId="605798A2" w14:textId="77777777" w:rsidR="00B47AE8" w:rsidRPr="00E359BF" w:rsidRDefault="00B47AE8">
            <w:pPr>
              <w:pStyle w:val="TableTextCentered"/>
              <w:rPr>
                <w:rFonts w:eastAsia="Times New Roman"/>
              </w:rPr>
            </w:pPr>
            <w:r>
              <w:rPr>
                <w:rFonts w:eastAsia="Times New Roman"/>
              </w:rPr>
              <w:t>7</w:t>
            </w:r>
          </w:p>
        </w:tc>
        <w:tc>
          <w:tcPr>
            <w:tcW w:w="874" w:type="dxa"/>
          </w:tcPr>
          <w:p w14:paraId="1B87771D" w14:textId="77777777" w:rsidR="00B47AE8" w:rsidRPr="00E359BF" w:rsidRDefault="00B47AE8">
            <w:pPr>
              <w:pStyle w:val="TableTextCentered"/>
              <w:rPr>
                <w:rFonts w:eastAsia="Times New Roman"/>
              </w:rPr>
            </w:pPr>
            <w:r>
              <w:rPr>
                <w:rFonts w:eastAsia="Times New Roman"/>
              </w:rPr>
              <w:t>6</w:t>
            </w:r>
          </w:p>
        </w:tc>
        <w:tc>
          <w:tcPr>
            <w:tcW w:w="875" w:type="dxa"/>
          </w:tcPr>
          <w:p w14:paraId="36F15B78" w14:textId="77777777" w:rsidR="00B47AE8" w:rsidRPr="00E359BF" w:rsidRDefault="00B47AE8">
            <w:pPr>
              <w:pStyle w:val="TableTextCentered"/>
              <w:rPr>
                <w:rFonts w:eastAsia="Times New Roman"/>
              </w:rPr>
            </w:pPr>
            <w:r>
              <w:rPr>
                <w:rFonts w:eastAsia="Times New Roman"/>
              </w:rPr>
              <w:t>6</w:t>
            </w:r>
          </w:p>
        </w:tc>
        <w:tc>
          <w:tcPr>
            <w:tcW w:w="900" w:type="dxa"/>
          </w:tcPr>
          <w:p w14:paraId="644ECC74" w14:textId="77777777" w:rsidR="00B47AE8" w:rsidRPr="00E359BF" w:rsidRDefault="00B47AE8">
            <w:pPr>
              <w:pStyle w:val="TableTextCentered"/>
              <w:rPr>
                <w:rFonts w:eastAsia="Times New Roman"/>
              </w:rPr>
            </w:pPr>
            <w:r>
              <w:rPr>
                <w:rFonts w:eastAsia="Times New Roman"/>
              </w:rPr>
              <w:t>32</w:t>
            </w:r>
          </w:p>
        </w:tc>
        <w:tc>
          <w:tcPr>
            <w:tcW w:w="892" w:type="dxa"/>
          </w:tcPr>
          <w:p w14:paraId="3E067161" w14:textId="77777777" w:rsidR="00B47AE8" w:rsidRPr="00E359BF" w:rsidRDefault="00B47AE8">
            <w:pPr>
              <w:pStyle w:val="TableTextCentered"/>
              <w:rPr>
                <w:rFonts w:eastAsia="Times New Roman"/>
              </w:rPr>
            </w:pPr>
            <w:r>
              <w:rPr>
                <w:rFonts w:eastAsia="Times New Roman"/>
              </w:rPr>
              <w:t>4.9</w:t>
            </w:r>
          </w:p>
        </w:tc>
      </w:tr>
    </w:tbl>
    <w:bookmarkEnd w:id="85"/>
    <w:p w14:paraId="4A4728E2" w14:textId="77777777" w:rsidR="00B47AE8" w:rsidRPr="00F2299E" w:rsidRDefault="00B47AE8">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86" w:name="Dist_PC_Calc"/>
      <w:r>
        <w:t>([2 x 2] + [3 x 8] + [4 x 21] + [5 x 26] + [6 x 22] + [7 x 19]) ÷ 98 observations = 5.2</w:t>
      </w:r>
      <w:bookmarkEnd w:id="86"/>
    </w:p>
    <w:p w14:paraId="26F8403E" w14:textId="77777777" w:rsidR="00B47AE8" w:rsidRPr="00E359BF" w:rsidRDefault="00B47AE8">
      <w:pPr>
        <w:pStyle w:val="BodyText"/>
      </w:pPr>
      <w:r w:rsidRPr="00626C03">
        <w:rPr>
          <w:rStyle w:val="BodyTextDemiChar"/>
        </w:rPr>
        <w:t>Ratings in the Low Range</w:t>
      </w:r>
      <w:r w:rsidRPr="00E359BF">
        <w:t xml:space="preserve">. </w:t>
      </w:r>
      <w:r w:rsidRPr="00BC09E0">
        <w:t>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1CC551B5" w14:textId="77777777" w:rsidR="00B47AE8" w:rsidRPr="00E359BF" w:rsidRDefault="00B47AE8">
      <w:pPr>
        <w:pStyle w:val="BodyText"/>
      </w:pPr>
      <w:r w:rsidRPr="00626C03">
        <w:rPr>
          <w:rStyle w:val="BodyTextDemiChar"/>
        </w:rPr>
        <w:t>Ratings in the Middle Range.</w:t>
      </w:r>
      <w:r w:rsidRPr="00E359BF">
        <w:t xml:space="preserve"> </w:t>
      </w:r>
      <w:r w:rsidRPr="00BC09E0">
        <w:t>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58DC55A8" w14:textId="77777777" w:rsidR="00B47AE8" w:rsidRDefault="00B47AE8">
      <w:pPr>
        <w:pStyle w:val="BodyText"/>
      </w:pPr>
      <w:r w:rsidRPr="00626C03">
        <w:rPr>
          <w:rStyle w:val="BodyTextDemiChar"/>
        </w:rPr>
        <w:t xml:space="preserve">Ratings in the High Range. </w:t>
      </w:r>
      <w:r w:rsidRPr="00BC09E0">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83"/>
    <w:p w14:paraId="17CF041F" w14:textId="77777777" w:rsidR="00B47AE8" w:rsidRDefault="00B47AE8">
      <w:pPr>
        <w:spacing w:after="160" w:line="259" w:lineRule="auto"/>
      </w:pPr>
      <w:r>
        <w:br w:type="page"/>
      </w:r>
    </w:p>
    <w:p w14:paraId="7BDDD6ED" w14:textId="77777777" w:rsidR="00B47AE8" w:rsidRPr="00BC09E0" w:rsidRDefault="00B47AE8">
      <w:pPr>
        <w:pStyle w:val="Heading2-SIOR"/>
      </w:pPr>
      <w:bookmarkStart w:id="87" w:name="_Toc411329828"/>
      <w:bookmarkStart w:id="88" w:name="_Toc430114876"/>
      <w:bookmarkStart w:id="89" w:name="_Toc92194255"/>
      <w:r w:rsidRPr="00BC09E0">
        <w:lastRenderedPageBreak/>
        <w:t>Teacher Sensitivity</w:t>
      </w:r>
      <w:bookmarkEnd w:id="87"/>
      <w:bookmarkEnd w:id="88"/>
      <w:bookmarkEnd w:id="89"/>
    </w:p>
    <w:p w14:paraId="088B2EBF" w14:textId="77777777" w:rsidR="00B47AE8" w:rsidRPr="00BC09E0" w:rsidRDefault="00B47AE8">
      <w:pPr>
        <w:pStyle w:val="BodyTextDomain"/>
      </w:pPr>
      <w:r w:rsidRPr="00BC09E0">
        <w:t xml:space="preserve">Emotional Support domain, </w:t>
      </w:r>
      <w:r>
        <w:t>G</w:t>
      </w:r>
      <w:r w:rsidRPr="00BC09E0">
        <w:t xml:space="preserve">rades </w:t>
      </w:r>
      <w:r>
        <w:t>K</w:t>
      </w:r>
      <w:r w:rsidRPr="00BC09E0">
        <w:t>−</w:t>
      </w:r>
      <w:r>
        <w:t>12</w:t>
      </w:r>
    </w:p>
    <w:p w14:paraId="5E8D178C" w14:textId="77777777" w:rsidR="00B47AE8" w:rsidRPr="00BC09E0" w:rsidRDefault="00B47AE8">
      <w:pPr>
        <w:pStyle w:val="BodyText"/>
      </w:pPr>
      <w:r w:rsidRPr="00BC09E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65CD3E9B" w14:textId="77777777" w:rsidR="00B47AE8" w:rsidRPr="00CB2CE9" w:rsidRDefault="00B47AE8">
      <w:pPr>
        <w:pStyle w:val="TableTitle0"/>
      </w:pPr>
      <w:r w:rsidRPr="00CB2CE9">
        <w:t xml:space="preserve">Table 4. Teacher Sensitivity: Number of Classrooms for Each Rating </w:t>
      </w:r>
      <w:r w:rsidRPr="0000126A">
        <w:t>and District Average</w:t>
      </w:r>
    </w:p>
    <w:p w14:paraId="0DE7BDF7" w14:textId="77777777" w:rsidR="00B47AE8" w:rsidRDefault="00B47AE8">
      <w:pPr>
        <w:pStyle w:val="BodyTextDemi"/>
      </w:pPr>
      <w:r w:rsidRPr="0000126A">
        <w:t xml:space="preserve">Teacher Sensitivity District Average*: </w:t>
      </w:r>
      <w:bookmarkStart w:id="90" w:name="Dist_TS_Avg"/>
      <w:r>
        <w:t>5.9</w:t>
      </w:r>
      <w:bookmarkEnd w:id="9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46C66DD7"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E6F77AA" w14:textId="77777777" w:rsidR="00B47AE8" w:rsidRPr="00E359BF" w:rsidRDefault="00B47AE8">
            <w:pPr>
              <w:pStyle w:val="TableColHeadingCenter"/>
              <w:rPr>
                <w:rFonts w:eastAsia="MS Mincho"/>
              </w:rPr>
            </w:pPr>
            <w:bookmarkStart w:id="91" w:name="Tbl_TS"/>
            <w:r>
              <w:rPr>
                <w:rFonts w:eastAsia="MS Mincho"/>
              </w:rPr>
              <w:t>Grade Band</w:t>
            </w:r>
          </w:p>
        </w:tc>
        <w:tc>
          <w:tcPr>
            <w:tcW w:w="1748" w:type="dxa"/>
            <w:gridSpan w:val="2"/>
          </w:tcPr>
          <w:p w14:paraId="654E5A72"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09F0AF45"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71809419"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6CBE7F76" w14:textId="77777777" w:rsidR="00B47AE8" w:rsidRPr="00E359BF" w:rsidRDefault="00B47AE8">
            <w:pPr>
              <w:pStyle w:val="TableColHeadingCenter"/>
              <w:rPr>
                <w:rFonts w:eastAsia="MS Mincho"/>
              </w:rPr>
            </w:pPr>
            <w:r>
              <w:rPr>
                <w:rFonts w:eastAsia="MS Mincho"/>
              </w:rPr>
              <w:t>n</w:t>
            </w:r>
          </w:p>
        </w:tc>
        <w:tc>
          <w:tcPr>
            <w:tcW w:w="892" w:type="dxa"/>
          </w:tcPr>
          <w:p w14:paraId="632CBFC9" w14:textId="77777777" w:rsidR="00B47AE8" w:rsidRPr="00E359BF" w:rsidRDefault="00B47AE8">
            <w:pPr>
              <w:pStyle w:val="TableColHeadingCenter"/>
              <w:rPr>
                <w:rFonts w:eastAsia="MS Mincho"/>
              </w:rPr>
            </w:pPr>
            <w:r>
              <w:rPr>
                <w:rFonts w:eastAsia="MS Mincho"/>
              </w:rPr>
              <w:t>Average</w:t>
            </w:r>
          </w:p>
        </w:tc>
      </w:tr>
      <w:tr w:rsidR="00B47AE8" w:rsidRPr="00E359BF" w14:paraId="34B6702E" w14:textId="77777777" w:rsidTr="00B47AE8">
        <w:trPr>
          <w:jc w:val="center"/>
        </w:trPr>
        <w:tc>
          <w:tcPr>
            <w:tcW w:w="1432" w:type="dxa"/>
            <w:shd w:val="clear" w:color="auto" w:fill="D9E2F3" w:themeFill="accent5" w:themeFillTint="33"/>
          </w:tcPr>
          <w:p w14:paraId="4570B98E" w14:textId="77777777" w:rsidR="00B47AE8" w:rsidRPr="00E359BF" w:rsidRDefault="00B47AE8">
            <w:pPr>
              <w:pStyle w:val="TableSubheadingCentered"/>
            </w:pPr>
          </w:p>
        </w:tc>
        <w:tc>
          <w:tcPr>
            <w:tcW w:w="874" w:type="dxa"/>
            <w:shd w:val="clear" w:color="auto" w:fill="D9E2F3" w:themeFill="accent5" w:themeFillTint="33"/>
          </w:tcPr>
          <w:p w14:paraId="108B5E5F" w14:textId="77777777" w:rsidR="00B47AE8" w:rsidRPr="00E359BF" w:rsidRDefault="00B47AE8">
            <w:pPr>
              <w:pStyle w:val="TableSubheadingCentered"/>
            </w:pPr>
            <w:r w:rsidRPr="00E359BF">
              <w:t>1</w:t>
            </w:r>
          </w:p>
        </w:tc>
        <w:tc>
          <w:tcPr>
            <w:tcW w:w="874" w:type="dxa"/>
            <w:shd w:val="clear" w:color="auto" w:fill="D9E2F3" w:themeFill="accent5" w:themeFillTint="33"/>
          </w:tcPr>
          <w:p w14:paraId="4DB0178F" w14:textId="77777777" w:rsidR="00B47AE8" w:rsidRPr="00E359BF" w:rsidRDefault="00B47AE8">
            <w:pPr>
              <w:pStyle w:val="TableSubheadingCentered"/>
            </w:pPr>
            <w:r w:rsidRPr="00E359BF">
              <w:t>2</w:t>
            </w:r>
          </w:p>
        </w:tc>
        <w:tc>
          <w:tcPr>
            <w:tcW w:w="874" w:type="dxa"/>
            <w:shd w:val="clear" w:color="auto" w:fill="D9E2F3" w:themeFill="accent5" w:themeFillTint="33"/>
          </w:tcPr>
          <w:p w14:paraId="7784B9DD" w14:textId="77777777" w:rsidR="00B47AE8" w:rsidRPr="00E359BF" w:rsidRDefault="00B47AE8">
            <w:pPr>
              <w:pStyle w:val="TableSubheadingCentered"/>
            </w:pPr>
            <w:r w:rsidRPr="00E359BF">
              <w:t>3</w:t>
            </w:r>
          </w:p>
        </w:tc>
        <w:tc>
          <w:tcPr>
            <w:tcW w:w="875" w:type="dxa"/>
            <w:shd w:val="clear" w:color="auto" w:fill="D9E2F3" w:themeFill="accent5" w:themeFillTint="33"/>
          </w:tcPr>
          <w:p w14:paraId="39DB4939" w14:textId="77777777" w:rsidR="00B47AE8" w:rsidRPr="00E359BF" w:rsidRDefault="00B47AE8">
            <w:pPr>
              <w:pStyle w:val="TableSubheadingCentered"/>
            </w:pPr>
            <w:r w:rsidRPr="00E359BF">
              <w:t>4</w:t>
            </w:r>
          </w:p>
        </w:tc>
        <w:tc>
          <w:tcPr>
            <w:tcW w:w="874" w:type="dxa"/>
            <w:shd w:val="clear" w:color="auto" w:fill="D9E2F3" w:themeFill="accent5" w:themeFillTint="33"/>
          </w:tcPr>
          <w:p w14:paraId="2C94E5F3" w14:textId="77777777" w:rsidR="00B47AE8" w:rsidRPr="00E359BF" w:rsidRDefault="00B47AE8">
            <w:pPr>
              <w:pStyle w:val="TableSubheadingCentered"/>
            </w:pPr>
            <w:r w:rsidRPr="00E359BF">
              <w:t>5</w:t>
            </w:r>
          </w:p>
        </w:tc>
        <w:tc>
          <w:tcPr>
            <w:tcW w:w="874" w:type="dxa"/>
            <w:shd w:val="clear" w:color="auto" w:fill="D9E2F3" w:themeFill="accent5" w:themeFillTint="33"/>
          </w:tcPr>
          <w:p w14:paraId="674677BD" w14:textId="77777777" w:rsidR="00B47AE8" w:rsidRPr="00E359BF" w:rsidRDefault="00B47AE8">
            <w:pPr>
              <w:pStyle w:val="TableSubheadingCentered"/>
            </w:pPr>
            <w:r w:rsidRPr="00E359BF">
              <w:t>6</w:t>
            </w:r>
          </w:p>
        </w:tc>
        <w:tc>
          <w:tcPr>
            <w:tcW w:w="875" w:type="dxa"/>
            <w:shd w:val="clear" w:color="auto" w:fill="D9E2F3" w:themeFill="accent5" w:themeFillTint="33"/>
          </w:tcPr>
          <w:p w14:paraId="156C6D0C" w14:textId="77777777" w:rsidR="00B47AE8" w:rsidRPr="00E359BF" w:rsidRDefault="00B47AE8">
            <w:pPr>
              <w:pStyle w:val="TableSubheadingCentered"/>
            </w:pPr>
            <w:r w:rsidRPr="00E359BF">
              <w:t>7</w:t>
            </w:r>
          </w:p>
        </w:tc>
        <w:tc>
          <w:tcPr>
            <w:tcW w:w="900" w:type="dxa"/>
            <w:shd w:val="clear" w:color="auto" w:fill="D9E2F3" w:themeFill="accent5" w:themeFillTint="33"/>
          </w:tcPr>
          <w:p w14:paraId="7BA02199" w14:textId="77777777" w:rsidR="00B47AE8" w:rsidRPr="00E359BF" w:rsidRDefault="00B47AE8">
            <w:pPr>
              <w:pStyle w:val="TableSubheadingCentered"/>
            </w:pPr>
            <w:r>
              <w:t>98</w:t>
            </w:r>
          </w:p>
        </w:tc>
        <w:tc>
          <w:tcPr>
            <w:tcW w:w="892" w:type="dxa"/>
            <w:shd w:val="clear" w:color="auto" w:fill="D9E2F3" w:themeFill="accent5" w:themeFillTint="33"/>
          </w:tcPr>
          <w:p w14:paraId="4935EC48" w14:textId="77777777" w:rsidR="00B47AE8" w:rsidRPr="00E359BF" w:rsidRDefault="00B47AE8">
            <w:pPr>
              <w:pStyle w:val="TableSubheadingCentered"/>
            </w:pPr>
            <w:r>
              <w:t>5.9</w:t>
            </w:r>
          </w:p>
        </w:tc>
      </w:tr>
      <w:tr w:rsidR="00B47AE8" w:rsidRPr="00E359BF" w14:paraId="75374CBC" w14:textId="77777777" w:rsidTr="00B47AE8">
        <w:trPr>
          <w:jc w:val="center"/>
        </w:trPr>
        <w:tc>
          <w:tcPr>
            <w:tcW w:w="1432" w:type="dxa"/>
          </w:tcPr>
          <w:p w14:paraId="55FA6F60" w14:textId="77777777" w:rsidR="00B47AE8" w:rsidRPr="00E359BF" w:rsidRDefault="00B47AE8">
            <w:pPr>
              <w:pStyle w:val="TableText"/>
            </w:pPr>
            <w:r>
              <w:t>Grades K-5</w:t>
            </w:r>
          </w:p>
        </w:tc>
        <w:tc>
          <w:tcPr>
            <w:tcW w:w="874" w:type="dxa"/>
          </w:tcPr>
          <w:p w14:paraId="038F877A" w14:textId="77777777" w:rsidR="00B47AE8" w:rsidRPr="00E359BF" w:rsidRDefault="00B47AE8">
            <w:pPr>
              <w:pStyle w:val="TableTextCentered"/>
              <w:rPr>
                <w:rFonts w:eastAsia="Times New Roman"/>
              </w:rPr>
            </w:pPr>
            <w:r>
              <w:rPr>
                <w:rFonts w:eastAsia="Times New Roman"/>
              </w:rPr>
              <w:t>0</w:t>
            </w:r>
          </w:p>
        </w:tc>
        <w:tc>
          <w:tcPr>
            <w:tcW w:w="874" w:type="dxa"/>
          </w:tcPr>
          <w:p w14:paraId="344CFF61" w14:textId="77777777" w:rsidR="00B47AE8" w:rsidRPr="00E359BF" w:rsidRDefault="00B47AE8">
            <w:pPr>
              <w:pStyle w:val="TableTextCentered"/>
              <w:rPr>
                <w:rFonts w:eastAsia="Times New Roman"/>
              </w:rPr>
            </w:pPr>
            <w:r>
              <w:rPr>
                <w:rFonts w:eastAsia="Times New Roman"/>
              </w:rPr>
              <w:t>0</w:t>
            </w:r>
          </w:p>
        </w:tc>
        <w:tc>
          <w:tcPr>
            <w:tcW w:w="874" w:type="dxa"/>
          </w:tcPr>
          <w:p w14:paraId="08EDFE97" w14:textId="77777777" w:rsidR="00B47AE8" w:rsidRPr="00E359BF" w:rsidRDefault="00B47AE8">
            <w:pPr>
              <w:pStyle w:val="TableTextCentered"/>
              <w:rPr>
                <w:rFonts w:eastAsia="Times New Roman"/>
              </w:rPr>
            </w:pPr>
            <w:r>
              <w:rPr>
                <w:rFonts w:eastAsia="Times New Roman"/>
              </w:rPr>
              <w:t>0</w:t>
            </w:r>
          </w:p>
        </w:tc>
        <w:tc>
          <w:tcPr>
            <w:tcW w:w="875" w:type="dxa"/>
          </w:tcPr>
          <w:p w14:paraId="2D4C8BDF" w14:textId="77777777" w:rsidR="00B47AE8" w:rsidRPr="00E359BF" w:rsidRDefault="00B47AE8">
            <w:pPr>
              <w:pStyle w:val="TableTextCentered"/>
              <w:rPr>
                <w:rFonts w:eastAsia="Times New Roman"/>
              </w:rPr>
            </w:pPr>
            <w:r>
              <w:rPr>
                <w:rFonts w:eastAsia="Times New Roman"/>
              </w:rPr>
              <w:t>3</w:t>
            </w:r>
          </w:p>
        </w:tc>
        <w:tc>
          <w:tcPr>
            <w:tcW w:w="874" w:type="dxa"/>
          </w:tcPr>
          <w:p w14:paraId="6C9EB982" w14:textId="77777777" w:rsidR="00B47AE8" w:rsidRPr="00E359BF" w:rsidRDefault="00B47AE8">
            <w:pPr>
              <w:pStyle w:val="TableTextCentered"/>
              <w:rPr>
                <w:rFonts w:eastAsia="Times New Roman"/>
              </w:rPr>
            </w:pPr>
            <w:r>
              <w:rPr>
                <w:rFonts w:eastAsia="Times New Roman"/>
              </w:rPr>
              <w:t>13</w:t>
            </w:r>
          </w:p>
        </w:tc>
        <w:tc>
          <w:tcPr>
            <w:tcW w:w="874" w:type="dxa"/>
          </w:tcPr>
          <w:p w14:paraId="203FA5B7" w14:textId="77777777" w:rsidR="00B47AE8" w:rsidRPr="00E359BF" w:rsidRDefault="00B47AE8">
            <w:pPr>
              <w:pStyle w:val="TableTextCentered"/>
              <w:rPr>
                <w:rFonts w:eastAsia="Times New Roman"/>
              </w:rPr>
            </w:pPr>
            <w:r>
              <w:rPr>
                <w:rFonts w:eastAsia="Times New Roman"/>
              </w:rPr>
              <w:t>11</w:t>
            </w:r>
          </w:p>
        </w:tc>
        <w:tc>
          <w:tcPr>
            <w:tcW w:w="875" w:type="dxa"/>
          </w:tcPr>
          <w:p w14:paraId="44C53020" w14:textId="77777777" w:rsidR="00B47AE8" w:rsidRPr="00E359BF" w:rsidRDefault="00B47AE8">
            <w:pPr>
              <w:pStyle w:val="TableTextCentered"/>
              <w:rPr>
                <w:rFonts w:eastAsia="Times New Roman"/>
              </w:rPr>
            </w:pPr>
            <w:r>
              <w:rPr>
                <w:rFonts w:eastAsia="Times New Roman"/>
              </w:rPr>
              <w:t>16</w:t>
            </w:r>
          </w:p>
        </w:tc>
        <w:tc>
          <w:tcPr>
            <w:tcW w:w="900" w:type="dxa"/>
          </w:tcPr>
          <w:p w14:paraId="5BD422E0" w14:textId="77777777" w:rsidR="00B47AE8" w:rsidRPr="00E359BF" w:rsidRDefault="00B47AE8">
            <w:pPr>
              <w:pStyle w:val="TableTextCentered"/>
              <w:rPr>
                <w:rFonts w:eastAsia="Times New Roman"/>
              </w:rPr>
            </w:pPr>
            <w:r>
              <w:rPr>
                <w:rFonts w:eastAsia="Times New Roman"/>
              </w:rPr>
              <w:t>43</w:t>
            </w:r>
          </w:p>
        </w:tc>
        <w:tc>
          <w:tcPr>
            <w:tcW w:w="892" w:type="dxa"/>
          </w:tcPr>
          <w:p w14:paraId="744AD0C0" w14:textId="77777777" w:rsidR="00B47AE8" w:rsidRPr="00E359BF" w:rsidRDefault="00B47AE8">
            <w:pPr>
              <w:pStyle w:val="TableTextCentered"/>
              <w:rPr>
                <w:rFonts w:eastAsia="Times New Roman"/>
              </w:rPr>
            </w:pPr>
            <w:r>
              <w:rPr>
                <w:rFonts w:eastAsia="Times New Roman"/>
              </w:rPr>
              <w:t>5.9</w:t>
            </w:r>
          </w:p>
        </w:tc>
      </w:tr>
      <w:tr w:rsidR="00B47AE8" w:rsidRPr="00E359BF" w14:paraId="178B1612" w14:textId="77777777" w:rsidTr="00B47AE8">
        <w:trPr>
          <w:jc w:val="center"/>
        </w:trPr>
        <w:tc>
          <w:tcPr>
            <w:tcW w:w="1432" w:type="dxa"/>
          </w:tcPr>
          <w:p w14:paraId="6587B338" w14:textId="77777777" w:rsidR="00B47AE8" w:rsidRPr="00E359BF" w:rsidRDefault="00B47AE8">
            <w:pPr>
              <w:pStyle w:val="TableText"/>
            </w:pPr>
            <w:r>
              <w:t>Grades 6-8</w:t>
            </w:r>
          </w:p>
        </w:tc>
        <w:tc>
          <w:tcPr>
            <w:tcW w:w="874" w:type="dxa"/>
          </w:tcPr>
          <w:p w14:paraId="21F34CFA" w14:textId="77777777" w:rsidR="00B47AE8" w:rsidRPr="00E359BF" w:rsidRDefault="00B47AE8">
            <w:pPr>
              <w:pStyle w:val="TableTextCentered"/>
              <w:rPr>
                <w:rFonts w:eastAsia="Times New Roman"/>
              </w:rPr>
            </w:pPr>
            <w:r>
              <w:rPr>
                <w:rFonts w:eastAsia="Times New Roman"/>
              </w:rPr>
              <w:t>0</w:t>
            </w:r>
          </w:p>
        </w:tc>
        <w:tc>
          <w:tcPr>
            <w:tcW w:w="874" w:type="dxa"/>
          </w:tcPr>
          <w:p w14:paraId="0DDCE04D" w14:textId="77777777" w:rsidR="00B47AE8" w:rsidRPr="00E359BF" w:rsidRDefault="00B47AE8">
            <w:pPr>
              <w:pStyle w:val="TableTextCentered"/>
              <w:rPr>
                <w:rFonts w:eastAsia="Times New Roman"/>
              </w:rPr>
            </w:pPr>
            <w:r>
              <w:rPr>
                <w:rFonts w:eastAsia="Times New Roman"/>
              </w:rPr>
              <w:t>0</w:t>
            </w:r>
          </w:p>
        </w:tc>
        <w:tc>
          <w:tcPr>
            <w:tcW w:w="874" w:type="dxa"/>
          </w:tcPr>
          <w:p w14:paraId="6D959667" w14:textId="77777777" w:rsidR="00B47AE8" w:rsidRPr="00E359BF" w:rsidRDefault="00B47AE8">
            <w:pPr>
              <w:pStyle w:val="TableTextCentered"/>
              <w:rPr>
                <w:rFonts w:eastAsia="Times New Roman"/>
              </w:rPr>
            </w:pPr>
            <w:r>
              <w:rPr>
                <w:rFonts w:eastAsia="Times New Roman"/>
              </w:rPr>
              <w:t>1</w:t>
            </w:r>
          </w:p>
        </w:tc>
        <w:tc>
          <w:tcPr>
            <w:tcW w:w="875" w:type="dxa"/>
          </w:tcPr>
          <w:p w14:paraId="1EB7E29C" w14:textId="77777777" w:rsidR="00B47AE8" w:rsidRPr="00E359BF" w:rsidRDefault="00B47AE8">
            <w:pPr>
              <w:pStyle w:val="TableTextCentered"/>
              <w:rPr>
                <w:rFonts w:eastAsia="Times New Roman"/>
              </w:rPr>
            </w:pPr>
            <w:r>
              <w:rPr>
                <w:rFonts w:eastAsia="Times New Roman"/>
              </w:rPr>
              <w:t>2</w:t>
            </w:r>
          </w:p>
        </w:tc>
        <w:tc>
          <w:tcPr>
            <w:tcW w:w="874" w:type="dxa"/>
          </w:tcPr>
          <w:p w14:paraId="0F7D3173" w14:textId="77777777" w:rsidR="00B47AE8" w:rsidRPr="00E359BF" w:rsidRDefault="00B47AE8">
            <w:pPr>
              <w:pStyle w:val="TableTextCentered"/>
              <w:rPr>
                <w:rFonts w:eastAsia="Times New Roman"/>
              </w:rPr>
            </w:pPr>
            <w:r>
              <w:rPr>
                <w:rFonts w:eastAsia="Times New Roman"/>
              </w:rPr>
              <w:t>4</w:t>
            </w:r>
          </w:p>
        </w:tc>
        <w:tc>
          <w:tcPr>
            <w:tcW w:w="874" w:type="dxa"/>
          </w:tcPr>
          <w:p w14:paraId="50DEB3C9" w14:textId="77777777" w:rsidR="00B47AE8" w:rsidRPr="00E359BF" w:rsidRDefault="00B47AE8">
            <w:pPr>
              <w:pStyle w:val="TableTextCentered"/>
              <w:rPr>
                <w:rFonts w:eastAsia="Times New Roman"/>
              </w:rPr>
            </w:pPr>
            <w:r>
              <w:rPr>
                <w:rFonts w:eastAsia="Times New Roman"/>
              </w:rPr>
              <w:t>5</w:t>
            </w:r>
          </w:p>
        </w:tc>
        <w:tc>
          <w:tcPr>
            <w:tcW w:w="875" w:type="dxa"/>
          </w:tcPr>
          <w:p w14:paraId="0AA409E7" w14:textId="77777777" w:rsidR="00B47AE8" w:rsidRPr="00E359BF" w:rsidRDefault="00B47AE8">
            <w:pPr>
              <w:pStyle w:val="TableTextCentered"/>
              <w:rPr>
                <w:rFonts w:eastAsia="Times New Roman"/>
              </w:rPr>
            </w:pPr>
            <w:r>
              <w:rPr>
                <w:rFonts w:eastAsia="Times New Roman"/>
              </w:rPr>
              <w:t>11</w:t>
            </w:r>
          </w:p>
        </w:tc>
        <w:tc>
          <w:tcPr>
            <w:tcW w:w="900" w:type="dxa"/>
          </w:tcPr>
          <w:p w14:paraId="521C9B43" w14:textId="77777777" w:rsidR="00B47AE8" w:rsidRPr="00E359BF" w:rsidRDefault="00B47AE8">
            <w:pPr>
              <w:pStyle w:val="TableTextCentered"/>
              <w:rPr>
                <w:rFonts w:eastAsia="Times New Roman"/>
              </w:rPr>
            </w:pPr>
            <w:r>
              <w:rPr>
                <w:rFonts w:eastAsia="Times New Roman"/>
              </w:rPr>
              <w:t>23</w:t>
            </w:r>
          </w:p>
        </w:tc>
        <w:tc>
          <w:tcPr>
            <w:tcW w:w="892" w:type="dxa"/>
          </w:tcPr>
          <w:p w14:paraId="2E7D49F5" w14:textId="77777777" w:rsidR="00B47AE8" w:rsidRPr="00E359BF" w:rsidRDefault="00B47AE8">
            <w:pPr>
              <w:pStyle w:val="TableTextCentered"/>
              <w:rPr>
                <w:rFonts w:eastAsia="Times New Roman"/>
              </w:rPr>
            </w:pPr>
            <w:r>
              <w:rPr>
                <w:rFonts w:eastAsia="Times New Roman"/>
              </w:rPr>
              <w:t>6.0</w:t>
            </w:r>
          </w:p>
        </w:tc>
      </w:tr>
      <w:tr w:rsidR="00B47AE8" w:rsidRPr="00E359BF" w14:paraId="5E9F3785" w14:textId="77777777" w:rsidTr="00B47AE8">
        <w:trPr>
          <w:jc w:val="center"/>
        </w:trPr>
        <w:tc>
          <w:tcPr>
            <w:tcW w:w="1432" w:type="dxa"/>
          </w:tcPr>
          <w:p w14:paraId="4DDA70C1" w14:textId="77777777" w:rsidR="00B47AE8" w:rsidRPr="00E359BF" w:rsidRDefault="00B47AE8">
            <w:pPr>
              <w:pStyle w:val="TableText"/>
            </w:pPr>
            <w:r>
              <w:t>Grades 9-12</w:t>
            </w:r>
          </w:p>
        </w:tc>
        <w:tc>
          <w:tcPr>
            <w:tcW w:w="874" w:type="dxa"/>
          </w:tcPr>
          <w:p w14:paraId="50246924" w14:textId="77777777" w:rsidR="00B47AE8" w:rsidRPr="00E359BF" w:rsidRDefault="00B47AE8">
            <w:pPr>
              <w:pStyle w:val="TableTextCentered"/>
              <w:rPr>
                <w:rFonts w:eastAsia="Times New Roman"/>
              </w:rPr>
            </w:pPr>
            <w:r>
              <w:rPr>
                <w:rFonts w:eastAsia="Times New Roman"/>
              </w:rPr>
              <w:t>0</w:t>
            </w:r>
          </w:p>
        </w:tc>
        <w:tc>
          <w:tcPr>
            <w:tcW w:w="874" w:type="dxa"/>
          </w:tcPr>
          <w:p w14:paraId="1FE2596E" w14:textId="77777777" w:rsidR="00B47AE8" w:rsidRPr="00E359BF" w:rsidRDefault="00B47AE8">
            <w:pPr>
              <w:pStyle w:val="TableTextCentered"/>
              <w:rPr>
                <w:rFonts w:eastAsia="Times New Roman"/>
              </w:rPr>
            </w:pPr>
            <w:r>
              <w:rPr>
                <w:rFonts w:eastAsia="Times New Roman"/>
              </w:rPr>
              <w:t>0</w:t>
            </w:r>
          </w:p>
        </w:tc>
        <w:tc>
          <w:tcPr>
            <w:tcW w:w="874" w:type="dxa"/>
          </w:tcPr>
          <w:p w14:paraId="498D9226" w14:textId="77777777" w:rsidR="00B47AE8" w:rsidRPr="00E359BF" w:rsidRDefault="00B47AE8">
            <w:pPr>
              <w:pStyle w:val="TableTextCentered"/>
              <w:rPr>
                <w:rFonts w:eastAsia="Times New Roman"/>
              </w:rPr>
            </w:pPr>
            <w:r>
              <w:rPr>
                <w:rFonts w:eastAsia="Times New Roman"/>
              </w:rPr>
              <w:t>0</w:t>
            </w:r>
          </w:p>
        </w:tc>
        <w:tc>
          <w:tcPr>
            <w:tcW w:w="875" w:type="dxa"/>
          </w:tcPr>
          <w:p w14:paraId="572C96B1" w14:textId="77777777" w:rsidR="00B47AE8" w:rsidRPr="00E359BF" w:rsidRDefault="00B47AE8">
            <w:pPr>
              <w:pStyle w:val="TableTextCentered"/>
              <w:rPr>
                <w:rFonts w:eastAsia="Times New Roman"/>
              </w:rPr>
            </w:pPr>
            <w:r>
              <w:rPr>
                <w:rFonts w:eastAsia="Times New Roman"/>
              </w:rPr>
              <w:t>5</w:t>
            </w:r>
          </w:p>
        </w:tc>
        <w:tc>
          <w:tcPr>
            <w:tcW w:w="874" w:type="dxa"/>
          </w:tcPr>
          <w:p w14:paraId="649DEACD" w14:textId="77777777" w:rsidR="00B47AE8" w:rsidRPr="00E359BF" w:rsidRDefault="00B47AE8">
            <w:pPr>
              <w:pStyle w:val="TableTextCentered"/>
              <w:rPr>
                <w:rFonts w:eastAsia="Times New Roman"/>
              </w:rPr>
            </w:pPr>
            <w:r>
              <w:rPr>
                <w:rFonts w:eastAsia="Times New Roman"/>
              </w:rPr>
              <w:t>8</w:t>
            </w:r>
          </w:p>
        </w:tc>
        <w:tc>
          <w:tcPr>
            <w:tcW w:w="874" w:type="dxa"/>
          </w:tcPr>
          <w:p w14:paraId="1945A6E6" w14:textId="77777777" w:rsidR="00B47AE8" w:rsidRPr="00E359BF" w:rsidRDefault="00B47AE8">
            <w:pPr>
              <w:pStyle w:val="TableTextCentered"/>
              <w:rPr>
                <w:rFonts w:eastAsia="Times New Roman"/>
              </w:rPr>
            </w:pPr>
            <w:r>
              <w:rPr>
                <w:rFonts w:eastAsia="Times New Roman"/>
              </w:rPr>
              <w:t>9</w:t>
            </w:r>
          </w:p>
        </w:tc>
        <w:tc>
          <w:tcPr>
            <w:tcW w:w="875" w:type="dxa"/>
          </w:tcPr>
          <w:p w14:paraId="202072AA" w14:textId="77777777" w:rsidR="00B47AE8" w:rsidRPr="00E359BF" w:rsidRDefault="00B47AE8">
            <w:pPr>
              <w:pStyle w:val="TableTextCentered"/>
              <w:rPr>
                <w:rFonts w:eastAsia="Times New Roman"/>
              </w:rPr>
            </w:pPr>
            <w:r>
              <w:rPr>
                <w:rFonts w:eastAsia="Times New Roman"/>
              </w:rPr>
              <w:t>10</w:t>
            </w:r>
          </w:p>
        </w:tc>
        <w:tc>
          <w:tcPr>
            <w:tcW w:w="900" w:type="dxa"/>
          </w:tcPr>
          <w:p w14:paraId="17DBA493" w14:textId="77777777" w:rsidR="00B47AE8" w:rsidRPr="00E359BF" w:rsidRDefault="00B47AE8">
            <w:pPr>
              <w:pStyle w:val="TableTextCentered"/>
              <w:rPr>
                <w:rFonts w:eastAsia="Times New Roman"/>
              </w:rPr>
            </w:pPr>
            <w:r>
              <w:rPr>
                <w:rFonts w:eastAsia="Times New Roman"/>
              </w:rPr>
              <w:t>32</w:t>
            </w:r>
          </w:p>
        </w:tc>
        <w:tc>
          <w:tcPr>
            <w:tcW w:w="892" w:type="dxa"/>
          </w:tcPr>
          <w:p w14:paraId="60455372" w14:textId="77777777" w:rsidR="00B47AE8" w:rsidRPr="00E359BF" w:rsidRDefault="00B47AE8">
            <w:pPr>
              <w:pStyle w:val="TableTextCentered"/>
              <w:rPr>
                <w:rFonts w:eastAsia="Times New Roman"/>
              </w:rPr>
            </w:pPr>
            <w:r>
              <w:rPr>
                <w:rFonts w:eastAsia="Times New Roman"/>
              </w:rPr>
              <w:t>5.8</w:t>
            </w:r>
          </w:p>
        </w:tc>
      </w:tr>
    </w:tbl>
    <w:bookmarkEnd w:id="91"/>
    <w:p w14:paraId="1D21D3DE" w14:textId="77777777" w:rsidR="00B47AE8" w:rsidRPr="00BC09E0" w:rsidRDefault="00B47AE8">
      <w:pPr>
        <w:pStyle w:val="TableNote"/>
      </w:pPr>
      <w:r w:rsidRPr="00A96DD7">
        <w:t xml:space="preserve">*The district average is an average of the observation scores. In Table 4, the district average is computed as: </w:t>
      </w:r>
      <w:r w:rsidRPr="00A96DD7">
        <w:br/>
      </w:r>
      <w:bookmarkStart w:id="92" w:name="Dist_TS_Calc"/>
      <w:r>
        <w:t>([3 x 1] + [4 x 10] + [5 x 25] + [6 x 25] + [7 x 37]) ÷ 98 observations = 5.9</w:t>
      </w:r>
      <w:bookmarkEnd w:id="92"/>
    </w:p>
    <w:p w14:paraId="35C9AA5D" w14:textId="77777777" w:rsidR="00B47AE8" w:rsidRPr="00BC09E0" w:rsidRDefault="00B47AE8">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14998CE7" w14:textId="77777777" w:rsidR="00B47AE8" w:rsidRPr="00BC09E0" w:rsidRDefault="00B47AE8">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61BF2899" w14:textId="77777777" w:rsidR="00B47AE8" w:rsidRDefault="00B47AE8">
      <w:pPr>
        <w:pStyle w:val="BodyText"/>
      </w:pPr>
      <w:r w:rsidRPr="00CB2CE9">
        <w:rPr>
          <w:rStyle w:val="BodyTextDemiChar"/>
        </w:rPr>
        <w:t>Ratings in the High Range.</w:t>
      </w:r>
      <w:r w:rsidRPr="00BC09E0">
        <w:t xml:space="preserve"> The teacher’s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7D8555A3" w14:textId="77777777" w:rsidR="00B47AE8" w:rsidRDefault="00B47AE8">
      <w:pPr>
        <w:spacing w:after="160" w:line="259" w:lineRule="auto"/>
      </w:pPr>
      <w:r>
        <w:br w:type="page"/>
      </w:r>
    </w:p>
    <w:p w14:paraId="7F33492B" w14:textId="77777777" w:rsidR="00B47AE8" w:rsidRPr="00BC09E0" w:rsidRDefault="00B47AE8">
      <w:pPr>
        <w:pStyle w:val="Heading2-SIOR"/>
      </w:pPr>
      <w:bookmarkStart w:id="93" w:name="_Toc411329829"/>
      <w:bookmarkStart w:id="94" w:name="_Toc430114877"/>
      <w:bookmarkStart w:id="95" w:name="_Toc92194256"/>
      <w:r w:rsidRPr="00BC09E0">
        <w:lastRenderedPageBreak/>
        <w:t>Regard for Student Perspectives</w:t>
      </w:r>
      <w:bookmarkEnd w:id="93"/>
      <w:bookmarkEnd w:id="94"/>
      <w:bookmarkEnd w:id="95"/>
    </w:p>
    <w:p w14:paraId="6D8AF9AB" w14:textId="77777777" w:rsidR="00B47AE8" w:rsidRPr="00F008EE" w:rsidRDefault="00B47AE8">
      <w:pPr>
        <w:pStyle w:val="BodyTextDomain"/>
      </w:pPr>
      <w:r w:rsidRPr="00BC09E0">
        <w:t xml:space="preserve">Emotional Support domain, </w:t>
      </w:r>
      <w:r>
        <w:t>G</w:t>
      </w:r>
      <w:r w:rsidRPr="00BC09E0">
        <w:t xml:space="preserve">rades </w:t>
      </w:r>
      <w:r>
        <w:t>K</w:t>
      </w:r>
      <w:r w:rsidRPr="00BC09E0">
        <w:t>−</w:t>
      </w:r>
      <w:r>
        <w:t>12</w:t>
      </w:r>
    </w:p>
    <w:p w14:paraId="0799097D" w14:textId="77777777" w:rsidR="00B47AE8" w:rsidRPr="00BC09E0" w:rsidRDefault="00B47AE8">
      <w:pPr>
        <w:pStyle w:val="BodyText"/>
      </w:pPr>
      <w:r w:rsidRPr="00BC09E0">
        <w:t>Regard for Student Perspectives captures the degree to which the teacher’s interactions with students and classroom activities place an emphasis on students’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150DB756" w14:textId="77777777" w:rsidR="00B47AE8" w:rsidRPr="00BC09E0" w:rsidRDefault="00B47AE8">
      <w:pPr>
        <w:pStyle w:val="TableTitle0"/>
      </w:pPr>
      <w:r w:rsidRPr="00BC09E0">
        <w:t xml:space="preserve">Table 5. Regard for Student Perspectives: Number of Classrooms for Each Rating </w:t>
      </w:r>
      <w:r w:rsidRPr="00A96DD7">
        <w:t>and District Average</w:t>
      </w:r>
    </w:p>
    <w:p w14:paraId="4A3F1730" w14:textId="77777777" w:rsidR="00B47AE8" w:rsidRDefault="00B47AE8">
      <w:pPr>
        <w:pStyle w:val="BodyTextDemi"/>
      </w:pPr>
      <w:r w:rsidRPr="00A96DD7">
        <w:t xml:space="preserve">Regard for Student Perspectives District Average*: </w:t>
      </w:r>
      <w:bookmarkStart w:id="96" w:name="Dist_RSP_Avg"/>
      <w:r>
        <w:t>3.3</w:t>
      </w:r>
      <w:bookmarkEnd w:id="9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339AB7D4"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1696812" w14:textId="77777777" w:rsidR="00B47AE8" w:rsidRPr="00E359BF" w:rsidRDefault="00B47AE8">
            <w:pPr>
              <w:pStyle w:val="TableColHeadingCenter"/>
              <w:rPr>
                <w:rFonts w:eastAsia="MS Mincho"/>
              </w:rPr>
            </w:pPr>
            <w:bookmarkStart w:id="97" w:name="Tbl_RSP"/>
            <w:r>
              <w:rPr>
                <w:rFonts w:eastAsia="MS Mincho"/>
              </w:rPr>
              <w:t>Grade Band</w:t>
            </w:r>
          </w:p>
        </w:tc>
        <w:tc>
          <w:tcPr>
            <w:tcW w:w="1748" w:type="dxa"/>
            <w:gridSpan w:val="2"/>
          </w:tcPr>
          <w:p w14:paraId="73CA805C"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3AAB3325"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54D5F7AB"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2F8B442C" w14:textId="77777777" w:rsidR="00B47AE8" w:rsidRPr="00E359BF" w:rsidRDefault="00B47AE8">
            <w:pPr>
              <w:pStyle w:val="TableColHeadingCenter"/>
              <w:rPr>
                <w:rFonts w:eastAsia="MS Mincho"/>
              </w:rPr>
            </w:pPr>
            <w:r>
              <w:rPr>
                <w:rFonts w:eastAsia="MS Mincho"/>
              </w:rPr>
              <w:t>n</w:t>
            </w:r>
          </w:p>
        </w:tc>
        <w:tc>
          <w:tcPr>
            <w:tcW w:w="892" w:type="dxa"/>
          </w:tcPr>
          <w:p w14:paraId="0CC318CA" w14:textId="77777777" w:rsidR="00B47AE8" w:rsidRPr="00E359BF" w:rsidRDefault="00B47AE8">
            <w:pPr>
              <w:pStyle w:val="TableColHeadingCenter"/>
              <w:rPr>
                <w:rFonts w:eastAsia="MS Mincho"/>
              </w:rPr>
            </w:pPr>
            <w:r>
              <w:rPr>
                <w:rFonts w:eastAsia="MS Mincho"/>
              </w:rPr>
              <w:t>Average</w:t>
            </w:r>
          </w:p>
        </w:tc>
      </w:tr>
      <w:tr w:rsidR="00B47AE8" w:rsidRPr="00E359BF" w14:paraId="225EC1CE" w14:textId="77777777" w:rsidTr="00B47AE8">
        <w:trPr>
          <w:jc w:val="center"/>
        </w:trPr>
        <w:tc>
          <w:tcPr>
            <w:tcW w:w="1432" w:type="dxa"/>
            <w:shd w:val="clear" w:color="auto" w:fill="D9E2F3" w:themeFill="accent5" w:themeFillTint="33"/>
          </w:tcPr>
          <w:p w14:paraId="518B0D91" w14:textId="77777777" w:rsidR="00B47AE8" w:rsidRPr="00E359BF" w:rsidRDefault="00B47AE8">
            <w:pPr>
              <w:pStyle w:val="TableSubheadingCentered"/>
            </w:pPr>
          </w:p>
        </w:tc>
        <w:tc>
          <w:tcPr>
            <w:tcW w:w="874" w:type="dxa"/>
            <w:shd w:val="clear" w:color="auto" w:fill="D9E2F3" w:themeFill="accent5" w:themeFillTint="33"/>
          </w:tcPr>
          <w:p w14:paraId="5E944D70" w14:textId="77777777" w:rsidR="00B47AE8" w:rsidRPr="00E359BF" w:rsidRDefault="00B47AE8">
            <w:pPr>
              <w:pStyle w:val="TableSubheadingCentered"/>
            </w:pPr>
            <w:r w:rsidRPr="00E359BF">
              <w:t>1</w:t>
            </w:r>
          </w:p>
        </w:tc>
        <w:tc>
          <w:tcPr>
            <w:tcW w:w="874" w:type="dxa"/>
            <w:shd w:val="clear" w:color="auto" w:fill="D9E2F3" w:themeFill="accent5" w:themeFillTint="33"/>
          </w:tcPr>
          <w:p w14:paraId="7A6BB2C0" w14:textId="77777777" w:rsidR="00B47AE8" w:rsidRPr="00E359BF" w:rsidRDefault="00B47AE8">
            <w:pPr>
              <w:pStyle w:val="TableSubheadingCentered"/>
            </w:pPr>
            <w:r w:rsidRPr="00E359BF">
              <w:t>2</w:t>
            </w:r>
          </w:p>
        </w:tc>
        <w:tc>
          <w:tcPr>
            <w:tcW w:w="874" w:type="dxa"/>
            <w:shd w:val="clear" w:color="auto" w:fill="D9E2F3" w:themeFill="accent5" w:themeFillTint="33"/>
          </w:tcPr>
          <w:p w14:paraId="10B573A1" w14:textId="77777777" w:rsidR="00B47AE8" w:rsidRPr="00E359BF" w:rsidRDefault="00B47AE8">
            <w:pPr>
              <w:pStyle w:val="TableSubheadingCentered"/>
            </w:pPr>
            <w:r w:rsidRPr="00E359BF">
              <w:t>3</w:t>
            </w:r>
          </w:p>
        </w:tc>
        <w:tc>
          <w:tcPr>
            <w:tcW w:w="875" w:type="dxa"/>
            <w:shd w:val="clear" w:color="auto" w:fill="D9E2F3" w:themeFill="accent5" w:themeFillTint="33"/>
          </w:tcPr>
          <w:p w14:paraId="1C218EFA" w14:textId="77777777" w:rsidR="00B47AE8" w:rsidRPr="00E359BF" w:rsidRDefault="00B47AE8">
            <w:pPr>
              <w:pStyle w:val="TableSubheadingCentered"/>
            </w:pPr>
            <w:r w:rsidRPr="00E359BF">
              <w:t>4</w:t>
            </w:r>
          </w:p>
        </w:tc>
        <w:tc>
          <w:tcPr>
            <w:tcW w:w="874" w:type="dxa"/>
            <w:shd w:val="clear" w:color="auto" w:fill="D9E2F3" w:themeFill="accent5" w:themeFillTint="33"/>
          </w:tcPr>
          <w:p w14:paraId="4E76DC18" w14:textId="77777777" w:rsidR="00B47AE8" w:rsidRPr="00E359BF" w:rsidRDefault="00B47AE8">
            <w:pPr>
              <w:pStyle w:val="TableSubheadingCentered"/>
            </w:pPr>
            <w:r w:rsidRPr="00E359BF">
              <w:t>5</w:t>
            </w:r>
          </w:p>
        </w:tc>
        <w:tc>
          <w:tcPr>
            <w:tcW w:w="874" w:type="dxa"/>
            <w:shd w:val="clear" w:color="auto" w:fill="D9E2F3" w:themeFill="accent5" w:themeFillTint="33"/>
          </w:tcPr>
          <w:p w14:paraId="40E6654D" w14:textId="77777777" w:rsidR="00B47AE8" w:rsidRPr="00E359BF" w:rsidRDefault="00B47AE8">
            <w:pPr>
              <w:pStyle w:val="TableSubheadingCentered"/>
            </w:pPr>
            <w:r w:rsidRPr="00E359BF">
              <w:t>6</w:t>
            </w:r>
          </w:p>
        </w:tc>
        <w:tc>
          <w:tcPr>
            <w:tcW w:w="875" w:type="dxa"/>
            <w:shd w:val="clear" w:color="auto" w:fill="D9E2F3" w:themeFill="accent5" w:themeFillTint="33"/>
          </w:tcPr>
          <w:p w14:paraId="61C919FB" w14:textId="77777777" w:rsidR="00B47AE8" w:rsidRPr="00E359BF" w:rsidRDefault="00B47AE8">
            <w:pPr>
              <w:pStyle w:val="TableSubheadingCentered"/>
            </w:pPr>
            <w:r w:rsidRPr="00E359BF">
              <w:t>7</w:t>
            </w:r>
          </w:p>
        </w:tc>
        <w:tc>
          <w:tcPr>
            <w:tcW w:w="900" w:type="dxa"/>
            <w:shd w:val="clear" w:color="auto" w:fill="D9E2F3" w:themeFill="accent5" w:themeFillTint="33"/>
          </w:tcPr>
          <w:p w14:paraId="7AF6984F" w14:textId="77777777" w:rsidR="00B47AE8" w:rsidRPr="00E359BF" w:rsidRDefault="00B47AE8">
            <w:pPr>
              <w:pStyle w:val="TableSubheadingCentered"/>
            </w:pPr>
            <w:r>
              <w:t>98</w:t>
            </w:r>
          </w:p>
        </w:tc>
        <w:tc>
          <w:tcPr>
            <w:tcW w:w="892" w:type="dxa"/>
            <w:shd w:val="clear" w:color="auto" w:fill="D9E2F3" w:themeFill="accent5" w:themeFillTint="33"/>
          </w:tcPr>
          <w:p w14:paraId="613DFEA4" w14:textId="77777777" w:rsidR="00B47AE8" w:rsidRPr="00E359BF" w:rsidRDefault="00B47AE8">
            <w:pPr>
              <w:pStyle w:val="TableSubheadingCentered"/>
            </w:pPr>
            <w:r>
              <w:t>3.3</w:t>
            </w:r>
          </w:p>
        </w:tc>
      </w:tr>
      <w:tr w:rsidR="00B47AE8" w:rsidRPr="00E359BF" w14:paraId="2CA4858C" w14:textId="77777777" w:rsidTr="00B47AE8">
        <w:trPr>
          <w:jc w:val="center"/>
        </w:trPr>
        <w:tc>
          <w:tcPr>
            <w:tcW w:w="1432" w:type="dxa"/>
          </w:tcPr>
          <w:p w14:paraId="283DC8B7" w14:textId="77777777" w:rsidR="00B47AE8" w:rsidRPr="00E359BF" w:rsidRDefault="00B47AE8">
            <w:pPr>
              <w:pStyle w:val="TableText"/>
            </w:pPr>
            <w:r>
              <w:t>Grades K-5</w:t>
            </w:r>
          </w:p>
        </w:tc>
        <w:tc>
          <w:tcPr>
            <w:tcW w:w="874" w:type="dxa"/>
          </w:tcPr>
          <w:p w14:paraId="6549D5E4" w14:textId="77777777" w:rsidR="00B47AE8" w:rsidRPr="00E359BF" w:rsidRDefault="00B47AE8">
            <w:pPr>
              <w:pStyle w:val="TableTextCentered"/>
              <w:rPr>
                <w:rFonts w:eastAsia="Times New Roman"/>
              </w:rPr>
            </w:pPr>
            <w:r>
              <w:rPr>
                <w:rFonts w:eastAsia="Times New Roman"/>
              </w:rPr>
              <w:t>1</w:t>
            </w:r>
          </w:p>
        </w:tc>
        <w:tc>
          <w:tcPr>
            <w:tcW w:w="874" w:type="dxa"/>
          </w:tcPr>
          <w:p w14:paraId="5C9F7B9F" w14:textId="77777777" w:rsidR="00B47AE8" w:rsidRPr="00E359BF" w:rsidRDefault="00B47AE8">
            <w:pPr>
              <w:pStyle w:val="TableTextCentered"/>
              <w:rPr>
                <w:rFonts w:eastAsia="Times New Roman"/>
              </w:rPr>
            </w:pPr>
            <w:r>
              <w:rPr>
                <w:rFonts w:eastAsia="Times New Roman"/>
              </w:rPr>
              <w:t>7</w:t>
            </w:r>
          </w:p>
        </w:tc>
        <w:tc>
          <w:tcPr>
            <w:tcW w:w="874" w:type="dxa"/>
          </w:tcPr>
          <w:p w14:paraId="6D565CE6" w14:textId="77777777" w:rsidR="00B47AE8" w:rsidRPr="00E359BF" w:rsidRDefault="00B47AE8">
            <w:pPr>
              <w:pStyle w:val="TableTextCentered"/>
              <w:rPr>
                <w:rFonts w:eastAsia="Times New Roman"/>
              </w:rPr>
            </w:pPr>
            <w:r>
              <w:rPr>
                <w:rFonts w:eastAsia="Times New Roman"/>
              </w:rPr>
              <w:t>12</w:t>
            </w:r>
          </w:p>
        </w:tc>
        <w:tc>
          <w:tcPr>
            <w:tcW w:w="875" w:type="dxa"/>
          </w:tcPr>
          <w:p w14:paraId="2536D11A" w14:textId="77777777" w:rsidR="00B47AE8" w:rsidRPr="00E359BF" w:rsidRDefault="00B47AE8">
            <w:pPr>
              <w:pStyle w:val="TableTextCentered"/>
              <w:rPr>
                <w:rFonts w:eastAsia="Times New Roman"/>
              </w:rPr>
            </w:pPr>
            <w:r>
              <w:rPr>
                <w:rFonts w:eastAsia="Times New Roman"/>
              </w:rPr>
              <w:t>10</w:t>
            </w:r>
          </w:p>
        </w:tc>
        <w:tc>
          <w:tcPr>
            <w:tcW w:w="874" w:type="dxa"/>
          </w:tcPr>
          <w:p w14:paraId="43009B80" w14:textId="77777777" w:rsidR="00B47AE8" w:rsidRPr="00E359BF" w:rsidRDefault="00B47AE8">
            <w:pPr>
              <w:pStyle w:val="TableTextCentered"/>
              <w:rPr>
                <w:rFonts w:eastAsia="Times New Roman"/>
              </w:rPr>
            </w:pPr>
            <w:r>
              <w:rPr>
                <w:rFonts w:eastAsia="Times New Roman"/>
              </w:rPr>
              <w:t>10</w:t>
            </w:r>
          </w:p>
        </w:tc>
        <w:tc>
          <w:tcPr>
            <w:tcW w:w="874" w:type="dxa"/>
          </w:tcPr>
          <w:p w14:paraId="095A5B2A" w14:textId="77777777" w:rsidR="00B47AE8" w:rsidRPr="00E359BF" w:rsidRDefault="00B47AE8">
            <w:pPr>
              <w:pStyle w:val="TableTextCentered"/>
              <w:rPr>
                <w:rFonts w:eastAsia="Times New Roman"/>
              </w:rPr>
            </w:pPr>
            <w:r>
              <w:rPr>
                <w:rFonts w:eastAsia="Times New Roman"/>
              </w:rPr>
              <w:t>2</w:t>
            </w:r>
          </w:p>
        </w:tc>
        <w:tc>
          <w:tcPr>
            <w:tcW w:w="875" w:type="dxa"/>
          </w:tcPr>
          <w:p w14:paraId="6A680FAE" w14:textId="77777777" w:rsidR="00B47AE8" w:rsidRPr="00E359BF" w:rsidRDefault="00B47AE8">
            <w:pPr>
              <w:pStyle w:val="TableTextCentered"/>
              <w:rPr>
                <w:rFonts w:eastAsia="Times New Roman"/>
              </w:rPr>
            </w:pPr>
            <w:r>
              <w:rPr>
                <w:rFonts w:eastAsia="Times New Roman"/>
              </w:rPr>
              <w:t>1</w:t>
            </w:r>
          </w:p>
        </w:tc>
        <w:tc>
          <w:tcPr>
            <w:tcW w:w="900" w:type="dxa"/>
          </w:tcPr>
          <w:p w14:paraId="352E739B" w14:textId="77777777" w:rsidR="00B47AE8" w:rsidRPr="00E359BF" w:rsidRDefault="00B47AE8">
            <w:pPr>
              <w:pStyle w:val="TableTextCentered"/>
              <w:rPr>
                <w:rFonts w:eastAsia="Times New Roman"/>
              </w:rPr>
            </w:pPr>
            <w:r>
              <w:rPr>
                <w:rFonts w:eastAsia="Times New Roman"/>
              </w:rPr>
              <w:t>43</w:t>
            </w:r>
          </w:p>
        </w:tc>
        <w:tc>
          <w:tcPr>
            <w:tcW w:w="892" w:type="dxa"/>
          </w:tcPr>
          <w:p w14:paraId="5215E2A4" w14:textId="77777777" w:rsidR="00B47AE8" w:rsidRPr="00E359BF" w:rsidRDefault="00B47AE8">
            <w:pPr>
              <w:pStyle w:val="TableTextCentered"/>
              <w:rPr>
                <w:rFonts w:eastAsia="Times New Roman"/>
              </w:rPr>
            </w:pPr>
            <w:r>
              <w:rPr>
                <w:rFonts w:eastAsia="Times New Roman"/>
              </w:rPr>
              <w:t>3.7</w:t>
            </w:r>
          </w:p>
        </w:tc>
      </w:tr>
      <w:tr w:rsidR="00B47AE8" w:rsidRPr="00E359BF" w14:paraId="199E55C2" w14:textId="77777777" w:rsidTr="00B47AE8">
        <w:trPr>
          <w:jc w:val="center"/>
        </w:trPr>
        <w:tc>
          <w:tcPr>
            <w:tcW w:w="1432" w:type="dxa"/>
          </w:tcPr>
          <w:p w14:paraId="3EA408C7" w14:textId="77777777" w:rsidR="00B47AE8" w:rsidRPr="00E359BF" w:rsidRDefault="00B47AE8">
            <w:pPr>
              <w:pStyle w:val="TableText"/>
            </w:pPr>
            <w:r>
              <w:t>Grades 6-8</w:t>
            </w:r>
          </w:p>
        </w:tc>
        <w:tc>
          <w:tcPr>
            <w:tcW w:w="874" w:type="dxa"/>
          </w:tcPr>
          <w:p w14:paraId="35F1879F" w14:textId="77777777" w:rsidR="00B47AE8" w:rsidRPr="00E359BF" w:rsidRDefault="00B47AE8">
            <w:pPr>
              <w:pStyle w:val="TableTextCentered"/>
              <w:rPr>
                <w:rFonts w:eastAsia="Times New Roman"/>
              </w:rPr>
            </w:pPr>
            <w:r>
              <w:rPr>
                <w:rFonts w:eastAsia="Times New Roman"/>
              </w:rPr>
              <w:t>2</w:t>
            </w:r>
          </w:p>
        </w:tc>
        <w:tc>
          <w:tcPr>
            <w:tcW w:w="874" w:type="dxa"/>
          </w:tcPr>
          <w:p w14:paraId="0DECA3A0" w14:textId="77777777" w:rsidR="00B47AE8" w:rsidRPr="00E359BF" w:rsidRDefault="00B47AE8">
            <w:pPr>
              <w:pStyle w:val="TableTextCentered"/>
              <w:rPr>
                <w:rFonts w:eastAsia="Times New Roman"/>
              </w:rPr>
            </w:pPr>
            <w:r>
              <w:rPr>
                <w:rFonts w:eastAsia="Times New Roman"/>
              </w:rPr>
              <w:t>4</w:t>
            </w:r>
          </w:p>
        </w:tc>
        <w:tc>
          <w:tcPr>
            <w:tcW w:w="874" w:type="dxa"/>
          </w:tcPr>
          <w:p w14:paraId="4A4DE1D4" w14:textId="77777777" w:rsidR="00B47AE8" w:rsidRPr="00E359BF" w:rsidRDefault="00B47AE8">
            <w:pPr>
              <w:pStyle w:val="TableTextCentered"/>
              <w:rPr>
                <w:rFonts w:eastAsia="Times New Roman"/>
              </w:rPr>
            </w:pPr>
            <w:r>
              <w:rPr>
                <w:rFonts w:eastAsia="Times New Roman"/>
              </w:rPr>
              <w:t>10</w:t>
            </w:r>
          </w:p>
        </w:tc>
        <w:tc>
          <w:tcPr>
            <w:tcW w:w="875" w:type="dxa"/>
          </w:tcPr>
          <w:p w14:paraId="28DD5E67" w14:textId="77777777" w:rsidR="00B47AE8" w:rsidRPr="00E359BF" w:rsidRDefault="00B47AE8">
            <w:pPr>
              <w:pStyle w:val="TableTextCentered"/>
              <w:rPr>
                <w:rFonts w:eastAsia="Times New Roman"/>
              </w:rPr>
            </w:pPr>
            <w:r>
              <w:rPr>
                <w:rFonts w:eastAsia="Times New Roman"/>
              </w:rPr>
              <w:t>5</w:t>
            </w:r>
          </w:p>
        </w:tc>
        <w:tc>
          <w:tcPr>
            <w:tcW w:w="874" w:type="dxa"/>
          </w:tcPr>
          <w:p w14:paraId="4F7B6DD5" w14:textId="77777777" w:rsidR="00B47AE8" w:rsidRPr="00E359BF" w:rsidRDefault="00B47AE8">
            <w:pPr>
              <w:pStyle w:val="TableTextCentered"/>
              <w:rPr>
                <w:rFonts w:eastAsia="Times New Roman"/>
              </w:rPr>
            </w:pPr>
            <w:r>
              <w:rPr>
                <w:rFonts w:eastAsia="Times New Roman"/>
              </w:rPr>
              <w:t>2</w:t>
            </w:r>
          </w:p>
        </w:tc>
        <w:tc>
          <w:tcPr>
            <w:tcW w:w="874" w:type="dxa"/>
          </w:tcPr>
          <w:p w14:paraId="4D316B1B" w14:textId="77777777" w:rsidR="00B47AE8" w:rsidRPr="00E359BF" w:rsidRDefault="00B47AE8">
            <w:pPr>
              <w:pStyle w:val="TableTextCentered"/>
              <w:rPr>
                <w:rFonts w:eastAsia="Times New Roman"/>
              </w:rPr>
            </w:pPr>
            <w:r>
              <w:rPr>
                <w:rFonts w:eastAsia="Times New Roman"/>
              </w:rPr>
              <w:t>0</w:t>
            </w:r>
          </w:p>
        </w:tc>
        <w:tc>
          <w:tcPr>
            <w:tcW w:w="875" w:type="dxa"/>
          </w:tcPr>
          <w:p w14:paraId="7BE6C5C5" w14:textId="77777777" w:rsidR="00B47AE8" w:rsidRPr="00E359BF" w:rsidRDefault="00B47AE8">
            <w:pPr>
              <w:pStyle w:val="TableTextCentered"/>
              <w:rPr>
                <w:rFonts w:eastAsia="Times New Roman"/>
              </w:rPr>
            </w:pPr>
            <w:r>
              <w:rPr>
                <w:rFonts w:eastAsia="Times New Roman"/>
              </w:rPr>
              <w:t>0</w:t>
            </w:r>
          </w:p>
        </w:tc>
        <w:tc>
          <w:tcPr>
            <w:tcW w:w="900" w:type="dxa"/>
          </w:tcPr>
          <w:p w14:paraId="5F3E0409" w14:textId="77777777" w:rsidR="00B47AE8" w:rsidRPr="00E359BF" w:rsidRDefault="00B47AE8">
            <w:pPr>
              <w:pStyle w:val="TableTextCentered"/>
              <w:rPr>
                <w:rFonts w:eastAsia="Times New Roman"/>
              </w:rPr>
            </w:pPr>
            <w:r>
              <w:rPr>
                <w:rFonts w:eastAsia="Times New Roman"/>
              </w:rPr>
              <w:t>23</w:t>
            </w:r>
          </w:p>
        </w:tc>
        <w:tc>
          <w:tcPr>
            <w:tcW w:w="892" w:type="dxa"/>
          </w:tcPr>
          <w:p w14:paraId="692DB5A4" w14:textId="77777777" w:rsidR="00B47AE8" w:rsidRPr="00E359BF" w:rsidRDefault="00B47AE8">
            <w:pPr>
              <w:pStyle w:val="TableTextCentered"/>
              <w:rPr>
                <w:rFonts w:eastAsia="Times New Roman"/>
              </w:rPr>
            </w:pPr>
            <w:r>
              <w:rPr>
                <w:rFonts w:eastAsia="Times New Roman"/>
              </w:rPr>
              <w:t>3.0</w:t>
            </w:r>
          </w:p>
        </w:tc>
      </w:tr>
      <w:tr w:rsidR="00B47AE8" w:rsidRPr="00E359BF" w14:paraId="7939CC52" w14:textId="77777777" w:rsidTr="00B47AE8">
        <w:trPr>
          <w:jc w:val="center"/>
        </w:trPr>
        <w:tc>
          <w:tcPr>
            <w:tcW w:w="1432" w:type="dxa"/>
          </w:tcPr>
          <w:p w14:paraId="6A4CACA5" w14:textId="77777777" w:rsidR="00B47AE8" w:rsidRPr="00E359BF" w:rsidRDefault="00B47AE8">
            <w:pPr>
              <w:pStyle w:val="TableText"/>
            </w:pPr>
            <w:r>
              <w:t>Grades 9-12</w:t>
            </w:r>
          </w:p>
        </w:tc>
        <w:tc>
          <w:tcPr>
            <w:tcW w:w="874" w:type="dxa"/>
          </w:tcPr>
          <w:p w14:paraId="1A88267C" w14:textId="77777777" w:rsidR="00B47AE8" w:rsidRPr="00E359BF" w:rsidRDefault="00B47AE8">
            <w:pPr>
              <w:pStyle w:val="TableTextCentered"/>
              <w:rPr>
                <w:rFonts w:eastAsia="Times New Roman"/>
              </w:rPr>
            </w:pPr>
            <w:r>
              <w:rPr>
                <w:rFonts w:eastAsia="Times New Roman"/>
              </w:rPr>
              <w:t>2</w:t>
            </w:r>
          </w:p>
        </w:tc>
        <w:tc>
          <w:tcPr>
            <w:tcW w:w="874" w:type="dxa"/>
          </w:tcPr>
          <w:p w14:paraId="74393624" w14:textId="77777777" w:rsidR="00B47AE8" w:rsidRPr="00E359BF" w:rsidRDefault="00B47AE8">
            <w:pPr>
              <w:pStyle w:val="TableTextCentered"/>
              <w:rPr>
                <w:rFonts w:eastAsia="Times New Roman"/>
              </w:rPr>
            </w:pPr>
            <w:r>
              <w:rPr>
                <w:rFonts w:eastAsia="Times New Roman"/>
              </w:rPr>
              <w:t>12</w:t>
            </w:r>
          </w:p>
        </w:tc>
        <w:tc>
          <w:tcPr>
            <w:tcW w:w="874" w:type="dxa"/>
          </w:tcPr>
          <w:p w14:paraId="51DEEDC6" w14:textId="77777777" w:rsidR="00B47AE8" w:rsidRPr="00E359BF" w:rsidRDefault="00B47AE8">
            <w:pPr>
              <w:pStyle w:val="TableTextCentered"/>
              <w:rPr>
                <w:rFonts w:eastAsia="Times New Roman"/>
              </w:rPr>
            </w:pPr>
            <w:r>
              <w:rPr>
                <w:rFonts w:eastAsia="Times New Roman"/>
              </w:rPr>
              <w:t>6</w:t>
            </w:r>
          </w:p>
        </w:tc>
        <w:tc>
          <w:tcPr>
            <w:tcW w:w="875" w:type="dxa"/>
          </w:tcPr>
          <w:p w14:paraId="7054B7F1" w14:textId="77777777" w:rsidR="00B47AE8" w:rsidRPr="00E359BF" w:rsidRDefault="00B47AE8">
            <w:pPr>
              <w:pStyle w:val="TableTextCentered"/>
              <w:rPr>
                <w:rFonts w:eastAsia="Times New Roman"/>
              </w:rPr>
            </w:pPr>
            <w:r>
              <w:rPr>
                <w:rFonts w:eastAsia="Times New Roman"/>
              </w:rPr>
              <w:t>9</w:t>
            </w:r>
          </w:p>
        </w:tc>
        <w:tc>
          <w:tcPr>
            <w:tcW w:w="874" w:type="dxa"/>
          </w:tcPr>
          <w:p w14:paraId="7D2191C8" w14:textId="77777777" w:rsidR="00B47AE8" w:rsidRPr="00E359BF" w:rsidRDefault="00B47AE8">
            <w:pPr>
              <w:pStyle w:val="TableTextCentered"/>
              <w:rPr>
                <w:rFonts w:eastAsia="Times New Roman"/>
              </w:rPr>
            </w:pPr>
            <w:r>
              <w:rPr>
                <w:rFonts w:eastAsia="Times New Roman"/>
              </w:rPr>
              <w:t>2</w:t>
            </w:r>
          </w:p>
        </w:tc>
        <w:tc>
          <w:tcPr>
            <w:tcW w:w="874" w:type="dxa"/>
          </w:tcPr>
          <w:p w14:paraId="0BE2A1F7" w14:textId="77777777" w:rsidR="00B47AE8" w:rsidRPr="00E359BF" w:rsidRDefault="00B47AE8">
            <w:pPr>
              <w:pStyle w:val="TableTextCentered"/>
              <w:rPr>
                <w:rFonts w:eastAsia="Times New Roman"/>
              </w:rPr>
            </w:pPr>
            <w:r>
              <w:rPr>
                <w:rFonts w:eastAsia="Times New Roman"/>
              </w:rPr>
              <w:t>1</w:t>
            </w:r>
          </w:p>
        </w:tc>
        <w:tc>
          <w:tcPr>
            <w:tcW w:w="875" w:type="dxa"/>
          </w:tcPr>
          <w:p w14:paraId="106C4166" w14:textId="77777777" w:rsidR="00B47AE8" w:rsidRPr="00E359BF" w:rsidRDefault="00B47AE8">
            <w:pPr>
              <w:pStyle w:val="TableTextCentered"/>
              <w:rPr>
                <w:rFonts w:eastAsia="Times New Roman"/>
              </w:rPr>
            </w:pPr>
            <w:r>
              <w:rPr>
                <w:rFonts w:eastAsia="Times New Roman"/>
              </w:rPr>
              <w:t>0</w:t>
            </w:r>
          </w:p>
        </w:tc>
        <w:tc>
          <w:tcPr>
            <w:tcW w:w="900" w:type="dxa"/>
          </w:tcPr>
          <w:p w14:paraId="2415902B" w14:textId="77777777" w:rsidR="00B47AE8" w:rsidRPr="00E359BF" w:rsidRDefault="00B47AE8">
            <w:pPr>
              <w:pStyle w:val="TableTextCentered"/>
              <w:rPr>
                <w:rFonts w:eastAsia="Times New Roman"/>
              </w:rPr>
            </w:pPr>
            <w:r>
              <w:rPr>
                <w:rFonts w:eastAsia="Times New Roman"/>
              </w:rPr>
              <w:t>32</w:t>
            </w:r>
          </w:p>
        </w:tc>
        <w:tc>
          <w:tcPr>
            <w:tcW w:w="892" w:type="dxa"/>
          </w:tcPr>
          <w:p w14:paraId="6A48783E" w14:textId="77777777" w:rsidR="00B47AE8" w:rsidRPr="00E359BF" w:rsidRDefault="00B47AE8">
            <w:pPr>
              <w:pStyle w:val="TableTextCentered"/>
              <w:rPr>
                <w:rFonts w:eastAsia="Times New Roman"/>
              </w:rPr>
            </w:pPr>
            <w:r>
              <w:rPr>
                <w:rFonts w:eastAsia="Times New Roman"/>
              </w:rPr>
              <w:t>3.0</w:t>
            </w:r>
          </w:p>
        </w:tc>
      </w:tr>
    </w:tbl>
    <w:bookmarkEnd w:id="97"/>
    <w:p w14:paraId="396051E9" w14:textId="77777777" w:rsidR="00B47AE8" w:rsidRPr="00BC09E0" w:rsidRDefault="00B47AE8">
      <w:pPr>
        <w:pStyle w:val="TableNote"/>
      </w:pPr>
      <w:r w:rsidRPr="00A96DD7">
        <w:t xml:space="preserve">*The district average is an average of the observation scores. In Table 5, the district average is computed as: </w:t>
      </w:r>
      <w:r w:rsidRPr="00A96DD7">
        <w:br/>
      </w:r>
      <w:bookmarkStart w:id="98" w:name="Dist_RSP_Calc"/>
      <w:r>
        <w:t>([1 x 5] + [2 x 23] + [3 x 28] + [4 x 24] + [5 x 14] + [6 x 3] + [7 x 1]) ÷ 98 observations = 3.3</w:t>
      </w:r>
      <w:bookmarkEnd w:id="98"/>
    </w:p>
    <w:p w14:paraId="3F3335AE" w14:textId="77777777" w:rsidR="00B47AE8" w:rsidRPr="00BC09E0" w:rsidRDefault="00B47AE8">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2A9F2C7A" w14:textId="77777777" w:rsidR="00B47AE8" w:rsidRPr="00BC09E0" w:rsidRDefault="00B47AE8">
      <w:pPr>
        <w:pStyle w:val="BodyText"/>
      </w:pPr>
      <w:r w:rsidRPr="00270124">
        <w:rPr>
          <w:rStyle w:val="BodyTextDemiChar"/>
        </w:rPr>
        <w:t>Ratings in the Middle Range.</w:t>
      </w:r>
      <w:r w:rsidRPr="00BC09E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377A1D1C" w14:textId="77777777" w:rsidR="00B47AE8" w:rsidRPr="00BC09E0" w:rsidRDefault="00B47AE8">
      <w:pPr>
        <w:pStyle w:val="BodyText"/>
      </w:pPr>
      <w:r w:rsidRPr="00270124">
        <w:rPr>
          <w:rStyle w:val="BodyTextDemiChar"/>
        </w:rPr>
        <w:t xml:space="preserve">Ratings in the High Range. </w:t>
      </w:r>
      <w:r w:rsidRPr="00270124">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62BB9E60" w14:textId="77777777" w:rsidR="00B47AE8" w:rsidRDefault="00B47AE8">
      <w:pPr>
        <w:spacing w:after="160" w:line="259" w:lineRule="auto"/>
        <w:rPr>
          <w:rFonts w:eastAsiaTheme="majorEastAsia"/>
        </w:rPr>
      </w:pPr>
      <w:r>
        <w:rPr>
          <w:rFonts w:eastAsiaTheme="majorEastAsia"/>
        </w:rPr>
        <w:br w:type="page"/>
      </w:r>
    </w:p>
    <w:p w14:paraId="52B7B598" w14:textId="77777777" w:rsidR="00B47AE8" w:rsidRPr="00BC09E0" w:rsidRDefault="00B47AE8">
      <w:pPr>
        <w:pStyle w:val="Heading2-SIOR"/>
      </w:pPr>
      <w:bookmarkStart w:id="99" w:name="_Toc430114878"/>
      <w:bookmarkStart w:id="100" w:name="_Toc92194257"/>
      <w:r w:rsidRPr="00BC09E0">
        <w:lastRenderedPageBreak/>
        <w:t>Negative Climate</w:t>
      </w:r>
      <w:bookmarkEnd w:id="99"/>
      <w:bookmarkEnd w:id="100"/>
    </w:p>
    <w:p w14:paraId="6CBE778F" w14:textId="77777777" w:rsidR="00B47AE8" w:rsidRPr="00F008EE" w:rsidRDefault="00B47AE8">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61FDA601" w14:textId="77777777" w:rsidR="00B47AE8" w:rsidRPr="00BC09E0" w:rsidRDefault="00B47AE8">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  For the purposes of this report, we have inversed the observers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8"/>
      </w:r>
      <w:r w:rsidRPr="00BC09E0">
        <w:t xml:space="preserve"> </w:t>
      </w:r>
    </w:p>
    <w:p w14:paraId="5AD65458" w14:textId="77777777" w:rsidR="00B47AE8" w:rsidRPr="00BC09E0" w:rsidRDefault="00B47AE8">
      <w:pPr>
        <w:pStyle w:val="TableTitle0"/>
      </w:pPr>
      <w:r w:rsidRPr="00BC09E0">
        <w:t xml:space="preserve">Table 6. Negative Climate: Number of Classrooms for Each Rating </w:t>
      </w:r>
      <w:r w:rsidRPr="00A96DD7">
        <w:t>and District Average</w:t>
      </w:r>
    </w:p>
    <w:p w14:paraId="6B6EA7F5" w14:textId="77777777" w:rsidR="00B47AE8" w:rsidRDefault="00B47AE8">
      <w:pPr>
        <w:pStyle w:val="BodyTextDemi"/>
      </w:pPr>
      <w:r w:rsidRPr="00A96DD7">
        <w:t xml:space="preserve">Negative Climate District Average*: </w:t>
      </w:r>
      <w:bookmarkStart w:id="101" w:name="Dist_NC_Avg"/>
      <w:r>
        <w:t>6.9</w:t>
      </w:r>
      <w:bookmarkEnd w:id="10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79A251DC"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F2E42BD" w14:textId="77777777" w:rsidR="00B47AE8" w:rsidRPr="00E359BF" w:rsidRDefault="00B47AE8">
            <w:pPr>
              <w:pStyle w:val="TableColHeadingCenter"/>
              <w:rPr>
                <w:rFonts w:eastAsia="MS Mincho"/>
              </w:rPr>
            </w:pPr>
            <w:bookmarkStart w:id="102" w:name="Tbl_NC"/>
            <w:r>
              <w:rPr>
                <w:rFonts w:eastAsia="MS Mincho"/>
              </w:rPr>
              <w:t>Grade Band</w:t>
            </w:r>
          </w:p>
        </w:tc>
        <w:tc>
          <w:tcPr>
            <w:tcW w:w="1748" w:type="dxa"/>
            <w:gridSpan w:val="2"/>
          </w:tcPr>
          <w:p w14:paraId="7CC31350"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62C8EF47"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51906383"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2B4687EF" w14:textId="77777777" w:rsidR="00B47AE8" w:rsidRPr="00E359BF" w:rsidRDefault="00B47AE8">
            <w:pPr>
              <w:pStyle w:val="TableColHeadingCenter"/>
              <w:rPr>
                <w:rFonts w:eastAsia="MS Mincho"/>
              </w:rPr>
            </w:pPr>
            <w:r>
              <w:rPr>
                <w:rFonts w:eastAsia="MS Mincho"/>
              </w:rPr>
              <w:t>n</w:t>
            </w:r>
          </w:p>
        </w:tc>
        <w:tc>
          <w:tcPr>
            <w:tcW w:w="892" w:type="dxa"/>
          </w:tcPr>
          <w:p w14:paraId="4BD9B284" w14:textId="77777777" w:rsidR="00B47AE8" w:rsidRPr="00E359BF" w:rsidRDefault="00B47AE8">
            <w:pPr>
              <w:pStyle w:val="TableColHeadingCenter"/>
              <w:rPr>
                <w:rFonts w:eastAsia="MS Mincho"/>
              </w:rPr>
            </w:pPr>
            <w:r>
              <w:rPr>
                <w:rFonts w:eastAsia="MS Mincho"/>
              </w:rPr>
              <w:t>Average</w:t>
            </w:r>
          </w:p>
        </w:tc>
      </w:tr>
      <w:tr w:rsidR="00B47AE8" w:rsidRPr="00E359BF" w14:paraId="15EFEFDE" w14:textId="77777777" w:rsidTr="00B47AE8">
        <w:trPr>
          <w:jc w:val="center"/>
        </w:trPr>
        <w:tc>
          <w:tcPr>
            <w:tcW w:w="1432" w:type="dxa"/>
            <w:shd w:val="clear" w:color="auto" w:fill="D9E2F3" w:themeFill="accent5" w:themeFillTint="33"/>
          </w:tcPr>
          <w:p w14:paraId="632B51F1" w14:textId="77777777" w:rsidR="00B47AE8" w:rsidRPr="00E359BF" w:rsidRDefault="00B47AE8">
            <w:pPr>
              <w:pStyle w:val="TableSubheadingCentered"/>
            </w:pPr>
          </w:p>
        </w:tc>
        <w:tc>
          <w:tcPr>
            <w:tcW w:w="874" w:type="dxa"/>
            <w:shd w:val="clear" w:color="auto" w:fill="D9E2F3" w:themeFill="accent5" w:themeFillTint="33"/>
          </w:tcPr>
          <w:p w14:paraId="0FF36F7C" w14:textId="77777777" w:rsidR="00B47AE8" w:rsidRPr="00E359BF" w:rsidRDefault="00B47AE8">
            <w:pPr>
              <w:pStyle w:val="TableSubheadingCentered"/>
            </w:pPr>
            <w:r w:rsidRPr="00E359BF">
              <w:t>1</w:t>
            </w:r>
          </w:p>
        </w:tc>
        <w:tc>
          <w:tcPr>
            <w:tcW w:w="874" w:type="dxa"/>
            <w:shd w:val="clear" w:color="auto" w:fill="D9E2F3" w:themeFill="accent5" w:themeFillTint="33"/>
          </w:tcPr>
          <w:p w14:paraId="09088EDD" w14:textId="77777777" w:rsidR="00B47AE8" w:rsidRPr="00E359BF" w:rsidRDefault="00B47AE8">
            <w:pPr>
              <w:pStyle w:val="TableSubheadingCentered"/>
            </w:pPr>
            <w:r w:rsidRPr="00E359BF">
              <w:t>2</w:t>
            </w:r>
          </w:p>
        </w:tc>
        <w:tc>
          <w:tcPr>
            <w:tcW w:w="874" w:type="dxa"/>
            <w:shd w:val="clear" w:color="auto" w:fill="D9E2F3" w:themeFill="accent5" w:themeFillTint="33"/>
          </w:tcPr>
          <w:p w14:paraId="285D6B36" w14:textId="77777777" w:rsidR="00B47AE8" w:rsidRPr="00E359BF" w:rsidRDefault="00B47AE8">
            <w:pPr>
              <w:pStyle w:val="TableSubheadingCentered"/>
            </w:pPr>
            <w:r w:rsidRPr="00E359BF">
              <w:t>3</w:t>
            </w:r>
          </w:p>
        </w:tc>
        <w:tc>
          <w:tcPr>
            <w:tcW w:w="875" w:type="dxa"/>
            <w:shd w:val="clear" w:color="auto" w:fill="D9E2F3" w:themeFill="accent5" w:themeFillTint="33"/>
          </w:tcPr>
          <w:p w14:paraId="22E6AF91" w14:textId="77777777" w:rsidR="00B47AE8" w:rsidRPr="00E359BF" w:rsidRDefault="00B47AE8">
            <w:pPr>
              <w:pStyle w:val="TableSubheadingCentered"/>
            </w:pPr>
            <w:r w:rsidRPr="00E359BF">
              <w:t>4</w:t>
            </w:r>
          </w:p>
        </w:tc>
        <w:tc>
          <w:tcPr>
            <w:tcW w:w="874" w:type="dxa"/>
            <w:shd w:val="clear" w:color="auto" w:fill="D9E2F3" w:themeFill="accent5" w:themeFillTint="33"/>
          </w:tcPr>
          <w:p w14:paraId="06EA02F4" w14:textId="77777777" w:rsidR="00B47AE8" w:rsidRPr="00E359BF" w:rsidRDefault="00B47AE8">
            <w:pPr>
              <w:pStyle w:val="TableSubheadingCentered"/>
            </w:pPr>
            <w:r w:rsidRPr="00E359BF">
              <w:t>5</w:t>
            </w:r>
          </w:p>
        </w:tc>
        <w:tc>
          <w:tcPr>
            <w:tcW w:w="874" w:type="dxa"/>
            <w:shd w:val="clear" w:color="auto" w:fill="D9E2F3" w:themeFill="accent5" w:themeFillTint="33"/>
          </w:tcPr>
          <w:p w14:paraId="5A8003BC" w14:textId="77777777" w:rsidR="00B47AE8" w:rsidRPr="00E359BF" w:rsidRDefault="00B47AE8">
            <w:pPr>
              <w:pStyle w:val="TableSubheadingCentered"/>
            </w:pPr>
            <w:r w:rsidRPr="00E359BF">
              <w:t>6</w:t>
            </w:r>
          </w:p>
        </w:tc>
        <w:tc>
          <w:tcPr>
            <w:tcW w:w="875" w:type="dxa"/>
            <w:shd w:val="clear" w:color="auto" w:fill="D9E2F3" w:themeFill="accent5" w:themeFillTint="33"/>
          </w:tcPr>
          <w:p w14:paraId="7C1C2CDE" w14:textId="77777777" w:rsidR="00B47AE8" w:rsidRPr="00E359BF" w:rsidRDefault="00B47AE8">
            <w:pPr>
              <w:pStyle w:val="TableSubheadingCentered"/>
            </w:pPr>
            <w:r w:rsidRPr="00E359BF">
              <w:t>7</w:t>
            </w:r>
          </w:p>
        </w:tc>
        <w:tc>
          <w:tcPr>
            <w:tcW w:w="900" w:type="dxa"/>
            <w:shd w:val="clear" w:color="auto" w:fill="D9E2F3" w:themeFill="accent5" w:themeFillTint="33"/>
          </w:tcPr>
          <w:p w14:paraId="5FF23E3A" w14:textId="77777777" w:rsidR="00B47AE8" w:rsidRPr="00E359BF" w:rsidRDefault="00B47AE8">
            <w:pPr>
              <w:pStyle w:val="TableSubheadingCentered"/>
            </w:pPr>
            <w:r>
              <w:t>98</w:t>
            </w:r>
          </w:p>
        </w:tc>
        <w:tc>
          <w:tcPr>
            <w:tcW w:w="892" w:type="dxa"/>
            <w:shd w:val="clear" w:color="auto" w:fill="D9E2F3" w:themeFill="accent5" w:themeFillTint="33"/>
          </w:tcPr>
          <w:p w14:paraId="6B4A2164" w14:textId="77777777" w:rsidR="00B47AE8" w:rsidRPr="00E359BF" w:rsidRDefault="00B47AE8">
            <w:pPr>
              <w:pStyle w:val="TableSubheadingCentered"/>
            </w:pPr>
            <w:r>
              <w:t>6.9</w:t>
            </w:r>
          </w:p>
        </w:tc>
      </w:tr>
      <w:tr w:rsidR="00B47AE8" w:rsidRPr="00E359BF" w14:paraId="3CF1A427" w14:textId="77777777" w:rsidTr="00B47AE8">
        <w:trPr>
          <w:jc w:val="center"/>
        </w:trPr>
        <w:tc>
          <w:tcPr>
            <w:tcW w:w="1432" w:type="dxa"/>
          </w:tcPr>
          <w:p w14:paraId="30D1D8EA" w14:textId="77777777" w:rsidR="00B47AE8" w:rsidRPr="00E359BF" w:rsidRDefault="00B47AE8">
            <w:pPr>
              <w:pStyle w:val="TableText"/>
            </w:pPr>
            <w:r>
              <w:t>Grades K-5</w:t>
            </w:r>
          </w:p>
        </w:tc>
        <w:tc>
          <w:tcPr>
            <w:tcW w:w="874" w:type="dxa"/>
          </w:tcPr>
          <w:p w14:paraId="7D7B447F" w14:textId="77777777" w:rsidR="00B47AE8" w:rsidRPr="00E359BF" w:rsidRDefault="00B47AE8">
            <w:pPr>
              <w:pStyle w:val="TableTextCentered"/>
              <w:rPr>
                <w:rFonts w:eastAsia="Times New Roman"/>
              </w:rPr>
            </w:pPr>
            <w:r>
              <w:rPr>
                <w:rFonts w:eastAsia="Times New Roman"/>
              </w:rPr>
              <w:t>0</w:t>
            </w:r>
          </w:p>
        </w:tc>
        <w:tc>
          <w:tcPr>
            <w:tcW w:w="874" w:type="dxa"/>
          </w:tcPr>
          <w:p w14:paraId="7CFFC4E1" w14:textId="77777777" w:rsidR="00B47AE8" w:rsidRPr="00E359BF" w:rsidRDefault="00B47AE8">
            <w:pPr>
              <w:pStyle w:val="TableTextCentered"/>
              <w:rPr>
                <w:rFonts w:eastAsia="Times New Roman"/>
              </w:rPr>
            </w:pPr>
            <w:r>
              <w:rPr>
                <w:rFonts w:eastAsia="Times New Roman"/>
              </w:rPr>
              <w:t>0</w:t>
            </w:r>
          </w:p>
        </w:tc>
        <w:tc>
          <w:tcPr>
            <w:tcW w:w="874" w:type="dxa"/>
          </w:tcPr>
          <w:p w14:paraId="7B30D89B" w14:textId="77777777" w:rsidR="00B47AE8" w:rsidRPr="00E359BF" w:rsidRDefault="00B47AE8">
            <w:pPr>
              <w:pStyle w:val="TableTextCentered"/>
              <w:rPr>
                <w:rFonts w:eastAsia="Times New Roman"/>
              </w:rPr>
            </w:pPr>
            <w:r>
              <w:rPr>
                <w:rFonts w:eastAsia="Times New Roman"/>
              </w:rPr>
              <w:t>0</w:t>
            </w:r>
          </w:p>
        </w:tc>
        <w:tc>
          <w:tcPr>
            <w:tcW w:w="875" w:type="dxa"/>
          </w:tcPr>
          <w:p w14:paraId="1BF2AFAB" w14:textId="77777777" w:rsidR="00B47AE8" w:rsidRPr="00E359BF" w:rsidRDefault="00B47AE8">
            <w:pPr>
              <w:pStyle w:val="TableTextCentered"/>
              <w:rPr>
                <w:rFonts w:eastAsia="Times New Roman"/>
              </w:rPr>
            </w:pPr>
            <w:r>
              <w:rPr>
                <w:rFonts w:eastAsia="Times New Roman"/>
              </w:rPr>
              <w:t>0</w:t>
            </w:r>
          </w:p>
        </w:tc>
        <w:tc>
          <w:tcPr>
            <w:tcW w:w="874" w:type="dxa"/>
          </w:tcPr>
          <w:p w14:paraId="4849E240" w14:textId="77777777" w:rsidR="00B47AE8" w:rsidRPr="00E359BF" w:rsidRDefault="00B47AE8">
            <w:pPr>
              <w:pStyle w:val="TableTextCentered"/>
              <w:rPr>
                <w:rFonts w:eastAsia="Times New Roman"/>
              </w:rPr>
            </w:pPr>
            <w:r>
              <w:rPr>
                <w:rFonts w:eastAsia="Times New Roman"/>
              </w:rPr>
              <w:t>0</w:t>
            </w:r>
          </w:p>
        </w:tc>
        <w:tc>
          <w:tcPr>
            <w:tcW w:w="874" w:type="dxa"/>
          </w:tcPr>
          <w:p w14:paraId="557994C1" w14:textId="77777777" w:rsidR="00B47AE8" w:rsidRPr="00E359BF" w:rsidRDefault="00B47AE8">
            <w:pPr>
              <w:pStyle w:val="TableTextCentered"/>
              <w:rPr>
                <w:rFonts w:eastAsia="Times New Roman"/>
              </w:rPr>
            </w:pPr>
            <w:r>
              <w:rPr>
                <w:rFonts w:eastAsia="Times New Roman"/>
              </w:rPr>
              <w:t>2</w:t>
            </w:r>
          </w:p>
        </w:tc>
        <w:tc>
          <w:tcPr>
            <w:tcW w:w="875" w:type="dxa"/>
          </w:tcPr>
          <w:p w14:paraId="344C9258" w14:textId="77777777" w:rsidR="00B47AE8" w:rsidRPr="00E359BF" w:rsidRDefault="00B47AE8">
            <w:pPr>
              <w:pStyle w:val="TableTextCentered"/>
              <w:rPr>
                <w:rFonts w:eastAsia="Times New Roman"/>
              </w:rPr>
            </w:pPr>
            <w:r>
              <w:rPr>
                <w:rFonts w:eastAsia="Times New Roman"/>
              </w:rPr>
              <w:t>41</w:t>
            </w:r>
          </w:p>
        </w:tc>
        <w:tc>
          <w:tcPr>
            <w:tcW w:w="900" w:type="dxa"/>
          </w:tcPr>
          <w:p w14:paraId="789718D3" w14:textId="77777777" w:rsidR="00B47AE8" w:rsidRPr="00E359BF" w:rsidRDefault="00B47AE8">
            <w:pPr>
              <w:pStyle w:val="TableTextCentered"/>
              <w:rPr>
                <w:rFonts w:eastAsia="Times New Roman"/>
              </w:rPr>
            </w:pPr>
            <w:r>
              <w:rPr>
                <w:rFonts w:eastAsia="Times New Roman"/>
              </w:rPr>
              <w:t>43</w:t>
            </w:r>
          </w:p>
        </w:tc>
        <w:tc>
          <w:tcPr>
            <w:tcW w:w="892" w:type="dxa"/>
          </w:tcPr>
          <w:p w14:paraId="57A05535" w14:textId="77777777" w:rsidR="00B47AE8" w:rsidRPr="00E359BF" w:rsidRDefault="00B47AE8">
            <w:pPr>
              <w:pStyle w:val="TableTextCentered"/>
              <w:rPr>
                <w:rFonts w:eastAsia="Times New Roman"/>
              </w:rPr>
            </w:pPr>
            <w:r>
              <w:rPr>
                <w:rFonts w:eastAsia="Times New Roman"/>
              </w:rPr>
              <w:t>7.0</w:t>
            </w:r>
          </w:p>
        </w:tc>
      </w:tr>
      <w:tr w:rsidR="00B47AE8" w:rsidRPr="00E359BF" w14:paraId="63738F57" w14:textId="77777777" w:rsidTr="00B47AE8">
        <w:trPr>
          <w:jc w:val="center"/>
        </w:trPr>
        <w:tc>
          <w:tcPr>
            <w:tcW w:w="1432" w:type="dxa"/>
          </w:tcPr>
          <w:p w14:paraId="1D33341A" w14:textId="77777777" w:rsidR="00B47AE8" w:rsidRPr="00E359BF" w:rsidRDefault="00B47AE8">
            <w:pPr>
              <w:pStyle w:val="TableText"/>
            </w:pPr>
            <w:r>
              <w:t>Grades 6-8</w:t>
            </w:r>
          </w:p>
        </w:tc>
        <w:tc>
          <w:tcPr>
            <w:tcW w:w="874" w:type="dxa"/>
          </w:tcPr>
          <w:p w14:paraId="50628B4E" w14:textId="77777777" w:rsidR="00B47AE8" w:rsidRPr="00E359BF" w:rsidRDefault="00B47AE8">
            <w:pPr>
              <w:pStyle w:val="TableTextCentered"/>
              <w:rPr>
                <w:rFonts w:eastAsia="Times New Roman"/>
              </w:rPr>
            </w:pPr>
            <w:r>
              <w:rPr>
                <w:rFonts w:eastAsia="Times New Roman"/>
              </w:rPr>
              <w:t>0</w:t>
            </w:r>
          </w:p>
        </w:tc>
        <w:tc>
          <w:tcPr>
            <w:tcW w:w="874" w:type="dxa"/>
          </w:tcPr>
          <w:p w14:paraId="6F872293" w14:textId="77777777" w:rsidR="00B47AE8" w:rsidRPr="00E359BF" w:rsidRDefault="00B47AE8">
            <w:pPr>
              <w:pStyle w:val="TableTextCentered"/>
              <w:rPr>
                <w:rFonts w:eastAsia="Times New Roman"/>
              </w:rPr>
            </w:pPr>
            <w:r>
              <w:rPr>
                <w:rFonts w:eastAsia="Times New Roman"/>
              </w:rPr>
              <w:t>0</w:t>
            </w:r>
          </w:p>
        </w:tc>
        <w:tc>
          <w:tcPr>
            <w:tcW w:w="874" w:type="dxa"/>
          </w:tcPr>
          <w:p w14:paraId="2E46492E" w14:textId="77777777" w:rsidR="00B47AE8" w:rsidRPr="00E359BF" w:rsidRDefault="00B47AE8">
            <w:pPr>
              <w:pStyle w:val="TableTextCentered"/>
              <w:rPr>
                <w:rFonts w:eastAsia="Times New Roman"/>
              </w:rPr>
            </w:pPr>
            <w:r>
              <w:rPr>
                <w:rFonts w:eastAsia="Times New Roman"/>
              </w:rPr>
              <w:t>0</w:t>
            </w:r>
          </w:p>
        </w:tc>
        <w:tc>
          <w:tcPr>
            <w:tcW w:w="875" w:type="dxa"/>
          </w:tcPr>
          <w:p w14:paraId="59723337" w14:textId="77777777" w:rsidR="00B47AE8" w:rsidRPr="00E359BF" w:rsidRDefault="00B47AE8">
            <w:pPr>
              <w:pStyle w:val="TableTextCentered"/>
              <w:rPr>
                <w:rFonts w:eastAsia="Times New Roman"/>
              </w:rPr>
            </w:pPr>
            <w:r>
              <w:rPr>
                <w:rFonts w:eastAsia="Times New Roman"/>
              </w:rPr>
              <w:t>0</w:t>
            </w:r>
          </w:p>
        </w:tc>
        <w:tc>
          <w:tcPr>
            <w:tcW w:w="874" w:type="dxa"/>
          </w:tcPr>
          <w:p w14:paraId="0D23A617" w14:textId="77777777" w:rsidR="00B47AE8" w:rsidRPr="00E359BF" w:rsidRDefault="00B47AE8">
            <w:pPr>
              <w:pStyle w:val="TableTextCentered"/>
              <w:rPr>
                <w:rFonts w:eastAsia="Times New Roman"/>
              </w:rPr>
            </w:pPr>
            <w:r>
              <w:rPr>
                <w:rFonts w:eastAsia="Times New Roman"/>
              </w:rPr>
              <w:t>0</w:t>
            </w:r>
          </w:p>
        </w:tc>
        <w:tc>
          <w:tcPr>
            <w:tcW w:w="874" w:type="dxa"/>
          </w:tcPr>
          <w:p w14:paraId="2BA7836B" w14:textId="77777777" w:rsidR="00B47AE8" w:rsidRPr="00E359BF" w:rsidRDefault="00B47AE8">
            <w:pPr>
              <w:pStyle w:val="TableTextCentered"/>
              <w:rPr>
                <w:rFonts w:eastAsia="Times New Roman"/>
              </w:rPr>
            </w:pPr>
            <w:r>
              <w:rPr>
                <w:rFonts w:eastAsia="Times New Roman"/>
              </w:rPr>
              <w:t>2</w:t>
            </w:r>
          </w:p>
        </w:tc>
        <w:tc>
          <w:tcPr>
            <w:tcW w:w="875" w:type="dxa"/>
          </w:tcPr>
          <w:p w14:paraId="54696926" w14:textId="77777777" w:rsidR="00B47AE8" w:rsidRPr="00E359BF" w:rsidRDefault="00B47AE8">
            <w:pPr>
              <w:pStyle w:val="TableTextCentered"/>
              <w:rPr>
                <w:rFonts w:eastAsia="Times New Roman"/>
              </w:rPr>
            </w:pPr>
            <w:r>
              <w:rPr>
                <w:rFonts w:eastAsia="Times New Roman"/>
              </w:rPr>
              <w:t>21</w:t>
            </w:r>
          </w:p>
        </w:tc>
        <w:tc>
          <w:tcPr>
            <w:tcW w:w="900" w:type="dxa"/>
          </w:tcPr>
          <w:p w14:paraId="6AF3C95E" w14:textId="77777777" w:rsidR="00B47AE8" w:rsidRPr="00E359BF" w:rsidRDefault="00B47AE8">
            <w:pPr>
              <w:pStyle w:val="TableTextCentered"/>
              <w:rPr>
                <w:rFonts w:eastAsia="Times New Roman"/>
              </w:rPr>
            </w:pPr>
            <w:r>
              <w:rPr>
                <w:rFonts w:eastAsia="Times New Roman"/>
              </w:rPr>
              <w:t>23</w:t>
            </w:r>
          </w:p>
        </w:tc>
        <w:tc>
          <w:tcPr>
            <w:tcW w:w="892" w:type="dxa"/>
          </w:tcPr>
          <w:p w14:paraId="258110F0" w14:textId="77777777" w:rsidR="00B47AE8" w:rsidRPr="00E359BF" w:rsidRDefault="00B47AE8">
            <w:pPr>
              <w:pStyle w:val="TableTextCentered"/>
              <w:rPr>
                <w:rFonts w:eastAsia="Times New Roman"/>
              </w:rPr>
            </w:pPr>
            <w:r>
              <w:rPr>
                <w:rFonts w:eastAsia="Times New Roman"/>
              </w:rPr>
              <w:t>6.9</w:t>
            </w:r>
          </w:p>
        </w:tc>
      </w:tr>
      <w:tr w:rsidR="00B47AE8" w:rsidRPr="00E359BF" w14:paraId="5EB0377C" w14:textId="77777777" w:rsidTr="00B47AE8">
        <w:trPr>
          <w:jc w:val="center"/>
        </w:trPr>
        <w:tc>
          <w:tcPr>
            <w:tcW w:w="1432" w:type="dxa"/>
          </w:tcPr>
          <w:p w14:paraId="634EF9BC" w14:textId="77777777" w:rsidR="00B47AE8" w:rsidRPr="00E359BF" w:rsidRDefault="00B47AE8">
            <w:pPr>
              <w:pStyle w:val="TableText"/>
            </w:pPr>
            <w:r>
              <w:t>Grades 9-12</w:t>
            </w:r>
          </w:p>
        </w:tc>
        <w:tc>
          <w:tcPr>
            <w:tcW w:w="874" w:type="dxa"/>
          </w:tcPr>
          <w:p w14:paraId="67CF882C" w14:textId="77777777" w:rsidR="00B47AE8" w:rsidRPr="00E359BF" w:rsidRDefault="00B47AE8">
            <w:pPr>
              <w:pStyle w:val="TableTextCentered"/>
              <w:rPr>
                <w:rFonts w:eastAsia="Times New Roman"/>
              </w:rPr>
            </w:pPr>
            <w:r>
              <w:rPr>
                <w:rFonts w:eastAsia="Times New Roman"/>
              </w:rPr>
              <w:t>0</w:t>
            </w:r>
          </w:p>
        </w:tc>
        <w:tc>
          <w:tcPr>
            <w:tcW w:w="874" w:type="dxa"/>
          </w:tcPr>
          <w:p w14:paraId="1FA7E8E3" w14:textId="77777777" w:rsidR="00B47AE8" w:rsidRPr="00E359BF" w:rsidRDefault="00B47AE8">
            <w:pPr>
              <w:pStyle w:val="TableTextCentered"/>
              <w:rPr>
                <w:rFonts w:eastAsia="Times New Roman"/>
              </w:rPr>
            </w:pPr>
            <w:r>
              <w:rPr>
                <w:rFonts w:eastAsia="Times New Roman"/>
              </w:rPr>
              <w:t>0</w:t>
            </w:r>
          </w:p>
        </w:tc>
        <w:tc>
          <w:tcPr>
            <w:tcW w:w="874" w:type="dxa"/>
          </w:tcPr>
          <w:p w14:paraId="079E0B55" w14:textId="77777777" w:rsidR="00B47AE8" w:rsidRPr="00E359BF" w:rsidRDefault="00B47AE8">
            <w:pPr>
              <w:pStyle w:val="TableTextCentered"/>
              <w:rPr>
                <w:rFonts w:eastAsia="Times New Roman"/>
              </w:rPr>
            </w:pPr>
            <w:r>
              <w:rPr>
                <w:rFonts w:eastAsia="Times New Roman"/>
              </w:rPr>
              <w:t>0</w:t>
            </w:r>
          </w:p>
        </w:tc>
        <w:tc>
          <w:tcPr>
            <w:tcW w:w="875" w:type="dxa"/>
          </w:tcPr>
          <w:p w14:paraId="55257E90" w14:textId="77777777" w:rsidR="00B47AE8" w:rsidRPr="00E359BF" w:rsidRDefault="00B47AE8">
            <w:pPr>
              <w:pStyle w:val="TableTextCentered"/>
              <w:rPr>
                <w:rFonts w:eastAsia="Times New Roman"/>
              </w:rPr>
            </w:pPr>
            <w:r>
              <w:rPr>
                <w:rFonts w:eastAsia="Times New Roman"/>
              </w:rPr>
              <w:t>0</w:t>
            </w:r>
          </w:p>
        </w:tc>
        <w:tc>
          <w:tcPr>
            <w:tcW w:w="874" w:type="dxa"/>
          </w:tcPr>
          <w:p w14:paraId="1A754D7B" w14:textId="77777777" w:rsidR="00B47AE8" w:rsidRPr="00E359BF" w:rsidRDefault="00B47AE8">
            <w:pPr>
              <w:pStyle w:val="TableTextCentered"/>
              <w:rPr>
                <w:rFonts w:eastAsia="Times New Roman"/>
              </w:rPr>
            </w:pPr>
            <w:r>
              <w:rPr>
                <w:rFonts w:eastAsia="Times New Roman"/>
              </w:rPr>
              <w:t>0</w:t>
            </w:r>
          </w:p>
        </w:tc>
        <w:tc>
          <w:tcPr>
            <w:tcW w:w="874" w:type="dxa"/>
          </w:tcPr>
          <w:p w14:paraId="212A2221" w14:textId="77777777" w:rsidR="00B47AE8" w:rsidRPr="00E359BF" w:rsidRDefault="00B47AE8">
            <w:pPr>
              <w:pStyle w:val="TableTextCentered"/>
              <w:rPr>
                <w:rFonts w:eastAsia="Times New Roman"/>
              </w:rPr>
            </w:pPr>
            <w:r>
              <w:rPr>
                <w:rFonts w:eastAsia="Times New Roman"/>
              </w:rPr>
              <w:t>1</w:t>
            </w:r>
          </w:p>
        </w:tc>
        <w:tc>
          <w:tcPr>
            <w:tcW w:w="875" w:type="dxa"/>
          </w:tcPr>
          <w:p w14:paraId="686C1989" w14:textId="77777777" w:rsidR="00B47AE8" w:rsidRPr="00E359BF" w:rsidRDefault="00B47AE8">
            <w:pPr>
              <w:pStyle w:val="TableTextCentered"/>
              <w:rPr>
                <w:rFonts w:eastAsia="Times New Roman"/>
              </w:rPr>
            </w:pPr>
            <w:r>
              <w:rPr>
                <w:rFonts w:eastAsia="Times New Roman"/>
              </w:rPr>
              <w:t>31</w:t>
            </w:r>
          </w:p>
        </w:tc>
        <w:tc>
          <w:tcPr>
            <w:tcW w:w="900" w:type="dxa"/>
          </w:tcPr>
          <w:p w14:paraId="161C9CE6" w14:textId="77777777" w:rsidR="00B47AE8" w:rsidRPr="00E359BF" w:rsidRDefault="00B47AE8">
            <w:pPr>
              <w:pStyle w:val="TableTextCentered"/>
              <w:rPr>
                <w:rFonts w:eastAsia="Times New Roman"/>
              </w:rPr>
            </w:pPr>
            <w:r>
              <w:rPr>
                <w:rFonts w:eastAsia="Times New Roman"/>
              </w:rPr>
              <w:t>32</w:t>
            </w:r>
          </w:p>
        </w:tc>
        <w:tc>
          <w:tcPr>
            <w:tcW w:w="892" w:type="dxa"/>
          </w:tcPr>
          <w:p w14:paraId="62BBEE42" w14:textId="77777777" w:rsidR="00B47AE8" w:rsidRPr="00E359BF" w:rsidRDefault="00B47AE8">
            <w:pPr>
              <w:pStyle w:val="TableTextCentered"/>
              <w:rPr>
                <w:rFonts w:eastAsia="Times New Roman"/>
              </w:rPr>
            </w:pPr>
            <w:r>
              <w:rPr>
                <w:rFonts w:eastAsia="Times New Roman"/>
              </w:rPr>
              <w:t>7.0</w:t>
            </w:r>
          </w:p>
        </w:tc>
      </w:tr>
    </w:tbl>
    <w:bookmarkEnd w:id="102"/>
    <w:p w14:paraId="294D8443" w14:textId="77777777" w:rsidR="00B47AE8" w:rsidRPr="00BC09E0" w:rsidRDefault="00B47AE8">
      <w:pPr>
        <w:pStyle w:val="TableNote"/>
      </w:pPr>
      <w:r w:rsidRPr="00A96DD7">
        <w:t xml:space="preserve">*The district average is an average of the observation scores. In Table 6, the district average is computed as: </w:t>
      </w:r>
      <w:r w:rsidRPr="00A96DD7">
        <w:br/>
      </w:r>
      <w:bookmarkStart w:id="103" w:name="Dist_NC_Calc"/>
      <w:r>
        <w:t>([6 x 5] + [7 x 93]) ÷ 98 observations = 6.9</w:t>
      </w:r>
      <w:bookmarkEnd w:id="103"/>
    </w:p>
    <w:p w14:paraId="1DD7CD9E" w14:textId="77777777" w:rsidR="00B47AE8" w:rsidRPr="00BC09E0" w:rsidRDefault="00B47AE8">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7AF7E09D" w14:textId="77777777" w:rsidR="00B47AE8" w:rsidRPr="00BC09E0" w:rsidRDefault="00B47AE8">
      <w:pPr>
        <w:pStyle w:val="BodyText"/>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1270EC69" w14:textId="77777777" w:rsidR="00B47AE8" w:rsidRPr="00BC09E0" w:rsidRDefault="00B47AE8">
      <w:pPr>
        <w:pStyle w:val="BodyText"/>
        <w:rPr>
          <w:rFonts w:eastAsiaTheme="majorEastAsia"/>
        </w:rPr>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112A37E9" w14:textId="77777777" w:rsidR="00B47AE8" w:rsidRDefault="00B47AE8">
      <w:pPr>
        <w:spacing w:after="160" w:line="259" w:lineRule="auto"/>
      </w:pPr>
      <w:r>
        <w:br w:type="page"/>
      </w:r>
    </w:p>
    <w:p w14:paraId="1BAFAF3A" w14:textId="77777777" w:rsidR="00B47AE8" w:rsidRPr="00BC09E0" w:rsidRDefault="00B47AE8">
      <w:pPr>
        <w:pStyle w:val="Heading2-SIOR"/>
      </w:pPr>
      <w:bookmarkStart w:id="104" w:name="_Toc430114879"/>
      <w:bookmarkStart w:id="105" w:name="_Toc92194258"/>
      <w:r w:rsidRPr="00BC09E0">
        <w:lastRenderedPageBreak/>
        <w:t>Behavior Management</w:t>
      </w:r>
      <w:bookmarkEnd w:id="104"/>
      <w:bookmarkEnd w:id="105"/>
    </w:p>
    <w:p w14:paraId="3DE205C8" w14:textId="77777777" w:rsidR="00B47AE8" w:rsidRPr="00BC09E0" w:rsidRDefault="00B47AE8">
      <w:pPr>
        <w:pStyle w:val="BodyTextDomain"/>
      </w:pPr>
      <w:r w:rsidRPr="00BC09E0">
        <w:t xml:space="preserve">Classroom Organization domain, </w:t>
      </w:r>
      <w:r>
        <w:t>G</w:t>
      </w:r>
      <w:r w:rsidRPr="00BC09E0">
        <w:t xml:space="preserve">rades </w:t>
      </w:r>
      <w:r>
        <w:t>K</w:t>
      </w:r>
      <w:r w:rsidRPr="00BC09E0">
        <w:t>−</w:t>
      </w:r>
      <w:r>
        <w:t>12</w:t>
      </w:r>
    </w:p>
    <w:p w14:paraId="2304AEF6" w14:textId="77777777" w:rsidR="00B47AE8" w:rsidRPr="00BC09E0" w:rsidRDefault="00B47AE8">
      <w:pPr>
        <w:pStyle w:val="BodyText"/>
      </w:pPr>
      <w:r w:rsidRPr="00BC09E0">
        <w:t>Behavior Management refers to the teacher’s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05B8DD07" w14:textId="77777777" w:rsidR="00B47AE8" w:rsidRPr="00BC09E0" w:rsidRDefault="00B47AE8">
      <w:pPr>
        <w:pStyle w:val="TableTitle0"/>
      </w:pPr>
      <w:r w:rsidRPr="00BC09E0">
        <w:t xml:space="preserve">Table 7. Behavior Management: Number of Classrooms for Each Rating </w:t>
      </w:r>
      <w:r w:rsidRPr="00A96DD7">
        <w:t>and District Average</w:t>
      </w:r>
    </w:p>
    <w:p w14:paraId="2003F7DD" w14:textId="77777777" w:rsidR="00B47AE8" w:rsidRDefault="00B47AE8">
      <w:pPr>
        <w:pStyle w:val="BodyTextDemi"/>
      </w:pPr>
      <w:r w:rsidRPr="00A96DD7">
        <w:t xml:space="preserve">Behavior Management District Average*: </w:t>
      </w:r>
      <w:bookmarkStart w:id="106" w:name="Dist_BM_Avg"/>
      <w:r>
        <w:t>6.6</w:t>
      </w:r>
      <w:bookmarkEnd w:id="10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6387C66C"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348941A" w14:textId="77777777" w:rsidR="00B47AE8" w:rsidRPr="00E359BF" w:rsidRDefault="00B47AE8">
            <w:pPr>
              <w:pStyle w:val="TableColHeadingCenter"/>
              <w:rPr>
                <w:rFonts w:eastAsia="MS Mincho"/>
              </w:rPr>
            </w:pPr>
            <w:bookmarkStart w:id="107" w:name="Tbl_BM"/>
            <w:r>
              <w:rPr>
                <w:rFonts w:eastAsia="MS Mincho"/>
              </w:rPr>
              <w:t>Grade Band</w:t>
            </w:r>
          </w:p>
        </w:tc>
        <w:tc>
          <w:tcPr>
            <w:tcW w:w="1748" w:type="dxa"/>
            <w:gridSpan w:val="2"/>
          </w:tcPr>
          <w:p w14:paraId="226699D7"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55289243"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10800748"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1AA42110" w14:textId="77777777" w:rsidR="00B47AE8" w:rsidRPr="00E359BF" w:rsidRDefault="00B47AE8">
            <w:pPr>
              <w:pStyle w:val="TableColHeadingCenter"/>
              <w:rPr>
                <w:rFonts w:eastAsia="MS Mincho"/>
              </w:rPr>
            </w:pPr>
            <w:r>
              <w:rPr>
                <w:rFonts w:eastAsia="MS Mincho"/>
              </w:rPr>
              <w:t>n</w:t>
            </w:r>
          </w:p>
        </w:tc>
        <w:tc>
          <w:tcPr>
            <w:tcW w:w="892" w:type="dxa"/>
          </w:tcPr>
          <w:p w14:paraId="2595165D" w14:textId="77777777" w:rsidR="00B47AE8" w:rsidRPr="00E359BF" w:rsidRDefault="00B47AE8">
            <w:pPr>
              <w:pStyle w:val="TableColHeadingCenter"/>
              <w:rPr>
                <w:rFonts w:eastAsia="MS Mincho"/>
              </w:rPr>
            </w:pPr>
            <w:r>
              <w:rPr>
                <w:rFonts w:eastAsia="MS Mincho"/>
              </w:rPr>
              <w:t>Average</w:t>
            </w:r>
          </w:p>
        </w:tc>
      </w:tr>
      <w:tr w:rsidR="00B47AE8" w:rsidRPr="00E359BF" w14:paraId="5E770CEF" w14:textId="77777777" w:rsidTr="00B47AE8">
        <w:trPr>
          <w:jc w:val="center"/>
        </w:trPr>
        <w:tc>
          <w:tcPr>
            <w:tcW w:w="1432" w:type="dxa"/>
            <w:shd w:val="clear" w:color="auto" w:fill="D9E2F3" w:themeFill="accent5" w:themeFillTint="33"/>
          </w:tcPr>
          <w:p w14:paraId="6AD418DD" w14:textId="77777777" w:rsidR="00B47AE8" w:rsidRPr="00E359BF" w:rsidRDefault="00B47AE8">
            <w:pPr>
              <w:pStyle w:val="TableSubheadingCentered"/>
            </w:pPr>
          </w:p>
        </w:tc>
        <w:tc>
          <w:tcPr>
            <w:tcW w:w="874" w:type="dxa"/>
            <w:shd w:val="clear" w:color="auto" w:fill="D9E2F3" w:themeFill="accent5" w:themeFillTint="33"/>
          </w:tcPr>
          <w:p w14:paraId="65CACB3F" w14:textId="77777777" w:rsidR="00B47AE8" w:rsidRPr="00E359BF" w:rsidRDefault="00B47AE8">
            <w:pPr>
              <w:pStyle w:val="TableSubheadingCentered"/>
            </w:pPr>
            <w:r w:rsidRPr="00E359BF">
              <w:t>1</w:t>
            </w:r>
          </w:p>
        </w:tc>
        <w:tc>
          <w:tcPr>
            <w:tcW w:w="874" w:type="dxa"/>
            <w:shd w:val="clear" w:color="auto" w:fill="D9E2F3" w:themeFill="accent5" w:themeFillTint="33"/>
          </w:tcPr>
          <w:p w14:paraId="2FE41E8F" w14:textId="77777777" w:rsidR="00B47AE8" w:rsidRPr="00E359BF" w:rsidRDefault="00B47AE8">
            <w:pPr>
              <w:pStyle w:val="TableSubheadingCentered"/>
            </w:pPr>
            <w:r w:rsidRPr="00E359BF">
              <w:t>2</w:t>
            </w:r>
          </w:p>
        </w:tc>
        <w:tc>
          <w:tcPr>
            <w:tcW w:w="874" w:type="dxa"/>
            <w:shd w:val="clear" w:color="auto" w:fill="D9E2F3" w:themeFill="accent5" w:themeFillTint="33"/>
          </w:tcPr>
          <w:p w14:paraId="5D75124A" w14:textId="77777777" w:rsidR="00B47AE8" w:rsidRPr="00E359BF" w:rsidRDefault="00B47AE8">
            <w:pPr>
              <w:pStyle w:val="TableSubheadingCentered"/>
            </w:pPr>
            <w:r w:rsidRPr="00E359BF">
              <w:t>3</w:t>
            </w:r>
          </w:p>
        </w:tc>
        <w:tc>
          <w:tcPr>
            <w:tcW w:w="875" w:type="dxa"/>
            <w:shd w:val="clear" w:color="auto" w:fill="D9E2F3" w:themeFill="accent5" w:themeFillTint="33"/>
          </w:tcPr>
          <w:p w14:paraId="6F4B7F84" w14:textId="77777777" w:rsidR="00B47AE8" w:rsidRPr="00E359BF" w:rsidRDefault="00B47AE8">
            <w:pPr>
              <w:pStyle w:val="TableSubheadingCentered"/>
            </w:pPr>
            <w:r w:rsidRPr="00E359BF">
              <w:t>4</w:t>
            </w:r>
          </w:p>
        </w:tc>
        <w:tc>
          <w:tcPr>
            <w:tcW w:w="874" w:type="dxa"/>
            <w:shd w:val="clear" w:color="auto" w:fill="D9E2F3" w:themeFill="accent5" w:themeFillTint="33"/>
          </w:tcPr>
          <w:p w14:paraId="3E67D49A" w14:textId="77777777" w:rsidR="00B47AE8" w:rsidRPr="00E359BF" w:rsidRDefault="00B47AE8">
            <w:pPr>
              <w:pStyle w:val="TableSubheadingCentered"/>
            </w:pPr>
            <w:r w:rsidRPr="00E359BF">
              <w:t>5</w:t>
            </w:r>
          </w:p>
        </w:tc>
        <w:tc>
          <w:tcPr>
            <w:tcW w:w="874" w:type="dxa"/>
            <w:shd w:val="clear" w:color="auto" w:fill="D9E2F3" w:themeFill="accent5" w:themeFillTint="33"/>
          </w:tcPr>
          <w:p w14:paraId="3053F648" w14:textId="77777777" w:rsidR="00B47AE8" w:rsidRPr="00E359BF" w:rsidRDefault="00B47AE8">
            <w:pPr>
              <w:pStyle w:val="TableSubheadingCentered"/>
            </w:pPr>
            <w:r w:rsidRPr="00E359BF">
              <w:t>6</w:t>
            </w:r>
          </w:p>
        </w:tc>
        <w:tc>
          <w:tcPr>
            <w:tcW w:w="875" w:type="dxa"/>
            <w:shd w:val="clear" w:color="auto" w:fill="D9E2F3" w:themeFill="accent5" w:themeFillTint="33"/>
          </w:tcPr>
          <w:p w14:paraId="201BF5EF" w14:textId="77777777" w:rsidR="00B47AE8" w:rsidRPr="00E359BF" w:rsidRDefault="00B47AE8">
            <w:pPr>
              <w:pStyle w:val="TableSubheadingCentered"/>
            </w:pPr>
            <w:r w:rsidRPr="00E359BF">
              <w:t>7</w:t>
            </w:r>
          </w:p>
        </w:tc>
        <w:tc>
          <w:tcPr>
            <w:tcW w:w="900" w:type="dxa"/>
            <w:shd w:val="clear" w:color="auto" w:fill="D9E2F3" w:themeFill="accent5" w:themeFillTint="33"/>
          </w:tcPr>
          <w:p w14:paraId="6BB69A21" w14:textId="77777777" w:rsidR="00B47AE8" w:rsidRPr="00E359BF" w:rsidRDefault="00B47AE8">
            <w:pPr>
              <w:pStyle w:val="TableSubheadingCentered"/>
            </w:pPr>
            <w:r>
              <w:t>98</w:t>
            </w:r>
          </w:p>
        </w:tc>
        <w:tc>
          <w:tcPr>
            <w:tcW w:w="892" w:type="dxa"/>
            <w:shd w:val="clear" w:color="auto" w:fill="D9E2F3" w:themeFill="accent5" w:themeFillTint="33"/>
          </w:tcPr>
          <w:p w14:paraId="5743C8B1" w14:textId="77777777" w:rsidR="00B47AE8" w:rsidRPr="00E359BF" w:rsidRDefault="00B47AE8">
            <w:pPr>
              <w:pStyle w:val="TableSubheadingCentered"/>
            </w:pPr>
            <w:r>
              <w:t>6.6</w:t>
            </w:r>
          </w:p>
        </w:tc>
      </w:tr>
      <w:tr w:rsidR="00B47AE8" w:rsidRPr="00E359BF" w14:paraId="3CCFB008" w14:textId="77777777" w:rsidTr="00B47AE8">
        <w:trPr>
          <w:jc w:val="center"/>
        </w:trPr>
        <w:tc>
          <w:tcPr>
            <w:tcW w:w="1432" w:type="dxa"/>
          </w:tcPr>
          <w:p w14:paraId="1838167A" w14:textId="77777777" w:rsidR="00B47AE8" w:rsidRPr="00E359BF" w:rsidRDefault="00B47AE8">
            <w:pPr>
              <w:pStyle w:val="TableText"/>
            </w:pPr>
            <w:r>
              <w:t>Grades K-5</w:t>
            </w:r>
          </w:p>
        </w:tc>
        <w:tc>
          <w:tcPr>
            <w:tcW w:w="874" w:type="dxa"/>
          </w:tcPr>
          <w:p w14:paraId="3AC2FE24" w14:textId="77777777" w:rsidR="00B47AE8" w:rsidRPr="00E359BF" w:rsidRDefault="00B47AE8">
            <w:pPr>
              <w:pStyle w:val="TableTextCentered"/>
              <w:rPr>
                <w:rFonts w:eastAsia="Times New Roman"/>
              </w:rPr>
            </w:pPr>
            <w:r>
              <w:rPr>
                <w:rFonts w:eastAsia="Times New Roman"/>
              </w:rPr>
              <w:t>0</w:t>
            </w:r>
          </w:p>
        </w:tc>
        <w:tc>
          <w:tcPr>
            <w:tcW w:w="874" w:type="dxa"/>
          </w:tcPr>
          <w:p w14:paraId="659C9147" w14:textId="77777777" w:rsidR="00B47AE8" w:rsidRPr="00E359BF" w:rsidRDefault="00B47AE8">
            <w:pPr>
              <w:pStyle w:val="TableTextCentered"/>
              <w:rPr>
                <w:rFonts w:eastAsia="Times New Roman"/>
              </w:rPr>
            </w:pPr>
            <w:r>
              <w:rPr>
                <w:rFonts w:eastAsia="Times New Roman"/>
              </w:rPr>
              <w:t>0</w:t>
            </w:r>
          </w:p>
        </w:tc>
        <w:tc>
          <w:tcPr>
            <w:tcW w:w="874" w:type="dxa"/>
          </w:tcPr>
          <w:p w14:paraId="427E47B4" w14:textId="77777777" w:rsidR="00B47AE8" w:rsidRPr="00E359BF" w:rsidRDefault="00B47AE8">
            <w:pPr>
              <w:pStyle w:val="TableTextCentered"/>
              <w:rPr>
                <w:rFonts w:eastAsia="Times New Roman"/>
              </w:rPr>
            </w:pPr>
            <w:r>
              <w:rPr>
                <w:rFonts w:eastAsia="Times New Roman"/>
              </w:rPr>
              <w:t>0</w:t>
            </w:r>
          </w:p>
        </w:tc>
        <w:tc>
          <w:tcPr>
            <w:tcW w:w="875" w:type="dxa"/>
          </w:tcPr>
          <w:p w14:paraId="0191A859" w14:textId="77777777" w:rsidR="00B47AE8" w:rsidRPr="00E359BF" w:rsidRDefault="00B47AE8">
            <w:pPr>
              <w:pStyle w:val="TableTextCentered"/>
              <w:rPr>
                <w:rFonts w:eastAsia="Times New Roman"/>
              </w:rPr>
            </w:pPr>
            <w:r>
              <w:rPr>
                <w:rFonts w:eastAsia="Times New Roman"/>
              </w:rPr>
              <w:t>0</w:t>
            </w:r>
          </w:p>
        </w:tc>
        <w:tc>
          <w:tcPr>
            <w:tcW w:w="874" w:type="dxa"/>
          </w:tcPr>
          <w:p w14:paraId="4BF41DA5" w14:textId="77777777" w:rsidR="00B47AE8" w:rsidRPr="00E359BF" w:rsidRDefault="00B47AE8">
            <w:pPr>
              <w:pStyle w:val="TableTextCentered"/>
              <w:rPr>
                <w:rFonts w:eastAsia="Times New Roman"/>
              </w:rPr>
            </w:pPr>
            <w:r>
              <w:rPr>
                <w:rFonts w:eastAsia="Times New Roman"/>
              </w:rPr>
              <w:t>3</w:t>
            </w:r>
          </w:p>
        </w:tc>
        <w:tc>
          <w:tcPr>
            <w:tcW w:w="874" w:type="dxa"/>
          </w:tcPr>
          <w:p w14:paraId="6F222F70" w14:textId="77777777" w:rsidR="00B47AE8" w:rsidRPr="00E359BF" w:rsidRDefault="00B47AE8">
            <w:pPr>
              <w:pStyle w:val="TableTextCentered"/>
              <w:rPr>
                <w:rFonts w:eastAsia="Times New Roman"/>
              </w:rPr>
            </w:pPr>
            <w:r>
              <w:rPr>
                <w:rFonts w:eastAsia="Times New Roman"/>
              </w:rPr>
              <w:t>15</w:t>
            </w:r>
          </w:p>
        </w:tc>
        <w:tc>
          <w:tcPr>
            <w:tcW w:w="875" w:type="dxa"/>
          </w:tcPr>
          <w:p w14:paraId="0D82C198" w14:textId="77777777" w:rsidR="00B47AE8" w:rsidRPr="00E359BF" w:rsidRDefault="00B47AE8">
            <w:pPr>
              <w:pStyle w:val="TableTextCentered"/>
              <w:rPr>
                <w:rFonts w:eastAsia="Times New Roman"/>
              </w:rPr>
            </w:pPr>
            <w:r>
              <w:rPr>
                <w:rFonts w:eastAsia="Times New Roman"/>
              </w:rPr>
              <w:t>25</w:t>
            </w:r>
          </w:p>
        </w:tc>
        <w:tc>
          <w:tcPr>
            <w:tcW w:w="900" w:type="dxa"/>
          </w:tcPr>
          <w:p w14:paraId="6C4998E4" w14:textId="77777777" w:rsidR="00B47AE8" w:rsidRPr="00E359BF" w:rsidRDefault="00B47AE8">
            <w:pPr>
              <w:pStyle w:val="TableTextCentered"/>
              <w:rPr>
                <w:rFonts w:eastAsia="Times New Roman"/>
              </w:rPr>
            </w:pPr>
            <w:r>
              <w:rPr>
                <w:rFonts w:eastAsia="Times New Roman"/>
              </w:rPr>
              <w:t>43</w:t>
            </w:r>
          </w:p>
        </w:tc>
        <w:tc>
          <w:tcPr>
            <w:tcW w:w="892" w:type="dxa"/>
          </w:tcPr>
          <w:p w14:paraId="5E7B5744" w14:textId="77777777" w:rsidR="00B47AE8" w:rsidRPr="00E359BF" w:rsidRDefault="00B47AE8">
            <w:pPr>
              <w:pStyle w:val="TableTextCentered"/>
              <w:rPr>
                <w:rFonts w:eastAsia="Times New Roman"/>
              </w:rPr>
            </w:pPr>
            <w:r>
              <w:rPr>
                <w:rFonts w:eastAsia="Times New Roman"/>
              </w:rPr>
              <w:t>6.5</w:t>
            </w:r>
          </w:p>
        </w:tc>
      </w:tr>
      <w:tr w:rsidR="00B47AE8" w:rsidRPr="00E359BF" w14:paraId="1948591F" w14:textId="77777777" w:rsidTr="00B47AE8">
        <w:trPr>
          <w:jc w:val="center"/>
        </w:trPr>
        <w:tc>
          <w:tcPr>
            <w:tcW w:w="1432" w:type="dxa"/>
          </w:tcPr>
          <w:p w14:paraId="06A10511" w14:textId="77777777" w:rsidR="00B47AE8" w:rsidRPr="00E359BF" w:rsidRDefault="00B47AE8">
            <w:pPr>
              <w:pStyle w:val="TableText"/>
            </w:pPr>
            <w:r>
              <w:t>Grades 6-8</w:t>
            </w:r>
          </w:p>
        </w:tc>
        <w:tc>
          <w:tcPr>
            <w:tcW w:w="874" w:type="dxa"/>
          </w:tcPr>
          <w:p w14:paraId="6A4C0EB3" w14:textId="77777777" w:rsidR="00B47AE8" w:rsidRPr="00E359BF" w:rsidRDefault="00B47AE8">
            <w:pPr>
              <w:pStyle w:val="TableTextCentered"/>
              <w:rPr>
                <w:rFonts w:eastAsia="Times New Roman"/>
              </w:rPr>
            </w:pPr>
            <w:r>
              <w:rPr>
                <w:rFonts w:eastAsia="Times New Roman"/>
              </w:rPr>
              <w:t>0</w:t>
            </w:r>
          </w:p>
        </w:tc>
        <w:tc>
          <w:tcPr>
            <w:tcW w:w="874" w:type="dxa"/>
          </w:tcPr>
          <w:p w14:paraId="02DCEBB5" w14:textId="77777777" w:rsidR="00B47AE8" w:rsidRPr="00E359BF" w:rsidRDefault="00B47AE8">
            <w:pPr>
              <w:pStyle w:val="TableTextCentered"/>
              <w:rPr>
                <w:rFonts w:eastAsia="Times New Roman"/>
              </w:rPr>
            </w:pPr>
            <w:r>
              <w:rPr>
                <w:rFonts w:eastAsia="Times New Roman"/>
              </w:rPr>
              <w:t>0</w:t>
            </w:r>
          </w:p>
        </w:tc>
        <w:tc>
          <w:tcPr>
            <w:tcW w:w="874" w:type="dxa"/>
          </w:tcPr>
          <w:p w14:paraId="704B29D6" w14:textId="77777777" w:rsidR="00B47AE8" w:rsidRPr="00E359BF" w:rsidRDefault="00B47AE8">
            <w:pPr>
              <w:pStyle w:val="TableTextCentered"/>
              <w:rPr>
                <w:rFonts w:eastAsia="Times New Roman"/>
              </w:rPr>
            </w:pPr>
            <w:r>
              <w:rPr>
                <w:rFonts w:eastAsia="Times New Roman"/>
              </w:rPr>
              <w:t>0</w:t>
            </w:r>
          </w:p>
        </w:tc>
        <w:tc>
          <w:tcPr>
            <w:tcW w:w="875" w:type="dxa"/>
          </w:tcPr>
          <w:p w14:paraId="0E90E198" w14:textId="77777777" w:rsidR="00B47AE8" w:rsidRPr="00E359BF" w:rsidRDefault="00B47AE8">
            <w:pPr>
              <w:pStyle w:val="TableTextCentered"/>
              <w:rPr>
                <w:rFonts w:eastAsia="Times New Roman"/>
              </w:rPr>
            </w:pPr>
            <w:r>
              <w:rPr>
                <w:rFonts w:eastAsia="Times New Roman"/>
              </w:rPr>
              <w:t>0</w:t>
            </w:r>
          </w:p>
        </w:tc>
        <w:tc>
          <w:tcPr>
            <w:tcW w:w="874" w:type="dxa"/>
          </w:tcPr>
          <w:p w14:paraId="672B4F85" w14:textId="77777777" w:rsidR="00B47AE8" w:rsidRPr="00E359BF" w:rsidRDefault="00B47AE8">
            <w:pPr>
              <w:pStyle w:val="TableTextCentered"/>
              <w:rPr>
                <w:rFonts w:eastAsia="Times New Roman"/>
              </w:rPr>
            </w:pPr>
            <w:r>
              <w:rPr>
                <w:rFonts w:eastAsia="Times New Roman"/>
              </w:rPr>
              <w:t>1</w:t>
            </w:r>
          </w:p>
        </w:tc>
        <w:tc>
          <w:tcPr>
            <w:tcW w:w="874" w:type="dxa"/>
          </w:tcPr>
          <w:p w14:paraId="03969037" w14:textId="77777777" w:rsidR="00B47AE8" w:rsidRPr="00E359BF" w:rsidRDefault="00B47AE8">
            <w:pPr>
              <w:pStyle w:val="TableTextCentered"/>
              <w:rPr>
                <w:rFonts w:eastAsia="Times New Roman"/>
              </w:rPr>
            </w:pPr>
            <w:r>
              <w:rPr>
                <w:rFonts w:eastAsia="Times New Roman"/>
              </w:rPr>
              <w:t>7</w:t>
            </w:r>
          </w:p>
        </w:tc>
        <w:tc>
          <w:tcPr>
            <w:tcW w:w="875" w:type="dxa"/>
          </w:tcPr>
          <w:p w14:paraId="42273ADD" w14:textId="77777777" w:rsidR="00B47AE8" w:rsidRPr="00E359BF" w:rsidRDefault="00B47AE8">
            <w:pPr>
              <w:pStyle w:val="TableTextCentered"/>
              <w:rPr>
                <w:rFonts w:eastAsia="Times New Roman"/>
              </w:rPr>
            </w:pPr>
            <w:r>
              <w:rPr>
                <w:rFonts w:eastAsia="Times New Roman"/>
              </w:rPr>
              <w:t>15</w:t>
            </w:r>
          </w:p>
        </w:tc>
        <w:tc>
          <w:tcPr>
            <w:tcW w:w="900" w:type="dxa"/>
          </w:tcPr>
          <w:p w14:paraId="760A028E" w14:textId="77777777" w:rsidR="00B47AE8" w:rsidRPr="00E359BF" w:rsidRDefault="00B47AE8">
            <w:pPr>
              <w:pStyle w:val="TableTextCentered"/>
              <w:rPr>
                <w:rFonts w:eastAsia="Times New Roman"/>
              </w:rPr>
            </w:pPr>
            <w:r>
              <w:rPr>
                <w:rFonts w:eastAsia="Times New Roman"/>
              </w:rPr>
              <w:t>23</w:t>
            </w:r>
          </w:p>
        </w:tc>
        <w:tc>
          <w:tcPr>
            <w:tcW w:w="892" w:type="dxa"/>
          </w:tcPr>
          <w:p w14:paraId="7910EC5B" w14:textId="77777777" w:rsidR="00B47AE8" w:rsidRPr="00E359BF" w:rsidRDefault="00B47AE8">
            <w:pPr>
              <w:pStyle w:val="TableTextCentered"/>
              <w:rPr>
                <w:rFonts w:eastAsia="Times New Roman"/>
              </w:rPr>
            </w:pPr>
            <w:r>
              <w:rPr>
                <w:rFonts w:eastAsia="Times New Roman"/>
              </w:rPr>
              <w:t>6.6</w:t>
            </w:r>
          </w:p>
        </w:tc>
      </w:tr>
      <w:tr w:rsidR="00B47AE8" w:rsidRPr="00E359BF" w14:paraId="56DF2E06" w14:textId="77777777" w:rsidTr="00B47AE8">
        <w:trPr>
          <w:jc w:val="center"/>
        </w:trPr>
        <w:tc>
          <w:tcPr>
            <w:tcW w:w="1432" w:type="dxa"/>
          </w:tcPr>
          <w:p w14:paraId="078FA9B2" w14:textId="77777777" w:rsidR="00B47AE8" w:rsidRPr="00E359BF" w:rsidRDefault="00B47AE8">
            <w:pPr>
              <w:pStyle w:val="TableText"/>
            </w:pPr>
            <w:r>
              <w:t>Grades 9-12</w:t>
            </w:r>
          </w:p>
        </w:tc>
        <w:tc>
          <w:tcPr>
            <w:tcW w:w="874" w:type="dxa"/>
          </w:tcPr>
          <w:p w14:paraId="2D6DC451" w14:textId="77777777" w:rsidR="00B47AE8" w:rsidRPr="00E359BF" w:rsidRDefault="00B47AE8">
            <w:pPr>
              <w:pStyle w:val="TableTextCentered"/>
              <w:rPr>
                <w:rFonts w:eastAsia="Times New Roman"/>
              </w:rPr>
            </w:pPr>
            <w:r>
              <w:rPr>
                <w:rFonts w:eastAsia="Times New Roman"/>
              </w:rPr>
              <w:t>0</w:t>
            </w:r>
          </w:p>
        </w:tc>
        <w:tc>
          <w:tcPr>
            <w:tcW w:w="874" w:type="dxa"/>
          </w:tcPr>
          <w:p w14:paraId="6711292C" w14:textId="77777777" w:rsidR="00B47AE8" w:rsidRPr="00E359BF" w:rsidRDefault="00B47AE8">
            <w:pPr>
              <w:pStyle w:val="TableTextCentered"/>
              <w:rPr>
                <w:rFonts w:eastAsia="Times New Roman"/>
              </w:rPr>
            </w:pPr>
            <w:r>
              <w:rPr>
                <w:rFonts w:eastAsia="Times New Roman"/>
              </w:rPr>
              <w:t>0</w:t>
            </w:r>
          </w:p>
        </w:tc>
        <w:tc>
          <w:tcPr>
            <w:tcW w:w="874" w:type="dxa"/>
          </w:tcPr>
          <w:p w14:paraId="18655D58" w14:textId="77777777" w:rsidR="00B47AE8" w:rsidRPr="00E359BF" w:rsidRDefault="00B47AE8">
            <w:pPr>
              <w:pStyle w:val="TableTextCentered"/>
              <w:rPr>
                <w:rFonts w:eastAsia="Times New Roman"/>
              </w:rPr>
            </w:pPr>
            <w:r>
              <w:rPr>
                <w:rFonts w:eastAsia="Times New Roman"/>
              </w:rPr>
              <w:t>0</w:t>
            </w:r>
          </w:p>
        </w:tc>
        <w:tc>
          <w:tcPr>
            <w:tcW w:w="875" w:type="dxa"/>
          </w:tcPr>
          <w:p w14:paraId="03BAC314" w14:textId="77777777" w:rsidR="00B47AE8" w:rsidRPr="00E359BF" w:rsidRDefault="00B47AE8">
            <w:pPr>
              <w:pStyle w:val="TableTextCentered"/>
              <w:rPr>
                <w:rFonts w:eastAsia="Times New Roman"/>
              </w:rPr>
            </w:pPr>
            <w:r>
              <w:rPr>
                <w:rFonts w:eastAsia="Times New Roman"/>
              </w:rPr>
              <w:t>0</w:t>
            </w:r>
          </w:p>
        </w:tc>
        <w:tc>
          <w:tcPr>
            <w:tcW w:w="874" w:type="dxa"/>
          </w:tcPr>
          <w:p w14:paraId="2EDA7C08" w14:textId="77777777" w:rsidR="00B47AE8" w:rsidRPr="00E359BF" w:rsidRDefault="00B47AE8">
            <w:pPr>
              <w:pStyle w:val="TableTextCentered"/>
              <w:rPr>
                <w:rFonts w:eastAsia="Times New Roman"/>
              </w:rPr>
            </w:pPr>
            <w:r>
              <w:rPr>
                <w:rFonts w:eastAsia="Times New Roman"/>
              </w:rPr>
              <w:t>1</w:t>
            </w:r>
          </w:p>
        </w:tc>
        <w:tc>
          <w:tcPr>
            <w:tcW w:w="874" w:type="dxa"/>
          </w:tcPr>
          <w:p w14:paraId="0ED5075E" w14:textId="77777777" w:rsidR="00B47AE8" w:rsidRPr="00E359BF" w:rsidRDefault="00B47AE8">
            <w:pPr>
              <w:pStyle w:val="TableTextCentered"/>
              <w:rPr>
                <w:rFonts w:eastAsia="Times New Roman"/>
              </w:rPr>
            </w:pPr>
            <w:r>
              <w:rPr>
                <w:rFonts w:eastAsia="Times New Roman"/>
              </w:rPr>
              <w:t>4</w:t>
            </w:r>
          </w:p>
        </w:tc>
        <w:tc>
          <w:tcPr>
            <w:tcW w:w="875" w:type="dxa"/>
          </w:tcPr>
          <w:p w14:paraId="1D884711" w14:textId="77777777" w:rsidR="00B47AE8" w:rsidRPr="00E359BF" w:rsidRDefault="00B47AE8">
            <w:pPr>
              <w:pStyle w:val="TableTextCentered"/>
              <w:rPr>
                <w:rFonts w:eastAsia="Times New Roman"/>
              </w:rPr>
            </w:pPr>
            <w:r>
              <w:rPr>
                <w:rFonts w:eastAsia="Times New Roman"/>
              </w:rPr>
              <w:t>27</w:t>
            </w:r>
          </w:p>
        </w:tc>
        <w:tc>
          <w:tcPr>
            <w:tcW w:w="900" w:type="dxa"/>
          </w:tcPr>
          <w:p w14:paraId="101B0735" w14:textId="77777777" w:rsidR="00B47AE8" w:rsidRPr="00E359BF" w:rsidRDefault="00B47AE8">
            <w:pPr>
              <w:pStyle w:val="TableTextCentered"/>
              <w:rPr>
                <w:rFonts w:eastAsia="Times New Roman"/>
              </w:rPr>
            </w:pPr>
            <w:r>
              <w:rPr>
                <w:rFonts w:eastAsia="Times New Roman"/>
              </w:rPr>
              <w:t>32</w:t>
            </w:r>
          </w:p>
        </w:tc>
        <w:tc>
          <w:tcPr>
            <w:tcW w:w="892" w:type="dxa"/>
          </w:tcPr>
          <w:p w14:paraId="77F04049" w14:textId="77777777" w:rsidR="00B47AE8" w:rsidRPr="00E359BF" w:rsidRDefault="00B47AE8">
            <w:pPr>
              <w:pStyle w:val="TableTextCentered"/>
              <w:rPr>
                <w:rFonts w:eastAsia="Times New Roman"/>
              </w:rPr>
            </w:pPr>
            <w:r>
              <w:rPr>
                <w:rFonts w:eastAsia="Times New Roman"/>
              </w:rPr>
              <w:t>6.8</w:t>
            </w:r>
          </w:p>
        </w:tc>
      </w:tr>
    </w:tbl>
    <w:bookmarkEnd w:id="107"/>
    <w:p w14:paraId="4AF57F9C" w14:textId="77777777" w:rsidR="00B47AE8" w:rsidRPr="00BC09E0" w:rsidRDefault="00B47AE8">
      <w:pPr>
        <w:pStyle w:val="TableNote"/>
      </w:pPr>
      <w:r w:rsidRPr="00A96DD7">
        <w:t xml:space="preserve">*The district average is an average of the observation scores. In Table 7, the district average is computed as: </w:t>
      </w:r>
      <w:r w:rsidRPr="00A96DD7">
        <w:br/>
      </w:r>
      <w:bookmarkStart w:id="108" w:name="Dist_BM_Calc"/>
      <w:r>
        <w:t>([5 x 5] + [6 x 26] + [7 x 67]) ÷ 98 observations = 6.6</w:t>
      </w:r>
      <w:bookmarkEnd w:id="108"/>
    </w:p>
    <w:p w14:paraId="472D5EEF" w14:textId="77777777" w:rsidR="00B47AE8" w:rsidRPr="00BC09E0" w:rsidRDefault="00B47AE8">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329FD9CE" w14:textId="77777777" w:rsidR="00B47AE8" w:rsidRPr="00BC09E0" w:rsidRDefault="00B47AE8">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39738BA7" w14:textId="77777777" w:rsidR="00B47AE8" w:rsidRDefault="00B47AE8">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20C15B03" w14:textId="77777777" w:rsidR="00B47AE8" w:rsidRDefault="00B47AE8">
      <w:pPr>
        <w:spacing w:after="160" w:line="259" w:lineRule="auto"/>
      </w:pPr>
      <w:r>
        <w:br w:type="page"/>
      </w:r>
    </w:p>
    <w:p w14:paraId="34CD57A9" w14:textId="77777777" w:rsidR="00B47AE8" w:rsidRPr="00BC09E0" w:rsidRDefault="00B47AE8">
      <w:pPr>
        <w:pStyle w:val="Heading2-SIOR"/>
      </w:pPr>
      <w:bookmarkStart w:id="109" w:name="_Toc411329831"/>
      <w:bookmarkStart w:id="110" w:name="_Toc430114880"/>
      <w:bookmarkStart w:id="111" w:name="_Toc92194259"/>
      <w:r w:rsidRPr="00BC09E0">
        <w:lastRenderedPageBreak/>
        <w:t>Productivity</w:t>
      </w:r>
      <w:bookmarkEnd w:id="109"/>
      <w:bookmarkEnd w:id="110"/>
      <w:bookmarkEnd w:id="111"/>
    </w:p>
    <w:p w14:paraId="44A8B281" w14:textId="77777777" w:rsidR="00B47AE8" w:rsidRPr="00BC09E0" w:rsidRDefault="00B47AE8">
      <w:pPr>
        <w:pStyle w:val="BodyTextDomain"/>
      </w:pPr>
      <w:r w:rsidRPr="00BC09E0">
        <w:t xml:space="preserve">Classroom Organization domain, </w:t>
      </w:r>
      <w:r>
        <w:t>G</w:t>
      </w:r>
      <w:r w:rsidRPr="00BC09E0">
        <w:t xml:space="preserve">rades </w:t>
      </w:r>
      <w:r>
        <w:t>K</w:t>
      </w:r>
      <w:r w:rsidRPr="00BC09E0">
        <w:t>−</w:t>
      </w:r>
      <w:r>
        <w:t>12</w:t>
      </w:r>
    </w:p>
    <w:p w14:paraId="16D4DCFA" w14:textId="77777777" w:rsidR="00B47AE8" w:rsidRPr="00BC09E0" w:rsidRDefault="00B47AE8">
      <w:pPr>
        <w:pStyle w:val="BodyText"/>
      </w:pPr>
      <w:r w:rsidRPr="00BC09E0">
        <w:t>Productivity considers how well the teacher manages instructional time and routines and provides activities for students so that they have the opportunity to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7F2E1BB0" w14:textId="77777777" w:rsidR="00B47AE8" w:rsidRPr="00BC09E0" w:rsidRDefault="00B47AE8">
      <w:pPr>
        <w:pStyle w:val="TableTitle0"/>
      </w:pPr>
      <w:r w:rsidRPr="00BC09E0">
        <w:t xml:space="preserve">Table 8. Productivity: Number of Classrooms for Each Rating </w:t>
      </w:r>
      <w:r w:rsidRPr="00A96DD7">
        <w:t>and District Average</w:t>
      </w:r>
    </w:p>
    <w:p w14:paraId="26E929F9" w14:textId="77777777" w:rsidR="00B47AE8" w:rsidRDefault="00B47AE8">
      <w:pPr>
        <w:pStyle w:val="BodyTextDemi"/>
      </w:pPr>
      <w:r w:rsidRPr="00A96DD7">
        <w:t xml:space="preserve">Productivity District Average*: </w:t>
      </w:r>
      <w:bookmarkStart w:id="112" w:name="Dist_PD_Avg"/>
      <w:r>
        <w:t>6.6</w:t>
      </w:r>
      <w:bookmarkEnd w:id="11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118D0BFA"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9FBF2D2" w14:textId="77777777" w:rsidR="00B47AE8" w:rsidRPr="00E359BF" w:rsidRDefault="00B47AE8">
            <w:pPr>
              <w:pStyle w:val="TableColHeadingCenter"/>
              <w:rPr>
                <w:rFonts w:eastAsia="MS Mincho"/>
              </w:rPr>
            </w:pPr>
            <w:bookmarkStart w:id="113" w:name="Tbl_PD"/>
            <w:r>
              <w:rPr>
                <w:rFonts w:eastAsia="MS Mincho"/>
              </w:rPr>
              <w:t>Grade Band</w:t>
            </w:r>
          </w:p>
        </w:tc>
        <w:tc>
          <w:tcPr>
            <w:tcW w:w="1748" w:type="dxa"/>
            <w:gridSpan w:val="2"/>
          </w:tcPr>
          <w:p w14:paraId="319F596D"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49367D18"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4A69DB08"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5A04AF86" w14:textId="77777777" w:rsidR="00B47AE8" w:rsidRPr="00E359BF" w:rsidRDefault="00B47AE8">
            <w:pPr>
              <w:pStyle w:val="TableColHeadingCenter"/>
              <w:rPr>
                <w:rFonts w:eastAsia="MS Mincho"/>
              </w:rPr>
            </w:pPr>
            <w:r>
              <w:rPr>
                <w:rFonts w:eastAsia="MS Mincho"/>
              </w:rPr>
              <w:t>n</w:t>
            </w:r>
          </w:p>
        </w:tc>
        <w:tc>
          <w:tcPr>
            <w:tcW w:w="892" w:type="dxa"/>
          </w:tcPr>
          <w:p w14:paraId="00CE9DEC" w14:textId="77777777" w:rsidR="00B47AE8" w:rsidRPr="00E359BF" w:rsidRDefault="00B47AE8">
            <w:pPr>
              <w:pStyle w:val="TableColHeadingCenter"/>
              <w:rPr>
                <w:rFonts w:eastAsia="MS Mincho"/>
              </w:rPr>
            </w:pPr>
            <w:r>
              <w:rPr>
                <w:rFonts w:eastAsia="MS Mincho"/>
              </w:rPr>
              <w:t>Average</w:t>
            </w:r>
          </w:p>
        </w:tc>
      </w:tr>
      <w:tr w:rsidR="00B47AE8" w:rsidRPr="00E359BF" w14:paraId="661ED88B" w14:textId="77777777" w:rsidTr="00B47AE8">
        <w:trPr>
          <w:jc w:val="center"/>
        </w:trPr>
        <w:tc>
          <w:tcPr>
            <w:tcW w:w="1432" w:type="dxa"/>
            <w:shd w:val="clear" w:color="auto" w:fill="D9E2F3" w:themeFill="accent5" w:themeFillTint="33"/>
          </w:tcPr>
          <w:p w14:paraId="6B1133DC" w14:textId="77777777" w:rsidR="00B47AE8" w:rsidRPr="00E359BF" w:rsidRDefault="00B47AE8">
            <w:pPr>
              <w:pStyle w:val="TableSubheadingCentered"/>
            </w:pPr>
          </w:p>
        </w:tc>
        <w:tc>
          <w:tcPr>
            <w:tcW w:w="874" w:type="dxa"/>
            <w:shd w:val="clear" w:color="auto" w:fill="D9E2F3" w:themeFill="accent5" w:themeFillTint="33"/>
          </w:tcPr>
          <w:p w14:paraId="0DFF738D" w14:textId="77777777" w:rsidR="00B47AE8" w:rsidRPr="00E359BF" w:rsidRDefault="00B47AE8">
            <w:pPr>
              <w:pStyle w:val="TableSubheadingCentered"/>
            </w:pPr>
            <w:r w:rsidRPr="00E359BF">
              <w:t>1</w:t>
            </w:r>
          </w:p>
        </w:tc>
        <w:tc>
          <w:tcPr>
            <w:tcW w:w="874" w:type="dxa"/>
            <w:shd w:val="clear" w:color="auto" w:fill="D9E2F3" w:themeFill="accent5" w:themeFillTint="33"/>
          </w:tcPr>
          <w:p w14:paraId="1C00A465" w14:textId="77777777" w:rsidR="00B47AE8" w:rsidRPr="00E359BF" w:rsidRDefault="00B47AE8">
            <w:pPr>
              <w:pStyle w:val="TableSubheadingCentered"/>
            </w:pPr>
            <w:r w:rsidRPr="00E359BF">
              <w:t>2</w:t>
            </w:r>
          </w:p>
        </w:tc>
        <w:tc>
          <w:tcPr>
            <w:tcW w:w="874" w:type="dxa"/>
            <w:shd w:val="clear" w:color="auto" w:fill="D9E2F3" w:themeFill="accent5" w:themeFillTint="33"/>
          </w:tcPr>
          <w:p w14:paraId="5FAF64B2" w14:textId="77777777" w:rsidR="00B47AE8" w:rsidRPr="00E359BF" w:rsidRDefault="00B47AE8">
            <w:pPr>
              <w:pStyle w:val="TableSubheadingCentered"/>
            </w:pPr>
            <w:r w:rsidRPr="00E359BF">
              <w:t>3</w:t>
            </w:r>
          </w:p>
        </w:tc>
        <w:tc>
          <w:tcPr>
            <w:tcW w:w="875" w:type="dxa"/>
            <w:shd w:val="clear" w:color="auto" w:fill="D9E2F3" w:themeFill="accent5" w:themeFillTint="33"/>
          </w:tcPr>
          <w:p w14:paraId="66B6EEBB" w14:textId="77777777" w:rsidR="00B47AE8" w:rsidRPr="00E359BF" w:rsidRDefault="00B47AE8">
            <w:pPr>
              <w:pStyle w:val="TableSubheadingCentered"/>
            </w:pPr>
            <w:r w:rsidRPr="00E359BF">
              <w:t>4</w:t>
            </w:r>
          </w:p>
        </w:tc>
        <w:tc>
          <w:tcPr>
            <w:tcW w:w="874" w:type="dxa"/>
            <w:shd w:val="clear" w:color="auto" w:fill="D9E2F3" w:themeFill="accent5" w:themeFillTint="33"/>
          </w:tcPr>
          <w:p w14:paraId="12F1759F" w14:textId="77777777" w:rsidR="00B47AE8" w:rsidRPr="00E359BF" w:rsidRDefault="00B47AE8">
            <w:pPr>
              <w:pStyle w:val="TableSubheadingCentered"/>
            </w:pPr>
            <w:r w:rsidRPr="00E359BF">
              <w:t>5</w:t>
            </w:r>
          </w:p>
        </w:tc>
        <w:tc>
          <w:tcPr>
            <w:tcW w:w="874" w:type="dxa"/>
            <w:shd w:val="clear" w:color="auto" w:fill="D9E2F3" w:themeFill="accent5" w:themeFillTint="33"/>
          </w:tcPr>
          <w:p w14:paraId="543A07A3" w14:textId="77777777" w:rsidR="00B47AE8" w:rsidRPr="00E359BF" w:rsidRDefault="00B47AE8">
            <w:pPr>
              <w:pStyle w:val="TableSubheadingCentered"/>
            </w:pPr>
            <w:r w:rsidRPr="00E359BF">
              <w:t>6</w:t>
            </w:r>
          </w:p>
        </w:tc>
        <w:tc>
          <w:tcPr>
            <w:tcW w:w="875" w:type="dxa"/>
            <w:shd w:val="clear" w:color="auto" w:fill="D9E2F3" w:themeFill="accent5" w:themeFillTint="33"/>
          </w:tcPr>
          <w:p w14:paraId="5143DEDE" w14:textId="77777777" w:rsidR="00B47AE8" w:rsidRPr="00E359BF" w:rsidRDefault="00B47AE8">
            <w:pPr>
              <w:pStyle w:val="TableSubheadingCentered"/>
            </w:pPr>
            <w:r w:rsidRPr="00E359BF">
              <w:t>7</w:t>
            </w:r>
          </w:p>
        </w:tc>
        <w:tc>
          <w:tcPr>
            <w:tcW w:w="900" w:type="dxa"/>
            <w:shd w:val="clear" w:color="auto" w:fill="D9E2F3" w:themeFill="accent5" w:themeFillTint="33"/>
          </w:tcPr>
          <w:p w14:paraId="33C9BEA5" w14:textId="77777777" w:rsidR="00B47AE8" w:rsidRPr="00E359BF" w:rsidRDefault="00B47AE8">
            <w:pPr>
              <w:pStyle w:val="TableSubheadingCentered"/>
            </w:pPr>
            <w:r>
              <w:t>98</w:t>
            </w:r>
          </w:p>
        </w:tc>
        <w:tc>
          <w:tcPr>
            <w:tcW w:w="892" w:type="dxa"/>
            <w:shd w:val="clear" w:color="auto" w:fill="D9E2F3" w:themeFill="accent5" w:themeFillTint="33"/>
          </w:tcPr>
          <w:p w14:paraId="5DA38B2B" w14:textId="77777777" w:rsidR="00B47AE8" w:rsidRPr="00E359BF" w:rsidRDefault="00B47AE8">
            <w:pPr>
              <w:pStyle w:val="TableSubheadingCentered"/>
            </w:pPr>
            <w:r>
              <w:t>6.6</w:t>
            </w:r>
          </w:p>
        </w:tc>
      </w:tr>
      <w:tr w:rsidR="00B47AE8" w:rsidRPr="00E359BF" w14:paraId="09569A19" w14:textId="77777777" w:rsidTr="00B47AE8">
        <w:trPr>
          <w:jc w:val="center"/>
        </w:trPr>
        <w:tc>
          <w:tcPr>
            <w:tcW w:w="1432" w:type="dxa"/>
          </w:tcPr>
          <w:p w14:paraId="48664A3A" w14:textId="77777777" w:rsidR="00B47AE8" w:rsidRPr="00E359BF" w:rsidRDefault="00B47AE8">
            <w:pPr>
              <w:pStyle w:val="TableText"/>
            </w:pPr>
            <w:r>
              <w:t>Grades K-5</w:t>
            </w:r>
          </w:p>
        </w:tc>
        <w:tc>
          <w:tcPr>
            <w:tcW w:w="874" w:type="dxa"/>
          </w:tcPr>
          <w:p w14:paraId="173A64F8" w14:textId="77777777" w:rsidR="00B47AE8" w:rsidRPr="00E359BF" w:rsidRDefault="00B47AE8">
            <w:pPr>
              <w:pStyle w:val="TableTextCentered"/>
              <w:rPr>
                <w:rFonts w:eastAsia="Times New Roman"/>
              </w:rPr>
            </w:pPr>
            <w:r>
              <w:rPr>
                <w:rFonts w:eastAsia="Times New Roman"/>
              </w:rPr>
              <w:t>0</w:t>
            </w:r>
          </w:p>
        </w:tc>
        <w:tc>
          <w:tcPr>
            <w:tcW w:w="874" w:type="dxa"/>
          </w:tcPr>
          <w:p w14:paraId="36404607" w14:textId="77777777" w:rsidR="00B47AE8" w:rsidRPr="00E359BF" w:rsidRDefault="00B47AE8">
            <w:pPr>
              <w:pStyle w:val="TableTextCentered"/>
              <w:rPr>
                <w:rFonts w:eastAsia="Times New Roman"/>
              </w:rPr>
            </w:pPr>
            <w:r>
              <w:rPr>
                <w:rFonts w:eastAsia="Times New Roman"/>
              </w:rPr>
              <w:t>0</w:t>
            </w:r>
          </w:p>
        </w:tc>
        <w:tc>
          <w:tcPr>
            <w:tcW w:w="874" w:type="dxa"/>
          </w:tcPr>
          <w:p w14:paraId="5ACB3C67" w14:textId="77777777" w:rsidR="00B47AE8" w:rsidRPr="00E359BF" w:rsidRDefault="00B47AE8">
            <w:pPr>
              <w:pStyle w:val="TableTextCentered"/>
              <w:rPr>
                <w:rFonts w:eastAsia="Times New Roman"/>
              </w:rPr>
            </w:pPr>
            <w:r>
              <w:rPr>
                <w:rFonts w:eastAsia="Times New Roman"/>
              </w:rPr>
              <w:t>0</w:t>
            </w:r>
          </w:p>
        </w:tc>
        <w:tc>
          <w:tcPr>
            <w:tcW w:w="875" w:type="dxa"/>
          </w:tcPr>
          <w:p w14:paraId="41D92EA8" w14:textId="77777777" w:rsidR="00B47AE8" w:rsidRPr="00E359BF" w:rsidRDefault="00B47AE8">
            <w:pPr>
              <w:pStyle w:val="TableTextCentered"/>
              <w:rPr>
                <w:rFonts w:eastAsia="Times New Roman"/>
              </w:rPr>
            </w:pPr>
            <w:r>
              <w:rPr>
                <w:rFonts w:eastAsia="Times New Roman"/>
              </w:rPr>
              <w:t>0</w:t>
            </w:r>
          </w:p>
        </w:tc>
        <w:tc>
          <w:tcPr>
            <w:tcW w:w="874" w:type="dxa"/>
          </w:tcPr>
          <w:p w14:paraId="43DFCACF" w14:textId="77777777" w:rsidR="00B47AE8" w:rsidRPr="00E359BF" w:rsidRDefault="00B47AE8">
            <w:pPr>
              <w:pStyle w:val="TableTextCentered"/>
              <w:rPr>
                <w:rFonts w:eastAsia="Times New Roman"/>
              </w:rPr>
            </w:pPr>
            <w:r>
              <w:rPr>
                <w:rFonts w:eastAsia="Times New Roman"/>
              </w:rPr>
              <w:t>5</w:t>
            </w:r>
          </w:p>
        </w:tc>
        <w:tc>
          <w:tcPr>
            <w:tcW w:w="874" w:type="dxa"/>
          </w:tcPr>
          <w:p w14:paraId="7B7430A0" w14:textId="77777777" w:rsidR="00B47AE8" w:rsidRPr="00E359BF" w:rsidRDefault="00B47AE8">
            <w:pPr>
              <w:pStyle w:val="TableTextCentered"/>
              <w:rPr>
                <w:rFonts w:eastAsia="Times New Roman"/>
              </w:rPr>
            </w:pPr>
            <w:r>
              <w:rPr>
                <w:rFonts w:eastAsia="Times New Roman"/>
              </w:rPr>
              <w:t>7</w:t>
            </w:r>
          </w:p>
        </w:tc>
        <w:tc>
          <w:tcPr>
            <w:tcW w:w="875" w:type="dxa"/>
          </w:tcPr>
          <w:p w14:paraId="337A6AA1" w14:textId="77777777" w:rsidR="00B47AE8" w:rsidRPr="00E359BF" w:rsidRDefault="00B47AE8">
            <w:pPr>
              <w:pStyle w:val="TableTextCentered"/>
              <w:rPr>
                <w:rFonts w:eastAsia="Times New Roman"/>
              </w:rPr>
            </w:pPr>
            <w:r>
              <w:rPr>
                <w:rFonts w:eastAsia="Times New Roman"/>
              </w:rPr>
              <w:t>31</w:t>
            </w:r>
          </w:p>
        </w:tc>
        <w:tc>
          <w:tcPr>
            <w:tcW w:w="900" w:type="dxa"/>
          </w:tcPr>
          <w:p w14:paraId="7A5969BE" w14:textId="77777777" w:rsidR="00B47AE8" w:rsidRPr="00E359BF" w:rsidRDefault="00B47AE8">
            <w:pPr>
              <w:pStyle w:val="TableTextCentered"/>
              <w:rPr>
                <w:rFonts w:eastAsia="Times New Roman"/>
              </w:rPr>
            </w:pPr>
            <w:r>
              <w:rPr>
                <w:rFonts w:eastAsia="Times New Roman"/>
              </w:rPr>
              <w:t>43</w:t>
            </w:r>
          </w:p>
        </w:tc>
        <w:tc>
          <w:tcPr>
            <w:tcW w:w="892" w:type="dxa"/>
          </w:tcPr>
          <w:p w14:paraId="533A9442" w14:textId="77777777" w:rsidR="00B47AE8" w:rsidRPr="00E359BF" w:rsidRDefault="00B47AE8">
            <w:pPr>
              <w:pStyle w:val="TableTextCentered"/>
              <w:rPr>
                <w:rFonts w:eastAsia="Times New Roman"/>
              </w:rPr>
            </w:pPr>
            <w:r>
              <w:rPr>
                <w:rFonts w:eastAsia="Times New Roman"/>
              </w:rPr>
              <w:t>6.6</w:t>
            </w:r>
          </w:p>
        </w:tc>
      </w:tr>
      <w:tr w:rsidR="00B47AE8" w:rsidRPr="00E359BF" w14:paraId="74DFCBB8" w14:textId="77777777" w:rsidTr="00B47AE8">
        <w:trPr>
          <w:jc w:val="center"/>
        </w:trPr>
        <w:tc>
          <w:tcPr>
            <w:tcW w:w="1432" w:type="dxa"/>
          </w:tcPr>
          <w:p w14:paraId="5A6256B2" w14:textId="77777777" w:rsidR="00B47AE8" w:rsidRPr="00E359BF" w:rsidRDefault="00B47AE8">
            <w:pPr>
              <w:pStyle w:val="TableText"/>
            </w:pPr>
            <w:r>
              <w:t>Grades 6-8</w:t>
            </w:r>
          </w:p>
        </w:tc>
        <w:tc>
          <w:tcPr>
            <w:tcW w:w="874" w:type="dxa"/>
          </w:tcPr>
          <w:p w14:paraId="09A4CB8D" w14:textId="77777777" w:rsidR="00B47AE8" w:rsidRPr="00E359BF" w:rsidRDefault="00B47AE8">
            <w:pPr>
              <w:pStyle w:val="TableTextCentered"/>
              <w:rPr>
                <w:rFonts w:eastAsia="Times New Roman"/>
              </w:rPr>
            </w:pPr>
            <w:r>
              <w:rPr>
                <w:rFonts w:eastAsia="Times New Roman"/>
              </w:rPr>
              <w:t>0</w:t>
            </w:r>
          </w:p>
        </w:tc>
        <w:tc>
          <w:tcPr>
            <w:tcW w:w="874" w:type="dxa"/>
          </w:tcPr>
          <w:p w14:paraId="12218E62" w14:textId="77777777" w:rsidR="00B47AE8" w:rsidRPr="00E359BF" w:rsidRDefault="00B47AE8">
            <w:pPr>
              <w:pStyle w:val="TableTextCentered"/>
              <w:rPr>
                <w:rFonts w:eastAsia="Times New Roman"/>
              </w:rPr>
            </w:pPr>
            <w:r>
              <w:rPr>
                <w:rFonts w:eastAsia="Times New Roman"/>
              </w:rPr>
              <w:t>0</w:t>
            </w:r>
          </w:p>
        </w:tc>
        <w:tc>
          <w:tcPr>
            <w:tcW w:w="874" w:type="dxa"/>
          </w:tcPr>
          <w:p w14:paraId="2C5FF4E2" w14:textId="77777777" w:rsidR="00B47AE8" w:rsidRPr="00E359BF" w:rsidRDefault="00B47AE8">
            <w:pPr>
              <w:pStyle w:val="TableTextCentered"/>
              <w:rPr>
                <w:rFonts w:eastAsia="Times New Roman"/>
              </w:rPr>
            </w:pPr>
            <w:r>
              <w:rPr>
                <w:rFonts w:eastAsia="Times New Roman"/>
              </w:rPr>
              <w:t>0</w:t>
            </w:r>
          </w:p>
        </w:tc>
        <w:tc>
          <w:tcPr>
            <w:tcW w:w="875" w:type="dxa"/>
          </w:tcPr>
          <w:p w14:paraId="78424D2D" w14:textId="77777777" w:rsidR="00B47AE8" w:rsidRPr="00E359BF" w:rsidRDefault="00B47AE8">
            <w:pPr>
              <w:pStyle w:val="TableTextCentered"/>
              <w:rPr>
                <w:rFonts w:eastAsia="Times New Roman"/>
              </w:rPr>
            </w:pPr>
            <w:r>
              <w:rPr>
                <w:rFonts w:eastAsia="Times New Roman"/>
              </w:rPr>
              <w:t>0</w:t>
            </w:r>
          </w:p>
        </w:tc>
        <w:tc>
          <w:tcPr>
            <w:tcW w:w="874" w:type="dxa"/>
          </w:tcPr>
          <w:p w14:paraId="2297B7B4" w14:textId="77777777" w:rsidR="00B47AE8" w:rsidRPr="00E359BF" w:rsidRDefault="00B47AE8">
            <w:pPr>
              <w:pStyle w:val="TableTextCentered"/>
              <w:rPr>
                <w:rFonts w:eastAsia="Times New Roman"/>
              </w:rPr>
            </w:pPr>
            <w:r>
              <w:rPr>
                <w:rFonts w:eastAsia="Times New Roman"/>
              </w:rPr>
              <w:t>0</w:t>
            </w:r>
          </w:p>
        </w:tc>
        <w:tc>
          <w:tcPr>
            <w:tcW w:w="874" w:type="dxa"/>
          </w:tcPr>
          <w:p w14:paraId="316F2DB6" w14:textId="77777777" w:rsidR="00B47AE8" w:rsidRPr="00E359BF" w:rsidRDefault="00B47AE8">
            <w:pPr>
              <w:pStyle w:val="TableTextCentered"/>
              <w:rPr>
                <w:rFonts w:eastAsia="Times New Roman"/>
              </w:rPr>
            </w:pPr>
            <w:r>
              <w:rPr>
                <w:rFonts w:eastAsia="Times New Roman"/>
              </w:rPr>
              <w:t>8</w:t>
            </w:r>
          </w:p>
        </w:tc>
        <w:tc>
          <w:tcPr>
            <w:tcW w:w="875" w:type="dxa"/>
          </w:tcPr>
          <w:p w14:paraId="1139773C" w14:textId="77777777" w:rsidR="00B47AE8" w:rsidRPr="00E359BF" w:rsidRDefault="00B47AE8">
            <w:pPr>
              <w:pStyle w:val="TableTextCentered"/>
              <w:rPr>
                <w:rFonts w:eastAsia="Times New Roman"/>
              </w:rPr>
            </w:pPr>
            <w:r>
              <w:rPr>
                <w:rFonts w:eastAsia="Times New Roman"/>
              </w:rPr>
              <w:t>15</w:t>
            </w:r>
          </w:p>
        </w:tc>
        <w:tc>
          <w:tcPr>
            <w:tcW w:w="900" w:type="dxa"/>
          </w:tcPr>
          <w:p w14:paraId="64A003A6" w14:textId="77777777" w:rsidR="00B47AE8" w:rsidRPr="00E359BF" w:rsidRDefault="00B47AE8">
            <w:pPr>
              <w:pStyle w:val="TableTextCentered"/>
              <w:rPr>
                <w:rFonts w:eastAsia="Times New Roman"/>
              </w:rPr>
            </w:pPr>
            <w:r>
              <w:rPr>
                <w:rFonts w:eastAsia="Times New Roman"/>
              </w:rPr>
              <w:t>23</w:t>
            </w:r>
          </w:p>
        </w:tc>
        <w:tc>
          <w:tcPr>
            <w:tcW w:w="892" w:type="dxa"/>
          </w:tcPr>
          <w:p w14:paraId="69B8E2C0" w14:textId="77777777" w:rsidR="00B47AE8" w:rsidRPr="00E359BF" w:rsidRDefault="00B47AE8">
            <w:pPr>
              <w:pStyle w:val="TableTextCentered"/>
              <w:rPr>
                <w:rFonts w:eastAsia="Times New Roman"/>
              </w:rPr>
            </w:pPr>
            <w:r>
              <w:rPr>
                <w:rFonts w:eastAsia="Times New Roman"/>
              </w:rPr>
              <w:t>6.7</w:t>
            </w:r>
          </w:p>
        </w:tc>
      </w:tr>
      <w:tr w:rsidR="00B47AE8" w:rsidRPr="00E359BF" w14:paraId="16A3F361" w14:textId="77777777" w:rsidTr="00B47AE8">
        <w:trPr>
          <w:jc w:val="center"/>
        </w:trPr>
        <w:tc>
          <w:tcPr>
            <w:tcW w:w="1432" w:type="dxa"/>
          </w:tcPr>
          <w:p w14:paraId="4897483B" w14:textId="77777777" w:rsidR="00B47AE8" w:rsidRPr="00E359BF" w:rsidRDefault="00B47AE8">
            <w:pPr>
              <w:pStyle w:val="TableText"/>
            </w:pPr>
            <w:r>
              <w:t>Grades 9-12</w:t>
            </w:r>
          </w:p>
        </w:tc>
        <w:tc>
          <w:tcPr>
            <w:tcW w:w="874" w:type="dxa"/>
          </w:tcPr>
          <w:p w14:paraId="6EBAD8F8" w14:textId="77777777" w:rsidR="00B47AE8" w:rsidRPr="00E359BF" w:rsidRDefault="00B47AE8">
            <w:pPr>
              <w:pStyle w:val="TableTextCentered"/>
              <w:rPr>
                <w:rFonts w:eastAsia="Times New Roman"/>
              </w:rPr>
            </w:pPr>
            <w:r>
              <w:rPr>
                <w:rFonts w:eastAsia="Times New Roman"/>
              </w:rPr>
              <w:t>0</w:t>
            </w:r>
          </w:p>
        </w:tc>
        <w:tc>
          <w:tcPr>
            <w:tcW w:w="874" w:type="dxa"/>
          </w:tcPr>
          <w:p w14:paraId="1122A49F" w14:textId="77777777" w:rsidR="00B47AE8" w:rsidRPr="00E359BF" w:rsidRDefault="00B47AE8">
            <w:pPr>
              <w:pStyle w:val="TableTextCentered"/>
              <w:rPr>
                <w:rFonts w:eastAsia="Times New Roman"/>
              </w:rPr>
            </w:pPr>
            <w:r>
              <w:rPr>
                <w:rFonts w:eastAsia="Times New Roman"/>
              </w:rPr>
              <w:t>0</w:t>
            </w:r>
          </w:p>
        </w:tc>
        <w:tc>
          <w:tcPr>
            <w:tcW w:w="874" w:type="dxa"/>
          </w:tcPr>
          <w:p w14:paraId="79122B6B" w14:textId="77777777" w:rsidR="00B47AE8" w:rsidRPr="00E359BF" w:rsidRDefault="00B47AE8">
            <w:pPr>
              <w:pStyle w:val="TableTextCentered"/>
              <w:rPr>
                <w:rFonts w:eastAsia="Times New Roman"/>
              </w:rPr>
            </w:pPr>
            <w:r>
              <w:rPr>
                <w:rFonts w:eastAsia="Times New Roman"/>
              </w:rPr>
              <w:t>0</w:t>
            </w:r>
          </w:p>
        </w:tc>
        <w:tc>
          <w:tcPr>
            <w:tcW w:w="875" w:type="dxa"/>
          </w:tcPr>
          <w:p w14:paraId="4918A8E6" w14:textId="77777777" w:rsidR="00B47AE8" w:rsidRPr="00E359BF" w:rsidRDefault="00B47AE8">
            <w:pPr>
              <w:pStyle w:val="TableTextCentered"/>
              <w:rPr>
                <w:rFonts w:eastAsia="Times New Roman"/>
              </w:rPr>
            </w:pPr>
            <w:r>
              <w:rPr>
                <w:rFonts w:eastAsia="Times New Roman"/>
              </w:rPr>
              <w:t>0</w:t>
            </w:r>
          </w:p>
        </w:tc>
        <w:tc>
          <w:tcPr>
            <w:tcW w:w="874" w:type="dxa"/>
          </w:tcPr>
          <w:p w14:paraId="5214514D" w14:textId="77777777" w:rsidR="00B47AE8" w:rsidRPr="00E359BF" w:rsidRDefault="00B47AE8">
            <w:pPr>
              <w:pStyle w:val="TableTextCentered"/>
              <w:rPr>
                <w:rFonts w:eastAsia="Times New Roman"/>
              </w:rPr>
            </w:pPr>
            <w:r>
              <w:rPr>
                <w:rFonts w:eastAsia="Times New Roman"/>
              </w:rPr>
              <w:t>2</w:t>
            </w:r>
          </w:p>
        </w:tc>
        <w:tc>
          <w:tcPr>
            <w:tcW w:w="874" w:type="dxa"/>
          </w:tcPr>
          <w:p w14:paraId="707FD754" w14:textId="77777777" w:rsidR="00B47AE8" w:rsidRPr="00E359BF" w:rsidRDefault="00B47AE8">
            <w:pPr>
              <w:pStyle w:val="TableTextCentered"/>
              <w:rPr>
                <w:rFonts w:eastAsia="Times New Roman"/>
              </w:rPr>
            </w:pPr>
            <w:r>
              <w:rPr>
                <w:rFonts w:eastAsia="Times New Roman"/>
              </w:rPr>
              <w:t>8</w:t>
            </w:r>
          </w:p>
        </w:tc>
        <w:tc>
          <w:tcPr>
            <w:tcW w:w="875" w:type="dxa"/>
          </w:tcPr>
          <w:p w14:paraId="7374A1FB" w14:textId="77777777" w:rsidR="00B47AE8" w:rsidRPr="00E359BF" w:rsidRDefault="00B47AE8">
            <w:pPr>
              <w:pStyle w:val="TableTextCentered"/>
              <w:rPr>
                <w:rFonts w:eastAsia="Times New Roman"/>
              </w:rPr>
            </w:pPr>
            <w:r>
              <w:rPr>
                <w:rFonts w:eastAsia="Times New Roman"/>
              </w:rPr>
              <w:t>22</w:t>
            </w:r>
          </w:p>
        </w:tc>
        <w:tc>
          <w:tcPr>
            <w:tcW w:w="900" w:type="dxa"/>
          </w:tcPr>
          <w:p w14:paraId="5C770CBF" w14:textId="77777777" w:rsidR="00B47AE8" w:rsidRPr="00E359BF" w:rsidRDefault="00B47AE8">
            <w:pPr>
              <w:pStyle w:val="TableTextCentered"/>
              <w:rPr>
                <w:rFonts w:eastAsia="Times New Roman"/>
              </w:rPr>
            </w:pPr>
            <w:r>
              <w:rPr>
                <w:rFonts w:eastAsia="Times New Roman"/>
              </w:rPr>
              <w:t>32</w:t>
            </w:r>
          </w:p>
        </w:tc>
        <w:tc>
          <w:tcPr>
            <w:tcW w:w="892" w:type="dxa"/>
          </w:tcPr>
          <w:p w14:paraId="5E30F13F" w14:textId="77777777" w:rsidR="00B47AE8" w:rsidRPr="00E359BF" w:rsidRDefault="00B47AE8">
            <w:pPr>
              <w:pStyle w:val="TableTextCentered"/>
              <w:rPr>
                <w:rFonts w:eastAsia="Times New Roman"/>
              </w:rPr>
            </w:pPr>
            <w:r>
              <w:rPr>
                <w:rFonts w:eastAsia="Times New Roman"/>
              </w:rPr>
              <w:t>6.6</w:t>
            </w:r>
          </w:p>
        </w:tc>
      </w:tr>
    </w:tbl>
    <w:bookmarkEnd w:id="113"/>
    <w:p w14:paraId="2ABC7C86" w14:textId="77777777" w:rsidR="00B47AE8" w:rsidRPr="00F2299E" w:rsidRDefault="00B47AE8">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14" w:name="Dist_PD_Calc"/>
      <w:r>
        <w:rPr>
          <w:rFonts w:ascii="Franklin Gothic Book" w:hAnsi="Franklin Gothic Book"/>
        </w:rPr>
        <w:t>([5 x 7] + [6 x 23] + [7 x 68]) ÷ 98 observations = 6.6</w:t>
      </w:r>
      <w:bookmarkEnd w:id="114"/>
    </w:p>
    <w:p w14:paraId="1C01E192" w14:textId="77777777" w:rsidR="00B47AE8" w:rsidRPr="00BC09E0" w:rsidRDefault="00B47AE8">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0F375D0F" w14:textId="77777777" w:rsidR="00B47AE8" w:rsidRPr="00BC09E0" w:rsidRDefault="00B47AE8">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59F9B2B5" w14:textId="77777777" w:rsidR="00B47AE8" w:rsidRDefault="00B47AE8">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5B49B4AD" w14:textId="77777777" w:rsidR="00B47AE8" w:rsidRDefault="00B47AE8">
      <w:pPr>
        <w:spacing w:after="160" w:line="259" w:lineRule="auto"/>
      </w:pPr>
      <w:r>
        <w:br w:type="page"/>
      </w:r>
    </w:p>
    <w:p w14:paraId="35A53268" w14:textId="77777777" w:rsidR="00B47AE8" w:rsidRPr="00BC09E0" w:rsidRDefault="00B47AE8">
      <w:pPr>
        <w:pStyle w:val="Heading2-SIOR"/>
      </w:pPr>
      <w:bookmarkStart w:id="115" w:name="_Toc411329832"/>
      <w:bookmarkStart w:id="116" w:name="_Toc430114881"/>
      <w:bookmarkStart w:id="117" w:name="_Toc92194260"/>
      <w:r w:rsidRPr="00BC09E0">
        <w:lastRenderedPageBreak/>
        <w:t>Instructional Learning Formats</w:t>
      </w:r>
      <w:bookmarkEnd w:id="115"/>
      <w:bookmarkEnd w:id="116"/>
      <w:bookmarkEnd w:id="117"/>
    </w:p>
    <w:p w14:paraId="1D8B864B" w14:textId="77777777" w:rsidR="00B47AE8" w:rsidRDefault="00B47AE8">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0CAB9BCE" w14:textId="77777777" w:rsidR="00B47AE8" w:rsidRPr="00BC09E0" w:rsidRDefault="00B47AE8">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2E84D5ED" w14:textId="77777777" w:rsidR="00B47AE8" w:rsidRPr="00BC09E0" w:rsidRDefault="00B47AE8">
      <w:pPr>
        <w:pStyle w:val="BodyText"/>
      </w:pPr>
      <w:r w:rsidRPr="00BC09E0">
        <w:t>Instructional Learning Formats refer to the ways in which the teacher maximizes students’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390F9F65" w14:textId="77777777" w:rsidR="00B47AE8" w:rsidRPr="00BC09E0" w:rsidRDefault="00B47AE8">
      <w:pPr>
        <w:pStyle w:val="TableTitle0"/>
      </w:pPr>
      <w:r w:rsidRPr="00BC09E0">
        <w:t xml:space="preserve">Table 9. Instructional Learning Formats: Number of Classrooms for Each Rating </w:t>
      </w:r>
      <w:r w:rsidRPr="00A96DD7">
        <w:t>and District Average</w:t>
      </w:r>
    </w:p>
    <w:p w14:paraId="2762A54F" w14:textId="77777777" w:rsidR="00B47AE8" w:rsidRDefault="00B47AE8">
      <w:pPr>
        <w:pStyle w:val="BodyTextDemi"/>
      </w:pPr>
      <w:r w:rsidRPr="00A96DD7">
        <w:t xml:space="preserve">Instructional Learning Formats District Average*: </w:t>
      </w:r>
      <w:bookmarkStart w:id="118" w:name="Dist_ILF_Avg"/>
      <w:r>
        <w:t>5.1</w:t>
      </w:r>
      <w:bookmarkEnd w:id="11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6F957AC5"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E6C8358" w14:textId="77777777" w:rsidR="00B47AE8" w:rsidRPr="00E359BF" w:rsidRDefault="00B47AE8">
            <w:pPr>
              <w:pStyle w:val="TableColHeadingCenter"/>
              <w:rPr>
                <w:rFonts w:eastAsia="MS Mincho"/>
              </w:rPr>
            </w:pPr>
            <w:bookmarkStart w:id="119" w:name="Tbl_ILF"/>
            <w:r>
              <w:rPr>
                <w:rFonts w:eastAsia="MS Mincho"/>
              </w:rPr>
              <w:t>Grade Band</w:t>
            </w:r>
          </w:p>
        </w:tc>
        <w:tc>
          <w:tcPr>
            <w:tcW w:w="1748" w:type="dxa"/>
            <w:gridSpan w:val="2"/>
          </w:tcPr>
          <w:p w14:paraId="73F790EC"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7B7F9249"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681BF1BA"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13156C7A" w14:textId="77777777" w:rsidR="00B47AE8" w:rsidRPr="00E359BF" w:rsidRDefault="00B47AE8">
            <w:pPr>
              <w:pStyle w:val="TableColHeadingCenter"/>
              <w:rPr>
                <w:rFonts w:eastAsia="MS Mincho"/>
              </w:rPr>
            </w:pPr>
            <w:r>
              <w:rPr>
                <w:rFonts w:eastAsia="MS Mincho"/>
              </w:rPr>
              <w:t>n</w:t>
            </w:r>
          </w:p>
        </w:tc>
        <w:tc>
          <w:tcPr>
            <w:tcW w:w="892" w:type="dxa"/>
          </w:tcPr>
          <w:p w14:paraId="37EF3A1F" w14:textId="77777777" w:rsidR="00B47AE8" w:rsidRPr="00E359BF" w:rsidRDefault="00B47AE8">
            <w:pPr>
              <w:pStyle w:val="TableColHeadingCenter"/>
              <w:rPr>
                <w:rFonts w:eastAsia="MS Mincho"/>
              </w:rPr>
            </w:pPr>
            <w:r>
              <w:rPr>
                <w:rFonts w:eastAsia="MS Mincho"/>
              </w:rPr>
              <w:t>Average</w:t>
            </w:r>
          </w:p>
        </w:tc>
      </w:tr>
      <w:tr w:rsidR="00B47AE8" w:rsidRPr="00E359BF" w14:paraId="7F288306" w14:textId="77777777" w:rsidTr="00B47AE8">
        <w:trPr>
          <w:jc w:val="center"/>
        </w:trPr>
        <w:tc>
          <w:tcPr>
            <w:tcW w:w="1432" w:type="dxa"/>
            <w:shd w:val="clear" w:color="auto" w:fill="D9E2F3" w:themeFill="accent5" w:themeFillTint="33"/>
          </w:tcPr>
          <w:p w14:paraId="5493CAA8" w14:textId="77777777" w:rsidR="00B47AE8" w:rsidRPr="00E359BF" w:rsidRDefault="00B47AE8">
            <w:pPr>
              <w:pStyle w:val="TableSubheadingCentered"/>
            </w:pPr>
          </w:p>
        </w:tc>
        <w:tc>
          <w:tcPr>
            <w:tcW w:w="874" w:type="dxa"/>
            <w:shd w:val="clear" w:color="auto" w:fill="D9E2F3" w:themeFill="accent5" w:themeFillTint="33"/>
          </w:tcPr>
          <w:p w14:paraId="44D268DF" w14:textId="77777777" w:rsidR="00B47AE8" w:rsidRPr="00E359BF" w:rsidRDefault="00B47AE8">
            <w:pPr>
              <w:pStyle w:val="TableSubheadingCentered"/>
            </w:pPr>
            <w:r w:rsidRPr="00E359BF">
              <w:t>1</w:t>
            </w:r>
          </w:p>
        </w:tc>
        <w:tc>
          <w:tcPr>
            <w:tcW w:w="874" w:type="dxa"/>
            <w:shd w:val="clear" w:color="auto" w:fill="D9E2F3" w:themeFill="accent5" w:themeFillTint="33"/>
          </w:tcPr>
          <w:p w14:paraId="570E04AF" w14:textId="77777777" w:rsidR="00B47AE8" w:rsidRPr="00E359BF" w:rsidRDefault="00B47AE8">
            <w:pPr>
              <w:pStyle w:val="TableSubheadingCentered"/>
            </w:pPr>
            <w:r w:rsidRPr="00E359BF">
              <w:t>2</w:t>
            </w:r>
          </w:p>
        </w:tc>
        <w:tc>
          <w:tcPr>
            <w:tcW w:w="874" w:type="dxa"/>
            <w:shd w:val="clear" w:color="auto" w:fill="D9E2F3" w:themeFill="accent5" w:themeFillTint="33"/>
          </w:tcPr>
          <w:p w14:paraId="4FD686F7" w14:textId="77777777" w:rsidR="00B47AE8" w:rsidRPr="00E359BF" w:rsidRDefault="00B47AE8">
            <w:pPr>
              <w:pStyle w:val="TableSubheadingCentered"/>
            </w:pPr>
            <w:r w:rsidRPr="00E359BF">
              <w:t>3</w:t>
            </w:r>
          </w:p>
        </w:tc>
        <w:tc>
          <w:tcPr>
            <w:tcW w:w="875" w:type="dxa"/>
            <w:shd w:val="clear" w:color="auto" w:fill="D9E2F3" w:themeFill="accent5" w:themeFillTint="33"/>
          </w:tcPr>
          <w:p w14:paraId="74047FF4" w14:textId="77777777" w:rsidR="00B47AE8" w:rsidRPr="00E359BF" w:rsidRDefault="00B47AE8">
            <w:pPr>
              <w:pStyle w:val="TableSubheadingCentered"/>
            </w:pPr>
            <w:r w:rsidRPr="00E359BF">
              <w:t>4</w:t>
            </w:r>
          </w:p>
        </w:tc>
        <w:tc>
          <w:tcPr>
            <w:tcW w:w="874" w:type="dxa"/>
            <w:shd w:val="clear" w:color="auto" w:fill="D9E2F3" w:themeFill="accent5" w:themeFillTint="33"/>
          </w:tcPr>
          <w:p w14:paraId="6BADA5C1" w14:textId="77777777" w:rsidR="00B47AE8" w:rsidRPr="00E359BF" w:rsidRDefault="00B47AE8">
            <w:pPr>
              <w:pStyle w:val="TableSubheadingCentered"/>
            </w:pPr>
            <w:r w:rsidRPr="00E359BF">
              <w:t>5</w:t>
            </w:r>
          </w:p>
        </w:tc>
        <w:tc>
          <w:tcPr>
            <w:tcW w:w="874" w:type="dxa"/>
            <w:shd w:val="clear" w:color="auto" w:fill="D9E2F3" w:themeFill="accent5" w:themeFillTint="33"/>
          </w:tcPr>
          <w:p w14:paraId="7FBCCF86" w14:textId="77777777" w:rsidR="00B47AE8" w:rsidRPr="00E359BF" w:rsidRDefault="00B47AE8">
            <w:pPr>
              <w:pStyle w:val="TableSubheadingCentered"/>
            </w:pPr>
            <w:r w:rsidRPr="00E359BF">
              <w:t>6</w:t>
            </w:r>
          </w:p>
        </w:tc>
        <w:tc>
          <w:tcPr>
            <w:tcW w:w="875" w:type="dxa"/>
            <w:shd w:val="clear" w:color="auto" w:fill="D9E2F3" w:themeFill="accent5" w:themeFillTint="33"/>
          </w:tcPr>
          <w:p w14:paraId="097255F9" w14:textId="77777777" w:rsidR="00B47AE8" w:rsidRPr="00E359BF" w:rsidRDefault="00B47AE8">
            <w:pPr>
              <w:pStyle w:val="TableSubheadingCentered"/>
            </w:pPr>
            <w:r w:rsidRPr="00E359BF">
              <w:t>7</w:t>
            </w:r>
          </w:p>
        </w:tc>
        <w:tc>
          <w:tcPr>
            <w:tcW w:w="900" w:type="dxa"/>
            <w:shd w:val="clear" w:color="auto" w:fill="D9E2F3" w:themeFill="accent5" w:themeFillTint="33"/>
          </w:tcPr>
          <w:p w14:paraId="0258E28A" w14:textId="77777777" w:rsidR="00B47AE8" w:rsidRPr="00E359BF" w:rsidRDefault="00B47AE8">
            <w:pPr>
              <w:pStyle w:val="TableSubheadingCentered"/>
            </w:pPr>
            <w:r>
              <w:t>98</w:t>
            </w:r>
          </w:p>
        </w:tc>
        <w:tc>
          <w:tcPr>
            <w:tcW w:w="892" w:type="dxa"/>
            <w:shd w:val="clear" w:color="auto" w:fill="D9E2F3" w:themeFill="accent5" w:themeFillTint="33"/>
          </w:tcPr>
          <w:p w14:paraId="26F77AA3" w14:textId="77777777" w:rsidR="00B47AE8" w:rsidRPr="00E359BF" w:rsidRDefault="00B47AE8">
            <w:pPr>
              <w:pStyle w:val="TableSubheadingCentered"/>
            </w:pPr>
            <w:r>
              <w:t>5.1</w:t>
            </w:r>
          </w:p>
        </w:tc>
      </w:tr>
      <w:tr w:rsidR="00B47AE8" w:rsidRPr="00E359BF" w14:paraId="6FFA1C4D" w14:textId="77777777" w:rsidTr="00B47AE8">
        <w:trPr>
          <w:jc w:val="center"/>
        </w:trPr>
        <w:tc>
          <w:tcPr>
            <w:tcW w:w="1432" w:type="dxa"/>
          </w:tcPr>
          <w:p w14:paraId="50377CC8" w14:textId="77777777" w:rsidR="00B47AE8" w:rsidRPr="00E359BF" w:rsidRDefault="00B47AE8">
            <w:pPr>
              <w:pStyle w:val="TableText"/>
            </w:pPr>
            <w:r>
              <w:t>Grades K-5</w:t>
            </w:r>
          </w:p>
        </w:tc>
        <w:tc>
          <w:tcPr>
            <w:tcW w:w="874" w:type="dxa"/>
          </w:tcPr>
          <w:p w14:paraId="7BBAEB61" w14:textId="77777777" w:rsidR="00B47AE8" w:rsidRPr="00E359BF" w:rsidRDefault="00B47AE8">
            <w:pPr>
              <w:pStyle w:val="TableTextCentered"/>
              <w:rPr>
                <w:rFonts w:eastAsia="Times New Roman"/>
              </w:rPr>
            </w:pPr>
            <w:r>
              <w:rPr>
                <w:rFonts w:eastAsia="Times New Roman"/>
              </w:rPr>
              <w:t>1</w:t>
            </w:r>
          </w:p>
        </w:tc>
        <w:tc>
          <w:tcPr>
            <w:tcW w:w="874" w:type="dxa"/>
          </w:tcPr>
          <w:p w14:paraId="4CE4E990" w14:textId="77777777" w:rsidR="00B47AE8" w:rsidRPr="00E359BF" w:rsidRDefault="00B47AE8">
            <w:pPr>
              <w:pStyle w:val="TableTextCentered"/>
              <w:rPr>
                <w:rFonts w:eastAsia="Times New Roman"/>
              </w:rPr>
            </w:pPr>
            <w:r>
              <w:rPr>
                <w:rFonts w:eastAsia="Times New Roman"/>
              </w:rPr>
              <w:t>0</w:t>
            </w:r>
          </w:p>
        </w:tc>
        <w:tc>
          <w:tcPr>
            <w:tcW w:w="874" w:type="dxa"/>
          </w:tcPr>
          <w:p w14:paraId="04E126F0" w14:textId="77777777" w:rsidR="00B47AE8" w:rsidRPr="00E359BF" w:rsidRDefault="00B47AE8">
            <w:pPr>
              <w:pStyle w:val="TableTextCentered"/>
              <w:rPr>
                <w:rFonts w:eastAsia="Times New Roman"/>
              </w:rPr>
            </w:pPr>
            <w:r>
              <w:rPr>
                <w:rFonts w:eastAsia="Times New Roman"/>
              </w:rPr>
              <w:t>4</w:t>
            </w:r>
          </w:p>
        </w:tc>
        <w:tc>
          <w:tcPr>
            <w:tcW w:w="875" w:type="dxa"/>
          </w:tcPr>
          <w:p w14:paraId="4C9F6EB3" w14:textId="77777777" w:rsidR="00B47AE8" w:rsidRPr="00E359BF" w:rsidRDefault="00B47AE8">
            <w:pPr>
              <w:pStyle w:val="TableTextCentered"/>
              <w:rPr>
                <w:rFonts w:eastAsia="Times New Roman"/>
              </w:rPr>
            </w:pPr>
            <w:r>
              <w:rPr>
                <w:rFonts w:eastAsia="Times New Roman"/>
              </w:rPr>
              <w:t>3</w:t>
            </w:r>
          </w:p>
        </w:tc>
        <w:tc>
          <w:tcPr>
            <w:tcW w:w="874" w:type="dxa"/>
          </w:tcPr>
          <w:p w14:paraId="1B6694A2" w14:textId="77777777" w:rsidR="00B47AE8" w:rsidRPr="00E359BF" w:rsidRDefault="00B47AE8">
            <w:pPr>
              <w:pStyle w:val="TableTextCentered"/>
              <w:rPr>
                <w:rFonts w:eastAsia="Times New Roman"/>
              </w:rPr>
            </w:pPr>
            <w:r>
              <w:rPr>
                <w:rFonts w:eastAsia="Times New Roman"/>
              </w:rPr>
              <w:t>16</w:t>
            </w:r>
          </w:p>
        </w:tc>
        <w:tc>
          <w:tcPr>
            <w:tcW w:w="874" w:type="dxa"/>
          </w:tcPr>
          <w:p w14:paraId="4960C8E4" w14:textId="77777777" w:rsidR="00B47AE8" w:rsidRPr="00E359BF" w:rsidRDefault="00B47AE8">
            <w:pPr>
              <w:pStyle w:val="TableTextCentered"/>
              <w:rPr>
                <w:rFonts w:eastAsia="Times New Roman"/>
              </w:rPr>
            </w:pPr>
            <w:r>
              <w:rPr>
                <w:rFonts w:eastAsia="Times New Roman"/>
              </w:rPr>
              <w:t>14</w:t>
            </w:r>
          </w:p>
        </w:tc>
        <w:tc>
          <w:tcPr>
            <w:tcW w:w="875" w:type="dxa"/>
          </w:tcPr>
          <w:p w14:paraId="2107BBF4" w14:textId="77777777" w:rsidR="00B47AE8" w:rsidRPr="00E359BF" w:rsidRDefault="00B47AE8">
            <w:pPr>
              <w:pStyle w:val="TableTextCentered"/>
              <w:rPr>
                <w:rFonts w:eastAsia="Times New Roman"/>
              </w:rPr>
            </w:pPr>
            <w:r>
              <w:rPr>
                <w:rFonts w:eastAsia="Times New Roman"/>
              </w:rPr>
              <w:t>5</w:t>
            </w:r>
          </w:p>
        </w:tc>
        <w:tc>
          <w:tcPr>
            <w:tcW w:w="900" w:type="dxa"/>
          </w:tcPr>
          <w:p w14:paraId="40C25369" w14:textId="77777777" w:rsidR="00B47AE8" w:rsidRPr="00E359BF" w:rsidRDefault="00B47AE8">
            <w:pPr>
              <w:pStyle w:val="TableTextCentered"/>
              <w:rPr>
                <w:rFonts w:eastAsia="Times New Roman"/>
              </w:rPr>
            </w:pPr>
            <w:r>
              <w:rPr>
                <w:rFonts w:eastAsia="Times New Roman"/>
              </w:rPr>
              <w:t>43</w:t>
            </w:r>
          </w:p>
        </w:tc>
        <w:tc>
          <w:tcPr>
            <w:tcW w:w="892" w:type="dxa"/>
          </w:tcPr>
          <w:p w14:paraId="7A06BFD4" w14:textId="77777777" w:rsidR="00B47AE8" w:rsidRPr="00E359BF" w:rsidRDefault="00B47AE8">
            <w:pPr>
              <w:pStyle w:val="TableTextCentered"/>
              <w:rPr>
                <w:rFonts w:eastAsia="Times New Roman"/>
              </w:rPr>
            </w:pPr>
            <w:r>
              <w:rPr>
                <w:rFonts w:eastAsia="Times New Roman"/>
              </w:rPr>
              <w:t>5.2</w:t>
            </w:r>
          </w:p>
        </w:tc>
      </w:tr>
      <w:tr w:rsidR="00B47AE8" w:rsidRPr="00E359BF" w14:paraId="4F28E0C5" w14:textId="77777777" w:rsidTr="00B47AE8">
        <w:trPr>
          <w:jc w:val="center"/>
        </w:trPr>
        <w:tc>
          <w:tcPr>
            <w:tcW w:w="1432" w:type="dxa"/>
          </w:tcPr>
          <w:p w14:paraId="691CB294" w14:textId="77777777" w:rsidR="00B47AE8" w:rsidRPr="00E359BF" w:rsidRDefault="00B47AE8">
            <w:pPr>
              <w:pStyle w:val="TableText"/>
            </w:pPr>
            <w:r>
              <w:t>Grades 6-8</w:t>
            </w:r>
          </w:p>
        </w:tc>
        <w:tc>
          <w:tcPr>
            <w:tcW w:w="874" w:type="dxa"/>
          </w:tcPr>
          <w:p w14:paraId="0CFBB44E" w14:textId="77777777" w:rsidR="00B47AE8" w:rsidRPr="00E359BF" w:rsidRDefault="00B47AE8">
            <w:pPr>
              <w:pStyle w:val="TableTextCentered"/>
              <w:rPr>
                <w:rFonts w:eastAsia="Times New Roman"/>
              </w:rPr>
            </w:pPr>
            <w:r>
              <w:rPr>
                <w:rFonts w:eastAsia="Times New Roman"/>
              </w:rPr>
              <w:t>0</w:t>
            </w:r>
          </w:p>
        </w:tc>
        <w:tc>
          <w:tcPr>
            <w:tcW w:w="874" w:type="dxa"/>
          </w:tcPr>
          <w:p w14:paraId="2F40D453" w14:textId="77777777" w:rsidR="00B47AE8" w:rsidRPr="00E359BF" w:rsidRDefault="00B47AE8">
            <w:pPr>
              <w:pStyle w:val="TableTextCentered"/>
              <w:rPr>
                <w:rFonts w:eastAsia="Times New Roman"/>
              </w:rPr>
            </w:pPr>
            <w:r>
              <w:rPr>
                <w:rFonts w:eastAsia="Times New Roman"/>
              </w:rPr>
              <w:t>0</w:t>
            </w:r>
          </w:p>
        </w:tc>
        <w:tc>
          <w:tcPr>
            <w:tcW w:w="874" w:type="dxa"/>
          </w:tcPr>
          <w:p w14:paraId="651E52A3" w14:textId="77777777" w:rsidR="00B47AE8" w:rsidRPr="00E359BF" w:rsidRDefault="00B47AE8">
            <w:pPr>
              <w:pStyle w:val="TableTextCentered"/>
              <w:rPr>
                <w:rFonts w:eastAsia="Times New Roman"/>
              </w:rPr>
            </w:pPr>
            <w:r>
              <w:rPr>
                <w:rFonts w:eastAsia="Times New Roman"/>
              </w:rPr>
              <w:t>2</w:t>
            </w:r>
          </w:p>
        </w:tc>
        <w:tc>
          <w:tcPr>
            <w:tcW w:w="875" w:type="dxa"/>
          </w:tcPr>
          <w:p w14:paraId="575512ED" w14:textId="77777777" w:rsidR="00B47AE8" w:rsidRPr="00E359BF" w:rsidRDefault="00B47AE8">
            <w:pPr>
              <w:pStyle w:val="TableTextCentered"/>
              <w:rPr>
                <w:rFonts w:eastAsia="Times New Roman"/>
              </w:rPr>
            </w:pPr>
            <w:r>
              <w:rPr>
                <w:rFonts w:eastAsia="Times New Roman"/>
              </w:rPr>
              <w:t>2</w:t>
            </w:r>
          </w:p>
        </w:tc>
        <w:tc>
          <w:tcPr>
            <w:tcW w:w="874" w:type="dxa"/>
          </w:tcPr>
          <w:p w14:paraId="75C3F486" w14:textId="77777777" w:rsidR="00B47AE8" w:rsidRPr="00E359BF" w:rsidRDefault="00B47AE8">
            <w:pPr>
              <w:pStyle w:val="TableTextCentered"/>
              <w:rPr>
                <w:rFonts w:eastAsia="Times New Roman"/>
              </w:rPr>
            </w:pPr>
            <w:r>
              <w:rPr>
                <w:rFonts w:eastAsia="Times New Roman"/>
              </w:rPr>
              <w:t>8</w:t>
            </w:r>
          </w:p>
        </w:tc>
        <w:tc>
          <w:tcPr>
            <w:tcW w:w="874" w:type="dxa"/>
          </w:tcPr>
          <w:p w14:paraId="79889E21" w14:textId="77777777" w:rsidR="00B47AE8" w:rsidRPr="00E359BF" w:rsidRDefault="00B47AE8">
            <w:pPr>
              <w:pStyle w:val="TableTextCentered"/>
              <w:rPr>
                <w:rFonts w:eastAsia="Times New Roman"/>
              </w:rPr>
            </w:pPr>
            <w:r>
              <w:rPr>
                <w:rFonts w:eastAsia="Times New Roman"/>
              </w:rPr>
              <w:t>7</w:t>
            </w:r>
          </w:p>
        </w:tc>
        <w:tc>
          <w:tcPr>
            <w:tcW w:w="875" w:type="dxa"/>
          </w:tcPr>
          <w:p w14:paraId="09275619" w14:textId="77777777" w:rsidR="00B47AE8" w:rsidRPr="00E359BF" w:rsidRDefault="00B47AE8">
            <w:pPr>
              <w:pStyle w:val="TableTextCentered"/>
              <w:rPr>
                <w:rFonts w:eastAsia="Times New Roman"/>
              </w:rPr>
            </w:pPr>
            <w:r>
              <w:rPr>
                <w:rFonts w:eastAsia="Times New Roman"/>
              </w:rPr>
              <w:t>4</w:t>
            </w:r>
          </w:p>
        </w:tc>
        <w:tc>
          <w:tcPr>
            <w:tcW w:w="900" w:type="dxa"/>
          </w:tcPr>
          <w:p w14:paraId="451EA52B" w14:textId="77777777" w:rsidR="00B47AE8" w:rsidRPr="00E359BF" w:rsidRDefault="00B47AE8">
            <w:pPr>
              <w:pStyle w:val="TableTextCentered"/>
              <w:rPr>
                <w:rFonts w:eastAsia="Times New Roman"/>
              </w:rPr>
            </w:pPr>
            <w:r>
              <w:rPr>
                <w:rFonts w:eastAsia="Times New Roman"/>
              </w:rPr>
              <w:t>23</w:t>
            </w:r>
          </w:p>
        </w:tc>
        <w:tc>
          <w:tcPr>
            <w:tcW w:w="892" w:type="dxa"/>
          </w:tcPr>
          <w:p w14:paraId="43B34347" w14:textId="77777777" w:rsidR="00B47AE8" w:rsidRPr="00E359BF" w:rsidRDefault="00B47AE8">
            <w:pPr>
              <w:pStyle w:val="TableTextCentered"/>
              <w:rPr>
                <w:rFonts w:eastAsia="Times New Roman"/>
              </w:rPr>
            </w:pPr>
            <w:r>
              <w:rPr>
                <w:rFonts w:eastAsia="Times New Roman"/>
              </w:rPr>
              <w:t>5.4</w:t>
            </w:r>
          </w:p>
        </w:tc>
      </w:tr>
      <w:tr w:rsidR="00B47AE8" w:rsidRPr="00E359BF" w14:paraId="747C92F0" w14:textId="77777777" w:rsidTr="00B47AE8">
        <w:trPr>
          <w:jc w:val="center"/>
        </w:trPr>
        <w:tc>
          <w:tcPr>
            <w:tcW w:w="1432" w:type="dxa"/>
          </w:tcPr>
          <w:p w14:paraId="6E43C792" w14:textId="77777777" w:rsidR="00B47AE8" w:rsidRPr="00E359BF" w:rsidRDefault="00B47AE8">
            <w:pPr>
              <w:pStyle w:val="TableText"/>
            </w:pPr>
            <w:r>
              <w:t>Grades 9-12</w:t>
            </w:r>
          </w:p>
        </w:tc>
        <w:tc>
          <w:tcPr>
            <w:tcW w:w="874" w:type="dxa"/>
          </w:tcPr>
          <w:p w14:paraId="394C1C5B" w14:textId="77777777" w:rsidR="00B47AE8" w:rsidRPr="00E359BF" w:rsidRDefault="00B47AE8">
            <w:pPr>
              <w:pStyle w:val="TableTextCentered"/>
              <w:rPr>
                <w:rFonts w:eastAsia="Times New Roman"/>
              </w:rPr>
            </w:pPr>
            <w:r>
              <w:rPr>
                <w:rFonts w:eastAsia="Times New Roman"/>
              </w:rPr>
              <w:t>0</w:t>
            </w:r>
          </w:p>
        </w:tc>
        <w:tc>
          <w:tcPr>
            <w:tcW w:w="874" w:type="dxa"/>
          </w:tcPr>
          <w:p w14:paraId="37E8B3B0" w14:textId="77777777" w:rsidR="00B47AE8" w:rsidRPr="00E359BF" w:rsidRDefault="00B47AE8">
            <w:pPr>
              <w:pStyle w:val="TableTextCentered"/>
              <w:rPr>
                <w:rFonts w:eastAsia="Times New Roman"/>
              </w:rPr>
            </w:pPr>
            <w:r>
              <w:rPr>
                <w:rFonts w:eastAsia="Times New Roman"/>
              </w:rPr>
              <w:t>0</w:t>
            </w:r>
          </w:p>
        </w:tc>
        <w:tc>
          <w:tcPr>
            <w:tcW w:w="874" w:type="dxa"/>
          </w:tcPr>
          <w:p w14:paraId="75423E9A" w14:textId="77777777" w:rsidR="00B47AE8" w:rsidRPr="00E359BF" w:rsidRDefault="00B47AE8">
            <w:pPr>
              <w:pStyle w:val="TableTextCentered"/>
              <w:rPr>
                <w:rFonts w:eastAsia="Times New Roman"/>
              </w:rPr>
            </w:pPr>
            <w:r>
              <w:rPr>
                <w:rFonts w:eastAsia="Times New Roman"/>
              </w:rPr>
              <w:t>4</w:t>
            </w:r>
          </w:p>
        </w:tc>
        <w:tc>
          <w:tcPr>
            <w:tcW w:w="875" w:type="dxa"/>
          </w:tcPr>
          <w:p w14:paraId="096887B8" w14:textId="77777777" w:rsidR="00B47AE8" w:rsidRPr="00E359BF" w:rsidRDefault="00B47AE8">
            <w:pPr>
              <w:pStyle w:val="TableTextCentered"/>
              <w:rPr>
                <w:rFonts w:eastAsia="Times New Roman"/>
              </w:rPr>
            </w:pPr>
            <w:r>
              <w:rPr>
                <w:rFonts w:eastAsia="Times New Roman"/>
              </w:rPr>
              <w:t>11</w:t>
            </w:r>
          </w:p>
        </w:tc>
        <w:tc>
          <w:tcPr>
            <w:tcW w:w="874" w:type="dxa"/>
          </w:tcPr>
          <w:p w14:paraId="0A2B555F" w14:textId="77777777" w:rsidR="00B47AE8" w:rsidRPr="00E359BF" w:rsidRDefault="00B47AE8">
            <w:pPr>
              <w:pStyle w:val="TableTextCentered"/>
              <w:rPr>
                <w:rFonts w:eastAsia="Times New Roman"/>
              </w:rPr>
            </w:pPr>
            <w:r>
              <w:rPr>
                <w:rFonts w:eastAsia="Times New Roman"/>
              </w:rPr>
              <w:t>11</w:t>
            </w:r>
          </w:p>
        </w:tc>
        <w:tc>
          <w:tcPr>
            <w:tcW w:w="874" w:type="dxa"/>
          </w:tcPr>
          <w:p w14:paraId="3B76C17A" w14:textId="77777777" w:rsidR="00B47AE8" w:rsidRPr="00E359BF" w:rsidRDefault="00B47AE8">
            <w:pPr>
              <w:pStyle w:val="TableTextCentered"/>
              <w:rPr>
                <w:rFonts w:eastAsia="Times New Roman"/>
              </w:rPr>
            </w:pPr>
            <w:r>
              <w:rPr>
                <w:rFonts w:eastAsia="Times New Roman"/>
              </w:rPr>
              <w:t>4</w:t>
            </w:r>
          </w:p>
        </w:tc>
        <w:tc>
          <w:tcPr>
            <w:tcW w:w="875" w:type="dxa"/>
          </w:tcPr>
          <w:p w14:paraId="55E9465A" w14:textId="77777777" w:rsidR="00B47AE8" w:rsidRPr="00E359BF" w:rsidRDefault="00B47AE8">
            <w:pPr>
              <w:pStyle w:val="TableTextCentered"/>
              <w:rPr>
                <w:rFonts w:eastAsia="Times New Roman"/>
              </w:rPr>
            </w:pPr>
            <w:r>
              <w:rPr>
                <w:rFonts w:eastAsia="Times New Roman"/>
              </w:rPr>
              <w:t>2</w:t>
            </w:r>
          </w:p>
        </w:tc>
        <w:tc>
          <w:tcPr>
            <w:tcW w:w="900" w:type="dxa"/>
          </w:tcPr>
          <w:p w14:paraId="713CCD26" w14:textId="77777777" w:rsidR="00B47AE8" w:rsidRPr="00E359BF" w:rsidRDefault="00B47AE8">
            <w:pPr>
              <w:pStyle w:val="TableTextCentered"/>
              <w:rPr>
                <w:rFonts w:eastAsia="Times New Roman"/>
              </w:rPr>
            </w:pPr>
            <w:r>
              <w:rPr>
                <w:rFonts w:eastAsia="Times New Roman"/>
              </w:rPr>
              <w:t>32</w:t>
            </w:r>
          </w:p>
        </w:tc>
        <w:tc>
          <w:tcPr>
            <w:tcW w:w="892" w:type="dxa"/>
          </w:tcPr>
          <w:p w14:paraId="44971E92" w14:textId="77777777" w:rsidR="00B47AE8" w:rsidRPr="00E359BF" w:rsidRDefault="00B47AE8">
            <w:pPr>
              <w:pStyle w:val="TableTextCentered"/>
              <w:rPr>
                <w:rFonts w:eastAsia="Times New Roman"/>
              </w:rPr>
            </w:pPr>
            <w:r>
              <w:rPr>
                <w:rFonts w:eastAsia="Times New Roman"/>
              </w:rPr>
              <w:t>4.7</w:t>
            </w:r>
          </w:p>
        </w:tc>
      </w:tr>
    </w:tbl>
    <w:bookmarkEnd w:id="119"/>
    <w:p w14:paraId="6A1E0176" w14:textId="77777777" w:rsidR="00B47AE8" w:rsidRPr="00BC09E0" w:rsidRDefault="00B47AE8">
      <w:pPr>
        <w:pStyle w:val="TableNote"/>
      </w:pPr>
      <w:r w:rsidRPr="00A96DD7">
        <w:t xml:space="preserve">*The district average is an average of the observation scores. In Table 9, the district average is computed as: </w:t>
      </w:r>
      <w:r w:rsidRPr="00A96DD7">
        <w:br/>
      </w:r>
      <w:bookmarkStart w:id="120" w:name="Dist_ILF_Calc"/>
      <w:r>
        <w:t>([1 x 1] + [3 x 10] + [4 x 16] + [5 x 35] + [6 x 25] + [7 x 11]) ÷ 98 observations = 5.1</w:t>
      </w:r>
      <w:bookmarkEnd w:id="120"/>
    </w:p>
    <w:p w14:paraId="1C2B0AE0" w14:textId="77777777" w:rsidR="00B47AE8" w:rsidRPr="00BC09E0" w:rsidRDefault="00B47AE8">
      <w:pPr>
        <w:pStyle w:val="BodyText"/>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3A4CE248" w14:textId="77777777" w:rsidR="00B47AE8" w:rsidRPr="00BC09E0" w:rsidRDefault="00B47AE8">
      <w:pPr>
        <w:pStyle w:val="BodyText"/>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3291B2C2" w14:textId="77777777" w:rsidR="00B47AE8" w:rsidRDefault="00B47AE8">
      <w:pPr>
        <w:pStyle w:val="BodyText"/>
      </w:pPr>
      <w:r w:rsidRPr="00524A30">
        <w:rPr>
          <w:rStyle w:val="BodyTextDemiChar"/>
        </w:rPr>
        <w:t>Ratings in the High Range.</w:t>
      </w:r>
      <w:r w:rsidRPr="00BC09E0">
        <w:rPr>
          <w:b/>
        </w:rPr>
        <w:t xml:space="preserve"> </w:t>
      </w:r>
      <w:r w:rsidRPr="00BC09E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1A8384B6" w14:textId="77777777" w:rsidR="00B47AE8" w:rsidRPr="00BC09E0" w:rsidRDefault="00B47AE8">
      <w:pPr>
        <w:pStyle w:val="Heading2-SIOR"/>
      </w:pPr>
      <w:bookmarkStart w:id="121" w:name="_Toc411329833"/>
      <w:bookmarkStart w:id="122" w:name="_Toc430114882"/>
      <w:bookmarkStart w:id="123" w:name="_Toc92194261"/>
      <w:r w:rsidRPr="00BC09E0">
        <w:lastRenderedPageBreak/>
        <w:t>Concept Development</w:t>
      </w:r>
      <w:bookmarkEnd w:id="121"/>
      <w:bookmarkEnd w:id="122"/>
      <w:bookmarkEnd w:id="123"/>
    </w:p>
    <w:p w14:paraId="4286F17D" w14:textId="77777777" w:rsidR="00B47AE8" w:rsidRPr="00BC09E0" w:rsidRDefault="00B47AE8">
      <w:pPr>
        <w:pStyle w:val="BodyTextDomain"/>
      </w:pPr>
      <w:r w:rsidRPr="00BC09E0">
        <w:t xml:space="preserve">Instructional Support domain, </w:t>
      </w:r>
      <w:r>
        <w:t>G</w:t>
      </w:r>
      <w:r w:rsidRPr="00BC09E0">
        <w:t xml:space="preserve">rades </w:t>
      </w:r>
      <w:r>
        <w:t>K</w:t>
      </w:r>
      <w:r w:rsidRPr="00BC09E0">
        <w:rPr>
          <w:rFonts w:ascii="Vijaya" w:hAnsi="Vijaya" w:cs="Vijaya"/>
        </w:rPr>
        <w:t>−</w:t>
      </w:r>
      <w:r w:rsidRPr="00BC09E0">
        <w:t xml:space="preserve">3 </w:t>
      </w:r>
    </w:p>
    <w:p w14:paraId="4DEB2B2A" w14:textId="77777777" w:rsidR="00B47AE8" w:rsidRPr="00524A30" w:rsidRDefault="00B47AE8">
      <w:pPr>
        <w:pStyle w:val="BodyText"/>
        <w:rPr>
          <w:spacing w:val="-2"/>
        </w:rPr>
      </w:pPr>
      <w:r w:rsidRPr="00524A30">
        <w:rPr>
          <w:spacing w:val="-2"/>
        </w:rPr>
        <w:t>Concept Development refers to the teacher’s use of instructional discussions and activities to promote students’ higher order thinking skills and cognition and the teacher’s focus on understanding rather than on rote instruction (</w:t>
      </w:r>
      <w:r w:rsidRPr="00524A30">
        <w:rPr>
          <w:i/>
          <w:spacing w:val="-2"/>
        </w:rPr>
        <w:t>CLASS K–3 Manual</w:t>
      </w:r>
      <w:r w:rsidRPr="00524A30">
        <w:rPr>
          <w:spacing w:val="-2"/>
        </w:rPr>
        <w:t>, p. 64).</w:t>
      </w:r>
    </w:p>
    <w:p w14:paraId="51E3D388" w14:textId="77777777" w:rsidR="00B47AE8" w:rsidRPr="00BC09E0" w:rsidRDefault="00B47AE8">
      <w:pPr>
        <w:pStyle w:val="TableTitle0"/>
      </w:pPr>
      <w:r w:rsidRPr="00BC09E0">
        <w:t xml:space="preserve">Table 10. Concept Development: Number of Classrooms for Each Rating </w:t>
      </w:r>
      <w:r w:rsidRPr="00A96DD7">
        <w:t>and District Average</w:t>
      </w:r>
    </w:p>
    <w:p w14:paraId="2C36EA1D" w14:textId="77777777" w:rsidR="00B47AE8" w:rsidRDefault="00B47AE8">
      <w:pPr>
        <w:pStyle w:val="BodyTextDemi"/>
      </w:pPr>
      <w:r w:rsidRPr="00A96DD7">
        <w:t xml:space="preserve">Concept Development District Average*: </w:t>
      </w:r>
      <w:bookmarkStart w:id="124" w:name="Dist_CD_Avg"/>
      <w:r>
        <w:t>2.8</w:t>
      </w:r>
      <w:bookmarkEnd w:id="12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6A301A7F"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1C02EFB" w14:textId="77777777" w:rsidR="00B47AE8" w:rsidRPr="00E359BF" w:rsidRDefault="00B47AE8">
            <w:pPr>
              <w:pStyle w:val="TableColHeadingCenter"/>
              <w:rPr>
                <w:rFonts w:eastAsia="MS Mincho"/>
              </w:rPr>
            </w:pPr>
            <w:bookmarkStart w:id="125" w:name="Tbl_CD"/>
            <w:r>
              <w:rPr>
                <w:rFonts w:eastAsia="MS Mincho"/>
              </w:rPr>
              <w:t>Grade Band</w:t>
            </w:r>
          </w:p>
        </w:tc>
        <w:tc>
          <w:tcPr>
            <w:tcW w:w="1748" w:type="dxa"/>
            <w:gridSpan w:val="2"/>
          </w:tcPr>
          <w:p w14:paraId="54D721DB"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5C3AC41F"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5582B2E0"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12151E82" w14:textId="77777777" w:rsidR="00B47AE8" w:rsidRPr="00E359BF" w:rsidRDefault="00B47AE8">
            <w:pPr>
              <w:pStyle w:val="TableColHeadingCenter"/>
              <w:rPr>
                <w:rFonts w:eastAsia="MS Mincho"/>
              </w:rPr>
            </w:pPr>
            <w:r>
              <w:rPr>
                <w:rFonts w:eastAsia="MS Mincho"/>
              </w:rPr>
              <w:t>n</w:t>
            </w:r>
          </w:p>
        </w:tc>
        <w:tc>
          <w:tcPr>
            <w:tcW w:w="892" w:type="dxa"/>
          </w:tcPr>
          <w:p w14:paraId="4F40209E" w14:textId="77777777" w:rsidR="00B47AE8" w:rsidRPr="00E359BF" w:rsidRDefault="00B47AE8">
            <w:pPr>
              <w:pStyle w:val="TableColHeadingCenter"/>
              <w:rPr>
                <w:rFonts w:eastAsia="MS Mincho"/>
              </w:rPr>
            </w:pPr>
            <w:r>
              <w:rPr>
                <w:rFonts w:eastAsia="MS Mincho"/>
              </w:rPr>
              <w:t>Average</w:t>
            </w:r>
          </w:p>
        </w:tc>
      </w:tr>
      <w:tr w:rsidR="00B47AE8" w:rsidRPr="00E359BF" w14:paraId="589379F8" w14:textId="77777777" w:rsidTr="00B47AE8">
        <w:trPr>
          <w:jc w:val="center"/>
        </w:trPr>
        <w:tc>
          <w:tcPr>
            <w:tcW w:w="1432" w:type="dxa"/>
            <w:shd w:val="clear" w:color="auto" w:fill="D9E2F3" w:themeFill="accent5" w:themeFillTint="33"/>
          </w:tcPr>
          <w:p w14:paraId="527576D1" w14:textId="77777777" w:rsidR="00B47AE8" w:rsidRPr="00E359BF" w:rsidRDefault="00B47AE8">
            <w:pPr>
              <w:pStyle w:val="TableSubheadingCentered"/>
            </w:pPr>
          </w:p>
        </w:tc>
        <w:tc>
          <w:tcPr>
            <w:tcW w:w="874" w:type="dxa"/>
            <w:shd w:val="clear" w:color="auto" w:fill="D9E2F3" w:themeFill="accent5" w:themeFillTint="33"/>
          </w:tcPr>
          <w:p w14:paraId="7F5C135A" w14:textId="77777777" w:rsidR="00B47AE8" w:rsidRPr="00E359BF" w:rsidRDefault="00B47AE8">
            <w:pPr>
              <w:pStyle w:val="TableSubheadingCentered"/>
            </w:pPr>
            <w:r w:rsidRPr="00E359BF">
              <w:t>1</w:t>
            </w:r>
          </w:p>
        </w:tc>
        <w:tc>
          <w:tcPr>
            <w:tcW w:w="874" w:type="dxa"/>
            <w:shd w:val="clear" w:color="auto" w:fill="D9E2F3" w:themeFill="accent5" w:themeFillTint="33"/>
          </w:tcPr>
          <w:p w14:paraId="0A5F6553" w14:textId="77777777" w:rsidR="00B47AE8" w:rsidRPr="00E359BF" w:rsidRDefault="00B47AE8">
            <w:pPr>
              <w:pStyle w:val="TableSubheadingCentered"/>
            </w:pPr>
            <w:r w:rsidRPr="00E359BF">
              <w:t>2</w:t>
            </w:r>
          </w:p>
        </w:tc>
        <w:tc>
          <w:tcPr>
            <w:tcW w:w="874" w:type="dxa"/>
            <w:shd w:val="clear" w:color="auto" w:fill="D9E2F3" w:themeFill="accent5" w:themeFillTint="33"/>
          </w:tcPr>
          <w:p w14:paraId="08BEDDEC" w14:textId="77777777" w:rsidR="00B47AE8" w:rsidRPr="00E359BF" w:rsidRDefault="00B47AE8">
            <w:pPr>
              <w:pStyle w:val="TableSubheadingCentered"/>
            </w:pPr>
            <w:r w:rsidRPr="00E359BF">
              <w:t>3</w:t>
            </w:r>
          </w:p>
        </w:tc>
        <w:tc>
          <w:tcPr>
            <w:tcW w:w="875" w:type="dxa"/>
            <w:shd w:val="clear" w:color="auto" w:fill="D9E2F3" w:themeFill="accent5" w:themeFillTint="33"/>
          </w:tcPr>
          <w:p w14:paraId="1D546620" w14:textId="77777777" w:rsidR="00B47AE8" w:rsidRPr="00E359BF" w:rsidRDefault="00B47AE8">
            <w:pPr>
              <w:pStyle w:val="TableSubheadingCentered"/>
            </w:pPr>
            <w:r w:rsidRPr="00E359BF">
              <w:t>4</w:t>
            </w:r>
          </w:p>
        </w:tc>
        <w:tc>
          <w:tcPr>
            <w:tcW w:w="874" w:type="dxa"/>
            <w:shd w:val="clear" w:color="auto" w:fill="D9E2F3" w:themeFill="accent5" w:themeFillTint="33"/>
          </w:tcPr>
          <w:p w14:paraId="49DEA6BA" w14:textId="77777777" w:rsidR="00B47AE8" w:rsidRPr="00E359BF" w:rsidRDefault="00B47AE8">
            <w:pPr>
              <w:pStyle w:val="TableSubheadingCentered"/>
            </w:pPr>
            <w:r w:rsidRPr="00E359BF">
              <w:t>5</w:t>
            </w:r>
          </w:p>
        </w:tc>
        <w:tc>
          <w:tcPr>
            <w:tcW w:w="874" w:type="dxa"/>
            <w:shd w:val="clear" w:color="auto" w:fill="D9E2F3" w:themeFill="accent5" w:themeFillTint="33"/>
          </w:tcPr>
          <w:p w14:paraId="7DAF03E2" w14:textId="77777777" w:rsidR="00B47AE8" w:rsidRPr="00E359BF" w:rsidRDefault="00B47AE8">
            <w:pPr>
              <w:pStyle w:val="TableSubheadingCentered"/>
            </w:pPr>
            <w:r w:rsidRPr="00E359BF">
              <w:t>6</w:t>
            </w:r>
          </w:p>
        </w:tc>
        <w:tc>
          <w:tcPr>
            <w:tcW w:w="875" w:type="dxa"/>
            <w:shd w:val="clear" w:color="auto" w:fill="D9E2F3" w:themeFill="accent5" w:themeFillTint="33"/>
          </w:tcPr>
          <w:p w14:paraId="3E34FEE5" w14:textId="77777777" w:rsidR="00B47AE8" w:rsidRPr="00E359BF" w:rsidRDefault="00B47AE8">
            <w:pPr>
              <w:pStyle w:val="TableSubheadingCentered"/>
            </w:pPr>
            <w:r w:rsidRPr="00E359BF">
              <w:t>7</w:t>
            </w:r>
          </w:p>
        </w:tc>
        <w:tc>
          <w:tcPr>
            <w:tcW w:w="900" w:type="dxa"/>
            <w:shd w:val="clear" w:color="auto" w:fill="D9E2F3" w:themeFill="accent5" w:themeFillTint="33"/>
          </w:tcPr>
          <w:p w14:paraId="12237288" w14:textId="77777777" w:rsidR="00B47AE8" w:rsidRPr="00E359BF" w:rsidRDefault="00B47AE8">
            <w:pPr>
              <w:pStyle w:val="TableSubheadingCentered"/>
            </w:pPr>
            <w:r>
              <w:t>27</w:t>
            </w:r>
          </w:p>
        </w:tc>
        <w:tc>
          <w:tcPr>
            <w:tcW w:w="892" w:type="dxa"/>
            <w:shd w:val="clear" w:color="auto" w:fill="D9E2F3" w:themeFill="accent5" w:themeFillTint="33"/>
          </w:tcPr>
          <w:p w14:paraId="74ED8EFD" w14:textId="77777777" w:rsidR="00B47AE8" w:rsidRPr="00E359BF" w:rsidRDefault="00B47AE8">
            <w:pPr>
              <w:pStyle w:val="TableSubheadingCentered"/>
            </w:pPr>
            <w:r>
              <w:t>2.8</w:t>
            </w:r>
          </w:p>
        </w:tc>
      </w:tr>
      <w:tr w:rsidR="00B47AE8" w:rsidRPr="00E359BF" w14:paraId="60B895CE" w14:textId="77777777" w:rsidTr="00B47AE8">
        <w:trPr>
          <w:jc w:val="center"/>
        </w:trPr>
        <w:tc>
          <w:tcPr>
            <w:tcW w:w="1432" w:type="dxa"/>
          </w:tcPr>
          <w:p w14:paraId="2CBAF4E3" w14:textId="77777777" w:rsidR="00B47AE8" w:rsidRPr="00E359BF" w:rsidRDefault="00B47AE8">
            <w:pPr>
              <w:pStyle w:val="TableText"/>
            </w:pPr>
            <w:r>
              <w:t>Grades K-3**</w:t>
            </w:r>
          </w:p>
        </w:tc>
        <w:tc>
          <w:tcPr>
            <w:tcW w:w="874" w:type="dxa"/>
          </w:tcPr>
          <w:p w14:paraId="1B51817B" w14:textId="77777777" w:rsidR="00B47AE8" w:rsidRPr="00E359BF" w:rsidRDefault="00B47AE8">
            <w:pPr>
              <w:pStyle w:val="TableTextCentered"/>
              <w:rPr>
                <w:rFonts w:eastAsia="Times New Roman"/>
              </w:rPr>
            </w:pPr>
            <w:r>
              <w:rPr>
                <w:rFonts w:eastAsia="Times New Roman"/>
              </w:rPr>
              <w:t>4</w:t>
            </w:r>
          </w:p>
        </w:tc>
        <w:tc>
          <w:tcPr>
            <w:tcW w:w="874" w:type="dxa"/>
          </w:tcPr>
          <w:p w14:paraId="20E11D6F" w14:textId="77777777" w:rsidR="00B47AE8" w:rsidRPr="00E359BF" w:rsidRDefault="00B47AE8">
            <w:pPr>
              <w:pStyle w:val="TableTextCentered"/>
              <w:rPr>
                <w:rFonts w:eastAsia="Times New Roman"/>
              </w:rPr>
            </w:pPr>
            <w:r>
              <w:rPr>
                <w:rFonts w:eastAsia="Times New Roman"/>
              </w:rPr>
              <w:t>12</w:t>
            </w:r>
          </w:p>
        </w:tc>
        <w:tc>
          <w:tcPr>
            <w:tcW w:w="874" w:type="dxa"/>
          </w:tcPr>
          <w:p w14:paraId="7732E551" w14:textId="77777777" w:rsidR="00B47AE8" w:rsidRPr="00E359BF" w:rsidRDefault="00B47AE8">
            <w:pPr>
              <w:pStyle w:val="TableTextCentered"/>
              <w:rPr>
                <w:rFonts w:eastAsia="Times New Roman"/>
              </w:rPr>
            </w:pPr>
            <w:r>
              <w:rPr>
                <w:rFonts w:eastAsia="Times New Roman"/>
              </w:rPr>
              <w:t>2</w:t>
            </w:r>
          </w:p>
        </w:tc>
        <w:tc>
          <w:tcPr>
            <w:tcW w:w="875" w:type="dxa"/>
          </w:tcPr>
          <w:p w14:paraId="769444E4" w14:textId="77777777" w:rsidR="00B47AE8" w:rsidRPr="00E359BF" w:rsidRDefault="00B47AE8">
            <w:pPr>
              <w:pStyle w:val="TableTextCentered"/>
              <w:rPr>
                <w:rFonts w:eastAsia="Times New Roman"/>
              </w:rPr>
            </w:pPr>
            <w:r>
              <w:rPr>
                <w:rFonts w:eastAsia="Times New Roman"/>
              </w:rPr>
              <w:t>4</w:t>
            </w:r>
          </w:p>
        </w:tc>
        <w:tc>
          <w:tcPr>
            <w:tcW w:w="874" w:type="dxa"/>
          </w:tcPr>
          <w:p w14:paraId="3123D165" w14:textId="77777777" w:rsidR="00B47AE8" w:rsidRPr="00E359BF" w:rsidRDefault="00B47AE8">
            <w:pPr>
              <w:pStyle w:val="TableTextCentered"/>
              <w:rPr>
                <w:rFonts w:eastAsia="Times New Roman"/>
              </w:rPr>
            </w:pPr>
            <w:r>
              <w:rPr>
                <w:rFonts w:eastAsia="Times New Roman"/>
              </w:rPr>
              <w:t>5</w:t>
            </w:r>
          </w:p>
        </w:tc>
        <w:tc>
          <w:tcPr>
            <w:tcW w:w="874" w:type="dxa"/>
          </w:tcPr>
          <w:p w14:paraId="4624DF31" w14:textId="77777777" w:rsidR="00B47AE8" w:rsidRPr="00E359BF" w:rsidRDefault="00B47AE8">
            <w:pPr>
              <w:pStyle w:val="TableTextCentered"/>
              <w:rPr>
                <w:rFonts w:eastAsia="Times New Roman"/>
              </w:rPr>
            </w:pPr>
            <w:r>
              <w:rPr>
                <w:rFonts w:eastAsia="Times New Roman"/>
              </w:rPr>
              <w:t>0</w:t>
            </w:r>
          </w:p>
        </w:tc>
        <w:tc>
          <w:tcPr>
            <w:tcW w:w="875" w:type="dxa"/>
          </w:tcPr>
          <w:p w14:paraId="0F9329EE" w14:textId="77777777" w:rsidR="00B47AE8" w:rsidRPr="00E359BF" w:rsidRDefault="00B47AE8">
            <w:pPr>
              <w:pStyle w:val="TableTextCentered"/>
              <w:rPr>
                <w:rFonts w:eastAsia="Times New Roman"/>
              </w:rPr>
            </w:pPr>
            <w:r>
              <w:rPr>
                <w:rFonts w:eastAsia="Times New Roman"/>
              </w:rPr>
              <w:t>0</w:t>
            </w:r>
          </w:p>
        </w:tc>
        <w:tc>
          <w:tcPr>
            <w:tcW w:w="900" w:type="dxa"/>
          </w:tcPr>
          <w:p w14:paraId="1BBC3BBF" w14:textId="77777777" w:rsidR="00B47AE8" w:rsidRPr="00E359BF" w:rsidRDefault="00B47AE8">
            <w:pPr>
              <w:pStyle w:val="TableTextCentered"/>
              <w:rPr>
                <w:rFonts w:eastAsia="Times New Roman"/>
              </w:rPr>
            </w:pPr>
            <w:r>
              <w:rPr>
                <w:rFonts w:eastAsia="Times New Roman"/>
              </w:rPr>
              <w:t>27</w:t>
            </w:r>
          </w:p>
        </w:tc>
        <w:tc>
          <w:tcPr>
            <w:tcW w:w="892" w:type="dxa"/>
          </w:tcPr>
          <w:p w14:paraId="1F4CCF47" w14:textId="77777777" w:rsidR="00B47AE8" w:rsidRPr="00E359BF" w:rsidRDefault="00B47AE8">
            <w:pPr>
              <w:pStyle w:val="TableTextCentered"/>
              <w:rPr>
                <w:rFonts w:eastAsia="Times New Roman"/>
              </w:rPr>
            </w:pPr>
            <w:r>
              <w:rPr>
                <w:rFonts w:eastAsia="Times New Roman"/>
              </w:rPr>
              <w:t>2.8</w:t>
            </w:r>
          </w:p>
        </w:tc>
      </w:tr>
    </w:tbl>
    <w:bookmarkEnd w:id="125"/>
    <w:p w14:paraId="2457F6D3" w14:textId="77777777" w:rsidR="00B47AE8" w:rsidRDefault="00B47AE8">
      <w:pPr>
        <w:pStyle w:val="TableNote"/>
      </w:pPr>
      <w:r w:rsidRPr="00A96DD7">
        <w:t xml:space="preserve">*The district average is an average of the observation scores. In Table 10, the district average is computed as: </w:t>
      </w:r>
      <w:r w:rsidRPr="00A96DD7">
        <w:br/>
      </w:r>
      <w:bookmarkStart w:id="126" w:name="Dist_CD_Calc"/>
      <w:r>
        <w:t>([1 x 4] + [2 x 12] + [3 x 2] + [4 x 4] + [5 x 5]) ÷ 27 observations = 2.8</w:t>
      </w:r>
      <w:bookmarkEnd w:id="126"/>
    </w:p>
    <w:p w14:paraId="5DA4C136" w14:textId="77777777" w:rsidR="00B47AE8" w:rsidRPr="00BC09E0" w:rsidRDefault="00B47AE8">
      <w:pPr>
        <w:pStyle w:val="TableNote"/>
      </w:pPr>
      <w:r>
        <w:t>**Concept Development does not appear in the CLASS Upper Elementary Manual, therefore scores for the Elementary School Level represent grades K-3 only.</w:t>
      </w:r>
    </w:p>
    <w:p w14:paraId="1495162D" w14:textId="77777777" w:rsidR="00B47AE8" w:rsidRPr="00BC09E0" w:rsidRDefault="00B47AE8">
      <w:pPr>
        <w:pStyle w:val="BodyText"/>
      </w:pPr>
      <w:r w:rsidRPr="00F97764">
        <w:rPr>
          <w:rStyle w:val="BodyTextDemiChar"/>
        </w:rPr>
        <w:t>Ratings in the Low Range.</w:t>
      </w:r>
      <w:r w:rsidRPr="00BC09E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368082DB" w14:textId="77777777" w:rsidR="00B47AE8" w:rsidRPr="00BC09E0" w:rsidRDefault="00B47AE8">
      <w:pPr>
        <w:pStyle w:val="BodyText"/>
      </w:pPr>
      <w:r w:rsidRPr="00F97764">
        <w:rPr>
          <w:rStyle w:val="BodyTextDemiChar"/>
        </w:rPr>
        <w:t xml:space="preserve">Ratings in the Middle Range. </w:t>
      </w:r>
      <w:r w:rsidRPr="00BC09E0">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7B28E279" w14:textId="77777777" w:rsidR="00B47AE8" w:rsidRDefault="00B47AE8">
      <w:pPr>
        <w:pStyle w:val="BodyText"/>
      </w:pPr>
      <w:r w:rsidRPr="00F97764">
        <w:rPr>
          <w:rStyle w:val="BodyTextDemiChar"/>
        </w:rPr>
        <w:t>Ratings in the High Range.</w:t>
      </w:r>
      <w:r w:rsidRPr="00BC09E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6A8530C5" w14:textId="77777777" w:rsidR="00B47AE8" w:rsidRDefault="00B47AE8">
      <w:pPr>
        <w:spacing w:after="160" w:line="259" w:lineRule="auto"/>
      </w:pPr>
      <w:r>
        <w:br w:type="page"/>
      </w:r>
    </w:p>
    <w:p w14:paraId="12ACD64D" w14:textId="77777777" w:rsidR="00B47AE8" w:rsidRPr="00BC09E0" w:rsidRDefault="00B47AE8">
      <w:pPr>
        <w:pStyle w:val="Heading2-SIOR"/>
      </w:pPr>
      <w:bookmarkStart w:id="127" w:name="_Toc379881742"/>
      <w:bookmarkStart w:id="128" w:name="_Toc411329834"/>
      <w:bookmarkStart w:id="129" w:name="_Toc430114883"/>
      <w:bookmarkStart w:id="130" w:name="_Toc92194262"/>
      <w:r w:rsidRPr="00BC09E0">
        <w:lastRenderedPageBreak/>
        <w:t>Content Understanding</w:t>
      </w:r>
      <w:bookmarkEnd w:id="127"/>
      <w:bookmarkEnd w:id="128"/>
      <w:bookmarkEnd w:id="129"/>
      <w:bookmarkEnd w:id="130"/>
    </w:p>
    <w:p w14:paraId="0BA60E8F" w14:textId="77777777" w:rsidR="00B47AE8" w:rsidRPr="00BC09E0" w:rsidRDefault="00B47AE8">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7C893B78" w14:textId="77777777" w:rsidR="00B47AE8" w:rsidRPr="00F97764" w:rsidRDefault="00B47AE8">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37BB5B49" w14:textId="77777777" w:rsidR="00B47AE8" w:rsidRPr="00BC09E0" w:rsidRDefault="00B47AE8">
      <w:pPr>
        <w:pStyle w:val="TableTitle0"/>
      </w:pPr>
      <w:r w:rsidRPr="00BC09E0">
        <w:t xml:space="preserve">Table 11. Content Understanding: Number of Classrooms for Each Rating </w:t>
      </w:r>
      <w:r w:rsidRPr="00D44000">
        <w:t>and District Average</w:t>
      </w:r>
    </w:p>
    <w:p w14:paraId="29A9E08E" w14:textId="77777777" w:rsidR="00B47AE8" w:rsidRDefault="00B47AE8">
      <w:pPr>
        <w:pStyle w:val="BodyTextDemi"/>
      </w:pPr>
      <w:r w:rsidRPr="00D44000">
        <w:t xml:space="preserve">Content Understanding District Average*: </w:t>
      </w:r>
      <w:bookmarkStart w:id="131" w:name="Dist_CU_Avg"/>
      <w:r>
        <w:t>5.0</w:t>
      </w:r>
      <w:bookmarkEnd w:id="13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4576F5CF"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51863AD" w14:textId="77777777" w:rsidR="00B47AE8" w:rsidRPr="00E359BF" w:rsidRDefault="00B47AE8">
            <w:pPr>
              <w:pStyle w:val="TableColHeadingCenter"/>
              <w:rPr>
                <w:rFonts w:eastAsia="MS Mincho"/>
              </w:rPr>
            </w:pPr>
            <w:bookmarkStart w:id="132" w:name="Tbl_CU"/>
            <w:r>
              <w:rPr>
                <w:rFonts w:eastAsia="MS Mincho"/>
              </w:rPr>
              <w:t>Grade Band</w:t>
            </w:r>
          </w:p>
        </w:tc>
        <w:tc>
          <w:tcPr>
            <w:tcW w:w="1748" w:type="dxa"/>
            <w:gridSpan w:val="2"/>
          </w:tcPr>
          <w:p w14:paraId="43B4D79D"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0BC06DF1"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70466A19"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58614016" w14:textId="77777777" w:rsidR="00B47AE8" w:rsidRPr="00E359BF" w:rsidRDefault="00B47AE8">
            <w:pPr>
              <w:pStyle w:val="TableColHeadingCenter"/>
              <w:rPr>
                <w:rFonts w:eastAsia="MS Mincho"/>
              </w:rPr>
            </w:pPr>
            <w:r>
              <w:rPr>
                <w:rFonts w:eastAsia="MS Mincho"/>
              </w:rPr>
              <w:t>n</w:t>
            </w:r>
          </w:p>
        </w:tc>
        <w:tc>
          <w:tcPr>
            <w:tcW w:w="892" w:type="dxa"/>
          </w:tcPr>
          <w:p w14:paraId="25E46156" w14:textId="77777777" w:rsidR="00B47AE8" w:rsidRPr="00E359BF" w:rsidRDefault="00B47AE8">
            <w:pPr>
              <w:pStyle w:val="TableColHeadingCenter"/>
              <w:rPr>
                <w:rFonts w:eastAsia="MS Mincho"/>
              </w:rPr>
            </w:pPr>
            <w:r>
              <w:rPr>
                <w:rFonts w:eastAsia="MS Mincho"/>
              </w:rPr>
              <w:t>Average</w:t>
            </w:r>
          </w:p>
        </w:tc>
      </w:tr>
      <w:tr w:rsidR="00B47AE8" w:rsidRPr="00E359BF" w14:paraId="570E3714" w14:textId="77777777" w:rsidTr="00B47AE8">
        <w:trPr>
          <w:jc w:val="center"/>
        </w:trPr>
        <w:tc>
          <w:tcPr>
            <w:tcW w:w="1432" w:type="dxa"/>
            <w:shd w:val="clear" w:color="auto" w:fill="D9E2F3" w:themeFill="accent5" w:themeFillTint="33"/>
          </w:tcPr>
          <w:p w14:paraId="7FC0F0AB" w14:textId="77777777" w:rsidR="00B47AE8" w:rsidRPr="00E359BF" w:rsidRDefault="00B47AE8">
            <w:pPr>
              <w:pStyle w:val="TableSubheadingCentered"/>
            </w:pPr>
          </w:p>
        </w:tc>
        <w:tc>
          <w:tcPr>
            <w:tcW w:w="874" w:type="dxa"/>
            <w:shd w:val="clear" w:color="auto" w:fill="D9E2F3" w:themeFill="accent5" w:themeFillTint="33"/>
          </w:tcPr>
          <w:p w14:paraId="27DDD499" w14:textId="77777777" w:rsidR="00B47AE8" w:rsidRPr="00E359BF" w:rsidRDefault="00B47AE8">
            <w:pPr>
              <w:pStyle w:val="TableSubheadingCentered"/>
            </w:pPr>
            <w:r w:rsidRPr="00E359BF">
              <w:t>1</w:t>
            </w:r>
          </w:p>
        </w:tc>
        <w:tc>
          <w:tcPr>
            <w:tcW w:w="874" w:type="dxa"/>
            <w:shd w:val="clear" w:color="auto" w:fill="D9E2F3" w:themeFill="accent5" w:themeFillTint="33"/>
          </w:tcPr>
          <w:p w14:paraId="0431AA75" w14:textId="77777777" w:rsidR="00B47AE8" w:rsidRPr="00E359BF" w:rsidRDefault="00B47AE8">
            <w:pPr>
              <w:pStyle w:val="TableSubheadingCentered"/>
            </w:pPr>
            <w:r w:rsidRPr="00E359BF">
              <w:t>2</w:t>
            </w:r>
          </w:p>
        </w:tc>
        <w:tc>
          <w:tcPr>
            <w:tcW w:w="874" w:type="dxa"/>
            <w:shd w:val="clear" w:color="auto" w:fill="D9E2F3" w:themeFill="accent5" w:themeFillTint="33"/>
          </w:tcPr>
          <w:p w14:paraId="0064F8D0" w14:textId="77777777" w:rsidR="00B47AE8" w:rsidRPr="00E359BF" w:rsidRDefault="00B47AE8">
            <w:pPr>
              <w:pStyle w:val="TableSubheadingCentered"/>
            </w:pPr>
            <w:r w:rsidRPr="00E359BF">
              <w:t>3</w:t>
            </w:r>
          </w:p>
        </w:tc>
        <w:tc>
          <w:tcPr>
            <w:tcW w:w="875" w:type="dxa"/>
            <w:shd w:val="clear" w:color="auto" w:fill="D9E2F3" w:themeFill="accent5" w:themeFillTint="33"/>
          </w:tcPr>
          <w:p w14:paraId="3CAA00C8" w14:textId="77777777" w:rsidR="00B47AE8" w:rsidRPr="00E359BF" w:rsidRDefault="00B47AE8">
            <w:pPr>
              <w:pStyle w:val="TableSubheadingCentered"/>
            </w:pPr>
            <w:r w:rsidRPr="00E359BF">
              <w:t>4</w:t>
            </w:r>
          </w:p>
        </w:tc>
        <w:tc>
          <w:tcPr>
            <w:tcW w:w="874" w:type="dxa"/>
            <w:shd w:val="clear" w:color="auto" w:fill="D9E2F3" w:themeFill="accent5" w:themeFillTint="33"/>
          </w:tcPr>
          <w:p w14:paraId="60ECBB7E" w14:textId="77777777" w:rsidR="00B47AE8" w:rsidRPr="00E359BF" w:rsidRDefault="00B47AE8">
            <w:pPr>
              <w:pStyle w:val="TableSubheadingCentered"/>
            </w:pPr>
            <w:r w:rsidRPr="00E359BF">
              <w:t>5</w:t>
            </w:r>
          </w:p>
        </w:tc>
        <w:tc>
          <w:tcPr>
            <w:tcW w:w="874" w:type="dxa"/>
            <w:shd w:val="clear" w:color="auto" w:fill="D9E2F3" w:themeFill="accent5" w:themeFillTint="33"/>
          </w:tcPr>
          <w:p w14:paraId="74E1B9E5" w14:textId="77777777" w:rsidR="00B47AE8" w:rsidRPr="00E359BF" w:rsidRDefault="00B47AE8">
            <w:pPr>
              <w:pStyle w:val="TableSubheadingCentered"/>
            </w:pPr>
            <w:r w:rsidRPr="00E359BF">
              <w:t>6</w:t>
            </w:r>
          </w:p>
        </w:tc>
        <w:tc>
          <w:tcPr>
            <w:tcW w:w="875" w:type="dxa"/>
            <w:shd w:val="clear" w:color="auto" w:fill="D9E2F3" w:themeFill="accent5" w:themeFillTint="33"/>
          </w:tcPr>
          <w:p w14:paraId="12A58054" w14:textId="77777777" w:rsidR="00B47AE8" w:rsidRPr="00E359BF" w:rsidRDefault="00B47AE8">
            <w:pPr>
              <w:pStyle w:val="TableSubheadingCentered"/>
            </w:pPr>
            <w:r w:rsidRPr="00E359BF">
              <w:t>7</w:t>
            </w:r>
          </w:p>
        </w:tc>
        <w:tc>
          <w:tcPr>
            <w:tcW w:w="900" w:type="dxa"/>
            <w:shd w:val="clear" w:color="auto" w:fill="D9E2F3" w:themeFill="accent5" w:themeFillTint="33"/>
          </w:tcPr>
          <w:p w14:paraId="7238CCFC" w14:textId="77777777" w:rsidR="00B47AE8" w:rsidRPr="00E359BF" w:rsidRDefault="00B47AE8">
            <w:pPr>
              <w:pStyle w:val="TableSubheadingCentered"/>
            </w:pPr>
            <w:r>
              <w:t>71</w:t>
            </w:r>
          </w:p>
        </w:tc>
        <w:tc>
          <w:tcPr>
            <w:tcW w:w="892" w:type="dxa"/>
            <w:shd w:val="clear" w:color="auto" w:fill="D9E2F3" w:themeFill="accent5" w:themeFillTint="33"/>
          </w:tcPr>
          <w:p w14:paraId="081CE1C7" w14:textId="77777777" w:rsidR="00B47AE8" w:rsidRPr="00E359BF" w:rsidRDefault="00B47AE8">
            <w:pPr>
              <w:pStyle w:val="TableSubheadingCentered"/>
            </w:pPr>
            <w:r>
              <w:t>5.0</w:t>
            </w:r>
          </w:p>
        </w:tc>
      </w:tr>
      <w:tr w:rsidR="00B47AE8" w:rsidRPr="00E359BF" w14:paraId="11A94BB1" w14:textId="77777777" w:rsidTr="00B47AE8">
        <w:trPr>
          <w:jc w:val="center"/>
        </w:trPr>
        <w:tc>
          <w:tcPr>
            <w:tcW w:w="1432" w:type="dxa"/>
          </w:tcPr>
          <w:p w14:paraId="5763E569" w14:textId="77777777" w:rsidR="00B47AE8" w:rsidRPr="00E359BF" w:rsidRDefault="00B47AE8">
            <w:pPr>
              <w:pStyle w:val="TableText"/>
            </w:pPr>
            <w:r>
              <w:t>Grades 4-5**</w:t>
            </w:r>
          </w:p>
        </w:tc>
        <w:tc>
          <w:tcPr>
            <w:tcW w:w="874" w:type="dxa"/>
          </w:tcPr>
          <w:p w14:paraId="2E64E39C" w14:textId="77777777" w:rsidR="00B47AE8" w:rsidRPr="00E359BF" w:rsidRDefault="00B47AE8">
            <w:pPr>
              <w:pStyle w:val="TableTextCentered"/>
              <w:rPr>
                <w:rFonts w:eastAsia="Times New Roman"/>
              </w:rPr>
            </w:pPr>
            <w:r>
              <w:rPr>
                <w:rFonts w:eastAsia="Times New Roman"/>
              </w:rPr>
              <w:t>0</w:t>
            </w:r>
          </w:p>
        </w:tc>
        <w:tc>
          <w:tcPr>
            <w:tcW w:w="874" w:type="dxa"/>
          </w:tcPr>
          <w:p w14:paraId="6F7C91D0" w14:textId="77777777" w:rsidR="00B47AE8" w:rsidRPr="00E359BF" w:rsidRDefault="00B47AE8">
            <w:pPr>
              <w:pStyle w:val="TableTextCentered"/>
              <w:rPr>
                <w:rFonts w:eastAsia="Times New Roman"/>
              </w:rPr>
            </w:pPr>
            <w:r>
              <w:rPr>
                <w:rFonts w:eastAsia="Times New Roman"/>
              </w:rPr>
              <w:t>0</w:t>
            </w:r>
          </w:p>
        </w:tc>
        <w:tc>
          <w:tcPr>
            <w:tcW w:w="874" w:type="dxa"/>
          </w:tcPr>
          <w:p w14:paraId="18F2D6F8" w14:textId="77777777" w:rsidR="00B47AE8" w:rsidRPr="00E359BF" w:rsidRDefault="00B47AE8">
            <w:pPr>
              <w:pStyle w:val="TableTextCentered"/>
              <w:rPr>
                <w:rFonts w:eastAsia="Times New Roman"/>
              </w:rPr>
            </w:pPr>
            <w:r>
              <w:rPr>
                <w:rFonts w:eastAsia="Times New Roman"/>
              </w:rPr>
              <w:t>5</w:t>
            </w:r>
          </w:p>
        </w:tc>
        <w:tc>
          <w:tcPr>
            <w:tcW w:w="875" w:type="dxa"/>
          </w:tcPr>
          <w:p w14:paraId="372DAC0E" w14:textId="77777777" w:rsidR="00B47AE8" w:rsidRPr="00E359BF" w:rsidRDefault="00B47AE8">
            <w:pPr>
              <w:pStyle w:val="TableTextCentered"/>
              <w:rPr>
                <w:rFonts w:eastAsia="Times New Roman"/>
              </w:rPr>
            </w:pPr>
            <w:r>
              <w:rPr>
                <w:rFonts w:eastAsia="Times New Roman"/>
              </w:rPr>
              <w:t>5</w:t>
            </w:r>
          </w:p>
        </w:tc>
        <w:tc>
          <w:tcPr>
            <w:tcW w:w="874" w:type="dxa"/>
          </w:tcPr>
          <w:p w14:paraId="6E2E6542" w14:textId="77777777" w:rsidR="00B47AE8" w:rsidRPr="00E359BF" w:rsidRDefault="00B47AE8">
            <w:pPr>
              <w:pStyle w:val="TableTextCentered"/>
              <w:rPr>
                <w:rFonts w:eastAsia="Times New Roman"/>
              </w:rPr>
            </w:pPr>
            <w:r>
              <w:rPr>
                <w:rFonts w:eastAsia="Times New Roman"/>
              </w:rPr>
              <w:t>3</w:t>
            </w:r>
          </w:p>
        </w:tc>
        <w:tc>
          <w:tcPr>
            <w:tcW w:w="874" w:type="dxa"/>
          </w:tcPr>
          <w:p w14:paraId="04EF7C75" w14:textId="77777777" w:rsidR="00B47AE8" w:rsidRPr="00E359BF" w:rsidRDefault="00B47AE8">
            <w:pPr>
              <w:pStyle w:val="TableTextCentered"/>
              <w:rPr>
                <w:rFonts w:eastAsia="Times New Roman"/>
              </w:rPr>
            </w:pPr>
            <w:r>
              <w:rPr>
                <w:rFonts w:eastAsia="Times New Roman"/>
              </w:rPr>
              <w:t>3</w:t>
            </w:r>
          </w:p>
        </w:tc>
        <w:tc>
          <w:tcPr>
            <w:tcW w:w="875" w:type="dxa"/>
          </w:tcPr>
          <w:p w14:paraId="72864222" w14:textId="77777777" w:rsidR="00B47AE8" w:rsidRPr="00E359BF" w:rsidRDefault="00B47AE8">
            <w:pPr>
              <w:pStyle w:val="TableTextCentered"/>
              <w:rPr>
                <w:rFonts w:eastAsia="Times New Roman"/>
              </w:rPr>
            </w:pPr>
            <w:r>
              <w:rPr>
                <w:rFonts w:eastAsia="Times New Roman"/>
              </w:rPr>
              <w:t>0</w:t>
            </w:r>
          </w:p>
        </w:tc>
        <w:tc>
          <w:tcPr>
            <w:tcW w:w="900" w:type="dxa"/>
          </w:tcPr>
          <w:p w14:paraId="23A403F2" w14:textId="77777777" w:rsidR="00B47AE8" w:rsidRPr="00E359BF" w:rsidRDefault="00B47AE8">
            <w:pPr>
              <w:pStyle w:val="TableTextCentered"/>
              <w:rPr>
                <w:rFonts w:eastAsia="Times New Roman"/>
              </w:rPr>
            </w:pPr>
            <w:r>
              <w:rPr>
                <w:rFonts w:eastAsia="Times New Roman"/>
              </w:rPr>
              <w:t>16</w:t>
            </w:r>
          </w:p>
        </w:tc>
        <w:tc>
          <w:tcPr>
            <w:tcW w:w="892" w:type="dxa"/>
          </w:tcPr>
          <w:p w14:paraId="66381C79" w14:textId="77777777" w:rsidR="00B47AE8" w:rsidRPr="00E359BF" w:rsidRDefault="00B47AE8">
            <w:pPr>
              <w:pStyle w:val="TableTextCentered"/>
              <w:rPr>
                <w:rFonts w:eastAsia="Times New Roman"/>
              </w:rPr>
            </w:pPr>
            <w:r>
              <w:rPr>
                <w:rFonts w:eastAsia="Times New Roman"/>
              </w:rPr>
              <w:t>4.3</w:t>
            </w:r>
          </w:p>
        </w:tc>
      </w:tr>
      <w:tr w:rsidR="00B47AE8" w:rsidRPr="00E359BF" w14:paraId="34F09644" w14:textId="77777777" w:rsidTr="00B47AE8">
        <w:trPr>
          <w:jc w:val="center"/>
        </w:trPr>
        <w:tc>
          <w:tcPr>
            <w:tcW w:w="1432" w:type="dxa"/>
          </w:tcPr>
          <w:p w14:paraId="26C970D6" w14:textId="77777777" w:rsidR="00B47AE8" w:rsidRPr="00E359BF" w:rsidRDefault="00B47AE8">
            <w:pPr>
              <w:pStyle w:val="TableText"/>
            </w:pPr>
            <w:r>
              <w:t>Grades 6-8</w:t>
            </w:r>
          </w:p>
        </w:tc>
        <w:tc>
          <w:tcPr>
            <w:tcW w:w="874" w:type="dxa"/>
          </w:tcPr>
          <w:p w14:paraId="18FA89AD" w14:textId="77777777" w:rsidR="00B47AE8" w:rsidRPr="00E359BF" w:rsidRDefault="00B47AE8">
            <w:pPr>
              <w:pStyle w:val="TableTextCentered"/>
              <w:rPr>
                <w:rFonts w:eastAsia="Times New Roman"/>
              </w:rPr>
            </w:pPr>
            <w:r>
              <w:rPr>
                <w:rFonts w:eastAsia="Times New Roman"/>
              </w:rPr>
              <w:t>0</w:t>
            </w:r>
          </w:p>
        </w:tc>
        <w:tc>
          <w:tcPr>
            <w:tcW w:w="874" w:type="dxa"/>
          </w:tcPr>
          <w:p w14:paraId="5E8073B5" w14:textId="77777777" w:rsidR="00B47AE8" w:rsidRPr="00E359BF" w:rsidRDefault="00B47AE8">
            <w:pPr>
              <w:pStyle w:val="TableTextCentered"/>
              <w:rPr>
                <w:rFonts w:eastAsia="Times New Roman"/>
              </w:rPr>
            </w:pPr>
            <w:r>
              <w:rPr>
                <w:rFonts w:eastAsia="Times New Roman"/>
              </w:rPr>
              <w:t>0</w:t>
            </w:r>
          </w:p>
        </w:tc>
        <w:tc>
          <w:tcPr>
            <w:tcW w:w="874" w:type="dxa"/>
          </w:tcPr>
          <w:p w14:paraId="00E3D9FF" w14:textId="77777777" w:rsidR="00B47AE8" w:rsidRPr="00E359BF" w:rsidRDefault="00B47AE8">
            <w:pPr>
              <w:pStyle w:val="TableTextCentered"/>
              <w:rPr>
                <w:rFonts w:eastAsia="Times New Roman"/>
              </w:rPr>
            </w:pPr>
            <w:r>
              <w:rPr>
                <w:rFonts w:eastAsia="Times New Roman"/>
              </w:rPr>
              <w:t>1</w:t>
            </w:r>
          </w:p>
        </w:tc>
        <w:tc>
          <w:tcPr>
            <w:tcW w:w="875" w:type="dxa"/>
          </w:tcPr>
          <w:p w14:paraId="402ECD0D" w14:textId="77777777" w:rsidR="00B47AE8" w:rsidRPr="00E359BF" w:rsidRDefault="00B47AE8">
            <w:pPr>
              <w:pStyle w:val="TableTextCentered"/>
              <w:rPr>
                <w:rFonts w:eastAsia="Times New Roman"/>
              </w:rPr>
            </w:pPr>
            <w:r>
              <w:rPr>
                <w:rFonts w:eastAsia="Times New Roman"/>
              </w:rPr>
              <w:t>2</w:t>
            </w:r>
          </w:p>
        </w:tc>
        <w:tc>
          <w:tcPr>
            <w:tcW w:w="874" w:type="dxa"/>
          </w:tcPr>
          <w:p w14:paraId="5E7D3527" w14:textId="77777777" w:rsidR="00B47AE8" w:rsidRPr="00E359BF" w:rsidRDefault="00B47AE8">
            <w:pPr>
              <w:pStyle w:val="TableTextCentered"/>
              <w:rPr>
                <w:rFonts w:eastAsia="Times New Roman"/>
              </w:rPr>
            </w:pPr>
            <w:r>
              <w:rPr>
                <w:rFonts w:eastAsia="Times New Roman"/>
              </w:rPr>
              <w:t>9</w:t>
            </w:r>
          </w:p>
        </w:tc>
        <w:tc>
          <w:tcPr>
            <w:tcW w:w="874" w:type="dxa"/>
          </w:tcPr>
          <w:p w14:paraId="046CFEC6" w14:textId="77777777" w:rsidR="00B47AE8" w:rsidRPr="00E359BF" w:rsidRDefault="00B47AE8">
            <w:pPr>
              <w:pStyle w:val="TableTextCentered"/>
              <w:rPr>
                <w:rFonts w:eastAsia="Times New Roman"/>
              </w:rPr>
            </w:pPr>
            <w:r>
              <w:rPr>
                <w:rFonts w:eastAsia="Times New Roman"/>
              </w:rPr>
              <w:t>8</w:t>
            </w:r>
          </w:p>
        </w:tc>
        <w:tc>
          <w:tcPr>
            <w:tcW w:w="875" w:type="dxa"/>
          </w:tcPr>
          <w:p w14:paraId="6476B118" w14:textId="77777777" w:rsidR="00B47AE8" w:rsidRPr="00E359BF" w:rsidRDefault="00B47AE8">
            <w:pPr>
              <w:pStyle w:val="TableTextCentered"/>
              <w:rPr>
                <w:rFonts w:eastAsia="Times New Roman"/>
              </w:rPr>
            </w:pPr>
            <w:r>
              <w:rPr>
                <w:rFonts w:eastAsia="Times New Roman"/>
              </w:rPr>
              <w:t>3</w:t>
            </w:r>
          </w:p>
        </w:tc>
        <w:tc>
          <w:tcPr>
            <w:tcW w:w="900" w:type="dxa"/>
          </w:tcPr>
          <w:p w14:paraId="3874C447" w14:textId="77777777" w:rsidR="00B47AE8" w:rsidRPr="00E359BF" w:rsidRDefault="00B47AE8">
            <w:pPr>
              <w:pStyle w:val="TableTextCentered"/>
              <w:rPr>
                <w:rFonts w:eastAsia="Times New Roman"/>
              </w:rPr>
            </w:pPr>
            <w:r>
              <w:rPr>
                <w:rFonts w:eastAsia="Times New Roman"/>
              </w:rPr>
              <w:t>23</w:t>
            </w:r>
          </w:p>
        </w:tc>
        <w:tc>
          <w:tcPr>
            <w:tcW w:w="892" w:type="dxa"/>
          </w:tcPr>
          <w:p w14:paraId="729ABA79" w14:textId="77777777" w:rsidR="00B47AE8" w:rsidRPr="00E359BF" w:rsidRDefault="00B47AE8">
            <w:pPr>
              <w:pStyle w:val="TableTextCentered"/>
              <w:rPr>
                <w:rFonts w:eastAsia="Times New Roman"/>
              </w:rPr>
            </w:pPr>
            <w:r>
              <w:rPr>
                <w:rFonts w:eastAsia="Times New Roman"/>
              </w:rPr>
              <w:t>5.4</w:t>
            </w:r>
          </w:p>
        </w:tc>
      </w:tr>
      <w:tr w:rsidR="00B47AE8" w:rsidRPr="00E359BF" w14:paraId="209D879D" w14:textId="77777777" w:rsidTr="00B47AE8">
        <w:trPr>
          <w:jc w:val="center"/>
        </w:trPr>
        <w:tc>
          <w:tcPr>
            <w:tcW w:w="1432" w:type="dxa"/>
          </w:tcPr>
          <w:p w14:paraId="0CC16E2C" w14:textId="77777777" w:rsidR="00B47AE8" w:rsidRPr="00E359BF" w:rsidRDefault="00B47AE8">
            <w:pPr>
              <w:pStyle w:val="TableText"/>
            </w:pPr>
            <w:r>
              <w:t>Grades 9-12</w:t>
            </w:r>
          </w:p>
        </w:tc>
        <w:tc>
          <w:tcPr>
            <w:tcW w:w="874" w:type="dxa"/>
          </w:tcPr>
          <w:p w14:paraId="73AC3BB0" w14:textId="77777777" w:rsidR="00B47AE8" w:rsidRPr="00E359BF" w:rsidRDefault="00B47AE8">
            <w:pPr>
              <w:pStyle w:val="TableTextCentered"/>
              <w:rPr>
                <w:rFonts w:eastAsia="Times New Roman"/>
              </w:rPr>
            </w:pPr>
            <w:r>
              <w:rPr>
                <w:rFonts w:eastAsia="Times New Roman"/>
              </w:rPr>
              <w:t>0</w:t>
            </w:r>
          </w:p>
        </w:tc>
        <w:tc>
          <w:tcPr>
            <w:tcW w:w="874" w:type="dxa"/>
          </w:tcPr>
          <w:p w14:paraId="317AC780" w14:textId="77777777" w:rsidR="00B47AE8" w:rsidRPr="00E359BF" w:rsidRDefault="00B47AE8">
            <w:pPr>
              <w:pStyle w:val="TableTextCentered"/>
              <w:rPr>
                <w:rFonts w:eastAsia="Times New Roman"/>
              </w:rPr>
            </w:pPr>
            <w:r>
              <w:rPr>
                <w:rFonts w:eastAsia="Times New Roman"/>
              </w:rPr>
              <w:t>0</w:t>
            </w:r>
          </w:p>
        </w:tc>
        <w:tc>
          <w:tcPr>
            <w:tcW w:w="874" w:type="dxa"/>
          </w:tcPr>
          <w:p w14:paraId="4E443704" w14:textId="77777777" w:rsidR="00B47AE8" w:rsidRPr="00E359BF" w:rsidRDefault="00B47AE8">
            <w:pPr>
              <w:pStyle w:val="TableTextCentered"/>
              <w:rPr>
                <w:rFonts w:eastAsia="Times New Roman"/>
              </w:rPr>
            </w:pPr>
            <w:r>
              <w:rPr>
                <w:rFonts w:eastAsia="Times New Roman"/>
              </w:rPr>
              <w:t>5</w:t>
            </w:r>
          </w:p>
        </w:tc>
        <w:tc>
          <w:tcPr>
            <w:tcW w:w="875" w:type="dxa"/>
          </w:tcPr>
          <w:p w14:paraId="29FF732A" w14:textId="77777777" w:rsidR="00B47AE8" w:rsidRPr="00E359BF" w:rsidRDefault="00B47AE8">
            <w:pPr>
              <w:pStyle w:val="TableTextCentered"/>
              <w:rPr>
                <w:rFonts w:eastAsia="Times New Roman"/>
              </w:rPr>
            </w:pPr>
            <w:r>
              <w:rPr>
                <w:rFonts w:eastAsia="Times New Roman"/>
              </w:rPr>
              <w:t>2</w:t>
            </w:r>
          </w:p>
        </w:tc>
        <w:tc>
          <w:tcPr>
            <w:tcW w:w="874" w:type="dxa"/>
          </w:tcPr>
          <w:p w14:paraId="47F1DC83" w14:textId="77777777" w:rsidR="00B47AE8" w:rsidRPr="00E359BF" w:rsidRDefault="00B47AE8">
            <w:pPr>
              <w:pStyle w:val="TableTextCentered"/>
              <w:rPr>
                <w:rFonts w:eastAsia="Times New Roman"/>
              </w:rPr>
            </w:pPr>
            <w:r>
              <w:rPr>
                <w:rFonts w:eastAsia="Times New Roman"/>
              </w:rPr>
              <w:t>14</w:t>
            </w:r>
          </w:p>
        </w:tc>
        <w:tc>
          <w:tcPr>
            <w:tcW w:w="874" w:type="dxa"/>
          </w:tcPr>
          <w:p w14:paraId="24A567A8" w14:textId="77777777" w:rsidR="00B47AE8" w:rsidRPr="00E359BF" w:rsidRDefault="00B47AE8">
            <w:pPr>
              <w:pStyle w:val="TableTextCentered"/>
              <w:rPr>
                <w:rFonts w:eastAsia="Times New Roman"/>
              </w:rPr>
            </w:pPr>
            <w:r>
              <w:rPr>
                <w:rFonts w:eastAsia="Times New Roman"/>
              </w:rPr>
              <w:t>11</w:t>
            </w:r>
          </w:p>
        </w:tc>
        <w:tc>
          <w:tcPr>
            <w:tcW w:w="875" w:type="dxa"/>
          </w:tcPr>
          <w:p w14:paraId="7886583E" w14:textId="77777777" w:rsidR="00B47AE8" w:rsidRPr="00E359BF" w:rsidRDefault="00B47AE8">
            <w:pPr>
              <w:pStyle w:val="TableTextCentered"/>
              <w:rPr>
                <w:rFonts w:eastAsia="Times New Roman"/>
              </w:rPr>
            </w:pPr>
            <w:r>
              <w:rPr>
                <w:rFonts w:eastAsia="Times New Roman"/>
              </w:rPr>
              <w:t>0</w:t>
            </w:r>
          </w:p>
        </w:tc>
        <w:tc>
          <w:tcPr>
            <w:tcW w:w="900" w:type="dxa"/>
          </w:tcPr>
          <w:p w14:paraId="54F435E9" w14:textId="77777777" w:rsidR="00B47AE8" w:rsidRPr="00E359BF" w:rsidRDefault="00B47AE8">
            <w:pPr>
              <w:pStyle w:val="TableTextCentered"/>
              <w:rPr>
                <w:rFonts w:eastAsia="Times New Roman"/>
              </w:rPr>
            </w:pPr>
            <w:r>
              <w:rPr>
                <w:rFonts w:eastAsia="Times New Roman"/>
              </w:rPr>
              <w:t>32</w:t>
            </w:r>
          </w:p>
        </w:tc>
        <w:tc>
          <w:tcPr>
            <w:tcW w:w="892" w:type="dxa"/>
          </w:tcPr>
          <w:p w14:paraId="37C5215C" w14:textId="77777777" w:rsidR="00B47AE8" w:rsidRPr="00E359BF" w:rsidRDefault="00B47AE8">
            <w:pPr>
              <w:pStyle w:val="TableTextCentered"/>
              <w:rPr>
                <w:rFonts w:eastAsia="Times New Roman"/>
              </w:rPr>
            </w:pPr>
            <w:r>
              <w:rPr>
                <w:rFonts w:eastAsia="Times New Roman"/>
              </w:rPr>
              <w:t>5.0</w:t>
            </w:r>
          </w:p>
        </w:tc>
      </w:tr>
    </w:tbl>
    <w:bookmarkEnd w:id="132"/>
    <w:p w14:paraId="5668468F" w14:textId="77777777" w:rsidR="00B47AE8" w:rsidRDefault="00B47AE8">
      <w:pPr>
        <w:pStyle w:val="TableNote"/>
      </w:pPr>
      <w:r w:rsidRPr="00D44000">
        <w:t xml:space="preserve">*The district average is an average of the observation scores. In Table 11, the district average is computed as: </w:t>
      </w:r>
      <w:r w:rsidRPr="00D44000">
        <w:br/>
      </w:r>
      <w:bookmarkStart w:id="133" w:name="Dist_CU_Calc"/>
      <w:r>
        <w:t>([3 x 11] + [4 x 9] + [5 x 26] + [6 x 22] + [7 x 3]) ÷ 71 observations = 5.0</w:t>
      </w:r>
      <w:bookmarkEnd w:id="133"/>
    </w:p>
    <w:p w14:paraId="7967C273" w14:textId="77777777" w:rsidR="00B47AE8" w:rsidRPr="00BC09E0" w:rsidRDefault="00B47AE8">
      <w:pPr>
        <w:pStyle w:val="TableNote"/>
      </w:pPr>
      <w:r>
        <w:t>**Content Understanding does not appear in the CLASS K-3 Manual, therefore scores for the Elementary School Level represent grades 4-5 only.</w:t>
      </w:r>
    </w:p>
    <w:p w14:paraId="1C9BA233" w14:textId="77777777" w:rsidR="00B47AE8" w:rsidRPr="00BC09E0" w:rsidRDefault="00B47AE8">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19AA5213" w14:textId="77777777" w:rsidR="00B47AE8" w:rsidRPr="00BC09E0" w:rsidRDefault="00B47AE8">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361B6AAF" w14:textId="77777777" w:rsidR="00B47AE8" w:rsidRDefault="00B47AE8">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 prior knowledge in ways that advance their understanding and clarify misconceptions.</w:t>
      </w:r>
    </w:p>
    <w:p w14:paraId="54D895DD" w14:textId="77777777" w:rsidR="00B47AE8" w:rsidRDefault="00B47AE8">
      <w:pPr>
        <w:spacing w:after="160" w:line="259" w:lineRule="auto"/>
      </w:pPr>
      <w:r>
        <w:br w:type="page"/>
      </w:r>
    </w:p>
    <w:p w14:paraId="13FA1468" w14:textId="77777777" w:rsidR="00B47AE8" w:rsidRPr="00BC09E0" w:rsidRDefault="00B47AE8">
      <w:pPr>
        <w:pStyle w:val="Heading2-SIOR"/>
      </w:pPr>
      <w:bookmarkStart w:id="134" w:name="_Toc379881743"/>
      <w:bookmarkStart w:id="135" w:name="_Toc411329835"/>
      <w:bookmarkStart w:id="136" w:name="_Toc430114884"/>
      <w:bookmarkStart w:id="137" w:name="_Toc92194263"/>
      <w:r w:rsidRPr="00BC09E0">
        <w:lastRenderedPageBreak/>
        <w:t>Analysis and Inquiry</w:t>
      </w:r>
      <w:bookmarkEnd w:id="134"/>
      <w:bookmarkEnd w:id="135"/>
      <w:bookmarkEnd w:id="136"/>
      <w:bookmarkEnd w:id="137"/>
    </w:p>
    <w:p w14:paraId="7BED9A71" w14:textId="77777777" w:rsidR="00B47AE8" w:rsidRPr="00BC09E0" w:rsidRDefault="00B47AE8">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654AD7E3" w14:textId="77777777" w:rsidR="00B47AE8" w:rsidRPr="00BC09E0" w:rsidRDefault="00B47AE8">
      <w:pPr>
        <w:pStyle w:val="BodyText"/>
      </w:pPr>
      <w:r w:rsidRPr="00BC09E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0348FC9B" w14:textId="77777777" w:rsidR="00B47AE8" w:rsidRPr="00BC09E0" w:rsidRDefault="00B47AE8">
      <w:pPr>
        <w:pStyle w:val="TableTitle0"/>
      </w:pPr>
      <w:r w:rsidRPr="00BC09E0">
        <w:t xml:space="preserve">Table 12. Analysis and Inquiry: Number of Classrooms for Each Rating </w:t>
      </w:r>
      <w:r w:rsidRPr="00D44000">
        <w:t>and District Average</w:t>
      </w:r>
    </w:p>
    <w:p w14:paraId="220F7152" w14:textId="77777777" w:rsidR="00B47AE8" w:rsidRDefault="00B47AE8">
      <w:pPr>
        <w:pStyle w:val="BodyTextDemi"/>
      </w:pPr>
      <w:r w:rsidRPr="00D44000">
        <w:t xml:space="preserve">Analysis and Inquiry District Average*: </w:t>
      </w:r>
      <w:bookmarkStart w:id="138" w:name="Dist_AI_Avg"/>
      <w:r>
        <w:t>2.6</w:t>
      </w:r>
      <w:bookmarkEnd w:id="13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204A63A0"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57B144F" w14:textId="77777777" w:rsidR="00B47AE8" w:rsidRPr="00E359BF" w:rsidRDefault="00B47AE8">
            <w:pPr>
              <w:pStyle w:val="TableColHeadingCenter"/>
              <w:rPr>
                <w:rFonts w:eastAsia="MS Mincho"/>
              </w:rPr>
            </w:pPr>
            <w:bookmarkStart w:id="139" w:name="Tbl_AI"/>
            <w:r>
              <w:rPr>
                <w:rFonts w:eastAsia="MS Mincho"/>
              </w:rPr>
              <w:t>Grade Band</w:t>
            </w:r>
          </w:p>
        </w:tc>
        <w:tc>
          <w:tcPr>
            <w:tcW w:w="1748" w:type="dxa"/>
            <w:gridSpan w:val="2"/>
          </w:tcPr>
          <w:p w14:paraId="1DC6EA0D"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730DB5E8"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70088688"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121DF5FC" w14:textId="77777777" w:rsidR="00B47AE8" w:rsidRPr="00E359BF" w:rsidRDefault="00B47AE8">
            <w:pPr>
              <w:pStyle w:val="TableColHeadingCenter"/>
              <w:rPr>
                <w:rFonts w:eastAsia="MS Mincho"/>
              </w:rPr>
            </w:pPr>
            <w:r>
              <w:rPr>
                <w:rFonts w:eastAsia="MS Mincho"/>
              </w:rPr>
              <w:t>n</w:t>
            </w:r>
          </w:p>
        </w:tc>
        <w:tc>
          <w:tcPr>
            <w:tcW w:w="892" w:type="dxa"/>
          </w:tcPr>
          <w:p w14:paraId="227291A6" w14:textId="77777777" w:rsidR="00B47AE8" w:rsidRPr="00E359BF" w:rsidRDefault="00B47AE8">
            <w:pPr>
              <w:pStyle w:val="TableColHeadingCenter"/>
              <w:rPr>
                <w:rFonts w:eastAsia="MS Mincho"/>
              </w:rPr>
            </w:pPr>
            <w:r>
              <w:rPr>
                <w:rFonts w:eastAsia="MS Mincho"/>
              </w:rPr>
              <w:t>Average</w:t>
            </w:r>
          </w:p>
        </w:tc>
      </w:tr>
      <w:tr w:rsidR="00B47AE8" w:rsidRPr="00E359BF" w14:paraId="727D7CC9" w14:textId="77777777" w:rsidTr="00B47AE8">
        <w:trPr>
          <w:jc w:val="center"/>
        </w:trPr>
        <w:tc>
          <w:tcPr>
            <w:tcW w:w="1432" w:type="dxa"/>
            <w:shd w:val="clear" w:color="auto" w:fill="D9E2F3" w:themeFill="accent5" w:themeFillTint="33"/>
          </w:tcPr>
          <w:p w14:paraId="60DCAE31" w14:textId="77777777" w:rsidR="00B47AE8" w:rsidRPr="00E359BF" w:rsidRDefault="00B47AE8">
            <w:pPr>
              <w:pStyle w:val="TableSubheadingCentered"/>
            </w:pPr>
          </w:p>
        </w:tc>
        <w:tc>
          <w:tcPr>
            <w:tcW w:w="874" w:type="dxa"/>
            <w:shd w:val="clear" w:color="auto" w:fill="D9E2F3" w:themeFill="accent5" w:themeFillTint="33"/>
          </w:tcPr>
          <w:p w14:paraId="0D136911" w14:textId="77777777" w:rsidR="00B47AE8" w:rsidRPr="00E359BF" w:rsidRDefault="00B47AE8">
            <w:pPr>
              <w:pStyle w:val="TableSubheadingCentered"/>
            </w:pPr>
            <w:r w:rsidRPr="00E359BF">
              <w:t>1</w:t>
            </w:r>
          </w:p>
        </w:tc>
        <w:tc>
          <w:tcPr>
            <w:tcW w:w="874" w:type="dxa"/>
            <w:shd w:val="clear" w:color="auto" w:fill="D9E2F3" w:themeFill="accent5" w:themeFillTint="33"/>
          </w:tcPr>
          <w:p w14:paraId="3CB26DCB" w14:textId="77777777" w:rsidR="00B47AE8" w:rsidRPr="00E359BF" w:rsidRDefault="00B47AE8">
            <w:pPr>
              <w:pStyle w:val="TableSubheadingCentered"/>
            </w:pPr>
            <w:r w:rsidRPr="00E359BF">
              <w:t>2</w:t>
            </w:r>
          </w:p>
        </w:tc>
        <w:tc>
          <w:tcPr>
            <w:tcW w:w="874" w:type="dxa"/>
            <w:shd w:val="clear" w:color="auto" w:fill="D9E2F3" w:themeFill="accent5" w:themeFillTint="33"/>
          </w:tcPr>
          <w:p w14:paraId="242ADC90" w14:textId="77777777" w:rsidR="00B47AE8" w:rsidRPr="00E359BF" w:rsidRDefault="00B47AE8">
            <w:pPr>
              <w:pStyle w:val="TableSubheadingCentered"/>
            </w:pPr>
            <w:r w:rsidRPr="00E359BF">
              <w:t>3</w:t>
            </w:r>
          </w:p>
        </w:tc>
        <w:tc>
          <w:tcPr>
            <w:tcW w:w="875" w:type="dxa"/>
            <w:shd w:val="clear" w:color="auto" w:fill="D9E2F3" w:themeFill="accent5" w:themeFillTint="33"/>
          </w:tcPr>
          <w:p w14:paraId="1B5C55A9" w14:textId="77777777" w:rsidR="00B47AE8" w:rsidRPr="00E359BF" w:rsidRDefault="00B47AE8">
            <w:pPr>
              <w:pStyle w:val="TableSubheadingCentered"/>
            </w:pPr>
            <w:r w:rsidRPr="00E359BF">
              <w:t>4</w:t>
            </w:r>
          </w:p>
        </w:tc>
        <w:tc>
          <w:tcPr>
            <w:tcW w:w="874" w:type="dxa"/>
            <w:shd w:val="clear" w:color="auto" w:fill="D9E2F3" w:themeFill="accent5" w:themeFillTint="33"/>
          </w:tcPr>
          <w:p w14:paraId="404EE39A" w14:textId="77777777" w:rsidR="00B47AE8" w:rsidRPr="00E359BF" w:rsidRDefault="00B47AE8">
            <w:pPr>
              <w:pStyle w:val="TableSubheadingCentered"/>
            </w:pPr>
            <w:r w:rsidRPr="00E359BF">
              <w:t>5</w:t>
            </w:r>
          </w:p>
        </w:tc>
        <w:tc>
          <w:tcPr>
            <w:tcW w:w="874" w:type="dxa"/>
            <w:shd w:val="clear" w:color="auto" w:fill="D9E2F3" w:themeFill="accent5" w:themeFillTint="33"/>
          </w:tcPr>
          <w:p w14:paraId="2D7E4F0E" w14:textId="77777777" w:rsidR="00B47AE8" w:rsidRPr="00E359BF" w:rsidRDefault="00B47AE8">
            <w:pPr>
              <w:pStyle w:val="TableSubheadingCentered"/>
            </w:pPr>
            <w:r w:rsidRPr="00E359BF">
              <w:t>6</w:t>
            </w:r>
          </w:p>
        </w:tc>
        <w:tc>
          <w:tcPr>
            <w:tcW w:w="875" w:type="dxa"/>
            <w:shd w:val="clear" w:color="auto" w:fill="D9E2F3" w:themeFill="accent5" w:themeFillTint="33"/>
          </w:tcPr>
          <w:p w14:paraId="61ABAA32" w14:textId="77777777" w:rsidR="00B47AE8" w:rsidRPr="00E359BF" w:rsidRDefault="00B47AE8">
            <w:pPr>
              <w:pStyle w:val="TableSubheadingCentered"/>
            </w:pPr>
            <w:r w:rsidRPr="00E359BF">
              <w:t>7</w:t>
            </w:r>
          </w:p>
        </w:tc>
        <w:tc>
          <w:tcPr>
            <w:tcW w:w="900" w:type="dxa"/>
            <w:shd w:val="clear" w:color="auto" w:fill="D9E2F3" w:themeFill="accent5" w:themeFillTint="33"/>
          </w:tcPr>
          <w:p w14:paraId="11AD1F67" w14:textId="77777777" w:rsidR="00B47AE8" w:rsidRPr="00E359BF" w:rsidRDefault="00B47AE8">
            <w:pPr>
              <w:pStyle w:val="TableSubheadingCentered"/>
            </w:pPr>
            <w:r>
              <w:t>71</w:t>
            </w:r>
          </w:p>
        </w:tc>
        <w:tc>
          <w:tcPr>
            <w:tcW w:w="892" w:type="dxa"/>
            <w:shd w:val="clear" w:color="auto" w:fill="D9E2F3" w:themeFill="accent5" w:themeFillTint="33"/>
          </w:tcPr>
          <w:p w14:paraId="399A60B9" w14:textId="77777777" w:rsidR="00B47AE8" w:rsidRPr="00E359BF" w:rsidRDefault="00B47AE8">
            <w:pPr>
              <w:pStyle w:val="TableSubheadingCentered"/>
            </w:pPr>
            <w:r>
              <w:t>2.6</w:t>
            </w:r>
          </w:p>
        </w:tc>
      </w:tr>
      <w:tr w:rsidR="00B47AE8" w:rsidRPr="00E359BF" w14:paraId="79723AB2" w14:textId="77777777" w:rsidTr="00B47AE8">
        <w:trPr>
          <w:jc w:val="center"/>
        </w:trPr>
        <w:tc>
          <w:tcPr>
            <w:tcW w:w="1432" w:type="dxa"/>
          </w:tcPr>
          <w:p w14:paraId="53291438" w14:textId="77777777" w:rsidR="00B47AE8" w:rsidRPr="00E359BF" w:rsidRDefault="00B47AE8">
            <w:pPr>
              <w:pStyle w:val="TableText"/>
            </w:pPr>
            <w:r>
              <w:t>Grades 4-5**</w:t>
            </w:r>
          </w:p>
        </w:tc>
        <w:tc>
          <w:tcPr>
            <w:tcW w:w="874" w:type="dxa"/>
          </w:tcPr>
          <w:p w14:paraId="69F98314" w14:textId="77777777" w:rsidR="00B47AE8" w:rsidRPr="00E359BF" w:rsidRDefault="00B47AE8">
            <w:pPr>
              <w:pStyle w:val="TableTextCentered"/>
              <w:rPr>
                <w:rFonts w:eastAsia="Times New Roman"/>
              </w:rPr>
            </w:pPr>
            <w:r>
              <w:rPr>
                <w:rFonts w:eastAsia="Times New Roman"/>
              </w:rPr>
              <w:t>3</w:t>
            </w:r>
          </w:p>
        </w:tc>
        <w:tc>
          <w:tcPr>
            <w:tcW w:w="874" w:type="dxa"/>
          </w:tcPr>
          <w:p w14:paraId="24269532" w14:textId="77777777" w:rsidR="00B47AE8" w:rsidRPr="00E359BF" w:rsidRDefault="00B47AE8">
            <w:pPr>
              <w:pStyle w:val="TableTextCentered"/>
              <w:rPr>
                <w:rFonts w:eastAsia="Times New Roman"/>
              </w:rPr>
            </w:pPr>
            <w:r>
              <w:rPr>
                <w:rFonts w:eastAsia="Times New Roman"/>
              </w:rPr>
              <w:t>4</w:t>
            </w:r>
          </w:p>
        </w:tc>
        <w:tc>
          <w:tcPr>
            <w:tcW w:w="874" w:type="dxa"/>
          </w:tcPr>
          <w:p w14:paraId="77366D76" w14:textId="77777777" w:rsidR="00B47AE8" w:rsidRPr="00E359BF" w:rsidRDefault="00B47AE8">
            <w:pPr>
              <w:pStyle w:val="TableTextCentered"/>
              <w:rPr>
                <w:rFonts w:eastAsia="Times New Roman"/>
              </w:rPr>
            </w:pPr>
            <w:r>
              <w:rPr>
                <w:rFonts w:eastAsia="Times New Roman"/>
              </w:rPr>
              <w:t>7</w:t>
            </w:r>
          </w:p>
        </w:tc>
        <w:tc>
          <w:tcPr>
            <w:tcW w:w="875" w:type="dxa"/>
          </w:tcPr>
          <w:p w14:paraId="7E1240F3" w14:textId="77777777" w:rsidR="00B47AE8" w:rsidRPr="00E359BF" w:rsidRDefault="00B47AE8">
            <w:pPr>
              <w:pStyle w:val="TableTextCentered"/>
              <w:rPr>
                <w:rFonts w:eastAsia="Times New Roman"/>
              </w:rPr>
            </w:pPr>
            <w:r>
              <w:rPr>
                <w:rFonts w:eastAsia="Times New Roman"/>
              </w:rPr>
              <w:t>1</w:t>
            </w:r>
          </w:p>
        </w:tc>
        <w:tc>
          <w:tcPr>
            <w:tcW w:w="874" w:type="dxa"/>
          </w:tcPr>
          <w:p w14:paraId="1D529880" w14:textId="77777777" w:rsidR="00B47AE8" w:rsidRPr="00E359BF" w:rsidRDefault="00B47AE8">
            <w:pPr>
              <w:pStyle w:val="TableTextCentered"/>
              <w:rPr>
                <w:rFonts w:eastAsia="Times New Roman"/>
              </w:rPr>
            </w:pPr>
            <w:r>
              <w:rPr>
                <w:rFonts w:eastAsia="Times New Roman"/>
              </w:rPr>
              <w:t>0</w:t>
            </w:r>
          </w:p>
        </w:tc>
        <w:tc>
          <w:tcPr>
            <w:tcW w:w="874" w:type="dxa"/>
          </w:tcPr>
          <w:p w14:paraId="04B12179" w14:textId="77777777" w:rsidR="00B47AE8" w:rsidRPr="00E359BF" w:rsidRDefault="00B47AE8">
            <w:pPr>
              <w:pStyle w:val="TableTextCentered"/>
              <w:rPr>
                <w:rFonts w:eastAsia="Times New Roman"/>
              </w:rPr>
            </w:pPr>
            <w:r>
              <w:rPr>
                <w:rFonts w:eastAsia="Times New Roman"/>
              </w:rPr>
              <w:t>1</w:t>
            </w:r>
          </w:p>
        </w:tc>
        <w:tc>
          <w:tcPr>
            <w:tcW w:w="875" w:type="dxa"/>
          </w:tcPr>
          <w:p w14:paraId="1A5DD090" w14:textId="77777777" w:rsidR="00B47AE8" w:rsidRPr="00E359BF" w:rsidRDefault="00B47AE8">
            <w:pPr>
              <w:pStyle w:val="TableTextCentered"/>
              <w:rPr>
                <w:rFonts w:eastAsia="Times New Roman"/>
              </w:rPr>
            </w:pPr>
            <w:r>
              <w:rPr>
                <w:rFonts w:eastAsia="Times New Roman"/>
              </w:rPr>
              <w:t>0</w:t>
            </w:r>
          </w:p>
        </w:tc>
        <w:tc>
          <w:tcPr>
            <w:tcW w:w="900" w:type="dxa"/>
          </w:tcPr>
          <w:p w14:paraId="1C16E13B" w14:textId="77777777" w:rsidR="00B47AE8" w:rsidRPr="00E359BF" w:rsidRDefault="00B47AE8">
            <w:pPr>
              <w:pStyle w:val="TableTextCentered"/>
              <w:rPr>
                <w:rFonts w:eastAsia="Times New Roman"/>
              </w:rPr>
            </w:pPr>
            <w:r>
              <w:rPr>
                <w:rFonts w:eastAsia="Times New Roman"/>
              </w:rPr>
              <w:t>16</w:t>
            </w:r>
          </w:p>
        </w:tc>
        <w:tc>
          <w:tcPr>
            <w:tcW w:w="892" w:type="dxa"/>
          </w:tcPr>
          <w:p w14:paraId="34CB61C3" w14:textId="77777777" w:rsidR="00B47AE8" w:rsidRPr="00E359BF" w:rsidRDefault="00B47AE8">
            <w:pPr>
              <w:pStyle w:val="TableTextCentered"/>
              <w:rPr>
                <w:rFonts w:eastAsia="Times New Roman"/>
              </w:rPr>
            </w:pPr>
            <w:r>
              <w:rPr>
                <w:rFonts w:eastAsia="Times New Roman"/>
              </w:rPr>
              <w:t>2.6</w:t>
            </w:r>
          </w:p>
        </w:tc>
      </w:tr>
      <w:tr w:rsidR="00B47AE8" w:rsidRPr="00E359BF" w14:paraId="5AECE0FC" w14:textId="77777777" w:rsidTr="00B47AE8">
        <w:trPr>
          <w:jc w:val="center"/>
        </w:trPr>
        <w:tc>
          <w:tcPr>
            <w:tcW w:w="1432" w:type="dxa"/>
          </w:tcPr>
          <w:p w14:paraId="2E42BC18" w14:textId="77777777" w:rsidR="00B47AE8" w:rsidRPr="00E359BF" w:rsidRDefault="00B47AE8">
            <w:pPr>
              <w:pStyle w:val="TableText"/>
            </w:pPr>
            <w:r>
              <w:t>Grades 6-8</w:t>
            </w:r>
          </w:p>
        </w:tc>
        <w:tc>
          <w:tcPr>
            <w:tcW w:w="874" w:type="dxa"/>
          </w:tcPr>
          <w:p w14:paraId="5136C141" w14:textId="77777777" w:rsidR="00B47AE8" w:rsidRPr="00E359BF" w:rsidRDefault="00B47AE8">
            <w:pPr>
              <w:pStyle w:val="TableTextCentered"/>
              <w:rPr>
                <w:rFonts w:eastAsia="Times New Roman"/>
              </w:rPr>
            </w:pPr>
            <w:r>
              <w:rPr>
                <w:rFonts w:eastAsia="Times New Roman"/>
              </w:rPr>
              <w:t>9</w:t>
            </w:r>
          </w:p>
        </w:tc>
        <w:tc>
          <w:tcPr>
            <w:tcW w:w="874" w:type="dxa"/>
          </w:tcPr>
          <w:p w14:paraId="3CA0C0F7" w14:textId="77777777" w:rsidR="00B47AE8" w:rsidRPr="00E359BF" w:rsidRDefault="00B47AE8">
            <w:pPr>
              <w:pStyle w:val="TableTextCentered"/>
              <w:rPr>
                <w:rFonts w:eastAsia="Times New Roman"/>
              </w:rPr>
            </w:pPr>
            <w:r>
              <w:rPr>
                <w:rFonts w:eastAsia="Times New Roman"/>
              </w:rPr>
              <w:t>5</w:t>
            </w:r>
          </w:p>
        </w:tc>
        <w:tc>
          <w:tcPr>
            <w:tcW w:w="874" w:type="dxa"/>
          </w:tcPr>
          <w:p w14:paraId="7E17A236" w14:textId="77777777" w:rsidR="00B47AE8" w:rsidRPr="00E359BF" w:rsidRDefault="00B47AE8">
            <w:pPr>
              <w:pStyle w:val="TableTextCentered"/>
              <w:rPr>
                <w:rFonts w:eastAsia="Times New Roman"/>
              </w:rPr>
            </w:pPr>
            <w:r>
              <w:rPr>
                <w:rFonts w:eastAsia="Times New Roman"/>
              </w:rPr>
              <w:t>4</w:t>
            </w:r>
          </w:p>
        </w:tc>
        <w:tc>
          <w:tcPr>
            <w:tcW w:w="875" w:type="dxa"/>
          </w:tcPr>
          <w:p w14:paraId="6BB6F3B1" w14:textId="77777777" w:rsidR="00B47AE8" w:rsidRPr="00E359BF" w:rsidRDefault="00B47AE8">
            <w:pPr>
              <w:pStyle w:val="TableTextCentered"/>
              <w:rPr>
                <w:rFonts w:eastAsia="Times New Roman"/>
              </w:rPr>
            </w:pPr>
            <w:r>
              <w:rPr>
                <w:rFonts w:eastAsia="Times New Roman"/>
              </w:rPr>
              <w:t>2</w:t>
            </w:r>
          </w:p>
        </w:tc>
        <w:tc>
          <w:tcPr>
            <w:tcW w:w="874" w:type="dxa"/>
          </w:tcPr>
          <w:p w14:paraId="64AFB3BA" w14:textId="77777777" w:rsidR="00B47AE8" w:rsidRPr="00E359BF" w:rsidRDefault="00B47AE8">
            <w:pPr>
              <w:pStyle w:val="TableTextCentered"/>
              <w:rPr>
                <w:rFonts w:eastAsia="Times New Roman"/>
              </w:rPr>
            </w:pPr>
            <w:r>
              <w:rPr>
                <w:rFonts w:eastAsia="Times New Roman"/>
              </w:rPr>
              <w:t>1</w:t>
            </w:r>
          </w:p>
        </w:tc>
        <w:tc>
          <w:tcPr>
            <w:tcW w:w="874" w:type="dxa"/>
          </w:tcPr>
          <w:p w14:paraId="438ECC19" w14:textId="77777777" w:rsidR="00B47AE8" w:rsidRPr="00E359BF" w:rsidRDefault="00B47AE8">
            <w:pPr>
              <w:pStyle w:val="TableTextCentered"/>
              <w:rPr>
                <w:rFonts w:eastAsia="Times New Roman"/>
              </w:rPr>
            </w:pPr>
            <w:r>
              <w:rPr>
                <w:rFonts w:eastAsia="Times New Roman"/>
              </w:rPr>
              <w:t>2</w:t>
            </w:r>
          </w:p>
        </w:tc>
        <w:tc>
          <w:tcPr>
            <w:tcW w:w="875" w:type="dxa"/>
          </w:tcPr>
          <w:p w14:paraId="5838B9A4" w14:textId="77777777" w:rsidR="00B47AE8" w:rsidRPr="00E359BF" w:rsidRDefault="00B47AE8">
            <w:pPr>
              <w:pStyle w:val="TableTextCentered"/>
              <w:rPr>
                <w:rFonts w:eastAsia="Times New Roman"/>
              </w:rPr>
            </w:pPr>
            <w:r>
              <w:rPr>
                <w:rFonts w:eastAsia="Times New Roman"/>
              </w:rPr>
              <w:t>0</w:t>
            </w:r>
          </w:p>
        </w:tc>
        <w:tc>
          <w:tcPr>
            <w:tcW w:w="900" w:type="dxa"/>
          </w:tcPr>
          <w:p w14:paraId="1336AB43" w14:textId="77777777" w:rsidR="00B47AE8" w:rsidRPr="00E359BF" w:rsidRDefault="00B47AE8">
            <w:pPr>
              <w:pStyle w:val="TableTextCentered"/>
              <w:rPr>
                <w:rFonts w:eastAsia="Times New Roman"/>
              </w:rPr>
            </w:pPr>
            <w:r>
              <w:rPr>
                <w:rFonts w:eastAsia="Times New Roman"/>
              </w:rPr>
              <w:t>23</w:t>
            </w:r>
          </w:p>
        </w:tc>
        <w:tc>
          <w:tcPr>
            <w:tcW w:w="892" w:type="dxa"/>
          </w:tcPr>
          <w:p w14:paraId="3354E549" w14:textId="77777777" w:rsidR="00B47AE8" w:rsidRPr="00E359BF" w:rsidRDefault="00B47AE8">
            <w:pPr>
              <w:pStyle w:val="TableTextCentered"/>
              <w:rPr>
                <w:rFonts w:eastAsia="Times New Roman"/>
              </w:rPr>
            </w:pPr>
            <w:r>
              <w:rPr>
                <w:rFonts w:eastAsia="Times New Roman"/>
              </w:rPr>
              <w:t>2.4</w:t>
            </w:r>
          </w:p>
        </w:tc>
      </w:tr>
      <w:tr w:rsidR="00B47AE8" w:rsidRPr="00E359BF" w14:paraId="27FD6BF9" w14:textId="77777777" w:rsidTr="00B47AE8">
        <w:trPr>
          <w:jc w:val="center"/>
        </w:trPr>
        <w:tc>
          <w:tcPr>
            <w:tcW w:w="1432" w:type="dxa"/>
          </w:tcPr>
          <w:p w14:paraId="4C7FF79E" w14:textId="77777777" w:rsidR="00B47AE8" w:rsidRPr="00E359BF" w:rsidRDefault="00B47AE8">
            <w:pPr>
              <w:pStyle w:val="TableText"/>
            </w:pPr>
            <w:r>
              <w:t>Grades 9-12</w:t>
            </w:r>
          </w:p>
        </w:tc>
        <w:tc>
          <w:tcPr>
            <w:tcW w:w="874" w:type="dxa"/>
          </w:tcPr>
          <w:p w14:paraId="644B3A98" w14:textId="77777777" w:rsidR="00B47AE8" w:rsidRPr="00E359BF" w:rsidRDefault="00B47AE8">
            <w:pPr>
              <w:pStyle w:val="TableTextCentered"/>
              <w:rPr>
                <w:rFonts w:eastAsia="Times New Roman"/>
              </w:rPr>
            </w:pPr>
            <w:r>
              <w:rPr>
                <w:rFonts w:eastAsia="Times New Roman"/>
              </w:rPr>
              <w:t>8</w:t>
            </w:r>
          </w:p>
        </w:tc>
        <w:tc>
          <w:tcPr>
            <w:tcW w:w="874" w:type="dxa"/>
          </w:tcPr>
          <w:p w14:paraId="3513BD06" w14:textId="77777777" w:rsidR="00B47AE8" w:rsidRPr="00E359BF" w:rsidRDefault="00B47AE8">
            <w:pPr>
              <w:pStyle w:val="TableTextCentered"/>
              <w:rPr>
                <w:rFonts w:eastAsia="Times New Roman"/>
              </w:rPr>
            </w:pPr>
            <w:r>
              <w:rPr>
                <w:rFonts w:eastAsia="Times New Roman"/>
              </w:rPr>
              <w:t>10</w:t>
            </w:r>
          </w:p>
        </w:tc>
        <w:tc>
          <w:tcPr>
            <w:tcW w:w="874" w:type="dxa"/>
          </w:tcPr>
          <w:p w14:paraId="514766EC" w14:textId="77777777" w:rsidR="00B47AE8" w:rsidRPr="00E359BF" w:rsidRDefault="00B47AE8">
            <w:pPr>
              <w:pStyle w:val="TableTextCentered"/>
              <w:rPr>
                <w:rFonts w:eastAsia="Times New Roman"/>
              </w:rPr>
            </w:pPr>
            <w:r>
              <w:rPr>
                <w:rFonts w:eastAsia="Times New Roman"/>
              </w:rPr>
              <w:t>8</w:t>
            </w:r>
          </w:p>
        </w:tc>
        <w:tc>
          <w:tcPr>
            <w:tcW w:w="875" w:type="dxa"/>
          </w:tcPr>
          <w:p w14:paraId="3B443A1C" w14:textId="77777777" w:rsidR="00B47AE8" w:rsidRPr="00E359BF" w:rsidRDefault="00B47AE8">
            <w:pPr>
              <w:pStyle w:val="TableTextCentered"/>
              <w:rPr>
                <w:rFonts w:eastAsia="Times New Roman"/>
              </w:rPr>
            </w:pPr>
            <w:r>
              <w:rPr>
                <w:rFonts w:eastAsia="Times New Roman"/>
              </w:rPr>
              <w:t>2</w:t>
            </w:r>
          </w:p>
        </w:tc>
        <w:tc>
          <w:tcPr>
            <w:tcW w:w="874" w:type="dxa"/>
          </w:tcPr>
          <w:p w14:paraId="43761DDC" w14:textId="77777777" w:rsidR="00B47AE8" w:rsidRPr="00E359BF" w:rsidRDefault="00B47AE8">
            <w:pPr>
              <w:pStyle w:val="TableTextCentered"/>
              <w:rPr>
                <w:rFonts w:eastAsia="Times New Roman"/>
              </w:rPr>
            </w:pPr>
            <w:r>
              <w:rPr>
                <w:rFonts w:eastAsia="Times New Roman"/>
              </w:rPr>
              <w:t>0</w:t>
            </w:r>
          </w:p>
        </w:tc>
        <w:tc>
          <w:tcPr>
            <w:tcW w:w="874" w:type="dxa"/>
          </w:tcPr>
          <w:p w14:paraId="25646B06" w14:textId="77777777" w:rsidR="00B47AE8" w:rsidRPr="00E359BF" w:rsidRDefault="00B47AE8">
            <w:pPr>
              <w:pStyle w:val="TableTextCentered"/>
              <w:rPr>
                <w:rFonts w:eastAsia="Times New Roman"/>
              </w:rPr>
            </w:pPr>
            <w:r>
              <w:rPr>
                <w:rFonts w:eastAsia="Times New Roman"/>
              </w:rPr>
              <w:t>4</w:t>
            </w:r>
          </w:p>
        </w:tc>
        <w:tc>
          <w:tcPr>
            <w:tcW w:w="875" w:type="dxa"/>
          </w:tcPr>
          <w:p w14:paraId="186A8073" w14:textId="77777777" w:rsidR="00B47AE8" w:rsidRPr="00E359BF" w:rsidRDefault="00B47AE8">
            <w:pPr>
              <w:pStyle w:val="TableTextCentered"/>
              <w:rPr>
                <w:rFonts w:eastAsia="Times New Roman"/>
              </w:rPr>
            </w:pPr>
            <w:r>
              <w:rPr>
                <w:rFonts w:eastAsia="Times New Roman"/>
              </w:rPr>
              <w:t>0</w:t>
            </w:r>
          </w:p>
        </w:tc>
        <w:tc>
          <w:tcPr>
            <w:tcW w:w="900" w:type="dxa"/>
          </w:tcPr>
          <w:p w14:paraId="48CE8941" w14:textId="77777777" w:rsidR="00B47AE8" w:rsidRPr="00E359BF" w:rsidRDefault="00B47AE8">
            <w:pPr>
              <w:pStyle w:val="TableTextCentered"/>
              <w:rPr>
                <w:rFonts w:eastAsia="Times New Roman"/>
              </w:rPr>
            </w:pPr>
            <w:r>
              <w:rPr>
                <w:rFonts w:eastAsia="Times New Roman"/>
              </w:rPr>
              <w:t>32</w:t>
            </w:r>
          </w:p>
        </w:tc>
        <w:tc>
          <w:tcPr>
            <w:tcW w:w="892" w:type="dxa"/>
          </w:tcPr>
          <w:p w14:paraId="36745569" w14:textId="77777777" w:rsidR="00B47AE8" w:rsidRPr="00E359BF" w:rsidRDefault="00B47AE8">
            <w:pPr>
              <w:pStyle w:val="TableTextCentered"/>
              <w:rPr>
                <w:rFonts w:eastAsia="Times New Roman"/>
              </w:rPr>
            </w:pPr>
            <w:r>
              <w:rPr>
                <w:rFonts w:eastAsia="Times New Roman"/>
              </w:rPr>
              <w:t>2.6</w:t>
            </w:r>
          </w:p>
        </w:tc>
      </w:tr>
    </w:tbl>
    <w:bookmarkEnd w:id="139"/>
    <w:p w14:paraId="4023E63B" w14:textId="77777777" w:rsidR="00B47AE8" w:rsidRDefault="00B47AE8">
      <w:pPr>
        <w:pStyle w:val="TableNote"/>
      </w:pPr>
      <w:r w:rsidRPr="00D44000">
        <w:t xml:space="preserve">*The district average is an average of the observation scores. In Table 12, the district average is computed as: </w:t>
      </w:r>
      <w:r w:rsidRPr="00D44000">
        <w:br/>
      </w:r>
      <w:bookmarkStart w:id="140" w:name="Dist_AI_Calc"/>
      <w:r>
        <w:t>([1 x 20] + [2 x 19] + [3 x 19] + [4 x 5] + [5 x 1] + [6 x 7]) ÷ 71 observations = 2.6</w:t>
      </w:r>
      <w:bookmarkEnd w:id="140"/>
    </w:p>
    <w:p w14:paraId="3C4436CE" w14:textId="77777777" w:rsidR="00B47AE8" w:rsidRPr="00BC09E0" w:rsidRDefault="00B47AE8">
      <w:pPr>
        <w:pStyle w:val="TableNote"/>
      </w:pPr>
      <w:r>
        <w:t>**Analysis and Inquiry does not appear in the CLASS K-3 Manual, therefore scores for the Elementary School Level represent grades 4-5 only.</w:t>
      </w:r>
    </w:p>
    <w:p w14:paraId="1FF760B8" w14:textId="77777777" w:rsidR="00B47AE8" w:rsidRPr="00BC09E0" w:rsidRDefault="00B47AE8">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70462B30" w14:textId="77777777" w:rsidR="00B47AE8" w:rsidRPr="00BC09E0" w:rsidRDefault="00B47AE8">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4EF3C10E" w14:textId="77777777" w:rsidR="00B47AE8" w:rsidRDefault="00B47AE8">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78421039" w14:textId="77777777" w:rsidR="00B47AE8" w:rsidRDefault="00B47AE8">
      <w:pPr>
        <w:spacing w:after="160" w:line="259" w:lineRule="auto"/>
      </w:pPr>
      <w:r>
        <w:br w:type="page"/>
      </w:r>
    </w:p>
    <w:p w14:paraId="19754841" w14:textId="77777777" w:rsidR="00B47AE8" w:rsidRPr="00BC09E0" w:rsidRDefault="00B47AE8">
      <w:pPr>
        <w:pStyle w:val="Heading2-SIOR"/>
      </w:pPr>
      <w:bookmarkStart w:id="141" w:name="_Toc411329836"/>
      <w:bookmarkStart w:id="142" w:name="_Toc430114885"/>
      <w:bookmarkStart w:id="143" w:name="_Toc92194264"/>
      <w:r w:rsidRPr="00BC09E0">
        <w:lastRenderedPageBreak/>
        <w:t>Quality of Feedback</w:t>
      </w:r>
      <w:bookmarkEnd w:id="141"/>
      <w:bookmarkEnd w:id="142"/>
      <w:bookmarkEnd w:id="143"/>
    </w:p>
    <w:p w14:paraId="4361AEAB" w14:textId="77777777" w:rsidR="00B47AE8" w:rsidRPr="00BC09E0" w:rsidRDefault="00B47AE8">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1576B3C9" w14:textId="77777777" w:rsidR="00B47AE8" w:rsidRPr="00BC09E0" w:rsidRDefault="00B47AE8">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05DBDB73" w14:textId="77777777" w:rsidR="00B47AE8" w:rsidRPr="00BC09E0" w:rsidRDefault="00B47AE8">
      <w:pPr>
        <w:pStyle w:val="TableTitle0"/>
      </w:pPr>
      <w:r w:rsidRPr="00BC09E0">
        <w:t xml:space="preserve">Table 13. Quality of Feedback: Number of Classrooms for Each Rating </w:t>
      </w:r>
      <w:r w:rsidRPr="00D44000">
        <w:t>and District Average</w:t>
      </w:r>
    </w:p>
    <w:p w14:paraId="5E7E6B72" w14:textId="77777777" w:rsidR="00B47AE8" w:rsidRDefault="00B47AE8">
      <w:pPr>
        <w:pStyle w:val="BodyTextDemi"/>
      </w:pPr>
      <w:r w:rsidRPr="00D44000">
        <w:t xml:space="preserve">Quality of Feedback District Average*: </w:t>
      </w:r>
      <w:bookmarkStart w:id="144" w:name="Dist_QF_Avg"/>
      <w:r>
        <w:t>3.1</w:t>
      </w:r>
      <w:bookmarkEnd w:id="14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14680C0B"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2ECD5BF" w14:textId="77777777" w:rsidR="00B47AE8" w:rsidRPr="00E359BF" w:rsidRDefault="00B47AE8">
            <w:pPr>
              <w:pStyle w:val="TableColHeadingCenter"/>
              <w:rPr>
                <w:rFonts w:eastAsia="MS Mincho"/>
              </w:rPr>
            </w:pPr>
            <w:bookmarkStart w:id="145" w:name="Tbl_QF"/>
            <w:r>
              <w:rPr>
                <w:rFonts w:eastAsia="MS Mincho"/>
              </w:rPr>
              <w:t>Grade Band</w:t>
            </w:r>
          </w:p>
        </w:tc>
        <w:tc>
          <w:tcPr>
            <w:tcW w:w="1748" w:type="dxa"/>
            <w:gridSpan w:val="2"/>
          </w:tcPr>
          <w:p w14:paraId="42D0D85A"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6108D7F9"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2B525F26"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1218F9AB" w14:textId="77777777" w:rsidR="00B47AE8" w:rsidRPr="00E359BF" w:rsidRDefault="00B47AE8">
            <w:pPr>
              <w:pStyle w:val="TableColHeadingCenter"/>
              <w:rPr>
                <w:rFonts w:eastAsia="MS Mincho"/>
              </w:rPr>
            </w:pPr>
            <w:r>
              <w:rPr>
                <w:rFonts w:eastAsia="MS Mincho"/>
              </w:rPr>
              <w:t>n</w:t>
            </w:r>
          </w:p>
        </w:tc>
        <w:tc>
          <w:tcPr>
            <w:tcW w:w="892" w:type="dxa"/>
          </w:tcPr>
          <w:p w14:paraId="632EC5D3" w14:textId="77777777" w:rsidR="00B47AE8" w:rsidRPr="00E359BF" w:rsidRDefault="00B47AE8">
            <w:pPr>
              <w:pStyle w:val="TableColHeadingCenter"/>
              <w:rPr>
                <w:rFonts w:eastAsia="MS Mincho"/>
              </w:rPr>
            </w:pPr>
            <w:r>
              <w:rPr>
                <w:rFonts w:eastAsia="MS Mincho"/>
              </w:rPr>
              <w:t>Average</w:t>
            </w:r>
          </w:p>
        </w:tc>
      </w:tr>
      <w:tr w:rsidR="00B47AE8" w:rsidRPr="00E359BF" w14:paraId="6606DF25" w14:textId="77777777" w:rsidTr="00B47AE8">
        <w:trPr>
          <w:jc w:val="center"/>
        </w:trPr>
        <w:tc>
          <w:tcPr>
            <w:tcW w:w="1432" w:type="dxa"/>
            <w:shd w:val="clear" w:color="auto" w:fill="D9E2F3" w:themeFill="accent5" w:themeFillTint="33"/>
          </w:tcPr>
          <w:p w14:paraId="76A2B40C" w14:textId="77777777" w:rsidR="00B47AE8" w:rsidRPr="00E359BF" w:rsidRDefault="00B47AE8">
            <w:pPr>
              <w:pStyle w:val="TableSubheadingCentered"/>
            </w:pPr>
          </w:p>
        </w:tc>
        <w:tc>
          <w:tcPr>
            <w:tcW w:w="874" w:type="dxa"/>
            <w:shd w:val="clear" w:color="auto" w:fill="D9E2F3" w:themeFill="accent5" w:themeFillTint="33"/>
          </w:tcPr>
          <w:p w14:paraId="5AE21716" w14:textId="77777777" w:rsidR="00B47AE8" w:rsidRPr="00E359BF" w:rsidRDefault="00B47AE8">
            <w:pPr>
              <w:pStyle w:val="TableSubheadingCentered"/>
            </w:pPr>
            <w:r w:rsidRPr="00E359BF">
              <w:t>1</w:t>
            </w:r>
          </w:p>
        </w:tc>
        <w:tc>
          <w:tcPr>
            <w:tcW w:w="874" w:type="dxa"/>
            <w:shd w:val="clear" w:color="auto" w:fill="D9E2F3" w:themeFill="accent5" w:themeFillTint="33"/>
          </w:tcPr>
          <w:p w14:paraId="2E9C8208" w14:textId="77777777" w:rsidR="00B47AE8" w:rsidRPr="00E359BF" w:rsidRDefault="00B47AE8">
            <w:pPr>
              <w:pStyle w:val="TableSubheadingCentered"/>
            </w:pPr>
            <w:r w:rsidRPr="00E359BF">
              <w:t>2</w:t>
            </w:r>
          </w:p>
        </w:tc>
        <w:tc>
          <w:tcPr>
            <w:tcW w:w="874" w:type="dxa"/>
            <w:shd w:val="clear" w:color="auto" w:fill="D9E2F3" w:themeFill="accent5" w:themeFillTint="33"/>
          </w:tcPr>
          <w:p w14:paraId="45353AFB" w14:textId="77777777" w:rsidR="00B47AE8" w:rsidRPr="00E359BF" w:rsidRDefault="00B47AE8">
            <w:pPr>
              <w:pStyle w:val="TableSubheadingCentered"/>
            </w:pPr>
            <w:r w:rsidRPr="00E359BF">
              <w:t>3</w:t>
            </w:r>
          </w:p>
        </w:tc>
        <w:tc>
          <w:tcPr>
            <w:tcW w:w="875" w:type="dxa"/>
            <w:shd w:val="clear" w:color="auto" w:fill="D9E2F3" w:themeFill="accent5" w:themeFillTint="33"/>
          </w:tcPr>
          <w:p w14:paraId="2624935D" w14:textId="77777777" w:rsidR="00B47AE8" w:rsidRPr="00E359BF" w:rsidRDefault="00B47AE8">
            <w:pPr>
              <w:pStyle w:val="TableSubheadingCentered"/>
            </w:pPr>
            <w:r w:rsidRPr="00E359BF">
              <w:t>4</w:t>
            </w:r>
          </w:p>
        </w:tc>
        <w:tc>
          <w:tcPr>
            <w:tcW w:w="874" w:type="dxa"/>
            <w:shd w:val="clear" w:color="auto" w:fill="D9E2F3" w:themeFill="accent5" w:themeFillTint="33"/>
          </w:tcPr>
          <w:p w14:paraId="64362B01" w14:textId="77777777" w:rsidR="00B47AE8" w:rsidRPr="00E359BF" w:rsidRDefault="00B47AE8">
            <w:pPr>
              <w:pStyle w:val="TableSubheadingCentered"/>
            </w:pPr>
            <w:r w:rsidRPr="00E359BF">
              <w:t>5</w:t>
            </w:r>
          </w:p>
        </w:tc>
        <w:tc>
          <w:tcPr>
            <w:tcW w:w="874" w:type="dxa"/>
            <w:shd w:val="clear" w:color="auto" w:fill="D9E2F3" w:themeFill="accent5" w:themeFillTint="33"/>
          </w:tcPr>
          <w:p w14:paraId="0D1CA580" w14:textId="77777777" w:rsidR="00B47AE8" w:rsidRPr="00E359BF" w:rsidRDefault="00B47AE8">
            <w:pPr>
              <w:pStyle w:val="TableSubheadingCentered"/>
            </w:pPr>
            <w:r w:rsidRPr="00E359BF">
              <w:t>6</w:t>
            </w:r>
          </w:p>
        </w:tc>
        <w:tc>
          <w:tcPr>
            <w:tcW w:w="875" w:type="dxa"/>
            <w:shd w:val="clear" w:color="auto" w:fill="D9E2F3" w:themeFill="accent5" w:themeFillTint="33"/>
          </w:tcPr>
          <w:p w14:paraId="1F05D4B4" w14:textId="77777777" w:rsidR="00B47AE8" w:rsidRPr="00E359BF" w:rsidRDefault="00B47AE8">
            <w:pPr>
              <w:pStyle w:val="TableSubheadingCentered"/>
            </w:pPr>
            <w:r w:rsidRPr="00E359BF">
              <w:t>7</w:t>
            </w:r>
          </w:p>
        </w:tc>
        <w:tc>
          <w:tcPr>
            <w:tcW w:w="900" w:type="dxa"/>
            <w:shd w:val="clear" w:color="auto" w:fill="D9E2F3" w:themeFill="accent5" w:themeFillTint="33"/>
          </w:tcPr>
          <w:p w14:paraId="3DBDAF85" w14:textId="77777777" w:rsidR="00B47AE8" w:rsidRPr="00E359BF" w:rsidRDefault="00B47AE8">
            <w:pPr>
              <w:pStyle w:val="TableSubheadingCentered"/>
            </w:pPr>
            <w:r>
              <w:t>98</w:t>
            </w:r>
          </w:p>
        </w:tc>
        <w:tc>
          <w:tcPr>
            <w:tcW w:w="892" w:type="dxa"/>
            <w:shd w:val="clear" w:color="auto" w:fill="D9E2F3" w:themeFill="accent5" w:themeFillTint="33"/>
          </w:tcPr>
          <w:p w14:paraId="310348A6" w14:textId="77777777" w:rsidR="00B47AE8" w:rsidRPr="00E359BF" w:rsidRDefault="00B47AE8">
            <w:pPr>
              <w:pStyle w:val="TableSubheadingCentered"/>
            </w:pPr>
            <w:r>
              <w:t>3.1</w:t>
            </w:r>
          </w:p>
        </w:tc>
      </w:tr>
      <w:tr w:rsidR="00B47AE8" w:rsidRPr="00E359BF" w14:paraId="63A06339" w14:textId="77777777" w:rsidTr="00B47AE8">
        <w:trPr>
          <w:jc w:val="center"/>
        </w:trPr>
        <w:tc>
          <w:tcPr>
            <w:tcW w:w="1432" w:type="dxa"/>
          </w:tcPr>
          <w:p w14:paraId="30AB7C4A" w14:textId="77777777" w:rsidR="00B47AE8" w:rsidRPr="00E359BF" w:rsidRDefault="00B47AE8">
            <w:pPr>
              <w:pStyle w:val="TableText"/>
            </w:pPr>
            <w:r>
              <w:t>Grades K-5</w:t>
            </w:r>
          </w:p>
        </w:tc>
        <w:tc>
          <w:tcPr>
            <w:tcW w:w="874" w:type="dxa"/>
          </w:tcPr>
          <w:p w14:paraId="3DCBE14C" w14:textId="77777777" w:rsidR="00B47AE8" w:rsidRPr="00E359BF" w:rsidRDefault="00B47AE8">
            <w:pPr>
              <w:pStyle w:val="TableTextCentered"/>
              <w:rPr>
                <w:rFonts w:eastAsia="Times New Roman"/>
              </w:rPr>
            </w:pPr>
            <w:r>
              <w:rPr>
                <w:rFonts w:eastAsia="Times New Roman"/>
              </w:rPr>
              <w:t>2</w:t>
            </w:r>
          </w:p>
        </w:tc>
        <w:tc>
          <w:tcPr>
            <w:tcW w:w="874" w:type="dxa"/>
          </w:tcPr>
          <w:p w14:paraId="518F0636" w14:textId="77777777" w:rsidR="00B47AE8" w:rsidRPr="00E359BF" w:rsidRDefault="00B47AE8">
            <w:pPr>
              <w:pStyle w:val="TableTextCentered"/>
              <w:rPr>
                <w:rFonts w:eastAsia="Times New Roman"/>
              </w:rPr>
            </w:pPr>
            <w:r>
              <w:rPr>
                <w:rFonts w:eastAsia="Times New Roman"/>
              </w:rPr>
              <w:t>12</w:t>
            </w:r>
          </w:p>
        </w:tc>
        <w:tc>
          <w:tcPr>
            <w:tcW w:w="874" w:type="dxa"/>
          </w:tcPr>
          <w:p w14:paraId="76EE2B24" w14:textId="77777777" w:rsidR="00B47AE8" w:rsidRPr="00E359BF" w:rsidRDefault="00B47AE8">
            <w:pPr>
              <w:pStyle w:val="TableTextCentered"/>
              <w:rPr>
                <w:rFonts w:eastAsia="Times New Roman"/>
              </w:rPr>
            </w:pPr>
            <w:r>
              <w:rPr>
                <w:rFonts w:eastAsia="Times New Roman"/>
              </w:rPr>
              <w:t>14</w:t>
            </w:r>
          </w:p>
        </w:tc>
        <w:tc>
          <w:tcPr>
            <w:tcW w:w="875" w:type="dxa"/>
          </w:tcPr>
          <w:p w14:paraId="29FA0901" w14:textId="77777777" w:rsidR="00B47AE8" w:rsidRPr="00E359BF" w:rsidRDefault="00B47AE8">
            <w:pPr>
              <w:pStyle w:val="TableTextCentered"/>
              <w:rPr>
                <w:rFonts w:eastAsia="Times New Roman"/>
              </w:rPr>
            </w:pPr>
            <w:r>
              <w:rPr>
                <w:rFonts w:eastAsia="Times New Roman"/>
              </w:rPr>
              <w:t>11</w:t>
            </w:r>
          </w:p>
        </w:tc>
        <w:tc>
          <w:tcPr>
            <w:tcW w:w="874" w:type="dxa"/>
          </w:tcPr>
          <w:p w14:paraId="783827D4" w14:textId="77777777" w:rsidR="00B47AE8" w:rsidRPr="00E359BF" w:rsidRDefault="00B47AE8">
            <w:pPr>
              <w:pStyle w:val="TableTextCentered"/>
              <w:rPr>
                <w:rFonts w:eastAsia="Times New Roman"/>
              </w:rPr>
            </w:pPr>
            <w:r>
              <w:rPr>
                <w:rFonts w:eastAsia="Times New Roman"/>
              </w:rPr>
              <w:t>4</w:t>
            </w:r>
          </w:p>
        </w:tc>
        <w:tc>
          <w:tcPr>
            <w:tcW w:w="874" w:type="dxa"/>
          </w:tcPr>
          <w:p w14:paraId="1D5CE043" w14:textId="77777777" w:rsidR="00B47AE8" w:rsidRPr="00E359BF" w:rsidRDefault="00B47AE8">
            <w:pPr>
              <w:pStyle w:val="TableTextCentered"/>
              <w:rPr>
                <w:rFonts w:eastAsia="Times New Roman"/>
              </w:rPr>
            </w:pPr>
            <w:r>
              <w:rPr>
                <w:rFonts w:eastAsia="Times New Roman"/>
              </w:rPr>
              <w:t>0</w:t>
            </w:r>
          </w:p>
        </w:tc>
        <w:tc>
          <w:tcPr>
            <w:tcW w:w="875" w:type="dxa"/>
          </w:tcPr>
          <w:p w14:paraId="0F1421B7" w14:textId="77777777" w:rsidR="00B47AE8" w:rsidRPr="00E359BF" w:rsidRDefault="00B47AE8">
            <w:pPr>
              <w:pStyle w:val="TableTextCentered"/>
              <w:rPr>
                <w:rFonts w:eastAsia="Times New Roman"/>
              </w:rPr>
            </w:pPr>
            <w:r>
              <w:rPr>
                <w:rFonts w:eastAsia="Times New Roman"/>
              </w:rPr>
              <w:t>0</w:t>
            </w:r>
          </w:p>
        </w:tc>
        <w:tc>
          <w:tcPr>
            <w:tcW w:w="900" w:type="dxa"/>
          </w:tcPr>
          <w:p w14:paraId="125E25E0" w14:textId="77777777" w:rsidR="00B47AE8" w:rsidRPr="00E359BF" w:rsidRDefault="00B47AE8">
            <w:pPr>
              <w:pStyle w:val="TableTextCentered"/>
              <w:rPr>
                <w:rFonts w:eastAsia="Times New Roman"/>
              </w:rPr>
            </w:pPr>
            <w:r>
              <w:rPr>
                <w:rFonts w:eastAsia="Times New Roman"/>
              </w:rPr>
              <w:t>43</w:t>
            </w:r>
          </w:p>
        </w:tc>
        <w:tc>
          <w:tcPr>
            <w:tcW w:w="892" w:type="dxa"/>
          </w:tcPr>
          <w:p w14:paraId="40DFC549" w14:textId="77777777" w:rsidR="00B47AE8" w:rsidRPr="00E359BF" w:rsidRDefault="00B47AE8">
            <w:pPr>
              <w:pStyle w:val="TableTextCentered"/>
              <w:rPr>
                <w:rFonts w:eastAsia="Times New Roman"/>
              </w:rPr>
            </w:pPr>
            <w:r>
              <w:rPr>
                <w:rFonts w:eastAsia="Times New Roman"/>
              </w:rPr>
              <w:t>3.1</w:t>
            </w:r>
          </w:p>
        </w:tc>
      </w:tr>
      <w:tr w:rsidR="00B47AE8" w:rsidRPr="00E359BF" w14:paraId="4BC97752" w14:textId="77777777" w:rsidTr="00B47AE8">
        <w:trPr>
          <w:jc w:val="center"/>
        </w:trPr>
        <w:tc>
          <w:tcPr>
            <w:tcW w:w="1432" w:type="dxa"/>
          </w:tcPr>
          <w:p w14:paraId="1B0B7C84" w14:textId="77777777" w:rsidR="00B47AE8" w:rsidRPr="00E359BF" w:rsidRDefault="00B47AE8">
            <w:pPr>
              <w:pStyle w:val="TableText"/>
            </w:pPr>
            <w:r>
              <w:t>Grades 6-8</w:t>
            </w:r>
          </w:p>
        </w:tc>
        <w:tc>
          <w:tcPr>
            <w:tcW w:w="874" w:type="dxa"/>
          </w:tcPr>
          <w:p w14:paraId="22B4A2A1" w14:textId="77777777" w:rsidR="00B47AE8" w:rsidRPr="00E359BF" w:rsidRDefault="00B47AE8">
            <w:pPr>
              <w:pStyle w:val="TableTextCentered"/>
              <w:rPr>
                <w:rFonts w:eastAsia="Times New Roman"/>
              </w:rPr>
            </w:pPr>
            <w:r>
              <w:rPr>
                <w:rFonts w:eastAsia="Times New Roman"/>
              </w:rPr>
              <w:t>4</w:t>
            </w:r>
          </w:p>
        </w:tc>
        <w:tc>
          <w:tcPr>
            <w:tcW w:w="874" w:type="dxa"/>
          </w:tcPr>
          <w:p w14:paraId="06CFC9B1" w14:textId="77777777" w:rsidR="00B47AE8" w:rsidRPr="00E359BF" w:rsidRDefault="00B47AE8">
            <w:pPr>
              <w:pStyle w:val="TableTextCentered"/>
              <w:rPr>
                <w:rFonts w:eastAsia="Times New Roman"/>
              </w:rPr>
            </w:pPr>
            <w:r>
              <w:rPr>
                <w:rFonts w:eastAsia="Times New Roman"/>
              </w:rPr>
              <w:t>6</w:t>
            </w:r>
          </w:p>
        </w:tc>
        <w:tc>
          <w:tcPr>
            <w:tcW w:w="874" w:type="dxa"/>
          </w:tcPr>
          <w:p w14:paraId="6C793E8D" w14:textId="77777777" w:rsidR="00B47AE8" w:rsidRPr="00E359BF" w:rsidRDefault="00B47AE8">
            <w:pPr>
              <w:pStyle w:val="TableTextCentered"/>
              <w:rPr>
                <w:rFonts w:eastAsia="Times New Roman"/>
              </w:rPr>
            </w:pPr>
            <w:r>
              <w:rPr>
                <w:rFonts w:eastAsia="Times New Roman"/>
              </w:rPr>
              <w:t>3</w:t>
            </w:r>
          </w:p>
        </w:tc>
        <w:tc>
          <w:tcPr>
            <w:tcW w:w="875" w:type="dxa"/>
          </w:tcPr>
          <w:p w14:paraId="02618A5B" w14:textId="77777777" w:rsidR="00B47AE8" w:rsidRPr="00E359BF" w:rsidRDefault="00B47AE8">
            <w:pPr>
              <w:pStyle w:val="TableTextCentered"/>
              <w:rPr>
                <w:rFonts w:eastAsia="Times New Roman"/>
              </w:rPr>
            </w:pPr>
            <w:r>
              <w:rPr>
                <w:rFonts w:eastAsia="Times New Roman"/>
              </w:rPr>
              <w:t>6</w:t>
            </w:r>
          </w:p>
        </w:tc>
        <w:tc>
          <w:tcPr>
            <w:tcW w:w="874" w:type="dxa"/>
          </w:tcPr>
          <w:p w14:paraId="73058485" w14:textId="77777777" w:rsidR="00B47AE8" w:rsidRPr="00E359BF" w:rsidRDefault="00B47AE8">
            <w:pPr>
              <w:pStyle w:val="TableTextCentered"/>
              <w:rPr>
                <w:rFonts w:eastAsia="Times New Roman"/>
              </w:rPr>
            </w:pPr>
            <w:r>
              <w:rPr>
                <w:rFonts w:eastAsia="Times New Roman"/>
              </w:rPr>
              <w:t>3</w:t>
            </w:r>
          </w:p>
        </w:tc>
        <w:tc>
          <w:tcPr>
            <w:tcW w:w="874" w:type="dxa"/>
          </w:tcPr>
          <w:p w14:paraId="35B9DCC1" w14:textId="77777777" w:rsidR="00B47AE8" w:rsidRPr="00E359BF" w:rsidRDefault="00B47AE8">
            <w:pPr>
              <w:pStyle w:val="TableTextCentered"/>
              <w:rPr>
                <w:rFonts w:eastAsia="Times New Roman"/>
              </w:rPr>
            </w:pPr>
            <w:r>
              <w:rPr>
                <w:rFonts w:eastAsia="Times New Roman"/>
              </w:rPr>
              <w:t>0</w:t>
            </w:r>
          </w:p>
        </w:tc>
        <w:tc>
          <w:tcPr>
            <w:tcW w:w="875" w:type="dxa"/>
          </w:tcPr>
          <w:p w14:paraId="36569B06" w14:textId="77777777" w:rsidR="00B47AE8" w:rsidRPr="00E359BF" w:rsidRDefault="00B47AE8">
            <w:pPr>
              <w:pStyle w:val="TableTextCentered"/>
              <w:rPr>
                <w:rFonts w:eastAsia="Times New Roman"/>
              </w:rPr>
            </w:pPr>
            <w:r>
              <w:rPr>
                <w:rFonts w:eastAsia="Times New Roman"/>
              </w:rPr>
              <w:t>1</w:t>
            </w:r>
          </w:p>
        </w:tc>
        <w:tc>
          <w:tcPr>
            <w:tcW w:w="900" w:type="dxa"/>
          </w:tcPr>
          <w:p w14:paraId="338616E3" w14:textId="77777777" w:rsidR="00B47AE8" w:rsidRPr="00E359BF" w:rsidRDefault="00B47AE8">
            <w:pPr>
              <w:pStyle w:val="TableTextCentered"/>
              <w:rPr>
                <w:rFonts w:eastAsia="Times New Roman"/>
              </w:rPr>
            </w:pPr>
            <w:r>
              <w:rPr>
                <w:rFonts w:eastAsia="Times New Roman"/>
              </w:rPr>
              <w:t>23</w:t>
            </w:r>
          </w:p>
        </w:tc>
        <w:tc>
          <w:tcPr>
            <w:tcW w:w="892" w:type="dxa"/>
          </w:tcPr>
          <w:p w14:paraId="3A28D6E9" w14:textId="77777777" w:rsidR="00B47AE8" w:rsidRPr="00E359BF" w:rsidRDefault="00B47AE8">
            <w:pPr>
              <w:pStyle w:val="TableTextCentered"/>
              <w:rPr>
                <w:rFonts w:eastAsia="Times New Roman"/>
              </w:rPr>
            </w:pPr>
            <w:r>
              <w:rPr>
                <w:rFonts w:eastAsia="Times New Roman"/>
              </w:rPr>
              <w:t>3.1</w:t>
            </w:r>
          </w:p>
        </w:tc>
      </w:tr>
      <w:tr w:rsidR="00B47AE8" w:rsidRPr="00E359BF" w14:paraId="65648EFF" w14:textId="77777777" w:rsidTr="00B47AE8">
        <w:trPr>
          <w:jc w:val="center"/>
        </w:trPr>
        <w:tc>
          <w:tcPr>
            <w:tcW w:w="1432" w:type="dxa"/>
          </w:tcPr>
          <w:p w14:paraId="0AF353FE" w14:textId="77777777" w:rsidR="00B47AE8" w:rsidRPr="00E359BF" w:rsidRDefault="00B47AE8">
            <w:pPr>
              <w:pStyle w:val="TableText"/>
            </w:pPr>
            <w:r>
              <w:t>Grades 9-12</w:t>
            </w:r>
          </w:p>
        </w:tc>
        <w:tc>
          <w:tcPr>
            <w:tcW w:w="874" w:type="dxa"/>
          </w:tcPr>
          <w:p w14:paraId="33E9EA87" w14:textId="77777777" w:rsidR="00B47AE8" w:rsidRPr="00E359BF" w:rsidRDefault="00B47AE8">
            <w:pPr>
              <w:pStyle w:val="TableTextCentered"/>
              <w:rPr>
                <w:rFonts w:eastAsia="Times New Roman"/>
              </w:rPr>
            </w:pPr>
            <w:r>
              <w:rPr>
                <w:rFonts w:eastAsia="Times New Roman"/>
              </w:rPr>
              <w:t>3</w:t>
            </w:r>
          </w:p>
        </w:tc>
        <w:tc>
          <w:tcPr>
            <w:tcW w:w="874" w:type="dxa"/>
          </w:tcPr>
          <w:p w14:paraId="2FD6F9D0" w14:textId="77777777" w:rsidR="00B47AE8" w:rsidRPr="00E359BF" w:rsidRDefault="00B47AE8">
            <w:pPr>
              <w:pStyle w:val="TableTextCentered"/>
              <w:rPr>
                <w:rFonts w:eastAsia="Times New Roman"/>
              </w:rPr>
            </w:pPr>
            <w:r>
              <w:rPr>
                <w:rFonts w:eastAsia="Times New Roman"/>
              </w:rPr>
              <w:t>10</w:t>
            </w:r>
          </w:p>
        </w:tc>
        <w:tc>
          <w:tcPr>
            <w:tcW w:w="874" w:type="dxa"/>
          </w:tcPr>
          <w:p w14:paraId="653A5FF3" w14:textId="77777777" w:rsidR="00B47AE8" w:rsidRPr="00E359BF" w:rsidRDefault="00B47AE8">
            <w:pPr>
              <w:pStyle w:val="TableTextCentered"/>
              <w:rPr>
                <w:rFonts w:eastAsia="Times New Roman"/>
              </w:rPr>
            </w:pPr>
            <w:r>
              <w:rPr>
                <w:rFonts w:eastAsia="Times New Roman"/>
              </w:rPr>
              <w:t>8</w:t>
            </w:r>
          </w:p>
        </w:tc>
        <w:tc>
          <w:tcPr>
            <w:tcW w:w="875" w:type="dxa"/>
          </w:tcPr>
          <w:p w14:paraId="0B7FE0BF" w14:textId="77777777" w:rsidR="00B47AE8" w:rsidRPr="00E359BF" w:rsidRDefault="00B47AE8">
            <w:pPr>
              <w:pStyle w:val="TableTextCentered"/>
              <w:rPr>
                <w:rFonts w:eastAsia="Times New Roman"/>
              </w:rPr>
            </w:pPr>
            <w:r>
              <w:rPr>
                <w:rFonts w:eastAsia="Times New Roman"/>
              </w:rPr>
              <w:t>3</w:t>
            </w:r>
          </w:p>
        </w:tc>
        <w:tc>
          <w:tcPr>
            <w:tcW w:w="874" w:type="dxa"/>
          </w:tcPr>
          <w:p w14:paraId="43DDAF57" w14:textId="77777777" w:rsidR="00B47AE8" w:rsidRPr="00E359BF" w:rsidRDefault="00B47AE8">
            <w:pPr>
              <w:pStyle w:val="TableTextCentered"/>
              <w:rPr>
                <w:rFonts w:eastAsia="Times New Roman"/>
              </w:rPr>
            </w:pPr>
            <w:r>
              <w:rPr>
                <w:rFonts w:eastAsia="Times New Roman"/>
              </w:rPr>
              <w:t>5</w:t>
            </w:r>
          </w:p>
        </w:tc>
        <w:tc>
          <w:tcPr>
            <w:tcW w:w="874" w:type="dxa"/>
          </w:tcPr>
          <w:p w14:paraId="2A9C8009" w14:textId="77777777" w:rsidR="00B47AE8" w:rsidRPr="00E359BF" w:rsidRDefault="00B47AE8">
            <w:pPr>
              <w:pStyle w:val="TableTextCentered"/>
              <w:rPr>
                <w:rFonts w:eastAsia="Times New Roman"/>
              </w:rPr>
            </w:pPr>
            <w:r>
              <w:rPr>
                <w:rFonts w:eastAsia="Times New Roman"/>
              </w:rPr>
              <w:t>2</w:t>
            </w:r>
          </w:p>
        </w:tc>
        <w:tc>
          <w:tcPr>
            <w:tcW w:w="875" w:type="dxa"/>
          </w:tcPr>
          <w:p w14:paraId="50E8B488" w14:textId="77777777" w:rsidR="00B47AE8" w:rsidRPr="00E359BF" w:rsidRDefault="00B47AE8">
            <w:pPr>
              <w:pStyle w:val="TableTextCentered"/>
              <w:rPr>
                <w:rFonts w:eastAsia="Times New Roman"/>
              </w:rPr>
            </w:pPr>
            <w:r>
              <w:rPr>
                <w:rFonts w:eastAsia="Times New Roman"/>
              </w:rPr>
              <w:t>1</w:t>
            </w:r>
          </w:p>
        </w:tc>
        <w:tc>
          <w:tcPr>
            <w:tcW w:w="900" w:type="dxa"/>
          </w:tcPr>
          <w:p w14:paraId="0A62A864" w14:textId="77777777" w:rsidR="00B47AE8" w:rsidRPr="00E359BF" w:rsidRDefault="00B47AE8">
            <w:pPr>
              <w:pStyle w:val="TableTextCentered"/>
              <w:rPr>
                <w:rFonts w:eastAsia="Times New Roman"/>
              </w:rPr>
            </w:pPr>
            <w:r>
              <w:rPr>
                <w:rFonts w:eastAsia="Times New Roman"/>
              </w:rPr>
              <w:t>32</w:t>
            </w:r>
          </w:p>
        </w:tc>
        <w:tc>
          <w:tcPr>
            <w:tcW w:w="892" w:type="dxa"/>
          </w:tcPr>
          <w:p w14:paraId="05E2B5C9" w14:textId="77777777" w:rsidR="00B47AE8" w:rsidRPr="00E359BF" w:rsidRDefault="00B47AE8">
            <w:pPr>
              <w:pStyle w:val="TableTextCentered"/>
              <w:rPr>
                <w:rFonts w:eastAsia="Times New Roman"/>
              </w:rPr>
            </w:pPr>
            <w:r>
              <w:rPr>
                <w:rFonts w:eastAsia="Times New Roman"/>
              </w:rPr>
              <w:t>3.2</w:t>
            </w:r>
          </w:p>
        </w:tc>
      </w:tr>
    </w:tbl>
    <w:bookmarkEnd w:id="145"/>
    <w:p w14:paraId="5DCEC891" w14:textId="77777777" w:rsidR="00B47AE8" w:rsidRPr="00F2299E" w:rsidRDefault="00B47AE8">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46" w:name="Dist_QF_Calc"/>
      <w:r>
        <w:rPr>
          <w:rFonts w:ascii="Franklin Gothic Book" w:hAnsi="Franklin Gothic Book"/>
        </w:rPr>
        <w:t>([1 x 9] + [2 x 28] + [3 x 25] + [4 x 20] + [5 x 12] + [6 x 2] + [7 x 2]) ÷ 98 observations = 3.1</w:t>
      </w:r>
      <w:bookmarkEnd w:id="146"/>
    </w:p>
    <w:p w14:paraId="60F14D26" w14:textId="77777777" w:rsidR="00B47AE8" w:rsidRPr="00BC09E0" w:rsidRDefault="00B47AE8">
      <w:pPr>
        <w:pStyle w:val="BodyText"/>
      </w:pPr>
      <w:r w:rsidRPr="00F97764">
        <w:rPr>
          <w:rStyle w:val="BodyTextDemiChar"/>
        </w:rPr>
        <w:t>Ratings in the Low Range.</w:t>
      </w:r>
      <w:r w:rsidRPr="00BC09E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242988EB" w14:textId="77777777" w:rsidR="00B47AE8" w:rsidRPr="00BC09E0" w:rsidRDefault="00B47AE8">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6876583D" w14:textId="77777777" w:rsidR="00B47AE8" w:rsidRDefault="00B47AE8">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1F241732" w14:textId="77777777" w:rsidR="00B47AE8" w:rsidRDefault="00B47AE8">
      <w:pPr>
        <w:spacing w:after="160" w:line="259" w:lineRule="auto"/>
      </w:pPr>
      <w:r>
        <w:br w:type="page"/>
      </w:r>
    </w:p>
    <w:p w14:paraId="469A9661" w14:textId="77777777" w:rsidR="00B47AE8" w:rsidRPr="00BC09E0" w:rsidRDefault="00B47AE8">
      <w:pPr>
        <w:pStyle w:val="Heading2-SIOR"/>
      </w:pPr>
      <w:bookmarkStart w:id="147" w:name="_Toc411329837"/>
      <w:bookmarkStart w:id="148" w:name="_Toc430114886"/>
      <w:bookmarkStart w:id="149" w:name="_Toc92194265"/>
      <w:r w:rsidRPr="00BC09E0">
        <w:lastRenderedPageBreak/>
        <w:t>Language Modeling</w:t>
      </w:r>
      <w:bookmarkEnd w:id="147"/>
      <w:bookmarkEnd w:id="148"/>
      <w:bookmarkEnd w:id="149"/>
    </w:p>
    <w:p w14:paraId="3387F070" w14:textId="77777777" w:rsidR="00B47AE8" w:rsidRPr="00BC09E0" w:rsidRDefault="00B47AE8">
      <w:pPr>
        <w:pStyle w:val="BodyTextDomain"/>
      </w:pPr>
      <w:r w:rsidRPr="00BC09E0">
        <w:t xml:space="preserve">Instructional Support domain, </w:t>
      </w:r>
      <w:r>
        <w:t>G</w:t>
      </w:r>
      <w:r w:rsidRPr="00BC09E0">
        <w:t xml:space="preserve">rades </w:t>
      </w:r>
      <w:r>
        <w:t>K</w:t>
      </w:r>
      <w:r w:rsidRPr="00BC09E0">
        <w:rPr>
          <w:rFonts w:ascii="Vijaya" w:hAnsi="Vijaya" w:cs="Vijaya"/>
        </w:rPr>
        <w:t>−</w:t>
      </w:r>
      <w:r>
        <w:rPr>
          <w:rFonts w:ascii="Vijaya" w:hAnsi="Vijaya" w:cs="Vijaya"/>
        </w:rPr>
        <w:t xml:space="preserve"> </w:t>
      </w:r>
      <w:r w:rsidRPr="00BC09E0">
        <w:t xml:space="preserve">3 </w:t>
      </w:r>
    </w:p>
    <w:p w14:paraId="011FD36E" w14:textId="77777777" w:rsidR="00B47AE8" w:rsidRPr="00BC09E0" w:rsidRDefault="00B47AE8">
      <w:pPr>
        <w:pStyle w:val="BodyText"/>
      </w:pPr>
      <w:r w:rsidRPr="00BC09E0">
        <w:t>Language Modeling refers to the quality and amount of the teacher’s use of language stimulation and language facilitation techniques (</w:t>
      </w:r>
      <w:r w:rsidRPr="00BC09E0">
        <w:rPr>
          <w:i/>
        </w:rPr>
        <w:t>CLASS K–3 Manual</w:t>
      </w:r>
      <w:r w:rsidRPr="00BC09E0">
        <w:t>, p. 79).</w:t>
      </w:r>
    </w:p>
    <w:p w14:paraId="3CFED52A" w14:textId="77777777" w:rsidR="00B47AE8" w:rsidRPr="00BC09E0" w:rsidRDefault="00B47AE8">
      <w:pPr>
        <w:pStyle w:val="TableTitle0"/>
      </w:pPr>
      <w:r w:rsidRPr="00BC09E0">
        <w:t xml:space="preserve">Table 14. Language Modeling: Number of Classrooms for Each Rating </w:t>
      </w:r>
      <w:r w:rsidRPr="00D44000">
        <w:t>and District Average</w:t>
      </w:r>
    </w:p>
    <w:p w14:paraId="17447A90" w14:textId="77777777" w:rsidR="00B47AE8" w:rsidRDefault="00B47AE8">
      <w:pPr>
        <w:pStyle w:val="BodyTextDemi"/>
      </w:pPr>
      <w:r w:rsidRPr="00D44000">
        <w:t xml:space="preserve">Language Modeling District Average*: </w:t>
      </w:r>
      <w:bookmarkStart w:id="150" w:name="Dist_LM_Avg"/>
      <w:r>
        <w:t>3.8</w:t>
      </w:r>
      <w:bookmarkEnd w:id="15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39F689B6"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91E9E23" w14:textId="77777777" w:rsidR="00B47AE8" w:rsidRPr="00E359BF" w:rsidRDefault="00B47AE8">
            <w:pPr>
              <w:pStyle w:val="TableColHeadingCenter"/>
              <w:rPr>
                <w:rFonts w:eastAsia="MS Mincho"/>
              </w:rPr>
            </w:pPr>
            <w:bookmarkStart w:id="151" w:name="Tbl_LM"/>
            <w:r>
              <w:rPr>
                <w:rFonts w:eastAsia="MS Mincho"/>
              </w:rPr>
              <w:t>Grade Band</w:t>
            </w:r>
          </w:p>
        </w:tc>
        <w:tc>
          <w:tcPr>
            <w:tcW w:w="1748" w:type="dxa"/>
            <w:gridSpan w:val="2"/>
          </w:tcPr>
          <w:p w14:paraId="66A5648D"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720F6C22"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54B4384E"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20E0EE2A" w14:textId="77777777" w:rsidR="00B47AE8" w:rsidRPr="00E359BF" w:rsidRDefault="00B47AE8">
            <w:pPr>
              <w:pStyle w:val="TableColHeadingCenter"/>
              <w:rPr>
                <w:rFonts w:eastAsia="MS Mincho"/>
              </w:rPr>
            </w:pPr>
            <w:r>
              <w:rPr>
                <w:rFonts w:eastAsia="MS Mincho"/>
              </w:rPr>
              <w:t>n</w:t>
            </w:r>
          </w:p>
        </w:tc>
        <w:tc>
          <w:tcPr>
            <w:tcW w:w="892" w:type="dxa"/>
          </w:tcPr>
          <w:p w14:paraId="701D9553" w14:textId="77777777" w:rsidR="00B47AE8" w:rsidRPr="00E359BF" w:rsidRDefault="00B47AE8">
            <w:pPr>
              <w:pStyle w:val="TableColHeadingCenter"/>
              <w:rPr>
                <w:rFonts w:eastAsia="MS Mincho"/>
              </w:rPr>
            </w:pPr>
            <w:r>
              <w:rPr>
                <w:rFonts w:eastAsia="MS Mincho"/>
              </w:rPr>
              <w:t>Average</w:t>
            </w:r>
          </w:p>
        </w:tc>
      </w:tr>
      <w:tr w:rsidR="00B47AE8" w:rsidRPr="00E359BF" w14:paraId="414FA95A" w14:textId="77777777" w:rsidTr="00B47AE8">
        <w:trPr>
          <w:jc w:val="center"/>
        </w:trPr>
        <w:tc>
          <w:tcPr>
            <w:tcW w:w="1432" w:type="dxa"/>
            <w:shd w:val="clear" w:color="auto" w:fill="D9E2F3" w:themeFill="accent5" w:themeFillTint="33"/>
          </w:tcPr>
          <w:p w14:paraId="420DEEFF" w14:textId="77777777" w:rsidR="00B47AE8" w:rsidRPr="00E359BF" w:rsidRDefault="00B47AE8">
            <w:pPr>
              <w:pStyle w:val="TableSubheadingCentered"/>
            </w:pPr>
          </w:p>
        </w:tc>
        <w:tc>
          <w:tcPr>
            <w:tcW w:w="874" w:type="dxa"/>
            <w:shd w:val="clear" w:color="auto" w:fill="D9E2F3" w:themeFill="accent5" w:themeFillTint="33"/>
          </w:tcPr>
          <w:p w14:paraId="2B968B59" w14:textId="77777777" w:rsidR="00B47AE8" w:rsidRPr="00E359BF" w:rsidRDefault="00B47AE8">
            <w:pPr>
              <w:pStyle w:val="TableSubheadingCentered"/>
            </w:pPr>
            <w:r w:rsidRPr="00E359BF">
              <w:t>1</w:t>
            </w:r>
          </w:p>
        </w:tc>
        <w:tc>
          <w:tcPr>
            <w:tcW w:w="874" w:type="dxa"/>
            <w:shd w:val="clear" w:color="auto" w:fill="D9E2F3" w:themeFill="accent5" w:themeFillTint="33"/>
          </w:tcPr>
          <w:p w14:paraId="496C9F96" w14:textId="77777777" w:rsidR="00B47AE8" w:rsidRPr="00E359BF" w:rsidRDefault="00B47AE8">
            <w:pPr>
              <w:pStyle w:val="TableSubheadingCentered"/>
            </w:pPr>
            <w:r w:rsidRPr="00E359BF">
              <w:t>2</w:t>
            </w:r>
          </w:p>
        </w:tc>
        <w:tc>
          <w:tcPr>
            <w:tcW w:w="874" w:type="dxa"/>
            <w:shd w:val="clear" w:color="auto" w:fill="D9E2F3" w:themeFill="accent5" w:themeFillTint="33"/>
          </w:tcPr>
          <w:p w14:paraId="6733178E" w14:textId="77777777" w:rsidR="00B47AE8" w:rsidRPr="00E359BF" w:rsidRDefault="00B47AE8">
            <w:pPr>
              <w:pStyle w:val="TableSubheadingCentered"/>
            </w:pPr>
            <w:r w:rsidRPr="00E359BF">
              <w:t>3</w:t>
            </w:r>
          </w:p>
        </w:tc>
        <w:tc>
          <w:tcPr>
            <w:tcW w:w="875" w:type="dxa"/>
            <w:shd w:val="clear" w:color="auto" w:fill="D9E2F3" w:themeFill="accent5" w:themeFillTint="33"/>
          </w:tcPr>
          <w:p w14:paraId="2E1B892A" w14:textId="77777777" w:rsidR="00B47AE8" w:rsidRPr="00E359BF" w:rsidRDefault="00B47AE8">
            <w:pPr>
              <w:pStyle w:val="TableSubheadingCentered"/>
            </w:pPr>
            <w:r w:rsidRPr="00E359BF">
              <w:t>4</w:t>
            </w:r>
          </w:p>
        </w:tc>
        <w:tc>
          <w:tcPr>
            <w:tcW w:w="874" w:type="dxa"/>
            <w:shd w:val="clear" w:color="auto" w:fill="D9E2F3" w:themeFill="accent5" w:themeFillTint="33"/>
          </w:tcPr>
          <w:p w14:paraId="7169DD48" w14:textId="77777777" w:rsidR="00B47AE8" w:rsidRPr="00E359BF" w:rsidRDefault="00B47AE8">
            <w:pPr>
              <w:pStyle w:val="TableSubheadingCentered"/>
            </w:pPr>
            <w:r w:rsidRPr="00E359BF">
              <w:t>5</w:t>
            </w:r>
          </w:p>
        </w:tc>
        <w:tc>
          <w:tcPr>
            <w:tcW w:w="874" w:type="dxa"/>
            <w:shd w:val="clear" w:color="auto" w:fill="D9E2F3" w:themeFill="accent5" w:themeFillTint="33"/>
          </w:tcPr>
          <w:p w14:paraId="055B08DF" w14:textId="77777777" w:rsidR="00B47AE8" w:rsidRPr="00E359BF" w:rsidRDefault="00B47AE8">
            <w:pPr>
              <w:pStyle w:val="TableSubheadingCentered"/>
            </w:pPr>
            <w:r w:rsidRPr="00E359BF">
              <w:t>6</w:t>
            </w:r>
          </w:p>
        </w:tc>
        <w:tc>
          <w:tcPr>
            <w:tcW w:w="875" w:type="dxa"/>
            <w:shd w:val="clear" w:color="auto" w:fill="D9E2F3" w:themeFill="accent5" w:themeFillTint="33"/>
          </w:tcPr>
          <w:p w14:paraId="10701447" w14:textId="77777777" w:rsidR="00B47AE8" w:rsidRPr="00E359BF" w:rsidRDefault="00B47AE8">
            <w:pPr>
              <w:pStyle w:val="TableSubheadingCentered"/>
            </w:pPr>
            <w:r w:rsidRPr="00E359BF">
              <w:t>7</w:t>
            </w:r>
          </w:p>
        </w:tc>
        <w:tc>
          <w:tcPr>
            <w:tcW w:w="900" w:type="dxa"/>
            <w:shd w:val="clear" w:color="auto" w:fill="D9E2F3" w:themeFill="accent5" w:themeFillTint="33"/>
          </w:tcPr>
          <w:p w14:paraId="36C6A349" w14:textId="77777777" w:rsidR="00B47AE8" w:rsidRPr="00E359BF" w:rsidRDefault="00B47AE8">
            <w:pPr>
              <w:pStyle w:val="TableSubheadingCentered"/>
            </w:pPr>
            <w:r>
              <w:t>27</w:t>
            </w:r>
          </w:p>
        </w:tc>
        <w:tc>
          <w:tcPr>
            <w:tcW w:w="892" w:type="dxa"/>
            <w:shd w:val="clear" w:color="auto" w:fill="D9E2F3" w:themeFill="accent5" w:themeFillTint="33"/>
          </w:tcPr>
          <w:p w14:paraId="7D7309E6" w14:textId="77777777" w:rsidR="00B47AE8" w:rsidRPr="00E359BF" w:rsidRDefault="00B47AE8">
            <w:pPr>
              <w:pStyle w:val="TableSubheadingCentered"/>
            </w:pPr>
            <w:r>
              <w:t>3.8</w:t>
            </w:r>
          </w:p>
        </w:tc>
      </w:tr>
      <w:tr w:rsidR="00B47AE8" w:rsidRPr="00E359BF" w14:paraId="44F03F87" w14:textId="77777777" w:rsidTr="00B47AE8">
        <w:trPr>
          <w:jc w:val="center"/>
        </w:trPr>
        <w:tc>
          <w:tcPr>
            <w:tcW w:w="1432" w:type="dxa"/>
          </w:tcPr>
          <w:p w14:paraId="2820B1A5" w14:textId="77777777" w:rsidR="00B47AE8" w:rsidRPr="00E359BF" w:rsidRDefault="00B47AE8">
            <w:pPr>
              <w:pStyle w:val="TableText"/>
            </w:pPr>
            <w:r>
              <w:t>Grades K-3**</w:t>
            </w:r>
          </w:p>
        </w:tc>
        <w:tc>
          <w:tcPr>
            <w:tcW w:w="874" w:type="dxa"/>
          </w:tcPr>
          <w:p w14:paraId="094BD984" w14:textId="77777777" w:rsidR="00B47AE8" w:rsidRPr="00E359BF" w:rsidRDefault="00B47AE8">
            <w:pPr>
              <w:pStyle w:val="TableTextCentered"/>
              <w:rPr>
                <w:rFonts w:eastAsia="Times New Roman"/>
              </w:rPr>
            </w:pPr>
            <w:r>
              <w:rPr>
                <w:rFonts w:eastAsia="Times New Roman"/>
              </w:rPr>
              <w:t>0</w:t>
            </w:r>
          </w:p>
        </w:tc>
        <w:tc>
          <w:tcPr>
            <w:tcW w:w="874" w:type="dxa"/>
          </w:tcPr>
          <w:p w14:paraId="3DE456E0" w14:textId="77777777" w:rsidR="00B47AE8" w:rsidRPr="00E359BF" w:rsidRDefault="00B47AE8">
            <w:pPr>
              <w:pStyle w:val="TableTextCentered"/>
              <w:rPr>
                <w:rFonts w:eastAsia="Times New Roman"/>
              </w:rPr>
            </w:pPr>
            <w:r>
              <w:rPr>
                <w:rFonts w:eastAsia="Times New Roman"/>
              </w:rPr>
              <w:t>4</w:t>
            </w:r>
          </w:p>
        </w:tc>
        <w:tc>
          <w:tcPr>
            <w:tcW w:w="874" w:type="dxa"/>
          </w:tcPr>
          <w:p w14:paraId="7BE59282" w14:textId="77777777" w:rsidR="00B47AE8" w:rsidRPr="00E359BF" w:rsidRDefault="00B47AE8">
            <w:pPr>
              <w:pStyle w:val="TableTextCentered"/>
              <w:rPr>
                <w:rFonts w:eastAsia="Times New Roman"/>
              </w:rPr>
            </w:pPr>
            <w:r>
              <w:rPr>
                <w:rFonts w:eastAsia="Times New Roman"/>
              </w:rPr>
              <w:t>10</w:t>
            </w:r>
          </w:p>
        </w:tc>
        <w:tc>
          <w:tcPr>
            <w:tcW w:w="875" w:type="dxa"/>
          </w:tcPr>
          <w:p w14:paraId="31327BD7" w14:textId="77777777" w:rsidR="00B47AE8" w:rsidRPr="00E359BF" w:rsidRDefault="00B47AE8">
            <w:pPr>
              <w:pStyle w:val="TableTextCentered"/>
              <w:rPr>
                <w:rFonts w:eastAsia="Times New Roman"/>
              </w:rPr>
            </w:pPr>
            <w:r>
              <w:rPr>
                <w:rFonts w:eastAsia="Times New Roman"/>
              </w:rPr>
              <w:t>6</w:t>
            </w:r>
          </w:p>
        </w:tc>
        <w:tc>
          <w:tcPr>
            <w:tcW w:w="874" w:type="dxa"/>
          </w:tcPr>
          <w:p w14:paraId="78C5AF42" w14:textId="77777777" w:rsidR="00B47AE8" w:rsidRPr="00E359BF" w:rsidRDefault="00B47AE8">
            <w:pPr>
              <w:pStyle w:val="TableTextCentered"/>
              <w:rPr>
                <w:rFonts w:eastAsia="Times New Roman"/>
              </w:rPr>
            </w:pPr>
            <w:r>
              <w:rPr>
                <w:rFonts w:eastAsia="Times New Roman"/>
              </w:rPr>
              <w:t>1</w:t>
            </w:r>
          </w:p>
        </w:tc>
        <w:tc>
          <w:tcPr>
            <w:tcW w:w="874" w:type="dxa"/>
          </w:tcPr>
          <w:p w14:paraId="52E1741B" w14:textId="77777777" w:rsidR="00B47AE8" w:rsidRPr="00E359BF" w:rsidRDefault="00B47AE8">
            <w:pPr>
              <w:pStyle w:val="TableTextCentered"/>
              <w:rPr>
                <w:rFonts w:eastAsia="Times New Roman"/>
              </w:rPr>
            </w:pPr>
            <w:r>
              <w:rPr>
                <w:rFonts w:eastAsia="Times New Roman"/>
              </w:rPr>
              <w:t>6</w:t>
            </w:r>
          </w:p>
        </w:tc>
        <w:tc>
          <w:tcPr>
            <w:tcW w:w="875" w:type="dxa"/>
          </w:tcPr>
          <w:p w14:paraId="2E3016D6" w14:textId="77777777" w:rsidR="00B47AE8" w:rsidRPr="00E359BF" w:rsidRDefault="00B47AE8">
            <w:pPr>
              <w:pStyle w:val="TableTextCentered"/>
              <w:rPr>
                <w:rFonts w:eastAsia="Times New Roman"/>
              </w:rPr>
            </w:pPr>
            <w:r>
              <w:rPr>
                <w:rFonts w:eastAsia="Times New Roman"/>
              </w:rPr>
              <w:t>0</w:t>
            </w:r>
          </w:p>
        </w:tc>
        <w:tc>
          <w:tcPr>
            <w:tcW w:w="900" w:type="dxa"/>
          </w:tcPr>
          <w:p w14:paraId="05E8E038" w14:textId="77777777" w:rsidR="00B47AE8" w:rsidRPr="00E359BF" w:rsidRDefault="00B47AE8">
            <w:pPr>
              <w:pStyle w:val="TableTextCentered"/>
              <w:rPr>
                <w:rFonts w:eastAsia="Times New Roman"/>
              </w:rPr>
            </w:pPr>
            <w:r>
              <w:rPr>
                <w:rFonts w:eastAsia="Times New Roman"/>
              </w:rPr>
              <w:t>27</w:t>
            </w:r>
          </w:p>
        </w:tc>
        <w:tc>
          <w:tcPr>
            <w:tcW w:w="892" w:type="dxa"/>
          </w:tcPr>
          <w:p w14:paraId="51EE7AF7" w14:textId="77777777" w:rsidR="00B47AE8" w:rsidRPr="00E359BF" w:rsidRDefault="00B47AE8">
            <w:pPr>
              <w:pStyle w:val="TableTextCentered"/>
              <w:rPr>
                <w:rFonts w:eastAsia="Times New Roman"/>
              </w:rPr>
            </w:pPr>
            <w:r>
              <w:rPr>
                <w:rFonts w:eastAsia="Times New Roman"/>
              </w:rPr>
              <w:t>3.8</w:t>
            </w:r>
          </w:p>
        </w:tc>
      </w:tr>
    </w:tbl>
    <w:bookmarkEnd w:id="151"/>
    <w:p w14:paraId="4FC20A2A" w14:textId="77777777" w:rsidR="00B47AE8" w:rsidRDefault="00B47AE8">
      <w:pPr>
        <w:pStyle w:val="TableNote"/>
      </w:pPr>
      <w:r w:rsidRPr="00D44000">
        <w:t xml:space="preserve">*The district average is an average of the observation scores. In Table 14, the district average is computed as: </w:t>
      </w:r>
      <w:r w:rsidRPr="00D44000">
        <w:br/>
      </w:r>
      <w:bookmarkStart w:id="152" w:name="Dist_LM_Calc"/>
      <w:r>
        <w:t>([2 x 4] + [3 x 10] + [4 x 6] + [5 x 1] + [6 x 6]) ÷ 27 observations = 3.8</w:t>
      </w:r>
      <w:bookmarkEnd w:id="152"/>
    </w:p>
    <w:p w14:paraId="620CCB37" w14:textId="77777777" w:rsidR="00B47AE8" w:rsidRPr="00BC09E0" w:rsidRDefault="00B47AE8">
      <w:pPr>
        <w:pStyle w:val="TableNote"/>
      </w:pPr>
      <w:r>
        <w:t>**Language Modeling does not appear in the CLASS Upper Elementary Manual, therefore scores for the Elementary School Level represent grades K-3 only.</w:t>
      </w:r>
    </w:p>
    <w:p w14:paraId="1FDCF4A5" w14:textId="77777777" w:rsidR="00B47AE8" w:rsidRPr="00BC09E0" w:rsidRDefault="00B47AE8">
      <w:pPr>
        <w:pStyle w:val="BodyText"/>
      </w:pPr>
      <w:r w:rsidRPr="00D05302">
        <w:rPr>
          <w:rStyle w:val="BodyTextDemiChar"/>
        </w:rPr>
        <w:t>Ratings in the Low Range.</w:t>
      </w:r>
      <w:r w:rsidRPr="00BC09E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7AA2147C" w14:textId="77777777" w:rsidR="00B47AE8" w:rsidRPr="00BC09E0" w:rsidRDefault="00B47AE8">
      <w:pPr>
        <w:pStyle w:val="BodyText"/>
      </w:pPr>
      <w:r w:rsidRPr="00D05302">
        <w:rPr>
          <w:rStyle w:val="BodyTextDemiChar"/>
        </w:rPr>
        <w:t>Ratings in the Middle Range.</w:t>
      </w:r>
      <w:r w:rsidRPr="00BC09E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36F8E23E" w14:textId="77777777" w:rsidR="00B47AE8" w:rsidRPr="00BC09E0" w:rsidRDefault="00B47AE8">
      <w:pPr>
        <w:pStyle w:val="BodyText"/>
      </w:pPr>
      <w:r w:rsidRPr="00D05302">
        <w:rPr>
          <w:rStyle w:val="BodyTextDemiChar"/>
        </w:rPr>
        <w:t>Ratings in the High Range.</w:t>
      </w:r>
      <w:r w:rsidRPr="00BC09E0">
        <w:rPr>
          <w:b/>
        </w:rPr>
        <w:t xml:space="preserve"> </w:t>
      </w:r>
      <w:r w:rsidRPr="00BC09E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050C2E7B" w14:textId="77777777" w:rsidR="00B47AE8" w:rsidRPr="00943E5C" w:rsidRDefault="00B47AE8">
      <w:pPr>
        <w:pStyle w:val="Heading2-SIOR"/>
      </w:pPr>
      <w:bookmarkStart w:id="153" w:name="_Toc379881745"/>
      <w:bookmarkStart w:id="154" w:name="_Toc411329838"/>
      <w:bookmarkStart w:id="155" w:name="_Toc430114887"/>
      <w:bookmarkStart w:id="156" w:name="_Toc92194266"/>
      <w:r w:rsidRPr="00943E5C">
        <w:lastRenderedPageBreak/>
        <w:t>Instructional Dialogue</w:t>
      </w:r>
      <w:bookmarkEnd w:id="153"/>
      <w:bookmarkEnd w:id="154"/>
      <w:bookmarkEnd w:id="155"/>
      <w:bookmarkEnd w:id="156"/>
      <w:r w:rsidRPr="00943E5C">
        <w:t xml:space="preserve"> </w:t>
      </w:r>
    </w:p>
    <w:p w14:paraId="3F5FE2E0" w14:textId="77777777" w:rsidR="00B47AE8" w:rsidRPr="00943E5C" w:rsidRDefault="00B47AE8">
      <w:pPr>
        <w:pStyle w:val="BodyTextDomain"/>
      </w:pPr>
      <w:r w:rsidRPr="00943E5C">
        <w:t>Instructional Support domain, Grades 4</w:t>
      </w:r>
      <w:r w:rsidRPr="00943E5C">
        <w:rPr>
          <w:rFonts w:ascii="Vijaya" w:hAnsi="Vijaya" w:cs="Vijaya"/>
        </w:rPr>
        <w:t xml:space="preserve">− </w:t>
      </w:r>
      <w:r w:rsidRPr="00943E5C">
        <w:t>12</w:t>
      </w:r>
    </w:p>
    <w:p w14:paraId="5C8F7C12" w14:textId="77777777" w:rsidR="00B47AE8" w:rsidRPr="00BC09E0" w:rsidRDefault="00B47AE8">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0797B06F" w14:textId="77777777" w:rsidR="00B47AE8" w:rsidRPr="00BC09E0" w:rsidRDefault="00B47AE8">
      <w:pPr>
        <w:pStyle w:val="TableTitle0"/>
        <w:rPr>
          <w:spacing w:val="-4"/>
        </w:rPr>
      </w:pPr>
      <w:r w:rsidRPr="00BC09E0">
        <w:rPr>
          <w:spacing w:val="-4"/>
        </w:rPr>
        <w:t xml:space="preserve">Table 15. Instructional Dialogue: Number of Classrooms for Each Rating </w:t>
      </w:r>
      <w:r w:rsidRPr="002A58D3">
        <w:rPr>
          <w:spacing w:val="-4"/>
        </w:rPr>
        <w:t>and District Average</w:t>
      </w:r>
    </w:p>
    <w:p w14:paraId="61584965" w14:textId="77777777" w:rsidR="00B47AE8" w:rsidRDefault="00B47AE8">
      <w:pPr>
        <w:pStyle w:val="BodyTextDemi"/>
      </w:pPr>
      <w:r w:rsidRPr="002A58D3">
        <w:t xml:space="preserve">Instructional Dialogue District Average*: </w:t>
      </w:r>
      <w:bookmarkStart w:id="157" w:name="Dist_ID_Avg"/>
      <w:r>
        <w:t>3.0</w:t>
      </w:r>
      <w:bookmarkEnd w:id="15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506F006C"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30494F1" w14:textId="77777777" w:rsidR="00B47AE8" w:rsidRPr="00E359BF" w:rsidRDefault="00B47AE8">
            <w:pPr>
              <w:pStyle w:val="TableColHeadingCenter"/>
              <w:rPr>
                <w:rFonts w:eastAsia="MS Mincho"/>
              </w:rPr>
            </w:pPr>
            <w:bookmarkStart w:id="158" w:name="Tbl_ID"/>
            <w:r>
              <w:rPr>
                <w:rFonts w:eastAsia="MS Mincho"/>
              </w:rPr>
              <w:t>Grade Band</w:t>
            </w:r>
          </w:p>
        </w:tc>
        <w:tc>
          <w:tcPr>
            <w:tcW w:w="1748" w:type="dxa"/>
            <w:gridSpan w:val="2"/>
          </w:tcPr>
          <w:p w14:paraId="31D28E95"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75B4CA55"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33C327C6"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60D9AB5F" w14:textId="77777777" w:rsidR="00B47AE8" w:rsidRPr="00E359BF" w:rsidRDefault="00B47AE8">
            <w:pPr>
              <w:pStyle w:val="TableColHeadingCenter"/>
              <w:rPr>
                <w:rFonts w:eastAsia="MS Mincho"/>
              </w:rPr>
            </w:pPr>
            <w:r>
              <w:rPr>
                <w:rFonts w:eastAsia="MS Mincho"/>
              </w:rPr>
              <w:t>n</w:t>
            </w:r>
          </w:p>
        </w:tc>
        <w:tc>
          <w:tcPr>
            <w:tcW w:w="892" w:type="dxa"/>
          </w:tcPr>
          <w:p w14:paraId="1990508D" w14:textId="77777777" w:rsidR="00B47AE8" w:rsidRPr="00E359BF" w:rsidRDefault="00B47AE8">
            <w:pPr>
              <w:pStyle w:val="TableColHeadingCenter"/>
              <w:rPr>
                <w:rFonts w:eastAsia="MS Mincho"/>
              </w:rPr>
            </w:pPr>
            <w:r>
              <w:rPr>
                <w:rFonts w:eastAsia="MS Mincho"/>
              </w:rPr>
              <w:t>Average</w:t>
            </w:r>
          </w:p>
        </w:tc>
      </w:tr>
      <w:tr w:rsidR="00B47AE8" w:rsidRPr="00E359BF" w14:paraId="018061C3" w14:textId="77777777" w:rsidTr="00B47AE8">
        <w:trPr>
          <w:jc w:val="center"/>
        </w:trPr>
        <w:tc>
          <w:tcPr>
            <w:tcW w:w="1432" w:type="dxa"/>
            <w:shd w:val="clear" w:color="auto" w:fill="D9E2F3" w:themeFill="accent5" w:themeFillTint="33"/>
          </w:tcPr>
          <w:p w14:paraId="4D7008D9" w14:textId="77777777" w:rsidR="00B47AE8" w:rsidRPr="00E359BF" w:rsidRDefault="00B47AE8">
            <w:pPr>
              <w:pStyle w:val="TableSubheadingCentered"/>
            </w:pPr>
          </w:p>
        </w:tc>
        <w:tc>
          <w:tcPr>
            <w:tcW w:w="874" w:type="dxa"/>
            <w:shd w:val="clear" w:color="auto" w:fill="D9E2F3" w:themeFill="accent5" w:themeFillTint="33"/>
          </w:tcPr>
          <w:p w14:paraId="5E104FF6" w14:textId="77777777" w:rsidR="00B47AE8" w:rsidRPr="00E359BF" w:rsidRDefault="00B47AE8">
            <w:pPr>
              <w:pStyle w:val="TableSubheadingCentered"/>
            </w:pPr>
            <w:r w:rsidRPr="00E359BF">
              <w:t>1</w:t>
            </w:r>
          </w:p>
        </w:tc>
        <w:tc>
          <w:tcPr>
            <w:tcW w:w="874" w:type="dxa"/>
            <w:shd w:val="clear" w:color="auto" w:fill="D9E2F3" w:themeFill="accent5" w:themeFillTint="33"/>
          </w:tcPr>
          <w:p w14:paraId="32D8761F" w14:textId="77777777" w:rsidR="00B47AE8" w:rsidRPr="00E359BF" w:rsidRDefault="00B47AE8">
            <w:pPr>
              <w:pStyle w:val="TableSubheadingCentered"/>
            </w:pPr>
            <w:r w:rsidRPr="00E359BF">
              <w:t>2</w:t>
            </w:r>
          </w:p>
        </w:tc>
        <w:tc>
          <w:tcPr>
            <w:tcW w:w="874" w:type="dxa"/>
            <w:shd w:val="clear" w:color="auto" w:fill="D9E2F3" w:themeFill="accent5" w:themeFillTint="33"/>
          </w:tcPr>
          <w:p w14:paraId="3538505D" w14:textId="77777777" w:rsidR="00B47AE8" w:rsidRPr="00E359BF" w:rsidRDefault="00B47AE8">
            <w:pPr>
              <w:pStyle w:val="TableSubheadingCentered"/>
            </w:pPr>
            <w:r w:rsidRPr="00E359BF">
              <w:t>3</w:t>
            </w:r>
          </w:p>
        </w:tc>
        <w:tc>
          <w:tcPr>
            <w:tcW w:w="875" w:type="dxa"/>
            <w:shd w:val="clear" w:color="auto" w:fill="D9E2F3" w:themeFill="accent5" w:themeFillTint="33"/>
          </w:tcPr>
          <w:p w14:paraId="4C6FD61A" w14:textId="77777777" w:rsidR="00B47AE8" w:rsidRPr="00E359BF" w:rsidRDefault="00B47AE8">
            <w:pPr>
              <w:pStyle w:val="TableSubheadingCentered"/>
            </w:pPr>
            <w:r w:rsidRPr="00E359BF">
              <w:t>4</w:t>
            </w:r>
          </w:p>
        </w:tc>
        <w:tc>
          <w:tcPr>
            <w:tcW w:w="874" w:type="dxa"/>
            <w:shd w:val="clear" w:color="auto" w:fill="D9E2F3" w:themeFill="accent5" w:themeFillTint="33"/>
          </w:tcPr>
          <w:p w14:paraId="797586DF" w14:textId="77777777" w:rsidR="00B47AE8" w:rsidRPr="00E359BF" w:rsidRDefault="00B47AE8">
            <w:pPr>
              <w:pStyle w:val="TableSubheadingCentered"/>
            </w:pPr>
            <w:r w:rsidRPr="00E359BF">
              <w:t>5</w:t>
            </w:r>
          </w:p>
        </w:tc>
        <w:tc>
          <w:tcPr>
            <w:tcW w:w="874" w:type="dxa"/>
            <w:shd w:val="clear" w:color="auto" w:fill="D9E2F3" w:themeFill="accent5" w:themeFillTint="33"/>
          </w:tcPr>
          <w:p w14:paraId="2CC41AA4" w14:textId="77777777" w:rsidR="00B47AE8" w:rsidRPr="00E359BF" w:rsidRDefault="00B47AE8">
            <w:pPr>
              <w:pStyle w:val="TableSubheadingCentered"/>
            </w:pPr>
            <w:r w:rsidRPr="00E359BF">
              <w:t>6</w:t>
            </w:r>
          </w:p>
        </w:tc>
        <w:tc>
          <w:tcPr>
            <w:tcW w:w="875" w:type="dxa"/>
            <w:shd w:val="clear" w:color="auto" w:fill="D9E2F3" w:themeFill="accent5" w:themeFillTint="33"/>
          </w:tcPr>
          <w:p w14:paraId="7A3EC257" w14:textId="77777777" w:rsidR="00B47AE8" w:rsidRPr="00E359BF" w:rsidRDefault="00B47AE8">
            <w:pPr>
              <w:pStyle w:val="TableSubheadingCentered"/>
            </w:pPr>
            <w:r w:rsidRPr="00E359BF">
              <w:t>7</w:t>
            </w:r>
          </w:p>
        </w:tc>
        <w:tc>
          <w:tcPr>
            <w:tcW w:w="900" w:type="dxa"/>
            <w:shd w:val="clear" w:color="auto" w:fill="D9E2F3" w:themeFill="accent5" w:themeFillTint="33"/>
          </w:tcPr>
          <w:p w14:paraId="54B28FB8" w14:textId="77777777" w:rsidR="00B47AE8" w:rsidRPr="00E359BF" w:rsidRDefault="00B47AE8">
            <w:pPr>
              <w:pStyle w:val="TableSubheadingCentered"/>
            </w:pPr>
            <w:r>
              <w:t>71</w:t>
            </w:r>
          </w:p>
        </w:tc>
        <w:tc>
          <w:tcPr>
            <w:tcW w:w="892" w:type="dxa"/>
            <w:shd w:val="clear" w:color="auto" w:fill="D9E2F3" w:themeFill="accent5" w:themeFillTint="33"/>
          </w:tcPr>
          <w:p w14:paraId="61407975" w14:textId="77777777" w:rsidR="00B47AE8" w:rsidRPr="00E359BF" w:rsidRDefault="00B47AE8">
            <w:pPr>
              <w:pStyle w:val="TableSubheadingCentered"/>
            </w:pPr>
            <w:r>
              <w:t>3.0</w:t>
            </w:r>
          </w:p>
        </w:tc>
      </w:tr>
      <w:tr w:rsidR="00B47AE8" w:rsidRPr="00E359BF" w14:paraId="77DE503D" w14:textId="77777777" w:rsidTr="00B47AE8">
        <w:trPr>
          <w:jc w:val="center"/>
        </w:trPr>
        <w:tc>
          <w:tcPr>
            <w:tcW w:w="1432" w:type="dxa"/>
          </w:tcPr>
          <w:p w14:paraId="35332AAA" w14:textId="77777777" w:rsidR="00B47AE8" w:rsidRPr="00E359BF" w:rsidRDefault="00B47AE8">
            <w:pPr>
              <w:pStyle w:val="TableText"/>
            </w:pPr>
            <w:r>
              <w:t>Grades 4-5**</w:t>
            </w:r>
          </w:p>
        </w:tc>
        <w:tc>
          <w:tcPr>
            <w:tcW w:w="874" w:type="dxa"/>
          </w:tcPr>
          <w:p w14:paraId="06F897C6" w14:textId="77777777" w:rsidR="00B47AE8" w:rsidRPr="00E359BF" w:rsidRDefault="00B47AE8">
            <w:pPr>
              <w:pStyle w:val="TableTextCentered"/>
              <w:rPr>
                <w:rFonts w:eastAsia="Times New Roman"/>
              </w:rPr>
            </w:pPr>
            <w:r>
              <w:rPr>
                <w:rFonts w:eastAsia="Times New Roman"/>
              </w:rPr>
              <w:t>1</w:t>
            </w:r>
          </w:p>
        </w:tc>
        <w:tc>
          <w:tcPr>
            <w:tcW w:w="874" w:type="dxa"/>
          </w:tcPr>
          <w:p w14:paraId="09E34802" w14:textId="77777777" w:rsidR="00B47AE8" w:rsidRPr="00E359BF" w:rsidRDefault="00B47AE8">
            <w:pPr>
              <w:pStyle w:val="TableTextCentered"/>
              <w:rPr>
                <w:rFonts w:eastAsia="Times New Roman"/>
              </w:rPr>
            </w:pPr>
            <w:r>
              <w:rPr>
                <w:rFonts w:eastAsia="Times New Roman"/>
              </w:rPr>
              <w:t>2</w:t>
            </w:r>
          </w:p>
        </w:tc>
        <w:tc>
          <w:tcPr>
            <w:tcW w:w="874" w:type="dxa"/>
          </w:tcPr>
          <w:p w14:paraId="6F4E31FA" w14:textId="77777777" w:rsidR="00B47AE8" w:rsidRPr="00E359BF" w:rsidRDefault="00B47AE8">
            <w:pPr>
              <w:pStyle w:val="TableTextCentered"/>
              <w:rPr>
                <w:rFonts w:eastAsia="Times New Roman"/>
              </w:rPr>
            </w:pPr>
            <w:r>
              <w:rPr>
                <w:rFonts w:eastAsia="Times New Roman"/>
              </w:rPr>
              <w:t>4</w:t>
            </w:r>
          </w:p>
        </w:tc>
        <w:tc>
          <w:tcPr>
            <w:tcW w:w="875" w:type="dxa"/>
          </w:tcPr>
          <w:p w14:paraId="25E043B0" w14:textId="77777777" w:rsidR="00B47AE8" w:rsidRPr="00E359BF" w:rsidRDefault="00B47AE8">
            <w:pPr>
              <w:pStyle w:val="TableTextCentered"/>
              <w:rPr>
                <w:rFonts w:eastAsia="Times New Roman"/>
              </w:rPr>
            </w:pPr>
            <w:r>
              <w:rPr>
                <w:rFonts w:eastAsia="Times New Roman"/>
              </w:rPr>
              <w:t>6</w:t>
            </w:r>
          </w:p>
        </w:tc>
        <w:tc>
          <w:tcPr>
            <w:tcW w:w="874" w:type="dxa"/>
          </w:tcPr>
          <w:p w14:paraId="27917C8C" w14:textId="77777777" w:rsidR="00B47AE8" w:rsidRPr="00E359BF" w:rsidRDefault="00B47AE8">
            <w:pPr>
              <w:pStyle w:val="TableTextCentered"/>
              <w:rPr>
                <w:rFonts w:eastAsia="Times New Roman"/>
              </w:rPr>
            </w:pPr>
            <w:r>
              <w:rPr>
                <w:rFonts w:eastAsia="Times New Roman"/>
              </w:rPr>
              <w:t>3</w:t>
            </w:r>
          </w:p>
        </w:tc>
        <w:tc>
          <w:tcPr>
            <w:tcW w:w="874" w:type="dxa"/>
          </w:tcPr>
          <w:p w14:paraId="1363D6E3" w14:textId="77777777" w:rsidR="00B47AE8" w:rsidRPr="00E359BF" w:rsidRDefault="00B47AE8">
            <w:pPr>
              <w:pStyle w:val="TableTextCentered"/>
              <w:rPr>
                <w:rFonts w:eastAsia="Times New Roman"/>
              </w:rPr>
            </w:pPr>
            <w:r>
              <w:rPr>
                <w:rFonts w:eastAsia="Times New Roman"/>
              </w:rPr>
              <w:t>0</w:t>
            </w:r>
          </w:p>
        </w:tc>
        <w:tc>
          <w:tcPr>
            <w:tcW w:w="875" w:type="dxa"/>
          </w:tcPr>
          <w:p w14:paraId="783775A3" w14:textId="77777777" w:rsidR="00B47AE8" w:rsidRPr="00E359BF" w:rsidRDefault="00B47AE8">
            <w:pPr>
              <w:pStyle w:val="TableTextCentered"/>
              <w:rPr>
                <w:rFonts w:eastAsia="Times New Roman"/>
              </w:rPr>
            </w:pPr>
            <w:r>
              <w:rPr>
                <w:rFonts w:eastAsia="Times New Roman"/>
              </w:rPr>
              <w:t>0</w:t>
            </w:r>
          </w:p>
        </w:tc>
        <w:tc>
          <w:tcPr>
            <w:tcW w:w="900" w:type="dxa"/>
          </w:tcPr>
          <w:p w14:paraId="02A8F0BE" w14:textId="77777777" w:rsidR="00B47AE8" w:rsidRPr="00E359BF" w:rsidRDefault="00B47AE8">
            <w:pPr>
              <w:pStyle w:val="TableTextCentered"/>
              <w:rPr>
                <w:rFonts w:eastAsia="Times New Roman"/>
              </w:rPr>
            </w:pPr>
            <w:r>
              <w:rPr>
                <w:rFonts w:eastAsia="Times New Roman"/>
              </w:rPr>
              <w:t>16</w:t>
            </w:r>
          </w:p>
        </w:tc>
        <w:tc>
          <w:tcPr>
            <w:tcW w:w="892" w:type="dxa"/>
          </w:tcPr>
          <w:p w14:paraId="26286CB0" w14:textId="77777777" w:rsidR="00B47AE8" w:rsidRPr="00E359BF" w:rsidRDefault="00B47AE8">
            <w:pPr>
              <w:pStyle w:val="TableTextCentered"/>
              <w:rPr>
                <w:rFonts w:eastAsia="Times New Roman"/>
              </w:rPr>
            </w:pPr>
            <w:r>
              <w:rPr>
                <w:rFonts w:eastAsia="Times New Roman"/>
              </w:rPr>
              <w:t>3.5</w:t>
            </w:r>
          </w:p>
        </w:tc>
      </w:tr>
      <w:tr w:rsidR="00B47AE8" w:rsidRPr="00E359BF" w14:paraId="6157870B" w14:textId="77777777" w:rsidTr="00B47AE8">
        <w:trPr>
          <w:jc w:val="center"/>
        </w:trPr>
        <w:tc>
          <w:tcPr>
            <w:tcW w:w="1432" w:type="dxa"/>
          </w:tcPr>
          <w:p w14:paraId="26B91CC3" w14:textId="77777777" w:rsidR="00B47AE8" w:rsidRPr="00E359BF" w:rsidRDefault="00B47AE8">
            <w:pPr>
              <w:pStyle w:val="TableText"/>
            </w:pPr>
            <w:r>
              <w:t>Grades 6-8</w:t>
            </w:r>
          </w:p>
        </w:tc>
        <w:tc>
          <w:tcPr>
            <w:tcW w:w="874" w:type="dxa"/>
          </w:tcPr>
          <w:p w14:paraId="26912E32" w14:textId="77777777" w:rsidR="00B47AE8" w:rsidRPr="00E359BF" w:rsidRDefault="00B47AE8">
            <w:pPr>
              <w:pStyle w:val="TableTextCentered"/>
              <w:rPr>
                <w:rFonts w:eastAsia="Times New Roman"/>
              </w:rPr>
            </w:pPr>
            <w:r>
              <w:rPr>
                <w:rFonts w:eastAsia="Times New Roman"/>
              </w:rPr>
              <w:t>8</w:t>
            </w:r>
          </w:p>
        </w:tc>
        <w:tc>
          <w:tcPr>
            <w:tcW w:w="874" w:type="dxa"/>
          </w:tcPr>
          <w:p w14:paraId="2AA60756" w14:textId="77777777" w:rsidR="00B47AE8" w:rsidRPr="00E359BF" w:rsidRDefault="00B47AE8">
            <w:pPr>
              <w:pStyle w:val="TableTextCentered"/>
              <w:rPr>
                <w:rFonts w:eastAsia="Times New Roman"/>
              </w:rPr>
            </w:pPr>
            <w:r>
              <w:rPr>
                <w:rFonts w:eastAsia="Times New Roman"/>
              </w:rPr>
              <w:t>2</w:t>
            </w:r>
          </w:p>
        </w:tc>
        <w:tc>
          <w:tcPr>
            <w:tcW w:w="874" w:type="dxa"/>
          </w:tcPr>
          <w:p w14:paraId="3E74398C" w14:textId="77777777" w:rsidR="00B47AE8" w:rsidRPr="00E359BF" w:rsidRDefault="00B47AE8">
            <w:pPr>
              <w:pStyle w:val="TableTextCentered"/>
              <w:rPr>
                <w:rFonts w:eastAsia="Times New Roman"/>
              </w:rPr>
            </w:pPr>
            <w:r>
              <w:rPr>
                <w:rFonts w:eastAsia="Times New Roman"/>
              </w:rPr>
              <w:t>6</w:t>
            </w:r>
          </w:p>
        </w:tc>
        <w:tc>
          <w:tcPr>
            <w:tcW w:w="875" w:type="dxa"/>
          </w:tcPr>
          <w:p w14:paraId="0BD07865" w14:textId="77777777" w:rsidR="00B47AE8" w:rsidRPr="00E359BF" w:rsidRDefault="00B47AE8">
            <w:pPr>
              <w:pStyle w:val="TableTextCentered"/>
              <w:rPr>
                <w:rFonts w:eastAsia="Times New Roman"/>
              </w:rPr>
            </w:pPr>
            <w:r>
              <w:rPr>
                <w:rFonts w:eastAsia="Times New Roman"/>
              </w:rPr>
              <w:t>3</w:t>
            </w:r>
          </w:p>
        </w:tc>
        <w:tc>
          <w:tcPr>
            <w:tcW w:w="874" w:type="dxa"/>
          </w:tcPr>
          <w:p w14:paraId="57A76793" w14:textId="77777777" w:rsidR="00B47AE8" w:rsidRPr="00E359BF" w:rsidRDefault="00B47AE8">
            <w:pPr>
              <w:pStyle w:val="TableTextCentered"/>
              <w:rPr>
                <w:rFonts w:eastAsia="Times New Roman"/>
              </w:rPr>
            </w:pPr>
            <w:r>
              <w:rPr>
                <w:rFonts w:eastAsia="Times New Roman"/>
              </w:rPr>
              <w:t>1</w:t>
            </w:r>
          </w:p>
        </w:tc>
        <w:tc>
          <w:tcPr>
            <w:tcW w:w="874" w:type="dxa"/>
          </w:tcPr>
          <w:p w14:paraId="4C3D44AC" w14:textId="77777777" w:rsidR="00B47AE8" w:rsidRPr="00E359BF" w:rsidRDefault="00B47AE8">
            <w:pPr>
              <w:pStyle w:val="TableTextCentered"/>
              <w:rPr>
                <w:rFonts w:eastAsia="Times New Roman"/>
              </w:rPr>
            </w:pPr>
            <w:r>
              <w:rPr>
                <w:rFonts w:eastAsia="Times New Roman"/>
              </w:rPr>
              <w:t>3</w:t>
            </w:r>
          </w:p>
        </w:tc>
        <w:tc>
          <w:tcPr>
            <w:tcW w:w="875" w:type="dxa"/>
          </w:tcPr>
          <w:p w14:paraId="65806541" w14:textId="77777777" w:rsidR="00B47AE8" w:rsidRPr="00E359BF" w:rsidRDefault="00B47AE8">
            <w:pPr>
              <w:pStyle w:val="TableTextCentered"/>
              <w:rPr>
                <w:rFonts w:eastAsia="Times New Roman"/>
              </w:rPr>
            </w:pPr>
            <w:r>
              <w:rPr>
                <w:rFonts w:eastAsia="Times New Roman"/>
              </w:rPr>
              <w:t>0</w:t>
            </w:r>
          </w:p>
        </w:tc>
        <w:tc>
          <w:tcPr>
            <w:tcW w:w="900" w:type="dxa"/>
          </w:tcPr>
          <w:p w14:paraId="09B9689A" w14:textId="77777777" w:rsidR="00B47AE8" w:rsidRPr="00E359BF" w:rsidRDefault="00B47AE8">
            <w:pPr>
              <w:pStyle w:val="TableTextCentered"/>
              <w:rPr>
                <w:rFonts w:eastAsia="Times New Roman"/>
              </w:rPr>
            </w:pPr>
            <w:r>
              <w:rPr>
                <w:rFonts w:eastAsia="Times New Roman"/>
              </w:rPr>
              <w:t>23</w:t>
            </w:r>
          </w:p>
        </w:tc>
        <w:tc>
          <w:tcPr>
            <w:tcW w:w="892" w:type="dxa"/>
          </w:tcPr>
          <w:p w14:paraId="28EE8455" w14:textId="77777777" w:rsidR="00B47AE8" w:rsidRPr="00E359BF" w:rsidRDefault="00B47AE8">
            <w:pPr>
              <w:pStyle w:val="TableTextCentered"/>
              <w:rPr>
                <w:rFonts w:eastAsia="Times New Roman"/>
              </w:rPr>
            </w:pPr>
            <w:r>
              <w:rPr>
                <w:rFonts w:eastAsia="Times New Roman"/>
              </w:rPr>
              <w:t>2.8</w:t>
            </w:r>
          </w:p>
        </w:tc>
      </w:tr>
      <w:tr w:rsidR="00B47AE8" w:rsidRPr="00E359BF" w14:paraId="5A719B05" w14:textId="77777777" w:rsidTr="00B47AE8">
        <w:trPr>
          <w:jc w:val="center"/>
        </w:trPr>
        <w:tc>
          <w:tcPr>
            <w:tcW w:w="1432" w:type="dxa"/>
          </w:tcPr>
          <w:p w14:paraId="75E4ACD9" w14:textId="77777777" w:rsidR="00B47AE8" w:rsidRPr="00E359BF" w:rsidRDefault="00B47AE8">
            <w:pPr>
              <w:pStyle w:val="TableText"/>
            </w:pPr>
            <w:r>
              <w:t>Grades 9-12</w:t>
            </w:r>
          </w:p>
        </w:tc>
        <w:tc>
          <w:tcPr>
            <w:tcW w:w="874" w:type="dxa"/>
          </w:tcPr>
          <w:p w14:paraId="60C80AB3" w14:textId="77777777" w:rsidR="00B47AE8" w:rsidRPr="00E359BF" w:rsidRDefault="00B47AE8">
            <w:pPr>
              <w:pStyle w:val="TableTextCentered"/>
              <w:rPr>
                <w:rFonts w:eastAsia="Times New Roman"/>
              </w:rPr>
            </w:pPr>
            <w:r>
              <w:rPr>
                <w:rFonts w:eastAsia="Times New Roman"/>
              </w:rPr>
              <w:t>9</w:t>
            </w:r>
          </w:p>
        </w:tc>
        <w:tc>
          <w:tcPr>
            <w:tcW w:w="874" w:type="dxa"/>
          </w:tcPr>
          <w:p w14:paraId="754F5741" w14:textId="77777777" w:rsidR="00B47AE8" w:rsidRPr="00E359BF" w:rsidRDefault="00B47AE8">
            <w:pPr>
              <w:pStyle w:val="TableTextCentered"/>
              <w:rPr>
                <w:rFonts w:eastAsia="Times New Roman"/>
              </w:rPr>
            </w:pPr>
            <w:r>
              <w:rPr>
                <w:rFonts w:eastAsia="Times New Roman"/>
              </w:rPr>
              <w:t>8</w:t>
            </w:r>
          </w:p>
        </w:tc>
        <w:tc>
          <w:tcPr>
            <w:tcW w:w="874" w:type="dxa"/>
          </w:tcPr>
          <w:p w14:paraId="7FD35DD5" w14:textId="77777777" w:rsidR="00B47AE8" w:rsidRPr="00E359BF" w:rsidRDefault="00B47AE8">
            <w:pPr>
              <w:pStyle w:val="TableTextCentered"/>
              <w:rPr>
                <w:rFonts w:eastAsia="Times New Roman"/>
              </w:rPr>
            </w:pPr>
            <w:r>
              <w:rPr>
                <w:rFonts w:eastAsia="Times New Roman"/>
              </w:rPr>
              <w:t>4</w:t>
            </w:r>
          </w:p>
        </w:tc>
        <w:tc>
          <w:tcPr>
            <w:tcW w:w="875" w:type="dxa"/>
          </w:tcPr>
          <w:p w14:paraId="6AC3B315" w14:textId="77777777" w:rsidR="00B47AE8" w:rsidRPr="00E359BF" w:rsidRDefault="00B47AE8">
            <w:pPr>
              <w:pStyle w:val="TableTextCentered"/>
              <w:rPr>
                <w:rFonts w:eastAsia="Times New Roman"/>
              </w:rPr>
            </w:pPr>
            <w:r>
              <w:rPr>
                <w:rFonts w:eastAsia="Times New Roman"/>
              </w:rPr>
              <w:t>4</w:t>
            </w:r>
          </w:p>
        </w:tc>
        <w:tc>
          <w:tcPr>
            <w:tcW w:w="874" w:type="dxa"/>
          </w:tcPr>
          <w:p w14:paraId="70BA0C76" w14:textId="77777777" w:rsidR="00B47AE8" w:rsidRPr="00E359BF" w:rsidRDefault="00B47AE8">
            <w:pPr>
              <w:pStyle w:val="TableTextCentered"/>
              <w:rPr>
                <w:rFonts w:eastAsia="Times New Roman"/>
              </w:rPr>
            </w:pPr>
            <w:r>
              <w:rPr>
                <w:rFonts w:eastAsia="Times New Roman"/>
              </w:rPr>
              <w:t>4</w:t>
            </w:r>
          </w:p>
        </w:tc>
        <w:tc>
          <w:tcPr>
            <w:tcW w:w="874" w:type="dxa"/>
          </w:tcPr>
          <w:p w14:paraId="2C7CF0EC" w14:textId="77777777" w:rsidR="00B47AE8" w:rsidRPr="00E359BF" w:rsidRDefault="00B47AE8">
            <w:pPr>
              <w:pStyle w:val="TableTextCentered"/>
              <w:rPr>
                <w:rFonts w:eastAsia="Times New Roman"/>
              </w:rPr>
            </w:pPr>
            <w:r>
              <w:rPr>
                <w:rFonts w:eastAsia="Times New Roman"/>
              </w:rPr>
              <w:t>2</w:t>
            </w:r>
          </w:p>
        </w:tc>
        <w:tc>
          <w:tcPr>
            <w:tcW w:w="875" w:type="dxa"/>
          </w:tcPr>
          <w:p w14:paraId="5033507F" w14:textId="77777777" w:rsidR="00B47AE8" w:rsidRPr="00E359BF" w:rsidRDefault="00B47AE8">
            <w:pPr>
              <w:pStyle w:val="TableTextCentered"/>
              <w:rPr>
                <w:rFonts w:eastAsia="Times New Roman"/>
              </w:rPr>
            </w:pPr>
            <w:r>
              <w:rPr>
                <w:rFonts w:eastAsia="Times New Roman"/>
              </w:rPr>
              <w:t>1</w:t>
            </w:r>
          </w:p>
        </w:tc>
        <w:tc>
          <w:tcPr>
            <w:tcW w:w="900" w:type="dxa"/>
          </w:tcPr>
          <w:p w14:paraId="5BA3EBE8" w14:textId="77777777" w:rsidR="00B47AE8" w:rsidRPr="00E359BF" w:rsidRDefault="00B47AE8">
            <w:pPr>
              <w:pStyle w:val="TableTextCentered"/>
              <w:rPr>
                <w:rFonts w:eastAsia="Times New Roman"/>
              </w:rPr>
            </w:pPr>
            <w:r>
              <w:rPr>
                <w:rFonts w:eastAsia="Times New Roman"/>
              </w:rPr>
              <w:t>32</w:t>
            </w:r>
          </w:p>
        </w:tc>
        <w:tc>
          <w:tcPr>
            <w:tcW w:w="892" w:type="dxa"/>
          </w:tcPr>
          <w:p w14:paraId="3A9DFFF8" w14:textId="77777777" w:rsidR="00B47AE8" w:rsidRPr="00E359BF" w:rsidRDefault="00B47AE8">
            <w:pPr>
              <w:pStyle w:val="TableTextCentered"/>
              <w:rPr>
                <w:rFonts w:eastAsia="Times New Roman"/>
              </w:rPr>
            </w:pPr>
            <w:r>
              <w:rPr>
                <w:rFonts w:eastAsia="Times New Roman"/>
              </w:rPr>
              <w:t>2.9</w:t>
            </w:r>
          </w:p>
        </w:tc>
      </w:tr>
    </w:tbl>
    <w:bookmarkEnd w:id="158"/>
    <w:p w14:paraId="5354E50F" w14:textId="77777777" w:rsidR="00B47AE8" w:rsidRDefault="00B47AE8">
      <w:pPr>
        <w:pStyle w:val="TableNote"/>
      </w:pPr>
      <w:r w:rsidRPr="002A58D3">
        <w:t xml:space="preserve">*The district average is an average of the observation scores. In Table 15, the district average is computed as: </w:t>
      </w:r>
      <w:r w:rsidRPr="002A58D3">
        <w:br/>
      </w:r>
      <w:bookmarkStart w:id="159" w:name="Dist_ID_Calc"/>
      <w:r>
        <w:t>([1 x 18] + [2 x 12] + [3 x 14] + [4 x 13] + [5 x 8] + [6 x 5] + [7 x 1]) ÷ 71 observations = 3.0</w:t>
      </w:r>
      <w:bookmarkEnd w:id="159"/>
    </w:p>
    <w:p w14:paraId="7AE44CE8" w14:textId="77777777" w:rsidR="00B47AE8" w:rsidRPr="00BC09E0" w:rsidRDefault="00B47AE8">
      <w:pPr>
        <w:pStyle w:val="TableNote"/>
      </w:pPr>
      <w:r>
        <w:t>**Instructional Dialogue does not appear in the CLASS K-3 Manual, therefore scores for the Elementary School Level represent grades 4-5 only.</w:t>
      </w:r>
    </w:p>
    <w:p w14:paraId="23676608" w14:textId="77777777" w:rsidR="00B47AE8" w:rsidRPr="00BC09E0" w:rsidRDefault="00B47AE8">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50C1FD39" w14:textId="77777777" w:rsidR="00B47AE8" w:rsidRPr="00BC09E0" w:rsidRDefault="00B47AE8">
      <w:pPr>
        <w:pStyle w:val="BodyText"/>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3D1C5603" w14:textId="77777777" w:rsidR="00B47AE8" w:rsidRPr="00BC09E0" w:rsidRDefault="00B47AE8">
      <w:pPr>
        <w:pStyle w:val="BodyText"/>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031C96EC" w14:textId="77777777" w:rsidR="00B47AE8" w:rsidRPr="00943E5C" w:rsidRDefault="00B47AE8">
      <w:pPr>
        <w:pStyle w:val="Heading2-SIOR"/>
      </w:pPr>
      <w:bookmarkStart w:id="160" w:name="_Toc379881746"/>
      <w:bookmarkStart w:id="161" w:name="_Toc411329839"/>
      <w:bookmarkStart w:id="162" w:name="_Toc430114888"/>
      <w:bookmarkStart w:id="163" w:name="_Toc92194267"/>
      <w:r w:rsidRPr="00943E5C">
        <w:lastRenderedPageBreak/>
        <w:t>Student Engagement</w:t>
      </w:r>
      <w:bookmarkEnd w:id="160"/>
      <w:bookmarkEnd w:id="161"/>
      <w:bookmarkEnd w:id="162"/>
      <w:bookmarkEnd w:id="163"/>
    </w:p>
    <w:p w14:paraId="7AD68970" w14:textId="77777777" w:rsidR="00B47AE8" w:rsidRPr="00943E5C" w:rsidRDefault="00B47AE8">
      <w:pPr>
        <w:pStyle w:val="BodyTextDomain"/>
      </w:pPr>
      <w:r w:rsidRPr="00943E5C">
        <w:t>Student Engagement domain, Grades 4</w:t>
      </w:r>
      <w:r w:rsidRPr="00943E5C">
        <w:rPr>
          <w:rFonts w:ascii="Vijaya" w:hAnsi="Vijaya" w:cs="Vijaya"/>
        </w:rPr>
        <w:t>−</w:t>
      </w:r>
      <w:r w:rsidRPr="00943E5C">
        <w:t xml:space="preserve">12 </w:t>
      </w:r>
    </w:p>
    <w:p w14:paraId="13638641" w14:textId="77777777" w:rsidR="00B47AE8" w:rsidRPr="00BC09E0" w:rsidRDefault="00B47AE8">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6C2219B1" w14:textId="77777777" w:rsidR="00B47AE8" w:rsidRPr="00BC09E0" w:rsidRDefault="00B47AE8">
      <w:pPr>
        <w:pStyle w:val="TableTitle0"/>
        <w:rPr>
          <w:spacing w:val="-4"/>
        </w:rPr>
      </w:pPr>
      <w:r w:rsidRPr="00BC09E0">
        <w:rPr>
          <w:spacing w:val="-4"/>
        </w:rPr>
        <w:t xml:space="preserve">Table 16. Student Engagement: Number of Classrooms for Each Rating </w:t>
      </w:r>
      <w:r w:rsidRPr="002A58D3">
        <w:rPr>
          <w:spacing w:val="-4"/>
        </w:rPr>
        <w:t>and District Average</w:t>
      </w:r>
    </w:p>
    <w:p w14:paraId="73409056" w14:textId="77777777" w:rsidR="00B47AE8" w:rsidRDefault="00B47AE8">
      <w:pPr>
        <w:pStyle w:val="BodyTextDemi"/>
      </w:pPr>
      <w:r w:rsidRPr="002A58D3">
        <w:t xml:space="preserve">Student Engagement District Average*: </w:t>
      </w:r>
      <w:bookmarkStart w:id="164" w:name="Dist_SE_Avg"/>
      <w:r>
        <w:t>5.5</w:t>
      </w:r>
      <w:bookmarkEnd w:id="16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B47AE8" w:rsidRPr="00E359BF" w14:paraId="3629DBA9" w14:textId="77777777" w:rsidTr="00B47AE8">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EEE28F5" w14:textId="77777777" w:rsidR="00B47AE8" w:rsidRPr="00E359BF" w:rsidRDefault="00B47AE8">
            <w:pPr>
              <w:pStyle w:val="TableColHeadingCenter"/>
              <w:rPr>
                <w:rFonts w:eastAsia="MS Mincho"/>
              </w:rPr>
            </w:pPr>
            <w:bookmarkStart w:id="165" w:name="Tbl_SE"/>
            <w:r>
              <w:rPr>
                <w:rFonts w:eastAsia="MS Mincho"/>
              </w:rPr>
              <w:t>Grade Band</w:t>
            </w:r>
          </w:p>
        </w:tc>
        <w:tc>
          <w:tcPr>
            <w:tcW w:w="1748" w:type="dxa"/>
            <w:gridSpan w:val="2"/>
          </w:tcPr>
          <w:p w14:paraId="61A60044" w14:textId="77777777" w:rsidR="00B47AE8" w:rsidRPr="00E359BF" w:rsidRDefault="00B47AE8">
            <w:pPr>
              <w:pStyle w:val="TableColHeadingCenter"/>
              <w:rPr>
                <w:rFonts w:eastAsia="MS Mincho"/>
              </w:rPr>
            </w:pPr>
            <w:r w:rsidRPr="00E359BF">
              <w:rPr>
                <w:rFonts w:eastAsia="MS Mincho"/>
              </w:rPr>
              <w:t>Low Range</w:t>
            </w:r>
          </w:p>
        </w:tc>
        <w:tc>
          <w:tcPr>
            <w:tcW w:w="2623" w:type="dxa"/>
            <w:gridSpan w:val="3"/>
          </w:tcPr>
          <w:p w14:paraId="3865128F" w14:textId="77777777" w:rsidR="00B47AE8" w:rsidRPr="00E359BF" w:rsidRDefault="00B47AE8">
            <w:pPr>
              <w:pStyle w:val="TableColHeadingCenter"/>
              <w:rPr>
                <w:rFonts w:eastAsia="MS Mincho"/>
              </w:rPr>
            </w:pPr>
            <w:r w:rsidRPr="00E359BF">
              <w:rPr>
                <w:rFonts w:eastAsia="MS Mincho"/>
              </w:rPr>
              <w:t>Middle Range</w:t>
            </w:r>
          </w:p>
        </w:tc>
        <w:tc>
          <w:tcPr>
            <w:tcW w:w="1749" w:type="dxa"/>
            <w:gridSpan w:val="2"/>
          </w:tcPr>
          <w:p w14:paraId="1885DA55" w14:textId="77777777" w:rsidR="00B47AE8" w:rsidRPr="00E359BF" w:rsidRDefault="00B47AE8">
            <w:pPr>
              <w:pStyle w:val="TableColHeadingCenter"/>
              <w:rPr>
                <w:rFonts w:eastAsia="MS Mincho"/>
              </w:rPr>
            </w:pPr>
            <w:r w:rsidRPr="00E359BF">
              <w:rPr>
                <w:rFonts w:eastAsia="MS Mincho"/>
              </w:rPr>
              <w:t>High Range</w:t>
            </w:r>
          </w:p>
        </w:tc>
        <w:tc>
          <w:tcPr>
            <w:tcW w:w="900" w:type="dxa"/>
          </w:tcPr>
          <w:p w14:paraId="6215B54F" w14:textId="77777777" w:rsidR="00B47AE8" w:rsidRPr="00E359BF" w:rsidRDefault="00B47AE8">
            <w:pPr>
              <w:pStyle w:val="TableColHeadingCenter"/>
              <w:rPr>
                <w:rFonts w:eastAsia="MS Mincho"/>
              </w:rPr>
            </w:pPr>
            <w:r>
              <w:rPr>
                <w:rFonts w:eastAsia="MS Mincho"/>
              </w:rPr>
              <w:t>n</w:t>
            </w:r>
          </w:p>
        </w:tc>
        <w:tc>
          <w:tcPr>
            <w:tcW w:w="892" w:type="dxa"/>
          </w:tcPr>
          <w:p w14:paraId="75D98E02" w14:textId="77777777" w:rsidR="00B47AE8" w:rsidRPr="00E359BF" w:rsidRDefault="00B47AE8">
            <w:pPr>
              <w:pStyle w:val="TableColHeadingCenter"/>
              <w:rPr>
                <w:rFonts w:eastAsia="MS Mincho"/>
              </w:rPr>
            </w:pPr>
            <w:r>
              <w:rPr>
                <w:rFonts w:eastAsia="MS Mincho"/>
              </w:rPr>
              <w:t>Average</w:t>
            </w:r>
          </w:p>
        </w:tc>
      </w:tr>
      <w:tr w:rsidR="00B47AE8" w:rsidRPr="00E359BF" w14:paraId="148C5A9B" w14:textId="77777777" w:rsidTr="00B47AE8">
        <w:trPr>
          <w:jc w:val="center"/>
        </w:trPr>
        <w:tc>
          <w:tcPr>
            <w:tcW w:w="1432" w:type="dxa"/>
            <w:shd w:val="clear" w:color="auto" w:fill="D9E2F3" w:themeFill="accent5" w:themeFillTint="33"/>
          </w:tcPr>
          <w:p w14:paraId="7EDCC2D3" w14:textId="77777777" w:rsidR="00B47AE8" w:rsidRPr="00E359BF" w:rsidRDefault="00B47AE8">
            <w:pPr>
              <w:pStyle w:val="TableSubheadingCentered"/>
            </w:pPr>
          </w:p>
        </w:tc>
        <w:tc>
          <w:tcPr>
            <w:tcW w:w="874" w:type="dxa"/>
            <w:shd w:val="clear" w:color="auto" w:fill="D9E2F3" w:themeFill="accent5" w:themeFillTint="33"/>
          </w:tcPr>
          <w:p w14:paraId="762B1016" w14:textId="77777777" w:rsidR="00B47AE8" w:rsidRPr="00E359BF" w:rsidRDefault="00B47AE8">
            <w:pPr>
              <w:pStyle w:val="TableSubheadingCentered"/>
            </w:pPr>
            <w:r w:rsidRPr="00E359BF">
              <w:t>1</w:t>
            </w:r>
          </w:p>
        </w:tc>
        <w:tc>
          <w:tcPr>
            <w:tcW w:w="874" w:type="dxa"/>
            <w:shd w:val="clear" w:color="auto" w:fill="D9E2F3" w:themeFill="accent5" w:themeFillTint="33"/>
          </w:tcPr>
          <w:p w14:paraId="6D150A82" w14:textId="77777777" w:rsidR="00B47AE8" w:rsidRPr="00E359BF" w:rsidRDefault="00B47AE8">
            <w:pPr>
              <w:pStyle w:val="TableSubheadingCentered"/>
            </w:pPr>
            <w:r w:rsidRPr="00E359BF">
              <w:t>2</w:t>
            </w:r>
          </w:p>
        </w:tc>
        <w:tc>
          <w:tcPr>
            <w:tcW w:w="874" w:type="dxa"/>
            <w:shd w:val="clear" w:color="auto" w:fill="D9E2F3" w:themeFill="accent5" w:themeFillTint="33"/>
          </w:tcPr>
          <w:p w14:paraId="5B411A6E" w14:textId="77777777" w:rsidR="00B47AE8" w:rsidRPr="00E359BF" w:rsidRDefault="00B47AE8">
            <w:pPr>
              <w:pStyle w:val="TableSubheadingCentered"/>
            </w:pPr>
            <w:r w:rsidRPr="00E359BF">
              <w:t>3</w:t>
            </w:r>
          </w:p>
        </w:tc>
        <w:tc>
          <w:tcPr>
            <w:tcW w:w="875" w:type="dxa"/>
            <w:shd w:val="clear" w:color="auto" w:fill="D9E2F3" w:themeFill="accent5" w:themeFillTint="33"/>
          </w:tcPr>
          <w:p w14:paraId="6B9FDBE1" w14:textId="77777777" w:rsidR="00B47AE8" w:rsidRPr="00E359BF" w:rsidRDefault="00B47AE8">
            <w:pPr>
              <w:pStyle w:val="TableSubheadingCentered"/>
            </w:pPr>
            <w:r w:rsidRPr="00E359BF">
              <w:t>4</w:t>
            </w:r>
          </w:p>
        </w:tc>
        <w:tc>
          <w:tcPr>
            <w:tcW w:w="874" w:type="dxa"/>
            <w:shd w:val="clear" w:color="auto" w:fill="D9E2F3" w:themeFill="accent5" w:themeFillTint="33"/>
          </w:tcPr>
          <w:p w14:paraId="6EC3327C" w14:textId="77777777" w:rsidR="00B47AE8" w:rsidRPr="00E359BF" w:rsidRDefault="00B47AE8">
            <w:pPr>
              <w:pStyle w:val="TableSubheadingCentered"/>
            </w:pPr>
            <w:r w:rsidRPr="00E359BF">
              <w:t>5</w:t>
            </w:r>
          </w:p>
        </w:tc>
        <w:tc>
          <w:tcPr>
            <w:tcW w:w="874" w:type="dxa"/>
            <w:shd w:val="clear" w:color="auto" w:fill="D9E2F3" w:themeFill="accent5" w:themeFillTint="33"/>
          </w:tcPr>
          <w:p w14:paraId="5174A0AD" w14:textId="77777777" w:rsidR="00B47AE8" w:rsidRPr="00E359BF" w:rsidRDefault="00B47AE8">
            <w:pPr>
              <w:pStyle w:val="TableSubheadingCentered"/>
            </w:pPr>
            <w:r w:rsidRPr="00E359BF">
              <w:t>6</w:t>
            </w:r>
          </w:p>
        </w:tc>
        <w:tc>
          <w:tcPr>
            <w:tcW w:w="875" w:type="dxa"/>
            <w:shd w:val="clear" w:color="auto" w:fill="D9E2F3" w:themeFill="accent5" w:themeFillTint="33"/>
          </w:tcPr>
          <w:p w14:paraId="024500C4" w14:textId="77777777" w:rsidR="00B47AE8" w:rsidRPr="00E359BF" w:rsidRDefault="00B47AE8">
            <w:pPr>
              <w:pStyle w:val="TableSubheadingCentered"/>
            </w:pPr>
            <w:r w:rsidRPr="00E359BF">
              <w:t>7</w:t>
            </w:r>
          </w:p>
        </w:tc>
        <w:tc>
          <w:tcPr>
            <w:tcW w:w="900" w:type="dxa"/>
            <w:shd w:val="clear" w:color="auto" w:fill="D9E2F3" w:themeFill="accent5" w:themeFillTint="33"/>
          </w:tcPr>
          <w:p w14:paraId="2C3B129B" w14:textId="77777777" w:rsidR="00B47AE8" w:rsidRPr="00E359BF" w:rsidRDefault="00B47AE8">
            <w:pPr>
              <w:pStyle w:val="TableSubheadingCentered"/>
            </w:pPr>
            <w:r>
              <w:t>71</w:t>
            </w:r>
          </w:p>
        </w:tc>
        <w:tc>
          <w:tcPr>
            <w:tcW w:w="892" w:type="dxa"/>
            <w:shd w:val="clear" w:color="auto" w:fill="D9E2F3" w:themeFill="accent5" w:themeFillTint="33"/>
          </w:tcPr>
          <w:p w14:paraId="71458F03" w14:textId="77777777" w:rsidR="00B47AE8" w:rsidRPr="00E359BF" w:rsidRDefault="00B47AE8">
            <w:pPr>
              <w:pStyle w:val="TableSubheadingCentered"/>
            </w:pPr>
            <w:r>
              <w:t>5.5</w:t>
            </w:r>
          </w:p>
        </w:tc>
      </w:tr>
      <w:tr w:rsidR="00B47AE8" w:rsidRPr="00E359BF" w14:paraId="3FDB47B8" w14:textId="77777777" w:rsidTr="00B47AE8">
        <w:trPr>
          <w:jc w:val="center"/>
        </w:trPr>
        <w:tc>
          <w:tcPr>
            <w:tcW w:w="1432" w:type="dxa"/>
          </w:tcPr>
          <w:p w14:paraId="677CB12A" w14:textId="77777777" w:rsidR="00B47AE8" w:rsidRPr="00E359BF" w:rsidRDefault="00B47AE8">
            <w:pPr>
              <w:pStyle w:val="TableText"/>
            </w:pPr>
            <w:r>
              <w:t>Grades 4-5**</w:t>
            </w:r>
          </w:p>
        </w:tc>
        <w:tc>
          <w:tcPr>
            <w:tcW w:w="874" w:type="dxa"/>
          </w:tcPr>
          <w:p w14:paraId="35A595B0" w14:textId="77777777" w:rsidR="00B47AE8" w:rsidRPr="00E359BF" w:rsidRDefault="00B47AE8">
            <w:pPr>
              <w:pStyle w:val="TableTextCentered"/>
              <w:rPr>
                <w:rFonts w:eastAsia="Times New Roman"/>
              </w:rPr>
            </w:pPr>
            <w:r>
              <w:rPr>
                <w:rFonts w:eastAsia="Times New Roman"/>
              </w:rPr>
              <w:t>0</w:t>
            </w:r>
          </w:p>
        </w:tc>
        <w:tc>
          <w:tcPr>
            <w:tcW w:w="874" w:type="dxa"/>
          </w:tcPr>
          <w:p w14:paraId="2C6C5D53" w14:textId="77777777" w:rsidR="00B47AE8" w:rsidRPr="00E359BF" w:rsidRDefault="00B47AE8">
            <w:pPr>
              <w:pStyle w:val="TableTextCentered"/>
              <w:rPr>
                <w:rFonts w:eastAsia="Times New Roman"/>
              </w:rPr>
            </w:pPr>
            <w:r>
              <w:rPr>
                <w:rFonts w:eastAsia="Times New Roman"/>
              </w:rPr>
              <w:t>0</w:t>
            </w:r>
          </w:p>
        </w:tc>
        <w:tc>
          <w:tcPr>
            <w:tcW w:w="874" w:type="dxa"/>
          </w:tcPr>
          <w:p w14:paraId="54451191" w14:textId="77777777" w:rsidR="00B47AE8" w:rsidRPr="00E359BF" w:rsidRDefault="00B47AE8">
            <w:pPr>
              <w:pStyle w:val="TableTextCentered"/>
              <w:rPr>
                <w:rFonts w:eastAsia="Times New Roman"/>
              </w:rPr>
            </w:pPr>
            <w:r>
              <w:rPr>
                <w:rFonts w:eastAsia="Times New Roman"/>
              </w:rPr>
              <w:t>0</w:t>
            </w:r>
          </w:p>
        </w:tc>
        <w:tc>
          <w:tcPr>
            <w:tcW w:w="875" w:type="dxa"/>
          </w:tcPr>
          <w:p w14:paraId="78BFCE66" w14:textId="77777777" w:rsidR="00B47AE8" w:rsidRPr="00E359BF" w:rsidRDefault="00B47AE8">
            <w:pPr>
              <w:pStyle w:val="TableTextCentered"/>
              <w:rPr>
                <w:rFonts w:eastAsia="Times New Roman"/>
              </w:rPr>
            </w:pPr>
            <w:r>
              <w:rPr>
                <w:rFonts w:eastAsia="Times New Roman"/>
              </w:rPr>
              <w:t>0</w:t>
            </w:r>
          </w:p>
        </w:tc>
        <w:tc>
          <w:tcPr>
            <w:tcW w:w="874" w:type="dxa"/>
          </w:tcPr>
          <w:p w14:paraId="715E2061" w14:textId="77777777" w:rsidR="00B47AE8" w:rsidRPr="00E359BF" w:rsidRDefault="00B47AE8">
            <w:pPr>
              <w:pStyle w:val="TableTextCentered"/>
              <w:rPr>
                <w:rFonts w:eastAsia="Times New Roman"/>
              </w:rPr>
            </w:pPr>
            <w:r>
              <w:rPr>
                <w:rFonts w:eastAsia="Times New Roman"/>
              </w:rPr>
              <w:t>9</w:t>
            </w:r>
          </w:p>
        </w:tc>
        <w:tc>
          <w:tcPr>
            <w:tcW w:w="874" w:type="dxa"/>
          </w:tcPr>
          <w:p w14:paraId="430D16DC" w14:textId="77777777" w:rsidR="00B47AE8" w:rsidRPr="00E359BF" w:rsidRDefault="00B47AE8">
            <w:pPr>
              <w:pStyle w:val="TableTextCentered"/>
              <w:rPr>
                <w:rFonts w:eastAsia="Times New Roman"/>
              </w:rPr>
            </w:pPr>
            <w:r>
              <w:rPr>
                <w:rFonts w:eastAsia="Times New Roman"/>
              </w:rPr>
              <w:t>4</w:t>
            </w:r>
          </w:p>
        </w:tc>
        <w:tc>
          <w:tcPr>
            <w:tcW w:w="875" w:type="dxa"/>
          </w:tcPr>
          <w:p w14:paraId="6832C5DE" w14:textId="77777777" w:rsidR="00B47AE8" w:rsidRPr="00E359BF" w:rsidRDefault="00B47AE8">
            <w:pPr>
              <w:pStyle w:val="TableTextCentered"/>
              <w:rPr>
                <w:rFonts w:eastAsia="Times New Roman"/>
              </w:rPr>
            </w:pPr>
            <w:r>
              <w:rPr>
                <w:rFonts w:eastAsia="Times New Roman"/>
              </w:rPr>
              <w:t>3</w:t>
            </w:r>
          </w:p>
        </w:tc>
        <w:tc>
          <w:tcPr>
            <w:tcW w:w="900" w:type="dxa"/>
          </w:tcPr>
          <w:p w14:paraId="7EDDCE94" w14:textId="77777777" w:rsidR="00B47AE8" w:rsidRPr="00E359BF" w:rsidRDefault="00B47AE8">
            <w:pPr>
              <w:pStyle w:val="TableTextCentered"/>
              <w:rPr>
                <w:rFonts w:eastAsia="Times New Roman"/>
              </w:rPr>
            </w:pPr>
            <w:r>
              <w:rPr>
                <w:rFonts w:eastAsia="Times New Roman"/>
              </w:rPr>
              <w:t>16</w:t>
            </w:r>
          </w:p>
        </w:tc>
        <w:tc>
          <w:tcPr>
            <w:tcW w:w="892" w:type="dxa"/>
          </w:tcPr>
          <w:p w14:paraId="1E4B0A6A" w14:textId="77777777" w:rsidR="00B47AE8" w:rsidRPr="00E359BF" w:rsidRDefault="00B47AE8">
            <w:pPr>
              <w:pStyle w:val="TableTextCentered"/>
              <w:rPr>
                <w:rFonts w:eastAsia="Times New Roman"/>
              </w:rPr>
            </w:pPr>
            <w:r>
              <w:rPr>
                <w:rFonts w:eastAsia="Times New Roman"/>
              </w:rPr>
              <w:t>5.6</w:t>
            </w:r>
          </w:p>
        </w:tc>
      </w:tr>
      <w:tr w:rsidR="00B47AE8" w:rsidRPr="00E359BF" w14:paraId="51C81D1C" w14:textId="77777777" w:rsidTr="00B47AE8">
        <w:trPr>
          <w:jc w:val="center"/>
        </w:trPr>
        <w:tc>
          <w:tcPr>
            <w:tcW w:w="1432" w:type="dxa"/>
          </w:tcPr>
          <w:p w14:paraId="5A5B350F" w14:textId="77777777" w:rsidR="00B47AE8" w:rsidRPr="00E359BF" w:rsidRDefault="00B47AE8">
            <w:pPr>
              <w:pStyle w:val="TableText"/>
            </w:pPr>
            <w:r>
              <w:t>Grades 6-8</w:t>
            </w:r>
          </w:p>
        </w:tc>
        <w:tc>
          <w:tcPr>
            <w:tcW w:w="874" w:type="dxa"/>
          </w:tcPr>
          <w:p w14:paraId="780F6AC5" w14:textId="77777777" w:rsidR="00B47AE8" w:rsidRPr="00E359BF" w:rsidRDefault="00B47AE8">
            <w:pPr>
              <w:pStyle w:val="TableTextCentered"/>
              <w:rPr>
                <w:rFonts w:eastAsia="Times New Roman"/>
              </w:rPr>
            </w:pPr>
            <w:r>
              <w:rPr>
                <w:rFonts w:eastAsia="Times New Roman"/>
              </w:rPr>
              <w:t>0</w:t>
            </w:r>
          </w:p>
        </w:tc>
        <w:tc>
          <w:tcPr>
            <w:tcW w:w="874" w:type="dxa"/>
          </w:tcPr>
          <w:p w14:paraId="027FFE1B" w14:textId="77777777" w:rsidR="00B47AE8" w:rsidRPr="00E359BF" w:rsidRDefault="00B47AE8">
            <w:pPr>
              <w:pStyle w:val="TableTextCentered"/>
              <w:rPr>
                <w:rFonts w:eastAsia="Times New Roman"/>
              </w:rPr>
            </w:pPr>
            <w:r>
              <w:rPr>
                <w:rFonts w:eastAsia="Times New Roman"/>
              </w:rPr>
              <w:t>0</w:t>
            </w:r>
          </w:p>
        </w:tc>
        <w:tc>
          <w:tcPr>
            <w:tcW w:w="874" w:type="dxa"/>
          </w:tcPr>
          <w:p w14:paraId="03441313" w14:textId="77777777" w:rsidR="00B47AE8" w:rsidRPr="00E359BF" w:rsidRDefault="00B47AE8">
            <w:pPr>
              <w:pStyle w:val="TableTextCentered"/>
              <w:rPr>
                <w:rFonts w:eastAsia="Times New Roman"/>
              </w:rPr>
            </w:pPr>
            <w:r>
              <w:rPr>
                <w:rFonts w:eastAsia="Times New Roman"/>
              </w:rPr>
              <w:t>0</w:t>
            </w:r>
          </w:p>
        </w:tc>
        <w:tc>
          <w:tcPr>
            <w:tcW w:w="875" w:type="dxa"/>
          </w:tcPr>
          <w:p w14:paraId="659C7B65" w14:textId="77777777" w:rsidR="00B47AE8" w:rsidRPr="00E359BF" w:rsidRDefault="00B47AE8">
            <w:pPr>
              <w:pStyle w:val="TableTextCentered"/>
              <w:rPr>
                <w:rFonts w:eastAsia="Times New Roman"/>
              </w:rPr>
            </w:pPr>
            <w:r>
              <w:rPr>
                <w:rFonts w:eastAsia="Times New Roman"/>
              </w:rPr>
              <w:t>1</w:t>
            </w:r>
          </w:p>
        </w:tc>
        <w:tc>
          <w:tcPr>
            <w:tcW w:w="874" w:type="dxa"/>
          </w:tcPr>
          <w:p w14:paraId="3F36CB12" w14:textId="77777777" w:rsidR="00B47AE8" w:rsidRPr="00E359BF" w:rsidRDefault="00B47AE8">
            <w:pPr>
              <w:pStyle w:val="TableTextCentered"/>
              <w:rPr>
                <w:rFonts w:eastAsia="Times New Roman"/>
              </w:rPr>
            </w:pPr>
            <w:r>
              <w:rPr>
                <w:rFonts w:eastAsia="Times New Roman"/>
              </w:rPr>
              <w:t>8</w:t>
            </w:r>
          </w:p>
        </w:tc>
        <w:tc>
          <w:tcPr>
            <w:tcW w:w="874" w:type="dxa"/>
          </w:tcPr>
          <w:p w14:paraId="34194DA1" w14:textId="77777777" w:rsidR="00B47AE8" w:rsidRPr="00E359BF" w:rsidRDefault="00B47AE8">
            <w:pPr>
              <w:pStyle w:val="TableTextCentered"/>
              <w:rPr>
                <w:rFonts w:eastAsia="Times New Roman"/>
              </w:rPr>
            </w:pPr>
            <w:r>
              <w:rPr>
                <w:rFonts w:eastAsia="Times New Roman"/>
              </w:rPr>
              <w:t>10</w:t>
            </w:r>
          </w:p>
        </w:tc>
        <w:tc>
          <w:tcPr>
            <w:tcW w:w="875" w:type="dxa"/>
          </w:tcPr>
          <w:p w14:paraId="49C3D608" w14:textId="77777777" w:rsidR="00B47AE8" w:rsidRPr="00E359BF" w:rsidRDefault="00B47AE8">
            <w:pPr>
              <w:pStyle w:val="TableTextCentered"/>
              <w:rPr>
                <w:rFonts w:eastAsia="Times New Roman"/>
              </w:rPr>
            </w:pPr>
            <w:r>
              <w:rPr>
                <w:rFonts w:eastAsia="Times New Roman"/>
              </w:rPr>
              <w:t>4</w:t>
            </w:r>
          </w:p>
        </w:tc>
        <w:tc>
          <w:tcPr>
            <w:tcW w:w="900" w:type="dxa"/>
          </w:tcPr>
          <w:p w14:paraId="78F6C1C0" w14:textId="77777777" w:rsidR="00B47AE8" w:rsidRPr="00E359BF" w:rsidRDefault="00B47AE8">
            <w:pPr>
              <w:pStyle w:val="TableTextCentered"/>
              <w:rPr>
                <w:rFonts w:eastAsia="Times New Roman"/>
              </w:rPr>
            </w:pPr>
            <w:r>
              <w:rPr>
                <w:rFonts w:eastAsia="Times New Roman"/>
              </w:rPr>
              <w:t>23</w:t>
            </w:r>
          </w:p>
        </w:tc>
        <w:tc>
          <w:tcPr>
            <w:tcW w:w="892" w:type="dxa"/>
          </w:tcPr>
          <w:p w14:paraId="2D73E294" w14:textId="77777777" w:rsidR="00B47AE8" w:rsidRPr="00E359BF" w:rsidRDefault="00B47AE8">
            <w:pPr>
              <w:pStyle w:val="TableTextCentered"/>
              <w:rPr>
                <w:rFonts w:eastAsia="Times New Roman"/>
              </w:rPr>
            </w:pPr>
            <w:r>
              <w:rPr>
                <w:rFonts w:eastAsia="Times New Roman"/>
              </w:rPr>
              <w:t>5.7</w:t>
            </w:r>
          </w:p>
        </w:tc>
      </w:tr>
      <w:tr w:rsidR="00B47AE8" w:rsidRPr="00E359BF" w14:paraId="00BC10BF" w14:textId="77777777" w:rsidTr="00B47AE8">
        <w:trPr>
          <w:jc w:val="center"/>
        </w:trPr>
        <w:tc>
          <w:tcPr>
            <w:tcW w:w="1432" w:type="dxa"/>
          </w:tcPr>
          <w:p w14:paraId="051190BE" w14:textId="77777777" w:rsidR="00B47AE8" w:rsidRPr="00E359BF" w:rsidRDefault="00B47AE8">
            <w:pPr>
              <w:pStyle w:val="TableText"/>
            </w:pPr>
            <w:r>
              <w:t>Grades 9-12</w:t>
            </w:r>
          </w:p>
        </w:tc>
        <w:tc>
          <w:tcPr>
            <w:tcW w:w="874" w:type="dxa"/>
          </w:tcPr>
          <w:p w14:paraId="0DEA8D23" w14:textId="77777777" w:rsidR="00B47AE8" w:rsidRPr="00E359BF" w:rsidRDefault="00B47AE8">
            <w:pPr>
              <w:pStyle w:val="TableTextCentered"/>
              <w:rPr>
                <w:rFonts w:eastAsia="Times New Roman"/>
              </w:rPr>
            </w:pPr>
            <w:r>
              <w:rPr>
                <w:rFonts w:eastAsia="Times New Roman"/>
              </w:rPr>
              <w:t>0</w:t>
            </w:r>
          </w:p>
        </w:tc>
        <w:tc>
          <w:tcPr>
            <w:tcW w:w="874" w:type="dxa"/>
          </w:tcPr>
          <w:p w14:paraId="7A352F75" w14:textId="77777777" w:rsidR="00B47AE8" w:rsidRPr="00E359BF" w:rsidRDefault="00B47AE8">
            <w:pPr>
              <w:pStyle w:val="TableTextCentered"/>
              <w:rPr>
                <w:rFonts w:eastAsia="Times New Roman"/>
              </w:rPr>
            </w:pPr>
            <w:r>
              <w:rPr>
                <w:rFonts w:eastAsia="Times New Roman"/>
              </w:rPr>
              <w:t>0</w:t>
            </w:r>
          </w:p>
        </w:tc>
        <w:tc>
          <w:tcPr>
            <w:tcW w:w="874" w:type="dxa"/>
          </w:tcPr>
          <w:p w14:paraId="656AA119" w14:textId="77777777" w:rsidR="00B47AE8" w:rsidRPr="00E359BF" w:rsidRDefault="00B47AE8">
            <w:pPr>
              <w:pStyle w:val="TableTextCentered"/>
              <w:rPr>
                <w:rFonts w:eastAsia="Times New Roman"/>
              </w:rPr>
            </w:pPr>
            <w:r>
              <w:rPr>
                <w:rFonts w:eastAsia="Times New Roman"/>
              </w:rPr>
              <w:t>1</w:t>
            </w:r>
          </w:p>
        </w:tc>
        <w:tc>
          <w:tcPr>
            <w:tcW w:w="875" w:type="dxa"/>
          </w:tcPr>
          <w:p w14:paraId="46B33730" w14:textId="77777777" w:rsidR="00B47AE8" w:rsidRPr="00E359BF" w:rsidRDefault="00B47AE8">
            <w:pPr>
              <w:pStyle w:val="TableTextCentered"/>
              <w:rPr>
                <w:rFonts w:eastAsia="Times New Roman"/>
              </w:rPr>
            </w:pPr>
            <w:r>
              <w:rPr>
                <w:rFonts w:eastAsia="Times New Roman"/>
              </w:rPr>
              <w:t>8</w:t>
            </w:r>
          </w:p>
        </w:tc>
        <w:tc>
          <w:tcPr>
            <w:tcW w:w="874" w:type="dxa"/>
          </w:tcPr>
          <w:p w14:paraId="645916FC" w14:textId="77777777" w:rsidR="00B47AE8" w:rsidRPr="00E359BF" w:rsidRDefault="00B47AE8">
            <w:pPr>
              <w:pStyle w:val="TableTextCentered"/>
              <w:rPr>
                <w:rFonts w:eastAsia="Times New Roman"/>
              </w:rPr>
            </w:pPr>
            <w:r>
              <w:rPr>
                <w:rFonts w:eastAsia="Times New Roman"/>
              </w:rPr>
              <w:t>9</w:t>
            </w:r>
          </w:p>
        </w:tc>
        <w:tc>
          <w:tcPr>
            <w:tcW w:w="874" w:type="dxa"/>
          </w:tcPr>
          <w:p w14:paraId="48D3A6A0" w14:textId="77777777" w:rsidR="00B47AE8" w:rsidRPr="00E359BF" w:rsidRDefault="00B47AE8">
            <w:pPr>
              <w:pStyle w:val="TableTextCentered"/>
              <w:rPr>
                <w:rFonts w:eastAsia="Times New Roman"/>
              </w:rPr>
            </w:pPr>
            <w:r>
              <w:rPr>
                <w:rFonts w:eastAsia="Times New Roman"/>
              </w:rPr>
              <w:t>11</w:t>
            </w:r>
          </w:p>
        </w:tc>
        <w:tc>
          <w:tcPr>
            <w:tcW w:w="875" w:type="dxa"/>
          </w:tcPr>
          <w:p w14:paraId="7AAC233C" w14:textId="77777777" w:rsidR="00B47AE8" w:rsidRPr="00E359BF" w:rsidRDefault="00B47AE8">
            <w:pPr>
              <w:pStyle w:val="TableTextCentered"/>
              <w:rPr>
                <w:rFonts w:eastAsia="Times New Roman"/>
              </w:rPr>
            </w:pPr>
            <w:r>
              <w:rPr>
                <w:rFonts w:eastAsia="Times New Roman"/>
              </w:rPr>
              <w:t>3</w:t>
            </w:r>
          </w:p>
        </w:tc>
        <w:tc>
          <w:tcPr>
            <w:tcW w:w="900" w:type="dxa"/>
          </w:tcPr>
          <w:p w14:paraId="38D0B034" w14:textId="77777777" w:rsidR="00B47AE8" w:rsidRPr="00E359BF" w:rsidRDefault="00B47AE8">
            <w:pPr>
              <w:pStyle w:val="TableTextCentered"/>
              <w:rPr>
                <w:rFonts w:eastAsia="Times New Roman"/>
              </w:rPr>
            </w:pPr>
            <w:r>
              <w:rPr>
                <w:rFonts w:eastAsia="Times New Roman"/>
              </w:rPr>
              <w:t>32</w:t>
            </w:r>
          </w:p>
        </w:tc>
        <w:tc>
          <w:tcPr>
            <w:tcW w:w="892" w:type="dxa"/>
          </w:tcPr>
          <w:p w14:paraId="39049B06" w14:textId="77777777" w:rsidR="00B47AE8" w:rsidRPr="00E359BF" w:rsidRDefault="00B47AE8">
            <w:pPr>
              <w:pStyle w:val="TableTextCentered"/>
              <w:rPr>
                <w:rFonts w:eastAsia="Times New Roman"/>
              </w:rPr>
            </w:pPr>
            <w:r>
              <w:rPr>
                <w:rFonts w:eastAsia="Times New Roman"/>
              </w:rPr>
              <w:t>5.2</w:t>
            </w:r>
          </w:p>
        </w:tc>
      </w:tr>
    </w:tbl>
    <w:bookmarkEnd w:id="165"/>
    <w:p w14:paraId="49DB2183" w14:textId="77777777" w:rsidR="00B47AE8" w:rsidRDefault="00B47AE8">
      <w:pPr>
        <w:pStyle w:val="TableNote"/>
      </w:pPr>
      <w:r w:rsidRPr="002A58D3">
        <w:t xml:space="preserve">*The district average is an average of the observation scores. In Table 16, the district average is computed as: </w:t>
      </w:r>
      <w:r w:rsidRPr="002A58D3">
        <w:br/>
      </w:r>
      <w:bookmarkStart w:id="166" w:name="Dist_SE_Calc"/>
      <w:r>
        <w:t>([3 x 1] + [4 x 9] + [5 x 26] + [6 x 25] + [7 x 10]) ÷ 71 observations = 5.5</w:t>
      </w:r>
      <w:bookmarkEnd w:id="166"/>
    </w:p>
    <w:p w14:paraId="76A18C48" w14:textId="77777777" w:rsidR="00B47AE8" w:rsidRPr="00BC09E0" w:rsidRDefault="00B47AE8">
      <w:pPr>
        <w:pStyle w:val="TableNote"/>
      </w:pPr>
      <w:r>
        <w:t>**Student Engagement does not appear in the CLASS K-3 Manual, therefore scores for the Elementary School Level represent grades 4-5 only.</w:t>
      </w:r>
    </w:p>
    <w:p w14:paraId="2E8FAED4" w14:textId="77777777" w:rsidR="00B47AE8" w:rsidRPr="00BC09E0" w:rsidRDefault="00B47AE8">
      <w:pPr>
        <w:pStyle w:val="BodyText"/>
      </w:pPr>
      <w:r w:rsidRPr="00D05302">
        <w:rPr>
          <w:rStyle w:val="BodyTextDemiChar"/>
        </w:rPr>
        <w:t>Ratings in the Low Range.</w:t>
      </w:r>
      <w:r w:rsidRPr="00BC09E0">
        <w:t xml:space="preserve"> In the low range, the majority of students appear distracted or disengaged.</w:t>
      </w:r>
    </w:p>
    <w:p w14:paraId="5932BA7B" w14:textId="77777777" w:rsidR="00B47AE8" w:rsidRPr="00BC09E0" w:rsidRDefault="00B47AE8">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the majo</w:t>
      </w:r>
      <w:r w:rsidRPr="00D05302">
        <w:t>r</w:t>
      </w:r>
      <w:r w:rsidRPr="00BC09E0">
        <w:t>ity of students actively engaged for part of the time and disengaged for the rest of the time; or there is a mix of student engagement, with some students actively engaged and some students disengaged.</w:t>
      </w:r>
    </w:p>
    <w:p w14:paraId="0A28D4C2" w14:textId="77777777" w:rsidR="00B47AE8" w:rsidRPr="00E359BF" w:rsidRDefault="00B47AE8">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5B76C24F" w14:textId="77777777" w:rsidR="00B47AE8" w:rsidRPr="00E359BF" w:rsidRDefault="00B47AE8">
      <w:pPr>
        <w:pStyle w:val="Heading2-SIOR"/>
      </w:pPr>
      <w:bookmarkStart w:id="167" w:name="_Toc430114889"/>
      <w:bookmarkStart w:id="168" w:name="_Toc496109991"/>
      <w:bookmarkStart w:id="169" w:name="_Toc92194268"/>
      <w:r w:rsidRPr="00E359BF">
        <w:lastRenderedPageBreak/>
        <w:t>Summary of Average Ratings</w:t>
      </w:r>
      <w:bookmarkEnd w:id="167"/>
      <w:bookmarkEnd w:id="168"/>
      <w:r>
        <w:t xml:space="preserve">: </w:t>
      </w:r>
      <w:bookmarkEnd w:id="169"/>
      <w:r>
        <w:t>Grades K</w:t>
      </w:r>
      <w:r w:rsidRPr="00E359BF">
        <w:t>–</w:t>
      </w:r>
      <w:r>
        <w:t>5</w:t>
      </w:r>
    </w:p>
    <w:p w14:paraId="76093480" w14:textId="77777777" w:rsidR="00B47AE8" w:rsidRPr="00E359BF" w:rsidRDefault="00B47AE8">
      <w:pPr>
        <w:pStyle w:val="TableTitle0"/>
      </w:pPr>
      <w:r w:rsidRPr="00E359BF">
        <w:t xml:space="preserve">Table </w:t>
      </w:r>
      <w:r>
        <w:t>17</w:t>
      </w:r>
      <w:r w:rsidRPr="00E359BF">
        <w:t>. Summa</w:t>
      </w:r>
      <w:r>
        <w:t xml:space="preserve">ry Table of Average Ratings for </w:t>
      </w:r>
      <w:r w:rsidRPr="00E359BF">
        <w:t xml:space="preserve">Each Dimension in Grades </w:t>
      </w:r>
      <w:r>
        <w:t>K</w:t>
      </w:r>
      <w:r w:rsidRPr="00E359BF">
        <w:t>–</w:t>
      </w:r>
      <w:r>
        <w:t>5</w:t>
      </w:r>
    </w:p>
    <w:tbl>
      <w:tblPr>
        <w:tblStyle w:val="MSVTable1"/>
        <w:tblW w:w="5000" w:type="pct"/>
        <w:tblLayout w:type="fixed"/>
        <w:tblLook w:val="06A0" w:firstRow="1" w:lastRow="0" w:firstColumn="1" w:lastColumn="0" w:noHBand="1" w:noVBand="1"/>
      </w:tblPr>
      <w:tblGrid>
        <w:gridCol w:w="3297"/>
        <w:gridCol w:w="654"/>
        <w:gridCol w:w="631"/>
        <w:gridCol w:w="677"/>
        <w:gridCol w:w="655"/>
        <w:gridCol w:w="653"/>
        <w:gridCol w:w="655"/>
        <w:gridCol w:w="655"/>
        <w:gridCol w:w="515"/>
        <w:gridCol w:w="952"/>
      </w:tblGrid>
      <w:tr w:rsidR="00B47AE8" w:rsidRPr="00E359BF" w14:paraId="2294D8BD" w14:textId="77777777" w:rsidTr="007A0CFB">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5A30109A" w14:textId="77777777" w:rsidR="00B47AE8" w:rsidRPr="00E359BF" w:rsidRDefault="00B47AE8">
            <w:pPr>
              <w:pStyle w:val="TableColHeadingCenter"/>
              <w:rPr>
                <w:rFonts w:eastAsia="MS Mincho"/>
              </w:rPr>
            </w:pPr>
            <w:bookmarkStart w:id="170" w:name="SummaryTbl_Elem"/>
          </w:p>
        </w:tc>
        <w:tc>
          <w:tcPr>
            <w:tcW w:w="1285" w:type="dxa"/>
            <w:gridSpan w:val="2"/>
            <w:vAlign w:val="center"/>
          </w:tcPr>
          <w:p w14:paraId="00F9D8C3" w14:textId="77777777" w:rsidR="00B47AE8" w:rsidRPr="00E359BF" w:rsidRDefault="00B47AE8">
            <w:pPr>
              <w:pStyle w:val="TableColHeadingCenter"/>
              <w:rPr>
                <w:rFonts w:eastAsia="MS Mincho"/>
              </w:rPr>
            </w:pPr>
            <w:r w:rsidRPr="00E359BF">
              <w:rPr>
                <w:rFonts w:eastAsia="MS Mincho"/>
              </w:rPr>
              <w:t>Low Range</w:t>
            </w:r>
          </w:p>
        </w:tc>
        <w:tc>
          <w:tcPr>
            <w:tcW w:w="1985" w:type="dxa"/>
            <w:gridSpan w:val="3"/>
            <w:vAlign w:val="center"/>
          </w:tcPr>
          <w:p w14:paraId="0BFD6B23" w14:textId="77777777" w:rsidR="00B47AE8" w:rsidRPr="00E359BF" w:rsidRDefault="00B47AE8">
            <w:pPr>
              <w:pStyle w:val="TableColHeadingCenter"/>
              <w:rPr>
                <w:rFonts w:eastAsia="MS Mincho"/>
              </w:rPr>
            </w:pPr>
            <w:r w:rsidRPr="00E359BF">
              <w:rPr>
                <w:rFonts w:eastAsia="MS Mincho"/>
              </w:rPr>
              <w:t>Middle Range</w:t>
            </w:r>
          </w:p>
        </w:tc>
        <w:tc>
          <w:tcPr>
            <w:tcW w:w="1310" w:type="dxa"/>
            <w:gridSpan w:val="2"/>
            <w:vAlign w:val="center"/>
          </w:tcPr>
          <w:p w14:paraId="1403DD55" w14:textId="77777777" w:rsidR="00B47AE8" w:rsidRPr="00E359BF" w:rsidRDefault="00B47AE8">
            <w:pPr>
              <w:pStyle w:val="TableColHeadingCenter"/>
              <w:rPr>
                <w:rFonts w:eastAsia="MS Mincho"/>
              </w:rPr>
            </w:pPr>
            <w:r w:rsidRPr="00E359BF">
              <w:rPr>
                <w:rFonts w:eastAsia="MS Mincho"/>
              </w:rPr>
              <w:t>High Range</w:t>
            </w:r>
          </w:p>
        </w:tc>
        <w:tc>
          <w:tcPr>
            <w:tcW w:w="515" w:type="dxa"/>
            <w:vMerge w:val="restart"/>
            <w:vAlign w:val="center"/>
          </w:tcPr>
          <w:p w14:paraId="734ECD05" w14:textId="77777777" w:rsidR="00B47AE8" w:rsidRPr="00E359BF" w:rsidRDefault="00B47AE8">
            <w:pPr>
              <w:pStyle w:val="TableColHeadingCenter"/>
              <w:rPr>
                <w:rFonts w:eastAsia="MS Mincho"/>
              </w:rPr>
            </w:pPr>
            <w:r>
              <w:rPr>
                <w:rFonts w:eastAsia="MS Mincho"/>
              </w:rPr>
              <w:t>n</w:t>
            </w:r>
          </w:p>
        </w:tc>
        <w:tc>
          <w:tcPr>
            <w:tcW w:w="952" w:type="dxa"/>
            <w:vMerge w:val="restart"/>
            <w:vAlign w:val="center"/>
          </w:tcPr>
          <w:p w14:paraId="311C37C9" w14:textId="77777777" w:rsidR="00B47AE8" w:rsidRPr="00E359BF" w:rsidRDefault="00B47AE8">
            <w:pPr>
              <w:pStyle w:val="TableColHeadingCenter"/>
              <w:rPr>
                <w:rFonts w:eastAsia="MS Mincho"/>
              </w:rPr>
            </w:pPr>
            <w:r w:rsidRPr="00E359BF">
              <w:rPr>
                <w:rFonts w:eastAsia="MS Mincho"/>
              </w:rPr>
              <w:t>Average Scores*</w:t>
            </w:r>
          </w:p>
        </w:tc>
      </w:tr>
      <w:tr w:rsidR="00B47AE8" w:rsidRPr="00E359BF" w14:paraId="2A2700AB" w14:textId="77777777" w:rsidTr="007A0CFB">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434B7F69" w14:textId="77777777" w:rsidR="00B47AE8" w:rsidRPr="00E359BF" w:rsidRDefault="00B47AE8">
            <w:pPr>
              <w:pStyle w:val="TableColHeadingCenter"/>
              <w:rPr>
                <w:rFonts w:eastAsia="MS Mincho"/>
              </w:rPr>
            </w:pPr>
          </w:p>
        </w:tc>
        <w:tc>
          <w:tcPr>
            <w:tcW w:w="654" w:type="dxa"/>
            <w:vAlign w:val="center"/>
          </w:tcPr>
          <w:p w14:paraId="4263B430" w14:textId="77777777" w:rsidR="00B47AE8" w:rsidRPr="00E359BF" w:rsidRDefault="00B47AE8">
            <w:pPr>
              <w:pStyle w:val="TableColHeadingCenter"/>
              <w:rPr>
                <w:rFonts w:eastAsia="MS Mincho"/>
              </w:rPr>
            </w:pPr>
            <w:r w:rsidRPr="00E359BF">
              <w:rPr>
                <w:rFonts w:eastAsia="MS Mincho"/>
              </w:rPr>
              <w:t>1</w:t>
            </w:r>
          </w:p>
        </w:tc>
        <w:tc>
          <w:tcPr>
            <w:tcW w:w="631" w:type="dxa"/>
            <w:vAlign w:val="center"/>
          </w:tcPr>
          <w:p w14:paraId="06047580" w14:textId="77777777" w:rsidR="00B47AE8" w:rsidRPr="00E359BF" w:rsidRDefault="00B47AE8">
            <w:pPr>
              <w:pStyle w:val="TableColHeadingCenter"/>
              <w:rPr>
                <w:rFonts w:eastAsia="MS Mincho"/>
              </w:rPr>
            </w:pPr>
            <w:r w:rsidRPr="00E359BF">
              <w:rPr>
                <w:rFonts w:eastAsia="MS Mincho"/>
              </w:rPr>
              <w:t>2</w:t>
            </w:r>
          </w:p>
        </w:tc>
        <w:tc>
          <w:tcPr>
            <w:tcW w:w="677" w:type="dxa"/>
            <w:vAlign w:val="center"/>
          </w:tcPr>
          <w:p w14:paraId="741C5DBA" w14:textId="77777777" w:rsidR="00B47AE8" w:rsidRPr="00E359BF" w:rsidRDefault="00B47AE8">
            <w:pPr>
              <w:pStyle w:val="TableColHeadingCenter"/>
              <w:rPr>
                <w:rFonts w:eastAsia="MS Mincho"/>
              </w:rPr>
            </w:pPr>
            <w:r w:rsidRPr="00E359BF">
              <w:rPr>
                <w:rFonts w:eastAsia="MS Mincho"/>
              </w:rPr>
              <w:t>3</w:t>
            </w:r>
          </w:p>
        </w:tc>
        <w:tc>
          <w:tcPr>
            <w:tcW w:w="655" w:type="dxa"/>
            <w:vAlign w:val="center"/>
          </w:tcPr>
          <w:p w14:paraId="7F44AB8B" w14:textId="77777777" w:rsidR="00B47AE8" w:rsidRPr="00E359BF" w:rsidRDefault="00B47AE8">
            <w:pPr>
              <w:pStyle w:val="TableColHeadingCenter"/>
              <w:rPr>
                <w:rFonts w:eastAsia="MS Mincho"/>
              </w:rPr>
            </w:pPr>
            <w:r w:rsidRPr="00E359BF">
              <w:rPr>
                <w:rFonts w:eastAsia="MS Mincho"/>
              </w:rPr>
              <w:t>4</w:t>
            </w:r>
          </w:p>
        </w:tc>
        <w:tc>
          <w:tcPr>
            <w:tcW w:w="653" w:type="dxa"/>
            <w:vAlign w:val="center"/>
          </w:tcPr>
          <w:p w14:paraId="0875E0D2" w14:textId="77777777" w:rsidR="00B47AE8" w:rsidRPr="00E359BF" w:rsidRDefault="00B47AE8">
            <w:pPr>
              <w:pStyle w:val="TableColHeadingCenter"/>
              <w:rPr>
                <w:rFonts w:eastAsia="MS Mincho"/>
              </w:rPr>
            </w:pPr>
            <w:r w:rsidRPr="00E359BF">
              <w:rPr>
                <w:rFonts w:eastAsia="MS Mincho"/>
              </w:rPr>
              <w:t>5</w:t>
            </w:r>
          </w:p>
        </w:tc>
        <w:tc>
          <w:tcPr>
            <w:tcW w:w="655" w:type="dxa"/>
            <w:vAlign w:val="center"/>
          </w:tcPr>
          <w:p w14:paraId="2D3E8C5E" w14:textId="77777777" w:rsidR="00B47AE8" w:rsidRPr="00E359BF" w:rsidRDefault="00B47AE8">
            <w:pPr>
              <w:pStyle w:val="TableColHeadingCenter"/>
              <w:rPr>
                <w:rFonts w:eastAsia="MS Mincho"/>
              </w:rPr>
            </w:pPr>
            <w:r w:rsidRPr="00E359BF">
              <w:rPr>
                <w:rFonts w:eastAsia="MS Mincho"/>
              </w:rPr>
              <w:t>6</w:t>
            </w:r>
          </w:p>
        </w:tc>
        <w:tc>
          <w:tcPr>
            <w:tcW w:w="655" w:type="dxa"/>
            <w:vAlign w:val="center"/>
          </w:tcPr>
          <w:p w14:paraId="539BAED7" w14:textId="77777777" w:rsidR="00B47AE8" w:rsidRPr="00E359BF" w:rsidRDefault="00B47AE8">
            <w:pPr>
              <w:pStyle w:val="TableColHeadingCenter"/>
              <w:rPr>
                <w:rFonts w:eastAsia="MS Mincho"/>
              </w:rPr>
            </w:pPr>
            <w:r w:rsidRPr="00E359BF">
              <w:rPr>
                <w:rFonts w:eastAsia="MS Mincho"/>
              </w:rPr>
              <w:t>7</w:t>
            </w:r>
          </w:p>
        </w:tc>
        <w:tc>
          <w:tcPr>
            <w:tcW w:w="515" w:type="dxa"/>
            <w:vMerge/>
          </w:tcPr>
          <w:p w14:paraId="168F4CE5" w14:textId="77777777" w:rsidR="00B47AE8" w:rsidRPr="00E359BF" w:rsidRDefault="00B47AE8">
            <w:pPr>
              <w:pStyle w:val="TableColHeadingCenter"/>
              <w:rPr>
                <w:rFonts w:eastAsia="MS Mincho"/>
              </w:rPr>
            </w:pPr>
          </w:p>
        </w:tc>
        <w:tc>
          <w:tcPr>
            <w:tcW w:w="952" w:type="dxa"/>
            <w:vMerge/>
          </w:tcPr>
          <w:p w14:paraId="1285980E" w14:textId="77777777" w:rsidR="00B47AE8" w:rsidRPr="00E359BF" w:rsidRDefault="00B47AE8">
            <w:pPr>
              <w:pStyle w:val="TableColHeadingCenter"/>
              <w:rPr>
                <w:rFonts w:eastAsia="MS Mincho"/>
              </w:rPr>
            </w:pPr>
          </w:p>
        </w:tc>
      </w:tr>
      <w:tr w:rsidR="00B47AE8" w:rsidRPr="00E359BF" w14:paraId="43A3F66E" w14:textId="77777777" w:rsidTr="007A0CFB">
        <w:tc>
          <w:tcPr>
            <w:tcW w:w="3297" w:type="dxa"/>
            <w:shd w:val="clear" w:color="auto" w:fill="D9E2F3" w:themeFill="accent5" w:themeFillTint="33"/>
          </w:tcPr>
          <w:p w14:paraId="355160B6" w14:textId="77777777" w:rsidR="00B47AE8" w:rsidRPr="00EB088B" w:rsidRDefault="00B47AE8" w:rsidP="007A0CFB">
            <w:pPr>
              <w:pStyle w:val="TableSubheading"/>
            </w:pPr>
            <w:r w:rsidRPr="00EB088B">
              <w:t>Emotional Support Domain</w:t>
            </w:r>
          </w:p>
        </w:tc>
        <w:tc>
          <w:tcPr>
            <w:tcW w:w="654" w:type="dxa"/>
            <w:shd w:val="clear" w:color="auto" w:fill="D9E2F3" w:themeFill="accent5" w:themeFillTint="33"/>
          </w:tcPr>
          <w:p w14:paraId="0DF7EFA0" w14:textId="77777777" w:rsidR="00B47AE8" w:rsidRPr="00E359BF" w:rsidRDefault="00B47AE8">
            <w:pPr>
              <w:pStyle w:val="TableTextCenteredDemi"/>
              <w:rPr>
                <w:rFonts w:eastAsia="Times New Roman"/>
              </w:rPr>
            </w:pPr>
            <w:r>
              <w:rPr>
                <w:rFonts w:eastAsia="Times New Roman"/>
              </w:rPr>
              <w:t>1</w:t>
            </w:r>
          </w:p>
        </w:tc>
        <w:tc>
          <w:tcPr>
            <w:tcW w:w="631" w:type="dxa"/>
            <w:shd w:val="clear" w:color="auto" w:fill="D9E2F3" w:themeFill="accent5" w:themeFillTint="33"/>
          </w:tcPr>
          <w:p w14:paraId="7BB087DE" w14:textId="77777777" w:rsidR="00B47AE8" w:rsidRPr="00E359BF" w:rsidRDefault="00B47AE8">
            <w:pPr>
              <w:pStyle w:val="TableTextCenteredDemi"/>
              <w:rPr>
                <w:rFonts w:eastAsia="Times New Roman"/>
              </w:rPr>
            </w:pPr>
            <w:r>
              <w:rPr>
                <w:rFonts w:eastAsia="Times New Roman"/>
              </w:rPr>
              <w:t>7</w:t>
            </w:r>
          </w:p>
        </w:tc>
        <w:tc>
          <w:tcPr>
            <w:tcW w:w="677" w:type="dxa"/>
            <w:shd w:val="clear" w:color="auto" w:fill="D9E2F3" w:themeFill="accent5" w:themeFillTint="33"/>
          </w:tcPr>
          <w:p w14:paraId="3E593913" w14:textId="77777777" w:rsidR="00B47AE8" w:rsidRPr="00E359BF" w:rsidRDefault="00B47AE8">
            <w:pPr>
              <w:pStyle w:val="TableTextCenteredDemi"/>
              <w:rPr>
                <w:rFonts w:eastAsia="Times New Roman"/>
              </w:rPr>
            </w:pPr>
            <w:r>
              <w:rPr>
                <w:rFonts w:eastAsia="Times New Roman"/>
              </w:rPr>
              <w:t>14</w:t>
            </w:r>
          </w:p>
        </w:tc>
        <w:tc>
          <w:tcPr>
            <w:tcW w:w="655" w:type="dxa"/>
            <w:shd w:val="clear" w:color="auto" w:fill="D9E2F3" w:themeFill="accent5" w:themeFillTint="33"/>
          </w:tcPr>
          <w:p w14:paraId="7FEF5741" w14:textId="77777777" w:rsidR="00B47AE8" w:rsidRPr="00E359BF" w:rsidRDefault="00B47AE8">
            <w:pPr>
              <w:pStyle w:val="TableTextCenteredDemi"/>
              <w:rPr>
                <w:rFonts w:eastAsia="Times New Roman"/>
              </w:rPr>
            </w:pPr>
            <w:r>
              <w:rPr>
                <w:rFonts w:eastAsia="Times New Roman"/>
              </w:rPr>
              <w:t>25</w:t>
            </w:r>
          </w:p>
        </w:tc>
        <w:tc>
          <w:tcPr>
            <w:tcW w:w="653" w:type="dxa"/>
            <w:shd w:val="clear" w:color="auto" w:fill="D9E2F3" w:themeFill="accent5" w:themeFillTint="33"/>
          </w:tcPr>
          <w:p w14:paraId="1BF35226" w14:textId="77777777" w:rsidR="00B47AE8" w:rsidRPr="00E359BF" w:rsidRDefault="00B47AE8">
            <w:pPr>
              <w:pStyle w:val="TableTextCenteredDemi"/>
              <w:rPr>
                <w:rFonts w:eastAsia="Times New Roman"/>
              </w:rPr>
            </w:pPr>
            <w:r>
              <w:rPr>
                <w:rFonts w:eastAsia="Times New Roman"/>
              </w:rPr>
              <w:t>37</w:t>
            </w:r>
          </w:p>
        </w:tc>
        <w:tc>
          <w:tcPr>
            <w:tcW w:w="655" w:type="dxa"/>
            <w:shd w:val="clear" w:color="auto" w:fill="D9E2F3" w:themeFill="accent5" w:themeFillTint="33"/>
          </w:tcPr>
          <w:p w14:paraId="60A34741" w14:textId="77777777" w:rsidR="00B47AE8" w:rsidRPr="00E359BF" w:rsidRDefault="00B47AE8">
            <w:pPr>
              <w:pStyle w:val="TableTextCenteredDemi"/>
              <w:rPr>
                <w:rFonts w:eastAsia="Times New Roman"/>
              </w:rPr>
            </w:pPr>
            <w:r>
              <w:rPr>
                <w:rFonts w:eastAsia="Times New Roman"/>
              </w:rPr>
              <w:t>27</w:t>
            </w:r>
          </w:p>
        </w:tc>
        <w:tc>
          <w:tcPr>
            <w:tcW w:w="655" w:type="dxa"/>
            <w:shd w:val="clear" w:color="auto" w:fill="D9E2F3" w:themeFill="accent5" w:themeFillTint="33"/>
          </w:tcPr>
          <w:p w14:paraId="72F18571" w14:textId="77777777" w:rsidR="00B47AE8" w:rsidRPr="00E359BF" w:rsidRDefault="00B47AE8">
            <w:pPr>
              <w:pStyle w:val="TableTextCenteredDemi"/>
              <w:rPr>
                <w:rFonts w:eastAsia="Times New Roman"/>
              </w:rPr>
            </w:pPr>
            <w:r>
              <w:rPr>
                <w:rFonts w:eastAsia="Times New Roman"/>
              </w:rPr>
              <w:t>61</w:t>
            </w:r>
          </w:p>
        </w:tc>
        <w:tc>
          <w:tcPr>
            <w:tcW w:w="515" w:type="dxa"/>
            <w:shd w:val="clear" w:color="auto" w:fill="D9E2F3" w:themeFill="accent5" w:themeFillTint="33"/>
          </w:tcPr>
          <w:p w14:paraId="3699316B" w14:textId="77777777" w:rsidR="00B47AE8" w:rsidRPr="00E359BF" w:rsidRDefault="00B47AE8">
            <w:pPr>
              <w:pStyle w:val="TableTextCenteredDemi"/>
              <w:rPr>
                <w:rFonts w:eastAsia="Times New Roman"/>
              </w:rPr>
            </w:pPr>
            <w:r>
              <w:rPr>
                <w:rFonts w:eastAsia="Times New Roman"/>
              </w:rPr>
              <w:t>172</w:t>
            </w:r>
          </w:p>
        </w:tc>
        <w:tc>
          <w:tcPr>
            <w:tcW w:w="952" w:type="dxa"/>
            <w:shd w:val="clear" w:color="auto" w:fill="D9E2F3" w:themeFill="accent5" w:themeFillTint="33"/>
          </w:tcPr>
          <w:p w14:paraId="2E09A8F8" w14:textId="77777777" w:rsidR="00B47AE8" w:rsidRPr="00E359BF" w:rsidRDefault="00B47AE8">
            <w:pPr>
              <w:pStyle w:val="TableTextCenteredDemi"/>
              <w:rPr>
                <w:rFonts w:eastAsia="Times New Roman"/>
              </w:rPr>
            </w:pPr>
            <w:r>
              <w:rPr>
                <w:rFonts w:eastAsia="Times New Roman"/>
              </w:rPr>
              <w:t>5.4</w:t>
            </w:r>
          </w:p>
        </w:tc>
      </w:tr>
      <w:tr w:rsidR="00B47AE8" w:rsidRPr="00E359BF" w14:paraId="672C1CC2" w14:textId="77777777" w:rsidTr="007A0CFB">
        <w:tc>
          <w:tcPr>
            <w:tcW w:w="3297" w:type="dxa"/>
          </w:tcPr>
          <w:p w14:paraId="0431A69E" w14:textId="77777777" w:rsidR="00B47AE8" w:rsidRPr="00EB088B" w:rsidRDefault="00B47AE8">
            <w:pPr>
              <w:pStyle w:val="TableText"/>
              <w:ind w:left="204"/>
              <w:rPr>
                <w:rFonts w:ascii="Franklin Gothic Book" w:hAnsi="Franklin Gothic Book"/>
                <w:b/>
                <w:bCs/>
              </w:rPr>
            </w:pPr>
            <w:r w:rsidRPr="00EB088B">
              <w:rPr>
                <w:rFonts w:ascii="Franklin Gothic Book" w:hAnsi="Franklin Gothic Book"/>
              </w:rPr>
              <w:t>Positive Climate</w:t>
            </w:r>
          </w:p>
        </w:tc>
        <w:tc>
          <w:tcPr>
            <w:tcW w:w="654" w:type="dxa"/>
          </w:tcPr>
          <w:p w14:paraId="7FD1A7E7" w14:textId="77777777" w:rsidR="00B47AE8" w:rsidRPr="00E359BF" w:rsidRDefault="00B47AE8">
            <w:pPr>
              <w:pStyle w:val="TableTextCentered"/>
              <w:rPr>
                <w:rFonts w:eastAsia="Times New Roman"/>
              </w:rPr>
            </w:pPr>
            <w:r>
              <w:rPr>
                <w:rFonts w:eastAsia="Times New Roman"/>
              </w:rPr>
              <w:t>0</w:t>
            </w:r>
          </w:p>
        </w:tc>
        <w:tc>
          <w:tcPr>
            <w:tcW w:w="631" w:type="dxa"/>
          </w:tcPr>
          <w:p w14:paraId="29234513" w14:textId="77777777" w:rsidR="00B47AE8" w:rsidRPr="00E359BF" w:rsidRDefault="00B47AE8">
            <w:pPr>
              <w:pStyle w:val="TableTextCentered"/>
              <w:rPr>
                <w:rFonts w:eastAsia="Times New Roman"/>
              </w:rPr>
            </w:pPr>
            <w:r>
              <w:rPr>
                <w:rFonts w:eastAsia="Times New Roman"/>
              </w:rPr>
              <w:t>0</w:t>
            </w:r>
          </w:p>
        </w:tc>
        <w:tc>
          <w:tcPr>
            <w:tcW w:w="677" w:type="dxa"/>
          </w:tcPr>
          <w:p w14:paraId="491DC2FE" w14:textId="77777777" w:rsidR="00B47AE8" w:rsidRPr="00E359BF" w:rsidRDefault="00B47AE8">
            <w:pPr>
              <w:pStyle w:val="TableTextCentered"/>
              <w:rPr>
                <w:rFonts w:eastAsia="Times New Roman"/>
              </w:rPr>
            </w:pPr>
            <w:r>
              <w:rPr>
                <w:rFonts w:eastAsia="Times New Roman"/>
              </w:rPr>
              <w:t>2</w:t>
            </w:r>
          </w:p>
        </w:tc>
        <w:tc>
          <w:tcPr>
            <w:tcW w:w="655" w:type="dxa"/>
          </w:tcPr>
          <w:p w14:paraId="15CE62FE" w14:textId="77777777" w:rsidR="00B47AE8" w:rsidRPr="00E359BF" w:rsidRDefault="00B47AE8">
            <w:pPr>
              <w:pStyle w:val="TableTextCentered"/>
              <w:rPr>
                <w:rFonts w:eastAsia="Times New Roman"/>
              </w:rPr>
            </w:pPr>
            <w:r>
              <w:rPr>
                <w:rFonts w:eastAsia="Times New Roman"/>
              </w:rPr>
              <w:t>12</w:t>
            </w:r>
          </w:p>
        </w:tc>
        <w:tc>
          <w:tcPr>
            <w:tcW w:w="653" w:type="dxa"/>
          </w:tcPr>
          <w:p w14:paraId="29B86026" w14:textId="77777777" w:rsidR="00B47AE8" w:rsidRPr="00E359BF" w:rsidRDefault="00B47AE8">
            <w:pPr>
              <w:pStyle w:val="TableTextCentered"/>
              <w:rPr>
                <w:rFonts w:eastAsia="Times New Roman"/>
              </w:rPr>
            </w:pPr>
            <w:r>
              <w:rPr>
                <w:rFonts w:eastAsia="Times New Roman"/>
              </w:rPr>
              <w:t>14</w:t>
            </w:r>
          </w:p>
        </w:tc>
        <w:tc>
          <w:tcPr>
            <w:tcW w:w="655" w:type="dxa"/>
          </w:tcPr>
          <w:p w14:paraId="214D5C49" w14:textId="77777777" w:rsidR="00B47AE8" w:rsidRPr="00E359BF" w:rsidRDefault="00B47AE8">
            <w:pPr>
              <w:pStyle w:val="TableTextCentered"/>
              <w:rPr>
                <w:rFonts w:eastAsia="Times New Roman"/>
              </w:rPr>
            </w:pPr>
            <w:r>
              <w:rPr>
                <w:rFonts w:eastAsia="Times New Roman"/>
              </w:rPr>
              <w:t>12</w:t>
            </w:r>
          </w:p>
        </w:tc>
        <w:tc>
          <w:tcPr>
            <w:tcW w:w="655" w:type="dxa"/>
          </w:tcPr>
          <w:p w14:paraId="2FDA2520" w14:textId="77777777" w:rsidR="00B47AE8" w:rsidRPr="00E359BF" w:rsidRDefault="00B47AE8">
            <w:pPr>
              <w:pStyle w:val="TableTextCentered"/>
              <w:rPr>
                <w:rFonts w:eastAsia="Times New Roman"/>
              </w:rPr>
            </w:pPr>
            <w:r>
              <w:rPr>
                <w:rFonts w:eastAsia="Times New Roman"/>
              </w:rPr>
              <w:t>3</w:t>
            </w:r>
          </w:p>
        </w:tc>
        <w:tc>
          <w:tcPr>
            <w:tcW w:w="515" w:type="dxa"/>
          </w:tcPr>
          <w:p w14:paraId="5ECF16D6" w14:textId="77777777" w:rsidR="00B47AE8" w:rsidRPr="00E359BF" w:rsidRDefault="00B47AE8">
            <w:pPr>
              <w:pStyle w:val="TableTextCentered"/>
              <w:rPr>
                <w:rFonts w:eastAsia="Times New Roman"/>
              </w:rPr>
            </w:pPr>
            <w:r>
              <w:rPr>
                <w:rFonts w:eastAsia="Times New Roman"/>
              </w:rPr>
              <w:t>43</w:t>
            </w:r>
          </w:p>
        </w:tc>
        <w:tc>
          <w:tcPr>
            <w:tcW w:w="952" w:type="dxa"/>
          </w:tcPr>
          <w:p w14:paraId="49AC0441" w14:textId="77777777" w:rsidR="00B47AE8" w:rsidRPr="00E359BF" w:rsidRDefault="00B47AE8">
            <w:pPr>
              <w:pStyle w:val="TableTextCentered"/>
              <w:rPr>
                <w:rFonts w:eastAsia="Times New Roman"/>
              </w:rPr>
            </w:pPr>
            <w:r>
              <w:rPr>
                <w:rFonts w:eastAsia="Times New Roman"/>
              </w:rPr>
              <w:t>5.0</w:t>
            </w:r>
          </w:p>
        </w:tc>
      </w:tr>
      <w:tr w:rsidR="00B47AE8" w:rsidRPr="00E359BF" w14:paraId="59269171" w14:textId="77777777" w:rsidTr="007A0CFB">
        <w:tc>
          <w:tcPr>
            <w:tcW w:w="3297" w:type="dxa"/>
          </w:tcPr>
          <w:p w14:paraId="225834F1" w14:textId="77777777" w:rsidR="00B47AE8" w:rsidRPr="00EB088B" w:rsidRDefault="00B47AE8">
            <w:pPr>
              <w:pStyle w:val="TableText"/>
              <w:ind w:left="204"/>
              <w:rPr>
                <w:rFonts w:ascii="Franklin Gothic Book" w:hAnsi="Franklin Gothic Book"/>
                <w:b/>
                <w:bCs/>
              </w:rPr>
            </w:pPr>
            <w:r w:rsidRPr="00EB088B">
              <w:rPr>
                <w:rFonts w:ascii="Franklin Gothic Book" w:hAnsi="Franklin Gothic Book"/>
              </w:rPr>
              <w:t>Negative Climate**</w:t>
            </w:r>
          </w:p>
        </w:tc>
        <w:tc>
          <w:tcPr>
            <w:tcW w:w="654" w:type="dxa"/>
          </w:tcPr>
          <w:p w14:paraId="2CF3BBB2" w14:textId="77777777" w:rsidR="00B47AE8" w:rsidRPr="00E359BF" w:rsidRDefault="00B47AE8">
            <w:pPr>
              <w:pStyle w:val="TableTextCentered"/>
              <w:rPr>
                <w:rFonts w:eastAsia="Times New Roman"/>
              </w:rPr>
            </w:pPr>
            <w:r>
              <w:rPr>
                <w:rFonts w:eastAsia="Times New Roman"/>
              </w:rPr>
              <w:t>0</w:t>
            </w:r>
          </w:p>
        </w:tc>
        <w:tc>
          <w:tcPr>
            <w:tcW w:w="631" w:type="dxa"/>
          </w:tcPr>
          <w:p w14:paraId="1D7473B5" w14:textId="77777777" w:rsidR="00B47AE8" w:rsidRPr="00E359BF" w:rsidRDefault="00B47AE8">
            <w:pPr>
              <w:pStyle w:val="TableTextCentered"/>
              <w:rPr>
                <w:rFonts w:eastAsia="Times New Roman"/>
              </w:rPr>
            </w:pPr>
            <w:r>
              <w:rPr>
                <w:rFonts w:eastAsia="Times New Roman"/>
              </w:rPr>
              <w:t>0</w:t>
            </w:r>
          </w:p>
        </w:tc>
        <w:tc>
          <w:tcPr>
            <w:tcW w:w="677" w:type="dxa"/>
          </w:tcPr>
          <w:p w14:paraId="1787AAA4" w14:textId="77777777" w:rsidR="00B47AE8" w:rsidRPr="00E359BF" w:rsidRDefault="00B47AE8">
            <w:pPr>
              <w:pStyle w:val="TableTextCentered"/>
              <w:rPr>
                <w:rFonts w:eastAsia="Times New Roman"/>
              </w:rPr>
            </w:pPr>
            <w:r>
              <w:rPr>
                <w:rFonts w:eastAsia="Times New Roman"/>
              </w:rPr>
              <w:t>0</w:t>
            </w:r>
          </w:p>
        </w:tc>
        <w:tc>
          <w:tcPr>
            <w:tcW w:w="655" w:type="dxa"/>
          </w:tcPr>
          <w:p w14:paraId="4AAA1EC8" w14:textId="77777777" w:rsidR="00B47AE8" w:rsidRPr="00E359BF" w:rsidRDefault="00B47AE8">
            <w:pPr>
              <w:pStyle w:val="TableTextCentered"/>
              <w:rPr>
                <w:rFonts w:eastAsia="Times New Roman"/>
              </w:rPr>
            </w:pPr>
            <w:r>
              <w:rPr>
                <w:rFonts w:eastAsia="Times New Roman"/>
              </w:rPr>
              <w:t>0</w:t>
            </w:r>
          </w:p>
        </w:tc>
        <w:tc>
          <w:tcPr>
            <w:tcW w:w="653" w:type="dxa"/>
          </w:tcPr>
          <w:p w14:paraId="7B6BCA40" w14:textId="77777777" w:rsidR="00B47AE8" w:rsidRPr="00E359BF" w:rsidRDefault="00B47AE8">
            <w:pPr>
              <w:pStyle w:val="TableTextCentered"/>
              <w:rPr>
                <w:rFonts w:eastAsia="Times New Roman"/>
              </w:rPr>
            </w:pPr>
            <w:r>
              <w:rPr>
                <w:rFonts w:eastAsia="Times New Roman"/>
              </w:rPr>
              <w:t>0</w:t>
            </w:r>
          </w:p>
        </w:tc>
        <w:tc>
          <w:tcPr>
            <w:tcW w:w="655" w:type="dxa"/>
          </w:tcPr>
          <w:p w14:paraId="713AF328" w14:textId="77777777" w:rsidR="00B47AE8" w:rsidRPr="00E359BF" w:rsidRDefault="00B47AE8">
            <w:pPr>
              <w:pStyle w:val="TableTextCentered"/>
              <w:rPr>
                <w:rFonts w:eastAsia="Times New Roman"/>
              </w:rPr>
            </w:pPr>
            <w:r>
              <w:rPr>
                <w:rFonts w:eastAsia="Times New Roman"/>
              </w:rPr>
              <w:t>2</w:t>
            </w:r>
          </w:p>
        </w:tc>
        <w:tc>
          <w:tcPr>
            <w:tcW w:w="655" w:type="dxa"/>
          </w:tcPr>
          <w:p w14:paraId="7D8F33BF" w14:textId="77777777" w:rsidR="00B47AE8" w:rsidRPr="00E359BF" w:rsidRDefault="00B47AE8">
            <w:pPr>
              <w:pStyle w:val="TableTextCentered"/>
              <w:rPr>
                <w:rFonts w:eastAsia="Times New Roman"/>
              </w:rPr>
            </w:pPr>
            <w:r>
              <w:rPr>
                <w:rFonts w:eastAsia="Times New Roman"/>
              </w:rPr>
              <w:t>41</w:t>
            </w:r>
          </w:p>
        </w:tc>
        <w:tc>
          <w:tcPr>
            <w:tcW w:w="515" w:type="dxa"/>
          </w:tcPr>
          <w:p w14:paraId="79C12E14" w14:textId="77777777" w:rsidR="00B47AE8" w:rsidRPr="00E359BF" w:rsidRDefault="00B47AE8">
            <w:pPr>
              <w:pStyle w:val="TableTextCentered"/>
              <w:rPr>
                <w:rFonts w:eastAsia="Times New Roman"/>
              </w:rPr>
            </w:pPr>
            <w:r>
              <w:rPr>
                <w:rFonts w:eastAsia="Times New Roman"/>
              </w:rPr>
              <w:t>43</w:t>
            </w:r>
          </w:p>
        </w:tc>
        <w:tc>
          <w:tcPr>
            <w:tcW w:w="952" w:type="dxa"/>
          </w:tcPr>
          <w:p w14:paraId="0311B3AC" w14:textId="77777777" w:rsidR="00B47AE8" w:rsidRPr="00E359BF" w:rsidRDefault="00B47AE8">
            <w:pPr>
              <w:pStyle w:val="TableTextCentered"/>
              <w:rPr>
                <w:rFonts w:eastAsia="Times New Roman"/>
              </w:rPr>
            </w:pPr>
            <w:r>
              <w:rPr>
                <w:rFonts w:eastAsia="Times New Roman"/>
              </w:rPr>
              <w:t>7.0</w:t>
            </w:r>
          </w:p>
        </w:tc>
      </w:tr>
      <w:tr w:rsidR="00B47AE8" w:rsidRPr="00E359BF" w14:paraId="505AFF7B" w14:textId="77777777" w:rsidTr="007A0CFB">
        <w:tc>
          <w:tcPr>
            <w:tcW w:w="3297" w:type="dxa"/>
          </w:tcPr>
          <w:p w14:paraId="37A69297" w14:textId="77777777" w:rsidR="00B47AE8" w:rsidRPr="00EB088B" w:rsidRDefault="00B47AE8">
            <w:pPr>
              <w:pStyle w:val="TableText"/>
              <w:ind w:left="204"/>
              <w:rPr>
                <w:rFonts w:ascii="Franklin Gothic Book" w:hAnsi="Franklin Gothic Book"/>
                <w:b/>
                <w:bCs/>
              </w:rPr>
            </w:pPr>
            <w:r w:rsidRPr="00EB088B">
              <w:rPr>
                <w:rFonts w:ascii="Franklin Gothic Book" w:hAnsi="Franklin Gothic Book"/>
              </w:rPr>
              <w:t>Teacher Sensitivity</w:t>
            </w:r>
          </w:p>
        </w:tc>
        <w:tc>
          <w:tcPr>
            <w:tcW w:w="654" w:type="dxa"/>
          </w:tcPr>
          <w:p w14:paraId="0C5282FA" w14:textId="77777777" w:rsidR="00B47AE8" w:rsidRPr="00E359BF" w:rsidRDefault="00B47AE8">
            <w:pPr>
              <w:pStyle w:val="TableTextCentered"/>
              <w:rPr>
                <w:rFonts w:eastAsia="Times New Roman"/>
              </w:rPr>
            </w:pPr>
            <w:r>
              <w:rPr>
                <w:rFonts w:eastAsia="Times New Roman"/>
              </w:rPr>
              <w:t>0</w:t>
            </w:r>
          </w:p>
        </w:tc>
        <w:tc>
          <w:tcPr>
            <w:tcW w:w="631" w:type="dxa"/>
          </w:tcPr>
          <w:p w14:paraId="5477554F" w14:textId="77777777" w:rsidR="00B47AE8" w:rsidRPr="00E359BF" w:rsidRDefault="00B47AE8">
            <w:pPr>
              <w:pStyle w:val="TableTextCentered"/>
              <w:rPr>
                <w:rFonts w:eastAsia="Times New Roman"/>
              </w:rPr>
            </w:pPr>
            <w:r>
              <w:rPr>
                <w:rFonts w:eastAsia="Times New Roman"/>
              </w:rPr>
              <w:t>0</w:t>
            </w:r>
          </w:p>
        </w:tc>
        <w:tc>
          <w:tcPr>
            <w:tcW w:w="677" w:type="dxa"/>
          </w:tcPr>
          <w:p w14:paraId="0110A327" w14:textId="77777777" w:rsidR="00B47AE8" w:rsidRPr="00E359BF" w:rsidRDefault="00B47AE8">
            <w:pPr>
              <w:pStyle w:val="TableTextCentered"/>
              <w:rPr>
                <w:rFonts w:eastAsia="Times New Roman"/>
              </w:rPr>
            </w:pPr>
            <w:r>
              <w:rPr>
                <w:rFonts w:eastAsia="Times New Roman"/>
              </w:rPr>
              <w:t>0</w:t>
            </w:r>
          </w:p>
        </w:tc>
        <w:tc>
          <w:tcPr>
            <w:tcW w:w="655" w:type="dxa"/>
          </w:tcPr>
          <w:p w14:paraId="764FAE69" w14:textId="77777777" w:rsidR="00B47AE8" w:rsidRPr="00E359BF" w:rsidRDefault="00B47AE8">
            <w:pPr>
              <w:pStyle w:val="TableTextCentered"/>
              <w:rPr>
                <w:rFonts w:eastAsia="Times New Roman"/>
              </w:rPr>
            </w:pPr>
            <w:r>
              <w:rPr>
                <w:rFonts w:eastAsia="Times New Roman"/>
              </w:rPr>
              <w:t>3</w:t>
            </w:r>
          </w:p>
        </w:tc>
        <w:tc>
          <w:tcPr>
            <w:tcW w:w="653" w:type="dxa"/>
          </w:tcPr>
          <w:p w14:paraId="69E2E888" w14:textId="77777777" w:rsidR="00B47AE8" w:rsidRPr="00E359BF" w:rsidRDefault="00B47AE8">
            <w:pPr>
              <w:pStyle w:val="TableTextCentered"/>
              <w:rPr>
                <w:rFonts w:eastAsia="Times New Roman"/>
              </w:rPr>
            </w:pPr>
            <w:r>
              <w:rPr>
                <w:rFonts w:eastAsia="Times New Roman"/>
              </w:rPr>
              <w:t>13</w:t>
            </w:r>
          </w:p>
        </w:tc>
        <w:tc>
          <w:tcPr>
            <w:tcW w:w="655" w:type="dxa"/>
          </w:tcPr>
          <w:p w14:paraId="40FF8E7C" w14:textId="77777777" w:rsidR="00B47AE8" w:rsidRPr="00E359BF" w:rsidRDefault="00B47AE8">
            <w:pPr>
              <w:pStyle w:val="TableTextCentered"/>
              <w:rPr>
                <w:rFonts w:eastAsia="Times New Roman"/>
              </w:rPr>
            </w:pPr>
            <w:r>
              <w:rPr>
                <w:rFonts w:eastAsia="Times New Roman"/>
              </w:rPr>
              <w:t>11</w:t>
            </w:r>
          </w:p>
        </w:tc>
        <w:tc>
          <w:tcPr>
            <w:tcW w:w="655" w:type="dxa"/>
          </w:tcPr>
          <w:p w14:paraId="270A0629" w14:textId="77777777" w:rsidR="00B47AE8" w:rsidRPr="00E359BF" w:rsidRDefault="00B47AE8">
            <w:pPr>
              <w:pStyle w:val="TableTextCentered"/>
              <w:rPr>
                <w:rFonts w:eastAsia="Times New Roman"/>
              </w:rPr>
            </w:pPr>
            <w:r>
              <w:rPr>
                <w:rFonts w:eastAsia="Times New Roman"/>
              </w:rPr>
              <w:t>16</w:t>
            </w:r>
          </w:p>
        </w:tc>
        <w:tc>
          <w:tcPr>
            <w:tcW w:w="515" w:type="dxa"/>
          </w:tcPr>
          <w:p w14:paraId="469B27F0" w14:textId="77777777" w:rsidR="00B47AE8" w:rsidRPr="00E359BF" w:rsidRDefault="00B47AE8">
            <w:pPr>
              <w:pStyle w:val="TableTextCentered"/>
              <w:rPr>
                <w:rFonts w:eastAsia="Times New Roman"/>
              </w:rPr>
            </w:pPr>
            <w:r>
              <w:rPr>
                <w:rFonts w:eastAsia="Times New Roman"/>
              </w:rPr>
              <w:t>43</w:t>
            </w:r>
          </w:p>
        </w:tc>
        <w:tc>
          <w:tcPr>
            <w:tcW w:w="952" w:type="dxa"/>
          </w:tcPr>
          <w:p w14:paraId="4958023F" w14:textId="77777777" w:rsidR="00B47AE8" w:rsidRPr="00E359BF" w:rsidRDefault="00B47AE8">
            <w:pPr>
              <w:pStyle w:val="TableTextCentered"/>
              <w:rPr>
                <w:rFonts w:eastAsia="Times New Roman"/>
              </w:rPr>
            </w:pPr>
            <w:r>
              <w:rPr>
                <w:rFonts w:eastAsia="Times New Roman"/>
              </w:rPr>
              <w:t>5.9</w:t>
            </w:r>
          </w:p>
        </w:tc>
      </w:tr>
      <w:tr w:rsidR="00B47AE8" w:rsidRPr="00E359BF" w14:paraId="3507946E" w14:textId="77777777" w:rsidTr="007A0CFB">
        <w:tc>
          <w:tcPr>
            <w:tcW w:w="3297" w:type="dxa"/>
          </w:tcPr>
          <w:p w14:paraId="4E07EE4B" w14:textId="77777777" w:rsidR="00B47AE8" w:rsidRPr="00EB088B" w:rsidRDefault="00B47AE8">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54" w:type="dxa"/>
          </w:tcPr>
          <w:p w14:paraId="214DA092" w14:textId="77777777" w:rsidR="00B47AE8" w:rsidRPr="00E359BF" w:rsidRDefault="00B47AE8">
            <w:pPr>
              <w:pStyle w:val="TableTextCentered"/>
              <w:rPr>
                <w:rFonts w:eastAsia="Times New Roman"/>
              </w:rPr>
            </w:pPr>
            <w:r>
              <w:rPr>
                <w:rFonts w:eastAsia="Times New Roman"/>
              </w:rPr>
              <w:t>1</w:t>
            </w:r>
          </w:p>
        </w:tc>
        <w:tc>
          <w:tcPr>
            <w:tcW w:w="631" w:type="dxa"/>
          </w:tcPr>
          <w:p w14:paraId="3A15B50A" w14:textId="77777777" w:rsidR="00B47AE8" w:rsidRPr="00E359BF" w:rsidRDefault="00B47AE8">
            <w:pPr>
              <w:pStyle w:val="TableTextCentered"/>
              <w:rPr>
                <w:rFonts w:eastAsia="Times New Roman"/>
              </w:rPr>
            </w:pPr>
            <w:r>
              <w:rPr>
                <w:rFonts w:eastAsia="Times New Roman"/>
              </w:rPr>
              <w:t>7</w:t>
            </w:r>
          </w:p>
        </w:tc>
        <w:tc>
          <w:tcPr>
            <w:tcW w:w="677" w:type="dxa"/>
          </w:tcPr>
          <w:p w14:paraId="6DCF1CB8" w14:textId="77777777" w:rsidR="00B47AE8" w:rsidRPr="00E359BF" w:rsidRDefault="00B47AE8">
            <w:pPr>
              <w:pStyle w:val="TableTextCentered"/>
              <w:rPr>
                <w:rFonts w:eastAsia="Times New Roman"/>
              </w:rPr>
            </w:pPr>
            <w:r>
              <w:rPr>
                <w:rFonts w:eastAsia="Times New Roman"/>
              </w:rPr>
              <w:t>12</w:t>
            </w:r>
          </w:p>
        </w:tc>
        <w:tc>
          <w:tcPr>
            <w:tcW w:w="655" w:type="dxa"/>
          </w:tcPr>
          <w:p w14:paraId="3D8DA1C0" w14:textId="77777777" w:rsidR="00B47AE8" w:rsidRPr="00E359BF" w:rsidRDefault="00B47AE8">
            <w:pPr>
              <w:pStyle w:val="TableTextCentered"/>
              <w:rPr>
                <w:rFonts w:eastAsia="Times New Roman"/>
              </w:rPr>
            </w:pPr>
            <w:r>
              <w:rPr>
                <w:rFonts w:eastAsia="Times New Roman"/>
              </w:rPr>
              <w:t>10</w:t>
            </w:r>
          </w:p>
        </w:tc>
        <w:tc>
          <w:tcPr>
            <w:tcW w:w="653" w:type="dxa"/>
          </w:tcPr>
          <w:p w14:paraId="7D831398" w14:textId="77777777" w:rsidR="00B47AE8" w:rsidRPr="00E359BF" w:rsidRDefault="00B47AE8">
            <w:pPr>
              <w:pStyle w:val="TableTextCentered"/>
              <w:rPr>
                <w:rFonts w:eastAsia="Times New Roman"/>
              </w:rPr>
            </w:pPr>
            <w:r>
              <w:rPr>
                <w:rFonts w:eastAsia="Times New Roman"/>
              </w:rPr>
              <w:t>10</w:t>
            </w:r>
          </w:p>
        </w:tc>
        <w:tc>
          <w:tcPr>
            <w:tcW w:w="655" w:type="dxa"/>
          </w:tcPr>
          <w:p w14:paraId="2893AE0C" w14:textId="77777777" w:rsidR="00B47AE8" w:rsidRPr="00E359BF" w:rsidRDefault="00B47AE8">
            <w:pPr>
              <w:pStyle w:val="TableTextCentered"/>
              <w:rPr>
                <w:rFonts w:eastAsia="Times New Roman"/>
              </w:rPr>
            </w:pPr>
            <w:r>
              <w:rPr>
                <w:rFonts w:eastAsia="Times New Roman"/>
              </w:rPr>
              <w:t>2</w:t>
            </w:r>
          </w:p>
        </w:tc>
        <w:tc>
          <w:tcPr>
            <w:tcW w:w="655" w:type="dxa"/>
          </w:tcPr>
          <w:p w14:paraId="4488D7B4" w14:textId="77777777" w:rsidR="00B47AE8" w:rsidRPr="00E359BF" w:rsidRDefault="00B47AE8">
            <w:pPr>
              <w:pStyle w:val="TableTextCentered"/>
              <w:rPr>
                <w:rFonts w:eastAsia="Times New Roman"/>
              </w:rPr>
            </w:pPr>
            <w:r>
              <w:rPr>
                <w:rFonts w:eastAsia="Times New Roman"/>
              </w:rPr>
              <w:t>1</w:t>
            </w:r>
          </w:p>
        </w:tc>
        <w:tc>
          <w:tcPr>
            <w:tcW w:w="515" w:type="dxa"/>
          </w:tcPr>
          <w:p w14:paraId="50C7E9F5" w14:textId="77777777" w:rsidR="00B47AE8" w:rsidRPr="00E359BF" w:rsidRDefault="00B47AE8">
            <w:pPr>
              <w:pStyle w:val="TableTextCentered"/>
              <w:rPr>
                <w:rFonts w:eastAsia="Times New Roman"/>
              </w:rPr>
            </w:pPr>
            <w:r>
              <w:rPr>
                <w:rFonts w:eastAsia="Times New Roman"/>
              </w:rPr>
              <w:t>43</w:t>
            </w:r>
          </w:p>
        </w:tc>
        <w:tc>
          <w:tcPr>
            <w:tcW w:w="952" w:type="dxa"/>
          </w:tcPr>
          <w:p w14:paraId="2067467B" w14:textId="77777777" w:rsidR="00B47AE8" w:rsidRPr="00E359BF" w:rsidRDefault="00B47AE8">
            <w:pPr>
              <w:pStyle w:val="TableTextCentered"/>
              <w:rPr>
                <w:rFonts w:eastAsia="Times New Roman"/>
              </w:rPr>
            </w:pPr>
            <w:r>
              <w:rPr>
                <w:rFonts w:eastAsia="Times New Roman"/>
              </w:rPr>
              <w:t>3.7</w:t>
            </w:r>
          </w:p>
        </w:tc>
      </w:tr>
      <w:tr w:rsidR="00B47AE8" w:rsidRPr="00E359BF" w14:paraId="6A2A61C5" w14:textId="77777777" w:rsidTr="007A0CFB">
        <w:tc>
          <w:tcPr>
            <w:tcW w:w="3297" w:type="dxa"/>
            <w:shd w:val="clear" w:color="auto" w:fill="D9E2F3" w:themeFill="accent5" w:themeFillTint="33"/>
          </w:tcPr>
          <w:p w14:paraId="7ED61F31" w14:textId="77777777" w:rsidR="00B47AE8" w:rsidRPr="00EB088B" w:rsidRDefault="00B47AE8" w:rsidP="00B47AE8">
            <w:pPr>
              <w:pStyle w:val="TableSubheading"/>
              <w:rPr>
                <w:szCs w:val="20"/>
              </w:rPr>
            </w:pPr>
            <w:r w:rsidRPr="00EB088B">
              <w:t>Classroom Organization Domain</w:t>
            </w:r>
          </w:p>
        </w:tc>
        <w:tc>
          <w:tcPr>
            <w:tcW w:w="654" w:type="dxa"/>
            <w:shd w:val="clear" w:color="auto" w:fill="D9E2F3" w:themeFill="accent5" w:themeFillTint="33"/>
          </w:tcPr>
          <w:p w14:paraId="777795D4" w14:textId="77777777" w:rsidR="00B47AE8" w:rsidRPr="00E359BF" w:rsidRDefault="00B47AE8">
            <w:pPr>
              <w:pStyle w:val="TableTextCenteredDemi"/>
              <w:rPr>
                <w:rFonts w:eastAsia="Times New Roman"/>
              </w:rPr>
            </w:pPr>
            <w:r>
              <w:rPr>
                <w:rFonts w:eastAsia="Times New Roman"/>
              </w:rPr>
              <w:t>1</w:t>
            </w:r>
          </w:p>
        </w:tc>
        <w:tc>
          <w:tcPr>
            <w:tcW w:w="631" w:type="dxa"/>
            <w:shd w:val="clear" w:color="auto" w:fill="D9E2F3" w:themeFill="accent5" w:themeFillTint="33"/>
          </w:tcPr>
          <w:p w14:paraId="41BBF01C" w14:textId="77777777" w:rsidR="00B47AE8" w:rsidRPr="00E359BF" w:rsidRDefault="00B47AE8">
            <w:pPr>
              <w:pStyle w:val="TableTextCenteredDemi"/>
              <w:rPr>
                <w:rFonts w:eastAsia="Times New Roman"/>
              </w:rPr>
            </w:pPr>
            <w:r>
              <w:rPr>
                <w:rFonts w:eastAsia="Times New Roman"/>
              </w:rPr>
              <w:t>0</w:t>
            </w:r>
          </w:p>
        </w:tc>
        <w:tc>
          <w:tcPr>
            <w:tcW w:w="677" w:type="dxa"/>
            <w:shd w:val="clear" w:color="auto" w:fill="D9E2F3" w:themeFill="accent5" w:themeFillTint="33"/>
          </w:tcPr>
          <w:p w14:paraId="61F73305" w14:textId="77777777" w:rsidR="00B47AE8" w:rsidRPr="00E359BF" w:rsidRDefault="00B47AE8">
            <w:pPr>
              <w:pStyle w:val="TableTextCenteredDemi"/>
              <w:rPr>
                <w:rFonts w:eastAsia="Times New Roman"/>
              </w:rPr>
            </w:pPr>
            <w:r>
              <w:rPr>
                <w:rFonts w:eastAsia="Times New Roman"/>
              </w:rPr>
              <w:t>4</w:t>
            </w:r>
          </w:p>
        </w:tc>
        <w:tc>
          <w:tcPr>
            <w:tcW w:w="655" w:type="dxa"/>
            <w:shd w:val="clear" w:color="auto" w:fill="D9E2F3" w:themeFill="accent5" w:themeFillTint="33"/>
          </w:tcPr>
          <w:p w14:paraId="636D2047" w14:textId="77777777" w:rsidR="00B47AE8" w:rsidRPr="00E359BF" w:rsidRDefault="00B47AE8">
            <w:pPr>
              <w:pStyle w:val="TableTextCenteredDemi"/>
              <w:rPr>
                <w:rFonts w:eastAsia="Times New Roman"/>
              </w:rPr>
            </w:pPr>
            <w:r>
              <w:rPr>
                <w:rFonts w:eastAsia="Times New Roman"/>
              </w:rPr>
              <w:t>3</w:t>
            </w:r>
          </w:p>
        </w:tc>
        <w:tc>
          <w:tcPr>
            <w:tcW w:w="653" w:type="dxa"/>
            <w:shd w:val="clear" w:color="auto" w:fill="D9E2F3" w:themeFill="accent5" w:themeFillTint="33"/>
          </w:tcPr>
          <w:p w14:paraId="6C7C3F59" w14:textId="77777777" w:rsidR="00B47AE8" w:rsidRPr="00E359BF" w:rsidRDefault="00B47AE8">
            <w:pPr>
              <w:pStyle w:val="TableTextCenteredDemi"/>
              <w:rPr>
                <w:rFonts w:eastAsia="Times New Roman"/>
              </w:rPr>
            </w:pPr>
            <w:r>
              <w:rPr>
                <w:rFonts w:eastAsia="Times New Roman"/>
              </w:rPr>
              <w:t>24</w:t>
            </w:r>
          </w:p>
        </w:tc>
        <w:tc>
          <w:tcPr>
            <w:tcW w:w="655" w:type="dxa"/>
            <w:shd w:val="clear" w:color="auto" w:fill="D9E2F3" w:themeFill="accent5" w:themeFillTint="33"/>
          </w:tcPr>
          <w:p w14:paraId="75972753" w14:textId="77777777" w:rsidR="00B47AE8" w:rsidRPr="00E359BF" w:rsidRDefault="00B47AE8">
            <w:pPr>
              <w:pStyle w:val="TableTextCenteredDemi"/>
              <w:rPr>
                <w:rFonts w:eastAsia="Times New Roman"/>
              </w:rPr>
            </w:pPr>
            <w:r>
              <w:rPr>
                <w:rFonts w:eastAsia="Times New Roman"/>
              </w:rPr>
              <w:t>36</w:t>
            </w:r>
          </w:p>
        </w:tc>
        <w:tc>
          <w:tcPr>
            <w:tcW w:w="655" w:type="dxa"/>
            <w:shd w:val="clear" w:color="auto" w:fill="D9E2F3" w:themeFill="accent5" w:themeFillTint="33"/>
          </w:tcPr>
          <w:p w14:paraId="42CC8DDE" w14:textId="77777777" w:rsidR="00B47AE8" w:rsidRPr="00E359BF" w:rsidRDefault="00B47AE8">
            <w:pPr>
              <w:pStyle w:val="TableTextCenteredDemi"/>
              <w:rPr>
                <w:rFonts w:eastAsia="Times New Roman"/>
              </w:rPr>
            </w:pPr>
            <w:r>
              <w:rPr>
                <w:rFonts w:eastAsia="Times New Roman"/>
              </w:rPr>
              <w:t>61</w:t>
            </w:r>
          </w:p>
        </w:tc>
        <w:tc>
          <w:tcPr>
            <w:tcW w:w="515" w:type="dxa"/>
            <w:shd w:val="clear" w:color="auto" w:fill="D9E2F3" w:themeFill="accent5" w:themeFillTint="33"/>
          </w:tcPr>
          <w:p w14:paraId="3C6B5B16" w14:textId="77777777" w:rsidR="00B47AE8" w:rsidRPr="00E359BF" w:rsidRDefault="00B47AE8">
            <w:pPr>
              <w:pStyle w:val="TableTextCenteredDemi"/>
              <w:rPr>
                <w:rFonts w:eastAsia="Times New Roman"/>
              </w:rPr>
            </w:pPr>
            <w:r>
              <w:rPr>
                <w:rFonts w:eastAsia="Times New Roman"/>
              </w:rPr>
              <w:t>129</w:t>
            </w:r>
          </w:p>
        </w:tc>
        <w:tc>
          <w:tcPr>
            <w:tcW w:w="952" w:type="dxa"/>
            <w:shd w:val="clear" w:color="auto" w:fill="D9E2F3" w:themeFill="accent5" w:themeFillTint="33"/>
          </w:tcPr>
          <w:p w14:paraId="7D9221DF" w14:textId="77777777" w:rsidR="00B47AE8" w:rsidRPr="00E359BF" w:rsidRDefault="00B47AE8">
            <w:pPr>
              <w:pStyle w:val="TableTextCenteredDemi"/>
              <w:rPr>
                <w:rFonts w:eastAsia="Times New Roman"/>
              </w:rPr>
            </w:pPr>
            <w:r>
              <w:rPr>
                <w:rFonts w:eastAsia="Times New Roman"/>
              </w:rPr>
              <w:t>6.1</w:t>
            </w:r>
          </w:p>
        </w:tc>
      </w:tr>
      <w:tr w:rsidR="00B47AE8" w:rsidRPr="00E359BF" w14:paraId="743D52ED" w14:textId="77777777" w:rsidTr="007A0CFB">
        <w:tc>
          <w:tcPr>
            <w:tcW w:w="3297" w:type="dxa"/>
          </w:tcPr>
          <w:p w14:paraId="76F5A2D9" w14:textId="77777777" w:rsidR="00B47AE8" w:rsidRPr="00EB088B" w:rsidRDefault="00B47AE8">
            <w:pPr>
              <w:pStyle w:val="TableText"/>
              <w:ind w:left="204"/>
              <w:rPr>
                <w:rFonts w:ascii="Franklin Gothic Book" w:hAnsi="Franklin Gothic Book"/>
                <w:b/>
                <w:bCs/>
              </w:rPr>
            </w:pPr>
            <w:r w:rsidRPr="00EB088B">
              <w:rPr>
                <w:rFonts w:ascii="Franklin Gothic Book" w:hAnsi="Franklin Gothic Book"/>
              </w:rPr>
              <w:t>Behavior Management</w:t>
            </w:r>
          </w:p>
        </w:tc>
        <w:tc>
          <w:tcPr>
            <w:tcW w:w="654" w:type="dxa"/>
          </w:tcPr>
          <w:p w14:paraId="48754855" w14:textId="77777777" w:rsidR="00B47AE8" w:rsidRPr="00E359BF" w:rsidRDefault="00B47AE8">
            <w:pPr>
              <w:pStyle w:val="TableTextCentered"/>
              <w:rPr>
                <w:rFonts w:eastAsia="Times New Roman"/>
              </w:rPr>
            </w:pPr>
            <w:r>
              <w:rPr>
                <w:rFonts w:eastAsia="Times New Roman"/>
              </w:rPr>
              <w:t>0</w:t>
            </w:r>
          </w:p>
        </w:tc>
        <w:tc>
          <w:tcPr>
            <w:tcW w:w="631" w:type="dxa"/>
          </w:tcPr>
          <w:p w14:paraId="5664B520" w14:textId="77777777" w:rsidR="00B47AE8" w:rsidRPr="00E359BF" w:rsidRDefault="00B47AE8">
            <w:pPr>
              <w:pStyle w:val="TableTextCentered"/>
              <w:rPr>
                <w:rFonts w:eastAsia="Times New Roman"/>
              </w:rPr>
            </w:pPr>
            <w:r>
              <w:rPr>
                <w:rFonts w:eastAsia="Times New Roman"/>
              </w:rPr>
              <w:t>0</w:t>
            </w:r>
          </w:p>
        </w:tc>
        <w:tc>
          <w:tcPr>
            <w:tcW w:w="677" w:type="dxa"/>
          </w:tcPr>
          <w:p w14:paraId="70857B11" w14:textId="77777777" w:rsidR="00B47AE8" w:rsidRPr="00E359BF" w:rsidRDefault="00B47AE8">
            <w:pPr>
              <w:pStyle w:val="TableTextCentered"/>
              <w:rPr>
                <w:rFonts w:eastAsia="Times New Roman"/>
              </w:rPr>
            </w:pPr>
            <w:r>
              <w:rPr>
                <w:rFonts w:eastAsia="Times New Roman"/>
              </w:rPr>
              <w:t>0</w:t>
            </w:r>
          </w:p>
        </w:tc>
        <w:tc>
          <w:tcPr>
            <w:tcW w:w="655" w:type="dxa"/>
          </w:tcPr>
          <w:p w14:paraId="4BCF3156" w14:textId="77777777" w:rsidR="00B47AE8" w:rsidRPr="00E359BF" w:rsidRDefault="00B47AE8">
            <w:pPr>
              <w:pStyle w:val="TableTextCentered"/>
              <w:rPr>
                <w:rFonts w:eastAsia="Times New Roman"/>
              </w:rPr>
            </w:pPr>
            <w:r>
              <w:rPr>
                <w:rFonts w:eastAsia="Times New Roman"/>
              </w:rPr>
              <w:t>0</w:t>
            </w:r>
          </w:p>
        </w:tc>
        <w:tc>
          <w:tcPr>
            <w:tcW w:w="653" w:type="dxa"/>
          </w:tcPr>
          <w:p w14:paraId="66A49B50" w14:textId="77777777" w:rsidR="00B47AE8" w:rsidRPr="00E359BF" w:rsidRDefault="00B47AE8">
            <w:pPr>
              <w:pStyle w:val="TableTextCentered"/>
              <w:rPr>
                <w:rFonts w:eastAsia="Times New Roman"/>
              </w:rPr>
            </w:pPr>
            <w:r>
              <w:rPr>
                <w:rFonts w:eastAsia="Times New Roman"/>
              </w:rPr>
              <w:t>3</w:t>
            </w:r>
          </w:p>
        </w:tc>
        <w:tc>
          <w:tcPr>
            <w:tcW w:w="655" w:type="dxa"/>
          </w:tcPr>
          <w:p w14:paraId="53E73B8E" w14:textId="77777777" w:rsidR="00B47AE8" w:rsidRPr="00E359BF" w:rsidRDefault="00B47AE8">
            <w:pPr>
              <w:pStyle w:val="TableTextCentered"/>
              <w:rPr>
                <w:rFonts w:eastAsia="Times New Roman"/>
              </w:rPr>
            </w:pPr>
            <w:r>
              <w:rPr>
                <w:rFonts w:eastAsia="Times New Roman"/>
              </w:rPr>
              <w:t>15</w:t>
            </w:r>
          </w:p>
        </w:tc>
        <w:tc>
          <w:tcPr>
            <w:tcW w:w="655" w:type="dxa"/>
          </w:tcPr>
          <w:p w14:paraId="68E49B36" w14:textId="77777777" w:rsidR="00B47AE8" w:rsidRPr="00E359BF" w:rsidRDefault="00B47AE8">
            <w:pPr>
              <w:pStyle w:val="TableTextCentered"/>
              <w:rPr>
                <w:rFonts w:eastAsia="Times New Roman"/>
              </w:rPr>
            </w:pPr>
            <w:r>
              <w:rPr>
                <w:rFonts w:eastAsia="Times New Roman"/>
              </w:rPr>
              <w:t>25</w:t>
            </w:r>
          </w:p>
        </w:tc>
        <w:tc>
          <w:tcPr>
            <w:tcW w:w="515" w:type="dxa"/>
          </w:tcPr>
          <w:p w14:paraId="252364A6" w14:textId="77777777" w:rsidR="00B47AE8" w:rsidRPr="00E359BF" w:rsidRDefault="00B47AE8">
            <w:pPr>
              <w:pStyle w:val="TableTextCentered"/>
              <w:rPr>
                <w:rFonts w:eastAsia="Times New Roman"/>
              </w:rPr>
            </w:pPr>
            <w:r>
              <w:rPr>
                <w:rFonts w:eastAsia="Times New Roman"/>
              </w:rPr>
              <w:t>43</w:t>
            </w:r>
          </w:p>
        </w:tc>
        <w:tc>
          <w:tcPr>
            <w:tcW w:w="952" w:type="dxa"/>
          </w:tcPr>
          <w:p w14:paraId="59D8FBB6" w14:textId="77777777" w:rsidR="00B47AE8" w:rsidRPr="00E359BF" w:rsidRDefault="00B47AE8">
            <w:pPr>
              <w:pStyle w:val="TableTextCentered"/>
              <w:rPr>
                <w:rFonts w:eastAsia="Times New Roman"/>
              </w:rPr>
            </w:pPr>
            <w:r>
              <w:rPr>
                <w:rFonts w:eastAsia="Times New Roman"/>
              </w:rPr>
              <w:t>6.5</w:t>
            </w:r>
          </w:p>
        </w:tc>
      </w:tr>
      <w:tr w:rsidR="00B47AE8" w:rsidRPr="00E359BF" w14:paraId="7EB5E3D9" w14:textId="77777777" w:rsidTr="007A0CFB">
        <w:tc>
          <w:tcPr>
            <w:tcW w:w="3297" w:type="dxa"/>
          </w:tcPr>
          <w:p w14:paraId="6FA337D2" w14:textId="77777777" w:rsidR="00B47AE8" w:rsidRPr="00EB088B" w:rsidRDefault="00B47AE8">
            <w:pPr>
              <w:pStyle w:val="TableText"/>
              <w:ind w:left="204"/>
              <w:rPr>
                <w:rFonts w:ascii="Franklin Gothic Book" w:hAnsi="Franklin Gothic Book"/>
                <w:b/>
                <w:bCs/>
              </w:rPr>
            </w:pPr>
            <w:r w:rsidRPr="00EB088B">
              <w:rPr>
                <w:rFonts w:ascii="Franklin Gothic Book" w:hAnsi="Franklin Gothic Book"/>
              </w:rPr>
              <w:t>Productivity</w:t>
            </w:r>
          </w:p>
        </w:tc>
        <w:tc>
          <w:tcPr>
            <w:tcW w:w="654" w:type="dxa"/>
          </w:tcPr>
          <w:p w14:paraId="63A15884" w14:textId="77777777" w:rsidR="00B47AE8" w:rsidRPr="00E359BF" w:rsidRDefault="00B47AE8">
            <w:pPr>
              <w:pStyle w:val="TableTextCentered"/>
              <w:rPr>
                <w:rFonts w:eastAsia="Times New Roman"/>
              </w:rPr>
            </w:pPr>
            <w:r>
              <w:rPr>
                <w:rFonts w:eastAsia="Times New Roman"/>
              </w:rPr>
              <w:t>0</w:t>
            </w:r>
          </w:p>
        </w:tc>
        <w:tc>
          <w:tcPr>
            <w:tcW w:w="631" w:type="dxa"/>
          </w:tcPr>
          <w:p w14:paraId="3FCDA914" w14:textId="77777777" w:rsidR="00B47AE8" w:rsidRPr="00E359BF" w:rsidRDefault="00B47AE8">
            <w:pPr>
              <w:pStyle w:val="TableTextCentered"/>
              <w:rPr>
                <w:rFonts w:eastAsia="Times New Roman"/>
              </w:rPr>
            </w:pPr>
            <w:r>
              <w:rPr>
                <w:rFonts w:eastAsia="Times New Roman"/>
              </w:rPr>
              <w:t>0</w:t>
            </w:r>
          </w:p>
        </w:tc>
        <w:tc>
          <w:tcPr>
            <w:tcW w:w="677" w:type="dxa"/>
          </w:tcPr>
          <w:p w14:paraId="4FDC3809" w14:textId="77777777" w:rsidR="00B47AE8" w:rsidRPr="00E359BF" w:rsidRDefault="00B47AE8">
            <w:pPr>
              <w:pStyle w:val="TableTextCentered"/>
              <w:rPr>
                <w:rFonts w:eastAsia="Times New Roman"/>
              </w:rPr>
            </w:pPr>
            <w:r>
              <w:rPr>
                <w:rFonts w:eastAsia="Times New Roman"/>
              </w:rPr>
              <w:t>0</w:t>
            </w:r>
          </w:p>
        </w:tc>
        <w:tc>
          <w:tcPr>
            <w:tcW w:w="655" w:type="dxa"/>
          </w:tcPr>
          <w:p w14:paraId="4E5E8DF5" w14:textId="77777777" w:rsidR="00B47AE8" w:rsidRPr="00E359BF" w:rsidRDefault="00B47AE8">
            <w:pPr>
              <w:pStyle w:val="TableTextCentered"/>
              <w:rPr>
                <w:rFonts w:eastAsia="Times New Roman"/>
              </w:rPr>
            </w:pPr>
            <w:r>
              <w:rPr>
                <w:rFonts w:eastAsia="Times New Roman"/>
              </w:rPr>
              <w:t>0</w:t>
            </w:r>
          </w:p>
        </w:tc>
        <w:tc>
          <w:tcPr>
            <w:tcW w:w="653" w:type="dxa"/>
          </w:tcPr>
          <w:p w14:paraId="1C78BDEF" w14:textId="77777777" w:rsidR="00B47AE8" w:rsidRPr="00E359BF" w:rsidRDefault="00B47AE8">
            <w:pPr>
              <w:pStyle w:val="TableTextCentered"/>
              <w:rPr>
                <w:rFonts w:eastAsia="Times New Roman"/>
              </w:rPr>
            </w:pPr>
            <w:r>
              <w:rPr>
                <w:rFonts w:eastAsia="Times New Roman"/>
              </w:rPr>
              <w:t>5</w:t>
            </w:r>
          </w:p>
        </w:tc>
        <w:tc>
          <w:tcPr>
            <w:tcW w:w="655" w:type="dxa"/>
          </w:tcPr>
          <w:p w14:paraId="5F1B29B4" w14:textId="77777777" w:rsidR="00B47AE8" w:rsidRPr="00E359BF" w:rsidRDefault="00B47AE8">
            <w:pPr>
              <w:pStyle w:val="TableTextCentered"/>
              <w:rPr>
                <w:rFonts w:eastAsia="Times New Roman"/>
              </w:rPr>
            </w:pPr>
            <w:r>
              <w:rPr>
                <w:rFonts w:eastAsia="Times New Roman"/>
              </w:rPr>
              <w:t>7</w:t>
            </w:r>
          </w:p>
        </w:tc>
        <w:tc>
          <w:tcPr>
            <w:tcW w:w="655" w:type="dxa"/>
          </w:tcPr>
          <w:p w14:paraId="301BBADA" w14:textId="77777777" w:rsidR="00B47AE8" w:rsidRPr="00E359BF" w:rsidRDefault="00B47AE8">
            <w:pPr>
              <w:pStyle w:val="TableTextCentered"/>
              <w:rPr>
                <w:rFonts w:eastAsia="Times New Roman"/>
              </w:rPr>
            </w:pPr>
            <w:r>
              <w:rPr>
                <w:rFonts w:eastAsia="Times New Roman"/>
              </w:rPr>
              <w:t>31</w:t>
            </w:r>
          </w:p>
        </w:tc>
        <w:tc>
          <w:tcPr>
            <w:tcW w:w="515" w:type="dxa"/>
          </w:tcPr>
          <w:p w14:paraId="32DC1C95" w14:textId="77777777" w:rsidR="00B47AE8" w:rsidRPr="00E359BF" w:rsidRDefault="00B47AE8">
            <w:pPr>
              <w:pStyle w:val="TableTextCentered"/>
              <w:rPr>
                <w:rFonts w:eastAsia="Times New Roman"/>
              </w:rPr>
            </w:pPr>
            <w:r>
              <w:rPr>
                <w:rFonts w:eastAsia="Times New Roman"/>
              </w:rPr>
              <w:t>43</w:t>
            </w:r>
          </w:p>
        </w:tc>
        <w:tc>
          <w:tcPr>
            <w:tcW w:w="952" w:type="dxa"/>
          </w:tcPr>
          <w:p w14:paraId="41413C5F" w14:textId="77777777" w:rsidR="00B47AE8" w:rsidRPr="00E359BF" w:rsidRDefault="00B47AE8">
            <w:pPr>
              <w:pStyle w:val="TableTextCentered"/>
              <w:rPr>
                <w:rFonts w:eastAsia="Times New Roman"/>
              </w:rPr>
            </w:pPr>
            <w:r>
              <w:rPr>
                <w:rFonts w:eastAsia="Times New Roman"/>
              </w:rPr>
              <w:t>6.6</w:t>
            </w:r>
          </w:p>
        </w:tc>
      </w:tr>
      <w:tr w:rsidR="00B47AE8" w:rsidRPr="00E359BF" w14:paraId="341B4BCF" w14:textId="77777777" w:rsidTr="007A0CFB">
        <w:tc>
          <w:tcPr>
            <w:tcW w:w="3297" w:type="dxa"/>
          </w:tcPr>
          <w:p w14:paraId="22F2E5C8" w14:textId="77777777" w:rsidR="00B47AE8" w:rsidRPr="00EB088B" w:rsidRDefault="00B47AE8">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54" w:type="dxa"/>
          </w:tcPr>
          <w:p w14:paraId="5B65FD80" w14:textId="77777777" w:rsidR="00B47AE8" w:rsidRPr="00E359BF" w:rsidRDefault="00B47AE8">
            <w:pPr>
              <w:pStyle w:val="TableTextCentered"/>
              <w:rPr>
                <w:rFonts w:eastAsia="Times New Roman"/>
              </w:rPr>
            </w:pPr>
            <w:r>
              <w:rPr>
                <w:rFonts w:eastAsia="Times New Roman"/>
              </w:rPr>
              <w:t>1</w:t>
            </w:r>
          </w:p>
        </w:tc>
        <w:tc>
          <w:tcPr>
            <w:tcW w:w="631" w:type="dxa"/>
          </w:tcPr>
          <w:p w14:paraId="72BAFB27" w14:textId="77777777" w:rsidR="00B47AE8" w:rsidRPr="00E359BF" w:rsidRDefault="00B47AE8">
            <w:pPr>
              <w:pStyle w:val="TableTextCentered"/>
              <w:rPr>
                <w:rFonts w:eastAsia="Times New Roman"/>
              </w:rPr>
            </w:pPr>
            <w:r>
              <w:rPr>
                <w:rFonts w:eastAsia="Times New Roman"/>
              </w:rPr>
              <w:t>0</w:t>
            </w:r>
          </w:p>
        </w:tc>
        <w:tc>
          <w:tcPr>
            <w:tcW w:w="677" w:type="dxa"/>
          </w:tcPr>
          <w:p w14:paraId="0A41F757" w14:textId="77777777" w:rsidR="00B47AE8" w:rsidRPr="00E359BF" w:rsidRDefault="00B47AE8">
            <w:pPr>
              <w:pStyle w:val="TableTextCentered"/>
              <w:rPr>
                <w:rFonts w:eastAsia="Times New Roman"/>
              </w:rPr>
            </w:pPr>
            <w:r>
              <w:rPr>
                <w:rFonts w:eastAsia="Times New Roman"/>
              </w:rPr>
              <w:t>4</w:t>
            </w:r>
          </w:p>
        </w:tc>
        <w:tc>
          <w:tcPr>
            <w:tcW w:w="655" w:type="dxa"/>
          </w:tcPr>
          <w:p w14:paraId="1FBA74F0" w14:textId="77777777" w:rsidR="00B47AE8" w:rsidRPr="00E359BF" w:rsidRDefault="00B47AE8">
            <w:pPr>
              <w:pStyle w:val="TableTextCentered"/>
              <w:rPr>
                <w:rFonts w:eastAsia="Times New Roman"/>
              </w:rPr>
            </w:pPr>
            <w:r>
              <w:rPr>
                <w:rFonts w:eastAsia="Times New Roman"/>
              </w:rPr>
              <w:t>3</w:t>
            </w:r>
          </w:p>
        </w:tc>
        <w:tc>
          <w:tcPr>
            <w:tcW w:w="653" w:type="dxa"/>
          </w:tcPr>
          <w:p w14:paraId="4F24D4BB" w14:textId="77777777" w:rsidR="00B47AE8" w:rsidRPr="00E359BF" w:rsidRDefault="00B47AE8">
            <w:pPr>
              <w:pStyle w:val="TableTextCentered"/>
              <w:rPr>
                <w:rFonts w:eastAsia="Times New Roman"/>
              </w:rPr>
            </w:pPr>
            <w:r>
              <w:rPr>
                <w:rFonts w:eastAsia="Times New Roman"/>
              </w:rPr>
              <w:t>16</w:t>
            </w:r>
          </w:p>
        </w:tc>
        <w:tc>
          <w:tcPr>
            <w:tcW w:w="655" w:type="dxa"/>
          </w:tcPr>
          <w:p w14:paraId="5301F6F4" w14:textId="77777777" w:rsidR="00B47AE8" w:rsidRPr="00E359BF" w:rsidRDefault="00B47AE8">
            <w:pPr>
              <w:pStyle w:val="TableTextCentered"/>
              <w:rPr>
                <w:rFonts w:eastAsia="Times New Roman"/>
              </w:rPr>
            </w:pPr>
            <w:r>
              <w:rPr>
                <w:rFonts w:eastAsia="Times New Roman"/>
              </w:rPr>
              <w:t>14</w:t>
            </w:r>
          </w:p>
        </w:tc>
        <w:tc>
          <w:tcPr>
            <w:tcW w:w="655" w:type="dxa"/>
          </w:tcPr>
          <w:p w14:paraId="0D6BD37F" w14:textId="77777777" w:rsidR="00B47AE8" w:rsidRPr="00E359BF" w:rsidRDefault="00B47AE8">
            <w:pPr>
              <w:pStyle w:val="TableTextCentered"/>
              <w:rPr>
                <w:rFonts w:eastAsia="Times New Roman"/>
              </w:rPr>
            </w:pPr>
            <w:r>
              <w:rPr>
                <w:rFonts w:eastAsia="Times New Roman"/>
              </w:rPr>
              <w:t>5</w:t>
            </w:r>
          </w:p>
        </w:tc>
        <w:tc>
          <w:tcPr>
            <w:tcW w:w="515" w:type="dxa"/>
          </w:tcPr>
          <w:p w14:paraId="7C9D7557" w14:textId="77777777" w:rsidR="00B47AE8" w:rsidRPr="00E359BF" w:rsidRDefault="00B47AE8">
            <w:pPr>
              <w:pStyle w:val="TableTextCentered"/>
              <w:rPr>
                <w:rFonts w:eastAsia="Times New Roman"/>
              </w:rPr>
            </w:pPr>
            <w:r>
              <w:rPr>
                <w:rFonts w:eastAsia="Times New Roman"/>
              </w:rPr>
              <w:t>43</w:t>
            </w:r>
          </w:p>
        </w:tc>
        <w:tc>
          <w:tcPr>
            <w:tcW w:w="952" w:type="dxa"/>
          </w:tcPr>
          <w:p w14:paraId="3FAB9260" w14:textId="77777777" w:rsidR="00B47AE8" w:rsidRPr="00E359BF" w:rsidRDefault="00B47AE8">
            <w:pPr>
              <w:pStyle w:val="TableTextCentered"/>
              <w:rPr>
                <w:rFonts w:eastAsia="Times New Roman"/>
              </w:rPr>
            </w:pPr>
            <w:r>
              <w:rPr>
                <w:rFonts w:eastAsia="Times New Roman"/>
              </w:rPr>
              <w:t>5.2</w:t>
            </w:r>
          </w:p>
        </w:tc>
      </w:tr>
      <w:tr w:rsidR="00B47AE8" w:rsidRPr="00E359BF" w14:paraId="333B39CB" w14:textId="77777777" w:rsidTr="007A0CFB">
        <w:tc>
          <w:tcPr>
            <w:tcW w:w="3297" w:type="dxa"/>
            <w:shd w:val="clear" w:color="auto" w:fill="D9E2F3" w:themeFill="accent5" w:themeFillTint="33"/>
          </w:tcPr>
          <w:p w14:paraId="1638235C" w14:textId="77777777" w:rsidR="00B47AE8" w:rsidRPr="00EB088B" w:rsidRDefault="00B47AE8" w:rsidP="00B47AE8">
            <w:pPr>
              <w:pStyle w:val="TableSubheading"/>
              <w:rPr>
                <w:szCs w:val="20"/>
              </w:rPr>
            </w:pPr>
            <w:r w:rsidRPr="00EB088B">
              <w:t>Instructional Support Domain</w:t>
            </w:r>
          </w:p>
        </w:tc>
        <w:tc>
          <w:tcPr>
            <w:tcW w:w="654" w:type="dxa"/>
            <w:shd w:val="clear" w:color="auto" w:fill="D9E2F3" w:themeFill="accent5" w:themeFillTint="33"/>
          </w:tcPr>
          <w:p w14:paraId="02B14E20" w14:textId="77777777" w:rsidR="00B47AE8" w:rsidRPr="00E359BF" w:rsidRDefault="00B47AE8">
            <w:pPr>
              <w:pStyle w:val="TableTextCenteredDemi"/>
              <w:rPr>
                <w:rFonts w:eastAsia="Times New Roman"/>
              </w:rPr>
            </w:pPr>
            <w:r>
              <w:rPr>
                <w:rFonts w:eastAsia="Times New Roman"/>
              </w:rPr>
              <w:t>10</w:t>
            </w:r>
          </w:p>
        </w:tc>
        <w:tc>
          <w:tcPr>
            <w:tcW w:w="631" w:type="dxa"/>
            <w:shd w:val="clear" w:color="auto" w:fill="D9E2F3" w:themeFill="accent5" w:themeFillTint="33"/>
          </w:tcPr>
          <w:p w14:paraId="670EE2F6" w14:textId="77777777" w:rsidR="00B47AE8" w:rsidRPr="00E359BF" w:rsidRDefault="00B47AE8">
            <w:pPr>
              <w:pStyle w:val="TableTextCenteredDemi"/>
              <w:rPr>
                <w:rFonts w:eastAsia="Times New Roman"/>
              </w:rPr>
            </w:pPr>
            <w:r>
              <w:rPr>
                <w:rFonts w:eastAsia="Times New Roman"/>
              </w:rPr>
              <w:t>34</w:t>
            </w:r>
          </w:p>
        </w:tc>
        <w:tc>
          <w:tcPr>
            <w:tcW w:w="677" w:type="dxa"/>
            <w:shd w:val="clear" w:color="auto" w:fill="D9E2F3" w:themeFill="accent5" w:themeFillTint="33"/>
          </w:tcPr>
          <w:p w14:paraId="4125E032" w14:textId="77777777" w:rsidR="00B47AE8" w:rsidRPr="00E359BF" w:rsidRDefault="00B47AE8">
            <w:pPr>
              <w:pStyle w:val="TableTextCenteredDemi"/>
              <w:rPr>
                <w:rFonts w:eastAsia="Times New Roman"/>
              </w:rPr>
            </w:pPr>
            <w:r>
              <w:rPr>
                <w:rFonts w:eastAsia="Times New Roman"/>
              </w:rPr>
              <w:t>42</w:t>
            </w:r>
          </w:p>
        </w:tc>
        <w:tc>
          <w:tcPr>
            <w:tcW w:w="655" w:type="dxa"/>
            <w:shd w:val="clear" w:color="auto" w:fill="D9E2F3" w:themeFill="accent5" w:themeFillTint="33"/>
          </w:tcPr>
          <w:p w14:paraId="6516AD10" w14:textId="77777777" w:rsidR="00B47AE8" w:rsidRPr="00E359BF" w:rsidRDefault="00B47AE8">
            <w:pPr>
              <w:pStyle w:val="TableTextCenteredDemi"/>
              <w:rPr>
                <w:rFonts w:eastAsia="Times New Roman"/>
              </w:rPr>
            </w:pPr>
            <w:r>
              <w:rPr>
                <w:rFonts w:eastAsia="Times New Roman"/>
              </w:rPr>
              <w:t>33</w:t>
            </w:r>
          </w:p>
        </w:tc>
        <w:tc>
          <w:tcPr>
            <w:tcW w:w="653" w:type="dxa"/>
            <w:shd w:val="clear" w:color="auto" w:fill="D9E2F3" w:themeFill="accent5" w:themeFillTint="33"/>
          </w:tcPr>
          <w:p w14:paraId="31FA22EB" w14:textId="77777777" w:rsidR="00B47AE8" w:rsidRPr="00E359BF" w:rsidRDefault="00B47AE8">
            <w:pPr>
              <w:pStyle w:val="TableTextCenteredDemi"/>
              <w:rPr>
                <w:rFonts w:eastAsia="Times New Roman"/>
              </w:rPr>
            </w:pPr>
            <w:r>
              <w:rPr>
                <w:rFonts w:eastAsia="Times New Roman"/>
              </w:rPr>
              <w:t>16</w:t>
            </w:r>
          </w:p>
        </w:tc>
        <w:tc>
          <w:tcPr>
            <w:tcW w:w="655" w:type="dxa"/>
            <w:shd w:val="clear" w:color="auto" w:fill="D9E2F3" w:themeFill="accent5" w:themeFillTint="33"/>
          </w:tcPr>
          <w:p w14:paraId="641A5E9F" w14:textId="77777777" w:rsidR="00B47AE8" w:rsidRPr="00E359BF" w:rsidRDefault="00B47AE8">
            <w:pPr>
              <w:pStyle w:val="TableTextCenteredDemi"/>
              <w:rPr>
                <w:rFonts w:eastAsia="Times New Roman"/>
              </w:rPr>
            </w:pPr>
            <w:r>
              <w:rPr>
                <w:rFonts w:eastAsia="Times New Roman"/>
              </w:rPr>
              <w:t>10</w:t>
            </w:r>
          </w:p>
        </w:tc>
        <w:tc>
          <w:tcPr>
            <w:tcW w:w="655" w:type="dxa"/>
            <w:shd w:val="clear" w:color="auto" w:fill="D9E2F3" w:themeFill="accent5" w:themeFillTint="33"/>
          </w:tcPr>
          <w:p w14:paraId="62ACDE04" w14:textId="77777777" w:rsidR="00B47AE8" w:rsidRPr="00E359BF" w:rsidRDefault="00B47AE8">
            <w:pPr>
              <w:pStyle w:val="TableTextCenteredDemi"/>
              <w:rPr>
                <w:rFonts w:eastAsia="Times New Roman"/>
              </w:rPr>
            </w:pPr>
            <w:r>
              <w:rPr>
                <w:rFonts w:eastAsia="Times New Roman"/>
              </w:rPr>
              <w:t>0</w:t>
            </w:r>
          </w:p>
        </w:tc>
        <w:tc>
          <w:tcPr>
            <w:tcW w:w="515" w:type="dxa"/>
            <w:shd w:val="clear" w:color="auto" w:fill="D9E2F3" w:themeFill="accent5" w:themeFillTint="33"/>
          </w:tcPr>
          <w:p w14:paraId="1CCE1AA5" w14:textId="77777777" w:rsidR="00B47AE8" w:rsidRPr="00E359BF" w:rsidRDefault="00B47AE8">
            <w:pPr>
              <w:pStyle w:val="TableTextCenteredDemi"/>
              <w:rPr>
                <w:rFonts w:eastAsia="Times New Roman"/>
              </w:rPr>
            </w:pPr>
            <w:r>
              <w:rPr>
                <w:rFonts w:eastAsia="Times New Roman"/>
              </w:rPr>
              <w:t>145</w:t>
            </w:r>
          </w:p>
        </w:tc>
        <w:tc>
          <w:tcPr>
            <w:tcW w:w="952" w:type="dxa"/>
            <w:shd w:val="clear" w:color="auto" w:fill="D9E2F3" w:themeFill="accent5" w:themeFillTint="33"/>
          </w:tcPr>
          <w:p w14:paraId="29E0E197" w14:textId="77777777" w:rsidR="00B47AE8" w:rsidRPr="00E359BF" w:rsidRDefault="00B47AE8">
            <w:pPr>
              <w:pStyle w:val="TableTextCenteredDemi"/>
              <w:rPr>
                <w:rFonts w:eastAsia="Times New Roman"/>
              </w:rPr>
            </w:pPr>
            <w:r>
              <w:rPr>
                <w:rFonts w:eastAsia="Times New Roman"/>
              </w:rPr>
              <w:t>3.3</w:t>
            </w:r>
          </w:p>
        </w:tc>
      </w:tr>
      <w:tr w:rsidR="00B47AE8" w:rsidRPr="00E359BF" w14:paraId="32E37D43" w14:textId="77777777" w:rsidTr="007A0CFB">
        <w:tc>
          <w:tcPr>
            <w:tcW w:w="3297" w:type="dxa"/>
          </w:tcPr>
          <w:p w14:paraId="0224F5B8" w14:textId="77777777" w:rsidR="00B47AE8" w:rsidRPr="00EB088B" w:rsidRDefault="00B47AE8">
            <w:pPr>
              <w:pStyle w:val="TableText"/>
              <w:ind w:left="204"/>
              <w:rPr>
                <w:rFonts w:ascii="Franklin Gothic Book" w:hAnsi="Franklin Gothic Book"/>
                <w:b/>
                <w:bCs/>
              </w:rPr>
            </w:pPr>
            <w:r w:rsidRPr="00EB088B">
              <w:rPr>
                <w:rFonts w:ascii="Franklin Gothic Book" w:hAnsi="Franklin Gothic Book"/>
              </w:rPr>
              <w:t>Concept Development (K-3 only)</w:t>
            </w:r>
          </w:p>
        </w:tc>
        <w:tc>
          <w:tcPr>
            <w:tcW w:w="654" w:type="dxa"/>
          </w:tcPr>
          <w:p w14:paraId="5EF34692" w14:textId="77777777" w:rsidR="00B47AE8" w:rsidRPr="00E359BF" w:rsidRDefault="00B47AE8">
            <w:pPr>
              <w:pStyle w:val="TableTextCentered"/>
              <w:rPr>
                <w:rFonts w:eastAsia="Times New Roman"/>
              </w:rPr>
            </w:pPr>
            <w:r>
              <w:rPr>
                <w:rFonts w:eastAsia="Times New Roman"/>
              </w:rPr>
              <w:t>4</w:t>
            </w:r>
          </w:p>
        </w:tc>
        <w:tc>
          <w:tcPr>
            <w:tcW w:w="631" w:type="dxa"/>
          </w:tcPr>
          <w:p w14:paraId="35E727C2" w14:textId="77777777" w:rsidR="00B47AE8" w:rsidRPr="00E359BF" w:rsidRDefault="00B47AE8">
            <w:pPr>
              <w:pStyle w:val="TableTextCentered"/>
              <w:rPr>
                <w:rFonts w:eastAsia="Times New Roman"/>
              </w:rPr>
            </w:pPr>
            <w:r>
              <w:rPr>
                <w:rFonts w:eastAsia="Times New Roman"/>
              </w:rPr>
              <w:t>12</w:t>
            </w:r>
          </w:p>
        </w:tc>
        <w:tc>
          <w:tcPr>
            <w:tcW w:w="677" w:type="dxa"/>
          </w:tcPr>
          <w:p w14:paraId="7FED0A59" w14:textId="77777777" w:rsidR="00B47AE8" w:rsidRPr="00E359BF" w:rsidRDefault="00B47AE8">
            <w:pPr>
              <w:pStyle w:val="TableTextCentered"/>
              <w:rPr>
                <w:rFonts w:eastAsia="Times New Roman"/>
              </w:rPr>
            </w:pPr>
            <w:r>
              <w:rPr>
                <w:rFonts w:eastAsia="Times New Roman"/>
              </w:rPr>
              <w:t>2</w:t>
            </w:r>
          </w:p>
        </w:tc>
        <w:tc>
          <w:tcPr>
            <w:tcW w:w="655" w:type="dxa"/>
          </w:tcPr>
          <w:p w14:paraId="43B30679" w14:textId="77777777" w:rsidR="00B47AE8" w:rsidRPr="00E359BF" w:rsidRDefault="00B47AE8">
            <w:pPr>
              <w:pStyle w:val="TableTextCentered"/>
              <w:rPr>
                <w:rFonts w:eastAsia="Times New Roman"/>
              </w:rPr>
            </w:pPr>
            <w:r>
              <w:rPr>
                <w:rFonts w:eastAsia="Times New Roman"/>
              </w:rPr>
              <w:t>4</w:t>
            </w:r>
          </w:p>
        </w:tc>
        <w:tc>
          <w:tcPr>
            <w:tcW w:w="653" w:type="dxa"/>
          </w:tcPr>
          <w:p w14:paraId="460C1976" w14:textId="77777777" w:rsidR="00B47AE8" w:rsidRPr="00E359BF" w:rsidRDefault="00B47AE8">
            <w:pPr>
              <w:pStyle w:val="TableTextCentered"/>
              <w:rPr>
                <w:rFonts w:eastAsia="Times New Roman"/>
              </w:rPr>
            </w:pPr>
            <w:r>
              <w:rPr>
                <w:rFonts w:eastAsia="Times New Roman"/>
              </w:rPr>
              <w:t>5</w:t>
            </w:r>
          </w:p>
        </w:tc>
        <w:tc>
          <w:tcPr>
            <w:tcW w:w="655" w:type="dxa"/>
          </w:tcPr>
          <w:p w14:paraId="5939A4F9" w14:textId="77777777" w:rsidR="00B47AE8" w:rsidRPr="00E359BF" w:rsidRDefault="00B47AE8">
            <w:pPr>
              <w:pStyle w:val="TableTextCentered"/>
              <w:rPr>
                <w:rFonts w:eastAsia="Times New Roman"/>
              </w:rPr>
            </w:pPr>
            <w:r>
              <w:rPr>
                <w:rFonts w:eastAsia="Times New Roman"/>
              </w:rPr>
              <w:t>0</w:t>
            </w:r>
          </w:p>
        </w:tc>
        <w:tc>
          <w:tcPr>
            <w:tcW w:w="655" w:type="dxa"/>
          </w:tcPr>
          <w:p w14:paraId="137ACDE2" w14:textId="77777777" w:rsidR="00B47AE8" w:rsidRPr="00E359BF" w:rsidRDefault="00B47AE8">
            <w:pPr>
              <w:pStyle w:val="TableTextCentered"/>
              <w:rPr>
                <w:rFonts w:eastAsia="Times New Roman"/>
              </w:rPr>
            </w:pPr>
            <w:r>
              <w:rPr>
                <w:rFonts w:eastAsia="Times New Roman"/>
              </w:rPr>
              <w:t>0</w:t>
            </w:r>
          </w:p>
        </w:tc>
        <w:tc>
          <w:tcPr>
            <w:tcW w:w="515" w:type="dxa"/>
          </w:tcPr>
          <w:p w14:paraId="69392061" w14:textId="77777777" w:rsidR="00B47AE8" w:rsidRPr="00E359BF" w:rsidRDefault="00B47AE8">
            <w:pPr>
              <w:pStyle w:val="TableTextCentered"/>
              <w:rPr>
                <w:rFonts w:eastAsia="Times New Roman"/>
              </w:rPr>
            </w:pPr>
            <w:r>
              <w:rPr>
                <w:rFonts w:eastAsia="Times New Roman"/>
              </w:rPr>
              <w:t>27</w:t>
            </w:r>
          </w:p>
        </w:tc>
        <w:tc>
          <w:tcPr>
            <w:tcW w:w="952" w:type="dxa"/>
          </w:tcPr>
          <w:p w14:paraId="4F9C1BCE" w14:textId="77777777" w:rsidR="00B47AE8" w:rsidRPr="00E359BF" w:rsidRDefault="00B47AE8">
            <w:pPr>
              <w:pStyle w:val="TableTextCentered"/>
              <w:rPr>
                <w:rFonts w:eastAsia="Times New Roman"/>
              </w:rPr>
            </w:pPr>
            <w:r>
              <w:rPr>
                <w:rFonts w:eastAsia="Times New Roman"/>
              </w:rPr>
              <w:t>2.8</w:t>
            </w:r>
          </w:p>
        </w:tc>
      </w:tr>
      <w:tr w:rsidR="00B47AE8" w:rsidRPr="00E359BF" w14:paraId="5A9DD0C7" w14:textId="77777777" w:rsidTr="007A0CFB">
        <w:tc>
          <w:tcPr>
            <w:tcW w:w="3297" w:type="dxa"/>
            <w:vAlign w:val="center"/>
          </w:tcPr>
          <w:p w14:paraId="5C493B7F" w14:textId="77777777" w:rsidR="00B47AE8" w:rsidRPr="00EB088B" w:rsidRDefault="00B47AE8">
            <w:pPr>
              <w:pStyle w:val="TableText"/>
              <w:ind w:left="204"/>
              <w:rPr>
                <w:rFonts w:ascii="Franklin Gothic Book" w:hAnsi="Franklin Gothic Book"/>
              </w:rPr>
            </w:pPr>
            <w:r w:rsidRPr="00EB088B">
              <w:rPr>
                <w:rFonts w:ascii="Franklin Gothic Book" w:hAnsi="Franklin Gothic Book"/>
              </w:rPr>
              <w:t>Content Understanding (UE only)</w:t>
            </w:r>
          </w:p>
        </w:tc>
        <w:tc>
          <w:tcPr>
            <w:tcW w:w="654" w:type="dxa"/>
          </w:tcPr>
          <w:p w14:paraId="007C4DE8" w14:textId="77777777" w:rsidR="00B47AE8" w:rsidRPr="00E359BF" w:rsidRDefault="00B47AE8">
            <w:pPr>
              <w:pStyle w:val="TableTextCentered"/>
              <w:rPr>
                <w:rFonts w:eastAsia="Times New Roman"/>
              </w:rPr>
            </w:pPr>
            <w:r>
              <w:rPr>
                <w:rFonts w:eastAsia="Times New Roman"/>
              </w:rPr>
              <w:t>0</w:t>
            </w:r>
          </w:p>
        </w:tc>
        <w:tc>
          <w:tcPr>
            <w:tcW w:w="631" w:type="dxa"/>
          </w:tcPr>
          <w:p w14:paraId="3BC57DCC" w14:textId="77777777" w:rsidR="00B47AE8" w:rsidRPr="00E359BF" w:rsidRDefault="00B47AE8">
            <w:pPr>
              <w:pStyle w:val="TableTextCentered"/>
              <w:rPr>
                <w:rFonts w:eastAsia="Times New Roman"/>
              </w:rPr>
            </w:pPr>
            <w:r>
              <w:rPr>
                <w:rFonts w:eastAsia="Times New Roman"/>
              </w:rPr>
              <w:t>0</w:t>
            </w:r>
          </w:p>
        </w:tc>
        <w:tc>
          <w:tcPr>
            <w:tcW w:w="677" w:type="dxa"/>
          </w:tcPr>
          <w:p w14:paraId="2277BDA6" w14:textId="77777777" w:rsidR="00B47AE8" w:rsidRPr="00E359BF" w:rsidRDefault="00B47AE8">
            <w:pPr>
              <w:pStyle w:val="TableTextCentered"/>
              <w:rPr>
                <w:rFonts w:eastAsia="Times New Roman"/>
              </w:rPr>
            </w:pPr>
            <w:r>
              <w:rPr>
                <w:rFonts w:eastAsia="Times New Roman"/>
              </w:rPr>
              <w:t>5</w:t>
            </w:r>
          </w:p>
        </w:tc>
        <w:tc>
          <w:tcPr>
            <w:tcW w:w="655" w:type="dxa"/>
          </w:tcPr>
          <w:p w14:paraId="66B353A2" w14:textId="77777777" w:rsidR="00B47AE8" w:rsidRPr="00E359BF" w:rsidRDefault="00B47AE8">
            <w:pPr>
              <w:pStyle w:val="TableTextCentered"/>
              <w:rPr>
                <w:rFonts w:eastAsia="Times New Roman"/>
              </w:rPr>
            </w:pPr>
            <w:r>
              <w:rPr>
                <w:rFonts w:eastAsia="Times New Roman"/>
              </w:rPr>
              <w:t>5</w:t>
            </w:r>
          </w:p>
        </w:tc>
        <w:tc>
          <w:tcPr>
            <w:tcW w:w="653" w:type="dxa"/>
          </w:tcPr>
          <w:p w14:paraId="089C4EE3" w14:textId="77777777" w:rsidR="00B47AE8" w:rsidRPr="00E359BF" w:rsidRDefault="00B47AE8">
            <w:pPr>
              <w:pStyle w:val="TableTextCentered"/>
              <w:rPr>
                <w:rFonts w:eastAsia="Times New Roman"/>
              </w:rPr>
            </w:pPr>
            <w:r>
              <w:rPr>
                <w:rFonts w:eastAsia="Times New Roman"/>
              </w:rPr>
              <w:t>3</w:t>
            </w:r>
          </w:p>
        </w:tc>
        <w:tc>
          <w:tcPr>
            <w:tcW w:w="655" w:type="dxa"/>
          </w:tcPr>
          <w:p w14:paraId="6F8B168E" w14:textId="77777777" w:rsidR="00B47AE8" w:rsidRPr="00E359BF" w:rsidRDefault="00B47AE8">
            <w:pPr>
              <w:pStyle w:val="TableTextCentered"/>
              <w:rPr>
                <w:rFonts w:eastAsia="Times New Roman"/>
              </w:rPr>
            </w:pPr>
            <w:r>
              <w:rPr>
                <w:rFonts w:eastAsia="Times New Roman"/>
              </w:rPr>
              <w:t>3</w:t>
            </w:r>
          </w:p>
        </w:tc>
        <w:tc>
          <w:tcPr>
            <w:tcW w:w="655" w:type="dxa"/>
          </w:tcPr>
          <w:p w14:paraId="45ED395A" w14:textId="77777777" w:rsidR="00B47AE8" w:rsidRPr="00E359BF" w:rsidRDefault="00B47AE8">
            <w:pPr>
              <w:pStyle w:val="TableTextCentered"/>
              <w:rPr>
                <w:rFonts w:eastAsia="Times New Roman"/>
              </w:rPr>
            </w:pPr>
            <w:r>
              <w:rPr>
                <w:rFonts w:eastAsia="Times New Roman"/>
              </w:rPr>
              <w:t>0</w:t>
            </w:r>
          </w:p>
        </w:tc>
        <w:tc>
          <w:tcPr>
            <w:tcW w:w="515" w:type="dxa"/>
          </w:tcPr>
          <w:p w14:paraId="38BDFD99" w14:textId="77777777" w:rsidR="00B47AE8" w:rsidRPr="00E359BF" w:rsidRDefault="00B47AE8">
            <w:pPr>
              <w:pStyle w:val="TableTextCentered"/>
              <w:rPr>
                <w:rFonts w:eastAsia="Times New Roman"/>
              </w:rPr>
            </w:pPr>
            <w:r>
              <w:rPr>
                <w:rFonts w:eastAsia="Times New Roman"/>
              </w:rPr>
              <w:t>16</w:t>
            </w:r>
          </w:p>
        </w:tc>
        <w:tc>
          <w:tcPr>
            <w:tcW w:w="952" w:type="dxa"/>
          </w:tcPr>
          <w:p w14:paraId="6BB6B07E" w14:textId="77777777" w:rsidR="00B47AE8" w:rsidRPr="00E359BF" w:rsidRDefault="00B47AE8">
            <w:pPr>
              <w:pStyle w:val="TableTextCentered"/>
              <w:rPr>
                <w:rFonts w:eastAsia="Times New Roman"/>
              </w:rPr>
            </w:pPr>
            <w:r>
              <w:rPr>
                <w:rFonts w:eastAsia="Times New Roman"/>
              </w:rPr>
              <w:t>4.3</w:t>
            </w:r>
          </w:p>
        </w:tc>
      </w:tr>
      <w:tr w:rsidR="007A0CFB" w:rsidRPr="00E359BF" w14:paraId="17A82A03" w14:textId="77777777" w:rsidTr="007A0CFB">
        <w:tc>
          <w:tcPr>
            <w:tcW w:w="3297" w:type="dxa"/>
            <w:vAlign w:val="center"/>
          </w:tcPr>
          <w:p w14:paraId="735F37A2" w14:textId="77777777" w:rsidR="00B47AE8" w:rsidRPr="00EB088B" w:rsidRDefault="00B47AE8">
            <w:pPr>
              <w:pStyle w:val="TableText"/>
              <w:ind w:left="204"/>
              <w:rPr>
                <w:rFonts w:ascii="Franklin Gothic Book" w:hAnsi="Franklin Gothic Book"/>
              </w:rPr>
            </w:pPr>
            <w:r w:rsidRPr="00EB088B">
              <w:rPr>
                <w:rFonts w:ascii="Franklin Gothic Book" w:hAnsi="Franklin Gothic Book"/>
              </w:rPr>
              <w:t>Analysis and Inquiry (UE only)</w:t>
            </w:r>
          </w:p>
        </w:tc>
        <w:tc>
          <w:tcPr>
            <w:tcW w:w="654" w:type="dxa"/>
          </w:tcPr>
          <w:p w14:paraId="26E63DC9" w14:textId="77777777" w:rsidR="00B47AE8" w:rsidRPr="00E359BF" w:rsidRDefault="00B47AE8">
            <w:pPr>
              <w:pStyle w:val="TableTextCentered"/>
              <w:rPr>
                <w:rFonts w:eastAsia="Times New Roman"/>
              </w:rPr>
            </w:pPr>
            <w:r>
              <w:rPr>
                <w:rFonts w:eastAsia="Times New Roman"/>
              </w:rPr>
              <w:t>3</w:t>
            </w:r>
          </w:p>
        </w:tc>
        <w:tc>
          <w:tcPr>
            <w:tcW w:w="631" w:type="dxa"/>
          </w:tcPr>
          <w:p w14:paraId="69DD0C47" w14:textId="77777777" w:rsidR="00B47AE8" w:rsidRPr="00E359BF" w:rsidRDefault="00B47AE8">
            <w:pPr>
              <w:pStyle w:val="TableTextCentered"/>
              <w:rPr>
                <w:rFonts w:eastAsia="Times New Roman"/>
              </w:rPr>
            </w:pPr>
            <w:r>
              <w:rPr>
                <w:rFonts w:eastAsia="Times New Roman"/>
              </w:rPr>
              <w:t>4</w:t>
            </w:r>
          </w:p>
        </w:tc>
        <w:tc>
          <w:tcPr>
            <w:tcW w:w="677" w:type="dxa"/>
          </w:tcPr>
          <w:p w14:paraId="602CEBD7" w14:textId="77777777" w:rsidR="00B47AE8" w:rsidRPr="00E359BF" w:rsidRDefault="00B47AE8">
            <w:pPr>
              <w:pStyle w:val="TableTextCentered"/>
              <w:rPr>
                <w:rFonts w:eastAsia="Times New Roman"/>
              </w:rPr>
            </w:pPr>
            <w:r>
              <w:rPr>
                <w:rFonts w:eastAsia="Times New Roman"/>
              </w:rPr>
              <w:t>7</w:t>
            </w:r>
          </w:p>
        </w:tc>
        <w:tc>
          <w:tcPr>
            <w:tcW w:w="655" w:type="dxa"/>
          </w:tcPr>
          <w:p w14:paraId="36606E19" w14:textId="77777777" w:rsidR="00B47AE8" w:rsidRPr="00E359BF" w:rsidRDefault="00B47AE8">
            <w:pPr>
              <w:pStyle w:val="TableTextCentered"/>
              <w:rPr>
                <w:rFonts w:eastAsia="Times New Roman"/>
              </w:rPr>
            </w:pPr>
            <w:r>
              <w:rPr>
                <w:rFonts w:eastAsia="Times New Roman"/>
              </w:rPr>
              <w:t>1</w:t>
            </w:r>
          </w:p>
        </w:tc>
        <w:tc>
          <w:tcPr>
            <w:tcW w:w="653" w:type="dxa"/>
          </w:tcPr>
          <w:p w14:paraId="2C6C8A80" w14:textId="77777777" w:rsidR="00B47AE8" w:rsidRPr="00E359BF" w:rsidRDefault="00B47AE8">
            <w:pPr>
              <w:pStyle w:val="TableTextCentered"/>
              <w:rPr>
                <w:rFonts w:eastAsia="Times New Roman"/>
              </w:rPr>
            </w:pPr>
            <w:r>
              <w:rPr>
                <w:rFonts w:eastAsia="Times New Roman"/>
              </w:rPr>
              <w:t>0</w:t>
            </w:r>
          </w:p>
        </w:tc>
        <w:tc>
          <w:tcPr>
            <w:tcW w:w="655" w:type="dxa"/>
          </w:tcPr>
          <w:p w14:paraId="5B0A2D09" w14:textId="77777777" w:rsidR="00B47AE8" w:rsidRPr="00E359BF" w:rsidRDefault="00B47AE8">
            <w:pPr>
              <w:pStyle w:val="TableTextCentered"/>
              <w:rPr>
                <w:rFonts w:eastAsia="Times New Roman"/>
              </w:rPr>
            </w:pPr>
            <w:r>
              <w:rPr>
                <w:rFonts w:eastAsia="Times New Roman"/>
              </w:rPr>
              <w:t>1</w:t>
            </w:r>
          </w:p>
        </w:tc>
        <w:tc>
          <w:tcPr>
            <w:tcW w:w="655" w:type="dxa"/>
          </w:tcPr>
          <w:p w14:paraId="306E989F" w14:textId="77777777" w:rsidR="00B47AE8" w:rsidRPr="00E359BF" w:rsidRDefault="00B47AE8">
            <w:pPr>
              <w:pStyle w:val="TableTextCentered"/>
              <w:rPr>
                <w:rFonts w:eastAsia="Times New Roman"/>
              </w:rPr>
            </w:pPr>
            <w:r>
              <w:rPr>
                <w:rFonts w:eastAsia="Times New Roman"/>
              </w:rPr>
              <w:t>0</w:t>
            </w:r>
          </w:p>
        </w:tc>
        <w:tc>
          <w:tcPr>
            <w:tcW w:w="515" w:type="dxa"/>
          </w:tcPr>
          <w:p w14:paraId="1DE1EA40" w14:textId="77777777" w:rsidR="00B47AE8" w:rsidRPr="00E359BF" w:rsidRDefault="00B47AE8">
            <w:pPr>
              <w:pStyle w:val="TableTextCentered"/>
              <w:rPr>
                <w:rFonts w:eastAsia="Times New Roman"/>
              </w:rPr>
            </w:pPr>
            <w:r>
              <w:rPr>
                <w:rFonts w:eastAsia="Times New Roman"/>
              </w:rPr>
              <w:t>16</w:t>
            </w:r>
          </w:p>
        </w:tc>
        <w:tc>
          <w:tcPr>
            <w:tcW w:w="952" w:type="dxa"/>
          </w:tcPr>
          <w:p w14:paraId="7EE44E98" w14:textId="77777777" w:rsidR="00B47AE8" w:rsidRPr="00E359BF" w:rsidRDefault="00B47AE8">
            <w:pPr>
              <w:pStyle w:val="TableTextCentered"/>
              <w:rPr>
                <w:rFonts w:eastAsia="Times New Roman"/>
              </w:rPr>
            </w:pPr>
            <w:r>
              <w:rPr>
                <w:rFonts w:eastAsia="Times New Roman"/>
              </w:rPr>
              <w:t>2.6</w:t>
            </w:r>
          </w:p>
        </w:tc>
      </w:tr>
      <w:tr w:rsidR="00B47AE8" w:rsidRPr="00E359BF" w14:paraId="32282515" w14:textId="77777777" w:rsidTr="007A0CFB">
        <w:tc>
          <w:tcPr>
            <w:tcW w:w="3297" w:type="dxa"/>
          </w:tcPr>
          <w:p w14:paraId="29607442" w14:textId="77777777" w:rsidR="00B47AE8" w:rsidRPr="00EB088B" w:rsidRDefault="00B47AE8">
            <w:pPr>
              <w:pStyle w:val="TableText"/>
              <w:ind w:left="204"/>
              <w:rPr>
                <w:rFonts w:ascii="Franklin Gothic Book" w:hAnsi="Franklin Gothic Book"/>
                <w:b/>
                <w:bCs/>
              </w:rPr>
            </w:pPr>
            <w:r w:rsidRPr="00EB088B">
              <w:rPr>
                <w:rFonts w:ascii="Franklin Gothic Book" w:hAnsi="Franklin Gothic Book"/>
              </w:rPr>
              <w:t>Quality of Feedback</w:t>
            </w:r>
          </w:p>
        </w:tc>
        <w:tc>
          <w:tcPr>
            <w:tcW w:w="654" w:type="dxa"/>
          </w:tcPr>
          <w:p w14:paraId="7458C02B" w14:textId="77777777" w:rsidR="00B47AE8" w:rsidRPr="00E359BF" w:rsidRDefault="00B47AE8">
            <w:pPr>
              <w:pStyle w:val="TableTextCentered"/>
              <w:rPr>
                <w:rFonts w:eastAsia="Times New Roman"/>
              </w:rPr>
            </w:pPr>
            <w:r>
              <w:rPr>
                <w:rFonts w:eastAsia="Times New Roman"/>
              </w:rPr>
              <w:t>2</w:t>
            </w:r>
          </w:p>
        </w:tc>
        <w:tc>
          <w:tcPr>
            <w:tcW w:w="631" w:type="dxa"/>
          </w:tcPr>
          <w:p w14:paraId="0BD13AAB" w14:textId="77777777" w:rsidR="00B47AE8" w:rsidRPr="00E359BF" w:rsidRDefault="00B47AE8">
            <w:pPr>
              <w:pStyle w:val="TableTextCentered"/>
              <w:rPr>
                <w:rFonts w:eastAsia="Times New Roman"/>
              </w:rPr>
            </w:pPr>
            <w:r>
              <w:rPr>
                <w:rFonts w:eastAsia="Times New Roman"/>
              </w:rPr>
              <w:t>12</w:t>
            </w:r>
          </w:p>
        </w:tc>
        <w:tc>
          <w:tcPr>
            <w:tcW w:w="677" w:type="dxa"/>
          </w:tcPr>
          <w:p w14:paraId="74C46E23" w14:textId="77777777" w:rsidR="00B47AE8" w:rsidRPr="00E359BF" w:rsidRDefault="00B47AE8">
            <w:pPr>
              <w:pStyle w:val="TableTextCentered"/>
              <w:rPr>
                <w:rFonts w:eastAsia="Times New Roman"/>
              </w:rPr>
            </w:pPr>
            <w:r>
              <w:rPr>
                <w:rFonts w:eastAsia="Times New Roman"/>
              </w:rPr>
              <w:t>14</w:t>
            </w:r>
          </w:p>
        </w:tc>
        <w:tc>
          <w:tcPr>
            <w:tcW w:w="655" w:type="dxa"/>
          </w:tcPr>
          <w:p w14:paraId="2EC22183" w14:textId="77777777" w:rsidR="00B47AE8" w:rsidRPr="00E359BF" w:rsidRDefault="00B47AE8">
            <w:pPr>
              <w:pStyle w:val="TableTextCentered"/>
              <w:rPr>
                <w:rFonts w:eastAsia="Times New Roman"/>
              </w:rPr>
            </w:pPr>
            <w:r>
              <w:rPr>
                <w:rFonts w:eastAsia="Times New Roman"/>
              </w:rPr>
              <w:t>11</w:t>
            </w:r>
          </w:p>
        </w:tc>
        <w:tc>
          <w:tcPr>
            <w:tcW w:w="653" w:type="dxa"/>
          </w:tcPr>
          <w:p w14:paraId="688C6E89" w14:textId="77777777" w:rsidR="00B47AE8" w:rsidRPr="00E359BF" w:rsidRDefault="00B47AE8">
            <w:pPr>
              <w:pStyle w:val="TableTextCentered"/>
              <w:rPr>
                <w:rFonts w:eastAsia="Times New Roman"/>
              </w:rPr>
            </w:pPr>
            <w:r>
              <w:rPr>
                <w:rFonts w:eastAsia="Times New Roman"/>
              </w:rPr>
              <w:t>4</w:t>
            </w:r>
          </w:p>
        </w:tc>
        <w:tc>
          <w:tcPr>
            <w:tcW w:w="655" w:type="dxa"/>
          </w:tcPr>
          <w:p w14:paraId="6E7976B4" w14:textId="77777777" w:rsidR="00B47AE8" w:rsidRPr="00E359BF" w:rsidRDefault="00B47AE8">
            <w:pPr>
              <w:pStyle w:val="TableTextCentered"/>
              <w:rPr>
                <w:rFonts w:eastAsia="Times New Roman"/>
              </w:rPr>
            </w:pPr>
            <w:r>
              <w:rPr>
                <w:rFonts w:eastAsia="Times New Roman"/>
              </w:rPr>
              <w:t>0</w:t>
            </w:r>
          </w:p>
        </w:tc>
        <w:tc>
          <w:tcPr>
            <w:tcW w:w="655" w:type="dxa"/>
          </w:tcPr>
          <w:p w14:paraId="44CBB7AC" w14:textId="77777777" w:rsidR="00B47AE8" w:rsidRPr="00E359BF" w:rsidRDefault="00B47AE8">
            <w:pPr>
              <w:pStyle w:val="TableTextCentered"/>
              <w:rPr>
                <w:rFonts w:eastAsia="Times New Roman"/>
              </w:rPr>
            </w:pPr>
            <w:r>
              <w:rPr>
                <w:rFonts w:eastAsia="Times New Roman"/>
              </w:rPr>
              <w:t>0</w:t>
            </w:r>
          </w:p>
        </w:tc>
        <w:tc>
          <w:tcPr>
            <w:tcW w:w="515" w:type="dxa"/>
          </w:tcPr>
          <w:p w14:paraId="56522B0F" w14:textId="77777777" w:rsidR="00B47AE8" w:rsidRPr="00E359BF" w:rsidRDefault="00B47AE8">
            <w:pPr>
              <w:pStyle w:val="TableTextCentered"/>
              <w:rPr>
                <w:rFonts w:eastAsia="Times New Roman"/>
              </w:rPr>
            </w:pPr>
            <w:r>
              <w:rPr>
                <w:rFonts w:eastAsia="Times New Roman"/>
              </w:rPr>
              <w:t>43</w:t>
            </w:r>
          </w:p>
        </w:tc>
        <w:tc>
          <w:tcPr>
            <w:tcW w:w="952" w:type="dxa"/>
          </w:tcPr>
          <w:p w14:paraId="294AB5AB" w14:textId="77777777" w:rsidR="00B47AE8" w:rsidRPr="00E359BF" w:rsidRDefault="00B47AE8">
            <w:pPr>
              <w:pStyle w:val="TableTextCentered"/>
              <w:rPr>
                <w:rFonts w:eastAsia="Times New Roman"/>
              </w:rPr>
            </w:pPr>
            <w:r>
              <w:rPr>
                <w:rFonts w:eastAsia="Times New Roman"/>
              </w:rPr>
              <w:t>3.1</w:t>
            </w:r>
          </w:p>
        </w:tc>
      </w:tr>
      <w:tr w:rsidR="00B47AE8" w:rsidRPr="00E359BF" w14:paraId="4E4E7A43" w14:textId="77777777" w:rsidTr="007A0CFB">
        <w:tc>
          <w:tcPr>
            <w:tcW w:w="3297" w:type="dxa"/>
          </w:tcPr>
          <w:p w14:paraId="492366CD" w14:textId="77777777" w:rsidR="00B47AE8" w:rsidRPr="00EB088B" w:rsidRDefault="00B47AE8">
            <w:pPr>
              <w:pStyle w:val="TableText"/>
              <w:ind w:left="204"/>
              <w:rPr>
                <w:rFonts w:ascii="Franklin Gothic Book" w:hAnsi="Franklin Gothic Book"/>
                <w:b/>
                <w:bCs/>
              </w:rPr>
            </w:pPr>
            <w:r w:rsidRPr="00EB088B">
              <w:rPr>
                <w:rFonts w:ascii="Franklin Gothic Book" w:hAnsi="Franklin Gothic Book"/>
              </w:rPr>
              <w:t>Language Modeling (K-3 only)</w:t>
            </w:r>
          </w:p>
        </w:tc>
        <w:tc>
          <w:tcPr>
            <w:tcW w:w="654" w:type="dxa"/>
          </w:tcPr>
          <w:p w14:paraId="6E2BADF2" w14:textId="77777777" w:rsidR="00B47AE8" w:rsidRPr="00E359BF" w:rsidRDefault="00B47AE8">
            <w:pPr>
              <w:pStyle w:val="TableTextCentered"/>
              <w:rPr>
                <w:rFonts w:eastAsia="Times New Roman"/>
              </w:rPr>
            </w:pPr>
            <w:r>
              <w:rPr>
                <w:rFonts w:eastAsia="Times New Roman"/>
              </w:rPr>
              <w:t>0</w:t>
            </w:r>
          </w:p>
        </w:tc>
        <w:tc>
          <w:tcPr>
            <w:tcW w:w="631" w:type="dxa"/>
          </w:tcPr>
          <w:p w14:paraId="1CBD1733" w14:textId="77777777" w:rsidR="00B47AE8" w:rsidRPr="00E359BF" w:rsidRDefault="00B47AE8">
            <w:pPr>
              <w:pStyle w:val="TableTextCentered"/>
              <w:rPr>
                <w:rFonts w:eastAsia="Times New Roman"/>
              </w:rPr>
            </w:pPr>
            <w:r>
              <w:rPr>
                <w:rFonts w:eastAsia="Times New Roman"/>
              </w:rPr>
              <w:t>4</w:t>
            </w:r>
          </w:p>
        </w:tc>
        <w:tc>
          <w:tcPr>
            <w:tcW w:w="677" w:type="dxa"/>
          </w:tcPr>
          <w:p w14:paraId="1D2FC3CA" w14:textId="77777777" w:rsidR="00B47AE8" w:rsidRPr="00E359BF" w:rsidRDefault="00B47AE8">
            <w:pPr>
              <w:pStyle w:val="TableTextCentered"/>
              <w:rPr>
                <w:rFonts w:eastAsia="Times New Roman"/>
              </w:rPr>
            </w:pPr>
            <w:r>
              <w:rPr>
                <w:rFonts w:eastAsia="Times New Roman"/>
              </w:rPr>
              <w:t>10</w:t>
            </w:r>
          </w:p>
        </w:tc>
        <w:tc>
          <w:tcPr>
            <w:tcW w:w="655" w:type="dxa"/>
          </w:tcPr>
          <w:p w14:paraId="4C76E211" w14:textId="77777777" w:rsidR="00B47AE8" w:rsidRPr="00E359BF" w:rsidRDefault="00B47AE8">
            <w:pPr>
              <w:pStyle w:val="TableTextCentered"/>
              <w:rPr>
                <w:rFonts w:eastAsia="Times New Roman"/>
              </w:rPr>
            </w:pPr>
            <w:r>
              <w:rPr>
                <w:rFonts w:eastAsia="Times New Roman"/>
              </w:rPr>
              <w:t>6</w:t>
            </w:r>
          </w:p>
        </w:tc>
        <w:tc>
          <w:tcPr>
            <w:tcW w:w="653" w:type="dxa"/>
          </w:tcPr>
          <w:p w14:paraId="07CB7D2C" w14:textId="77777777" w:rsidR="00B47AE8" w:rsidRPr="00E359BF" w:rsidRDefault="00B47AE8">
            <w:pPr>
              <w:pStyle w:val="TableTextCentered"/>
              <w:rPr>
                <w:rFonts w:eastAsia="Times New Roman"/>
              </w:rPr>
            </w:pPr>
            <w:r>
              <w:rPr>
                <w:rFonts w:eastAsia="Times New Roman"/>
              </w:rPr>
              <w:t>1</w:t>
            </w:r>
          </w:p>
        </w:tc>
        <w:tc>
          <w:tcPr>
            <w:tcW w:w="655" w:type="dxa"/>
          </w:tcPr>
          <w:p w14:paraId="248DB00B" w14:textId="77777777" w:rsidR="00B47AE8" w:rsidRPr="00E359BF" w:rsidRDefault="00B47AE8">
            <w:pPr>
              <w:pStyle w:val="TableTextCentered"/>
              <w:rPr>
                <w:rFonts w:eastAsia="Times New Roman"/>
              </w:rPr>
            </w:pPr>
            <w:r>
              <w:rPr>
                <w:rFonts w:eastAsia="Times New Roman"/>
              </w:rPr>
              <w:t>6</w:t>
            </w:r>
          </w:p>
        </w:tc>
        <w:tc>
          <w:tcPr>
            <w:tcW w:w="655" w:type="dxa"/>
          </w:tcPr>
          <w:p w14:paraId="6AA74C2B" w14:textId="77777777" w:rsidR="00B47AE8" w:rsidRPr="00E359BF" w:rsidRDefault="00B47AE8">
            <w:pPr>
              <w:pStyle w:val="TableTextCentered"/>
              <w:rPr>
                <w:rFonts w:eastAsia="Times New Roman"/>
              </w:rPr>
            </w:pPr>
            <w:r>
              <w:rPr>
                <w:rFonts w:eastAsia="Times New Roman"/>
              </w:rPr>
              <w:t>0</w:t>
            </w:r>
          </w:p>
        </w:tc>
        <w:tc>
          <w:tcPr>
            <w:tcW w:w="515" w:type="dxa"/>
          </w:tcPr>
          <w:p w14:paraId="2F21F3F9" w14:textId="77777777" w:rsidR="00B47AE8" w:rsidRPr="00E359BF" w:rsidRDefault="00B47AE8">
            <w:pPr>
              <w:pStyle w:val="TableTextCentered"/>
              <w:rPr>
                <w:rFonts w:eastAsia="Times New Roman"/>
              </w:rPr>
            </w:pPr>
            <w:r>
              <w:rPr>
                <w:rFonts w:eastAsia="Times New Roman"/>
              </w:rPr>
              <w:t>27</w:t>
            </w:r>
          </w:p>
        </w:tc>
        <w:tc>
          <w:tcPr>
            <w:tcW w:w="952" w:type="dxa"/>
          </w:tcPr>
          <w:p w14:paraId="449975F1" w14:textId="77777777" w:rsidR="00B47AE8" w:rsidRPr="00E359BF" w:rsidRDefault="00B47AE8">
            <w:pPr>
              <w:pStyle w:val="TableTextCentered"/>
              <w:rPr>
                <w:rFonts w:eastAsia="Times New Roman"/>
              </w:rPr>
            </w:pPr>
            <w:r>
              <w:rPr>
                <w:rFonts w:eastAsia="Times New Roman"/>
              </w:rPr>
              <w:t>3.8</w:t>
            </w:r>
          </w:p>
        </w:tc>
      </w:tr>
      <w:tr w:rsidR="00B47AE8" w:rsidRPr="00E359BF" w14:paraId="5B6696BC" w14:textId="77777777" w:rsidTr="007A0CFB">
        <w:tc>
          <w:tcPr>
            <w:tcW w:w="3297" w:type="dxa"/>
            <w:vAlign w:val="center"/>
          </w:tcPr>
          <w:p w14:paraId="33B542C5" w14:textId="77777777" w:rsidR="00B47AE8" w:rsidRPr="00EB088B" w:rsidRDefault="00B47AE8">
            <w:pPr>
              <w:pStyle w:val="TableText"/>
              <w:ind w:left="204"/>
              <w:rPr>
                <w:rFonts w:ascii="Franklin Gothic Book" w:hAnsi="Franklin Gothic Book"/>
              </w:rPr>
            </w:pPr>
            <w:r w:rsidRPr="00EB088B">
              <w:rPr>
                <w:rFonts w:ascii="Franklin Gothic Book" w:hAnsi="Franklin Gothic Book"/>
              </w:rPr>
              <w:t>Instructional Dialogue (UE only)</w:t>
            </w:r>
          </w:p>
        </w:tc>
        <w:tc>
          <w:tcPr>
            <w:tcW w:w="654" w:type="dxa"/>
          </w:tcPr>
          <w:p w14:paraId="4BCF3EA8" w14:textId="77777777" w:rsidR="00B47AE8" w:rsidRPr="00E359BF" w:rsidRDefault="00B47AE8">
            <w:pPr>
              <w:pStyle w:val="TableTextCentered"/>
              <w:rPr>
                <w:rFonts w:eastAsia="Times New Roman"/>
              </w:rPr>
            </w:pPr>
            <w:r>
              <w:rPr>
                <w:rFonts w:eastAsia="Times New Roman"/>
              </w:rPr>
              <w:t>1</w:t>
            </w:r>
          </w:p>
        </w:tc>
        <w:tc>
          <w:tcPr>
            <w:tcW w:w="631" w:type="dxa"/>
          </w:tcPr>
          <w:p w14:paraId="68A38A9F" w14:textId="77777777" w:rsidR="00B47AE8" w:rsidRPr="00E359BF" w:rsidRDefault="00B47AE8">
            <w:pPr>
              <w:pStyle w:val="TableTextCentered"/>
              <w:rPr>
                <w:rFonts w:eastAsia="Times New Roman"/>
              </w:rPr>
            </w:pPr>
            <w:r>
              <w:rPr>
                <w:rFonts w:eastAsia="Times New Roman"/>
              </w:rPr>
              <w:t>2</w:t>
            </w:r>
          </w:p>
        </w:tc>
        <w:tc>
          <w:tcPr>
            <w:tcW w:w="677" w:type="dxa"/>
          </w:tcPr>
          <w:p w14:paraId="6509DC90" w14:textId="77777777" w:rsidR="00B47AE8" w:rsidRPr="00E359BF" w:rsidRDefault="00B47AE8">
            <w:pPr>
              <w:pStyle w:val="TableTextCentered"/>
              <w:rPr>
                <w:rFonts w:eastAsia="Times New Roman"/>
              </w:rPr>
            </w:pPr>
            <w:r>
              <w:rPr>
                <w:rFonts w:eastAsia="Times New Roman"/>
              </w:rPr>
              <w:t>4</w:t>
            </w:r>
          </w:p>
        </w:tc>
        <w:tc>
          <w:tcPr>
            <w:tcW w:w="655" w:type="dxa"/>
          </w:tcPr>
          <w:p w14:paraId="465F623E" w14:textId="77777777" w:rsidR="00B47AE8" w:rsidRPr="00E359BF" w:rsidRDefault="00B47AE8">
            <w:pPr>
              <w:pStyle w:val="TableTextCentered"/>
              <w:rPr>
                <w:rFonts w:eastAsia="Times New Roman"/>
              </w:rPr>
            </w:pPr>
            <w:r>
              <w:rPr>
                <w:rFonts w:eastAsia="Times New Roman"/>
              </w:rPr>
              <w:t>6</w:t>
            </w:r>
          </w:p>
        </w:tc>
        <w:tc>
          <w:tcPr>
            <w:tcW w:w="653" w:type="dxa"/>
          </w:tcPr>
          <w:p w14:paraId="5448CDDF" w14:textId="77777777" w:rsidR="00B47AE8" w:rsidRPr="00E359BF" w:rsidRDefault="00B47AE8">
            <w:pPr>
              <w:pStyle w:val="TableTextCentered"/>
              <w:rPr>
                <w:rFonts w:eastAsia="Times New Roman"/>
              </w:rPr>
            </w:pPr>
            <w:r>
              <w:rPr>
                <w:rFonts w:eastAsia="Times New Roman"/>
              </w:rPr>
              <w:t>3</w:t>
            </w:r>
          </w:p>
        </w:tc>
        <w:tc>
          <w:tcPr>
            <w:tcW w:w="655" w:type="dxa"/>
          </w:tcPr>
          <w:p w14:paraId="080ECCB1" w14:textId="77777777" w:rsidR="00B47AE8" w:rsidRPr="00E359BF" w:rsidRDefault="00B47AE8">
            <w:pPr>
              <w:pStyle w:val="TableTextCentered"/>
              <w:rPr>
                <w:rFonts w:eastAsia="Times New Roman"/>
              </w:rPr>
            </w:pPr>
            <w:r>
              <w:rPr>
                <w:rFonts w:eastAsia="Times New Roman"/>
              </w:rPr>
              <w:t>0</w:t>
            </w:r>
          </w:p>
        </w:tc>
        <w:tc>
          <w:tcPr>
            <w:tcW w:w="655" w:type="dxa"/>
          </w:tcPr>
          <w:p w14:paraId="3ACF4C43" w14:textId="77777777" w:rsidR="00B47AE8" w:rsidRPr="00E359BF" w:rsidRDefault="00B47AE8">
            <w:pPr>
              <w:pStyle w:val="TableTextCentered"/>
              <w:rPr>
                <w:rFonts w:eastAsia="Times New Roman"/>
              </w:rPr>
            </w:pPr>
            <w:r>
              <w:rPr>
                <w:rFonts w:eastAsia="Times New Roman"/>
              </w:rPr>
              <w:t>0</w:t>
            </w:r>
          </w:p>
        </w:tc>
        <w:tc>
          <w:tcPr>
            <w:tcW w:w="515" w:type="dxa"/>
          </w:tcPr>
          <w:p w14:paraId="3DAD7564" w14:textId="77777777" w:rsidR="00B47AE8" w:rsidRPr="00E359BF" w:rsidRDefault="00B47AE8">
            <w:pPr>
              <w:pStyle w:val="TableTextCentered"/>
              <w:rPr>
                <w:rFonts w:eastAsia="Times New Roman"/>
              </w:rPr>
            </w:pPr>
            <w:r>
              <w:rPr>
                <w:rFonts w:eastAsia="Times New Roman"/>
              </w:rPr>
              <w:t>16</w:t>
            </w:r>
          </w:p>
        </w:tc>
        <w:tc>
          <w:tcPr>
            <w:tcW w:w="952" w:type="dxa"/>
          </w:tcPr>
          <w:p w14:paraId="427D4902" w14:textId="77777777" w:rsidR="00B47AE8" w:rsidRPr="00E359BF" w:rsidRDefault="00B47AE8">
            <w:pPr>
              <w:pStyle w:val="TableTextCentered"/>
              <w:rPr>
                <w:rFonts w:eastAsia="Times New Roman"/>
              </w:rPr>
            </w:pPr>
            <w:r>
              <w:rPr>
                <w:rFonts w:eastAsia="Times New Roman"/>
              </w:rPr>
              <w:t>3.5</w:t>
            </w:r>
          </w:p>
        </w:tc>
      </w:tr>
      <w:tr w:rsidR="00B47AE8" w:rsidRPr="008461FE" w14:paraId="32BE9E1C" w14:textId="77777777" w:rsidTr="007A0CFB">
        <w:tc>
          <w:tcPr>
            <w:tcW w:w="3297" w:type="dxa"/>
            <w:shd w:val="clear" w:color="auto" w:fill="D9E2F3" w:themeFill="accent5" w:themeFillTint="33"/>
            <w:vAlign w:val="center"/>
          </w:tcPr>
          <w:p w14:paraId="09B18F4E" w14:textId="77777777" w:rsidR="00B47AE8" w:rsidRPr="008461FE" w:rsidRDefault="00B47AE8" w:rsidP="00B47AE8">
            <w:pPr>
              <w:pStyle w:val="TableSubheading"/>
            </w:pPr>
            <w:r w:rsidRPr="008461FE">
              <w:t>Student Engagement (UE only)</w:t>
            </w:r>
          </w:p>
        </w:tc>
        <w:tc>
          <w:tcPr>
            <w:tcW w:w="654" w:type="dxa"/>
            <w:shd w:val="clear" w:color="auto" w:fill="D9E2F3" w:themeFill="accent5" w:themeFillTint="33"/>
          </w:tcPr>
          <w:p w14:paraId="7BD3511D" w14:textId="77777777" w:rsidR="00B47AE8" w:rsidRPr="008461FE" w:rsidRDefault="00B47AE8" w:rsidP="00B47AE8">
            <w:pPr>
              <w:pStyle w:val="TableSubheadingCentered"/>
            </w:pPr>
            <w:r>
              <w:t>0</w:t>
            </w:r>
          </w:p>
        </w:tc>
        <w:tc>
          <w:tcPr>
            <w:tcW w:w="631" w:type="dxa"/>
            <w:shd w:val="clear" w:color="auto" w:fill="D9E2F3" w:themeFill="accent5" w:themeFillTint="33"/>
          </w:tcPr>
          <w:p w14:paraId="74DBC50F" w14:textId="77777777" w:rsidR="00B47AE8" w:rsidRPr="008461FE" w:rsidRDefault="00B47AE8" w:rsidP="00B47AE8">
            <w:pPr>
              <w:pStyle w:val="TableSubheadingCentered"/>
            </w:pPr>
            <w:r>
              <w:t>0</w:t>
            </w:r>
          </w:p>
        </w:tc>
        <w:tc>
          <w:tcPr>
            <w:tcW w:w="677" w:type="dxa"/>
            <w:shd w:val="clear" w:color="auto" w:fill="D9E2F3" w:themeFill="accent5" w:themeFillTint="33"/>
          </w:tcPr>
          <w:p w14:paraId="2E23D6A6" w14:textId="77777777" w:rsidR="00B47AE8" w:rsidRPr="008461FE" w:rsidRDefault="00B47AE8" w:rsidP="00B47AE8">
            <w:pPr>
              <w:pStyle w:val="TableSubheadingCentered"/>
            </w:pPr>
            <w:r>
              <w:t>0</w:t>
            </w:r>
          </w:p>
        </w:tc>
        <w:tc>
          <w:tcPr>
            <w:tcW w:w="655" w:type="dxa"/>
            <w:shd w:val="clear" w:color="auto" w:fill="D9E2F3" w:themeFill="accent5" w:themeFillTint="33"/>
          </w:tcPr>
          <w:p w14:paraId="2FEE5E12" w14:textId="77777777" w:rsidR="00B47AE8" w:rsidRPr="008461FE" w:rsidRDefault="00B47AE8" w:rsidP="00B47AE8">
            <w:pPr>
              <w:pStyle w:val="TableSubheadingCentered"/>
            </w:pPr>
            <w:r>
              <w:t>0</w:t>
            </w:r>
          </w:p>
        </w:tc>
        <w:tc>
          <w:tcPr>
            <w:tcW w:w="653" w:type="dxa"/>
            <w:shd w:val="clear" w:color="auto" w:fill="D9E2F3" w:themeFill="accent5" w:themeFillTint="33"/>
          </w:tcPr>
          <w:p w14:paraId="669BA21E" w14:textId="77777777" w:rsidR="00B47AE8" w:rsidRPr="008461FE" w:rsidRDefault="00B47AE8" w:rsidP="00B47AE8">
            <w:pPr>
              <w:pStyle w:val="TableSubheadingCentered"/>
            </w:pPr>
            <w:r>
              <w:t>9</w:t>
            </w:r>
          </w:p>
        </w:tc>
        <w:tc>
          <w:tcPr>
            <w:tcW w:w="655" w:type="dxa"/>
            <w:shd w:val="clear" w:color="auto" w:fill="D9E2F3" w:themeFill="accent5" w:themeFillTint="33"/>
          </w:tcPr>
          <w:p w14:paraId="7BA740F8" w14:textId="77777777" w:rsidR="00B47AE8" w:rsidRPr="008461FE" w:rsidRDefault="00B47AE8" w:rsidP="00B47AE8">
            <w:pPr>
              <w:pStyle w:val="TableSubheadingCentered"/>
            </w:pPr>
            <w:r>
              <w:t>4</w:t>
            </w:r>
          </w:p>
        </w:tc>
        <w:tc>
          <w:tcPr>
            <w:tcW w:w="655" w:type="dxa"/>
            <w:shd w:val="clear" w:color="auto" w:fill="D9E2F3" w:themeFill="accent5" w:themeFillTint="33"/>
          </w:tcPr>
          <w:p w14:paraId="5A7475C2" w14:textId="77777777" w:rsidR="00B47AE8" w:rsidRPr="008461FE" w:rsidRDefault="00B47AE8" w:rsidP="00B47AE8">
            <w:pPr>
              <w:pStyle w:val="TableSubheadingCentered"/>
            </w:pPr>
            <w:r>
              <w:t>3</w:t>
            </w:r>
          </w:p>
        </w:tc>
        <w:tc>
          <w:tcPr>
            <w:tcW w:w="515" w:type="dxa"/>
            <w:shd w:val="clear" w:color="auto" w:fill="D9E2F3" w:themeFill="accent5" w:themeFillTint="33"/>
          </w:tcPr>
          <w:p w14:paraId="40D6837F" w14:textId="77777777" w:rsidR="00B47AE8" w:rsidRPr="008461FE" w:rsidRDefault="00B47AE8" w:rsidP="00B47AE8">
            <w:pPr>
              <w:pStyle w:val="TableSubheadingCentered"/>
            </w:pPr>
            <w:r>
              <w:t>16</w:t>
            </w:r>
          </w:p>
        </w:tc>
        <w:tc>
          <w:tcPr>
            <w:tcW w:w="952" w:type="dxa"/>
            <w:shd w:val="clear" w:color="auto" w:fill="D9E2F3" w:themeFill="accent5" w:themeFillTint="33"/>
          </w:tcPr>
          <w:p w14:paraId="007F67D2" w14:textId="77777777" w:rsidR="00B47AE8" w:rsidRPr="008461FE" w:rsidRDefault="00B47AE8" w:rsidP="00B47AE8">
            <w:pPr>
              <w:pStyle w:val="TableSubheadingCentered"/>
            </w:pPr>
            <w:r>
              <w:t>5.6</w:t>
            </w:r>
          </w:p>
        </w:tc>
      </w:tr>
    </w:tbl>
    <w:bookmarkEnd w:id="170"/>
    <w:p w14:paraId="55C46234" w14:textId="77777777" w:rsidR="00B47AE8" w:rsidRDefault="00B47AE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71" w:name="Elem_PC_Calc"/>
      <w:r>
        <w:rPr>
          <w:szCs w:val="20"/>
        </w:rPr>
        <w:t>([3 x 2] + [4 x 12] + [5 x 14] + [6 x 12] + [7 x 3]) ÷ 43 observations = 5.0</w:t>
      </w:r>
      <w:bookmarkEnd w:id="171"/>
    </w:p>
    <w:p w14:paraId="69F8358C" w14:textId="77777777" w:rsidR="00B47AE8" w:rsidRDefault="00B47AE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2" w:name="Elem_NC_Calc"/>
      <w:r>
        <w:t>([6 x 2] + [7 x 41]) ÷ 43 observations = 7.0</w:t>
      </w:r>
      <w:bookmarkEnd w:id="172"/>
      <w:r>
        <w:t>. In addition, Negative Climate appears in the Classroom Organization Domain for the Upper Elementary Manual.</w:t>
      </w:r>
    </w:p>
    <w:p w14:paraId="722B3D7C" w14:textId="77777777" w:rsidR="00B47AE8" w:rsidRDefault="00B47AE8">
      <w:pPr>
        <w:pStyle w:val="TableNote"/>
      </w:pPr>
      <w:r>
        <w:t>***Instructional Learning Formats appears in the Instructional Support Domain for the Upper Elementary Manual.</w:t>
      </w:r>
    </w:p>
    <w:p w14:paraId="7FE2A106" w14:textId="77777777" w:rsidR="00B47AE8" w:rsidRDefault="00B47AE8">
      <w:pPr>
        <w:pStyle w:val="TableTitle0"/>
        <w:rPr>
          <w:rFonts w:ascii="Times New Roman" w:eastAsia="MS Mincho" w:hAnsi="Times New Roman" w:cs="Times New Roman"/>
          <w:b/>
          <w:sz w:val="20"/>
        </w:rPr>
      </w:pPr>
    </w:p>
    <w:p w14:paraId="0FB9C369" w14:textId="77777777" w:rsidR="00B47AE8" w:rsidRDefault="00B47AE8">
      <w:pPr>
        <w:spacing w:line="240" w:lineRule="auto"/>
        <w:rPr>
          <w:rFonts w:ascii="Times New Roman" w:eastAsia="MS Mincho" w:hAnsi="Times New Roman" w:cs="Times New Roman"/>
          <w:b/>
          <w:sz w:val="20"/>
        </w:rPr>
      </w:pPr>
      <w:bookmarkStart w:id="173" w:name="_Toc92194269"/>
      <w:r>
        <w:rPr>
          <w:rFonts w:ascii="Times New Roman" w:eastAsia="MS Mincho" w:hAnsi="Times New Roman" w:cs="Times New Roman"/>
          <w:b/>
          <w:sz w:val="20"/>
        </w:rPr>
        <w:br w:type="page"/>
      </w:r>
    </w:p>
    <w:p w14:paraId="13A05051" w14:textId="284C3C80" w:rsidR="00B47AE8" w:rsidRPr="00E359BF" w:rsidRDefault="00B47AE8">
      <w:pPr>
        <w:pStyle w:val="Heading2-SIOR"/>
      </w:pPr>
      <w:r w:rsidRPr="00E359BF">
        <w:lastRenderedPageBreak/>
        <w:t>Summary of Average Ratings</w:t>
      </w:r>
      <w:r>
        <w:t xml:space="preserve">: </w:t>
      </w:r>
      <w:bookmarkEnd w:id="173"/>
      <w:r>
        <w:t>Grades 6</w:t>
      </w:r>
      <w:r w:rsidRPr="00E359BF">
        <w:t>–</w:t>
      </w:r>
      <w:r>
        <w:t>8</w:t>
      </w:r>
    </w:p>
    <w:p w14:paraId="0835FA89" w14:textId="77777777" w:rsidR="00B47AE8" w:rsidRPr="00E359BF" w:rsidRDefault="00B47AE8">
      <w:pPr>
        <w:pStyle w:val="TableTitle0"/>
      </w:pPr>
      <w:r w:rsidRPr="008F6B0C">
        <w:t>Table 18. Summary</w:t>
      </w:r>
      <w:r w:rsidRPr="00BC09E0">
        <w:t xml:space="preserve"> Table of Average Ratings for</w:t>
      </w:r>
      <w:r>
        <w:t xml:space="preserve"> </w:t>
      </w:r>
      <w:r w:rsidRPr="00BC09E0">
        <w:t xml:space="preserve">Each Dimension in Grades </w:t>
      </w:r>
      <w:r>
        <w:t>6</w:t>
      </w:r>
      <w:r w:rsidRPr="00E359BF">
        <w:t>–</w:t>
      </w:r>
      <w:r>
        <w:t>8</w:t>
      </w:r>
    </w:p>
    <w:tbl>
      <w:tblPr>
        <w:tblStyle w:val="MSVTable1"/>
        <w:tblW w:w="5000" w:type="pct"/>
        <w:tblLayout w:type="fixed"/>
        <w:tblLook w:val="06A0" w:firstRow="1" w:lastRow="0" w:firstColumn="1" w:lastColumn="0" w:noHBand="1" w:noVBand="1"/>
      </w:tblPr>
      <w:tblGrid>
        <w:gridCol w:w="3095"/>
        <w:gridCol w:w="683"/>
        <w:gridCol w:w="678"/>
        <w:gridCol w:w="688"/>
        <w:gridCol w:w="684"/>
        <w:gridCol w:w="653"/>
        <w:gridCol w:w="712"/>
        <w:gridCol w:w="684"/>
        <w:gridCol w:w="601"/>
        <w:gridCol w:w="866"/>
      </w:tblGrid>
      <w:tr w:rsidR="00B47AE8" w:rsidRPr="00E359BF" w14:paraId="6D286135" w14:textId="77777777" w:rsidTr="007A0CFB">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19D91BB6" w14:textId="77777777" w:rsidR="00B47AE8" w:rsidRPr="00E359BF" w:rsidRDefault="00B47AE8">
            <w:pPr>
              <w:pStyle w:val="TableColHeadingCenter"/>
              <w:rPr>
                <w:rFonts w:eastAsia="MS Mincho"/>
              </w:rPr>
            </w:pPr>
            <w:bookmarkStart w:id="174" w:name="SummaryTbl_Middle"/>
          </w:p>
        </w:tc>
        <w:tc>
          <w:tcPr>
            <w:tcW w:w="1361" w:type="dxa"/>
            <w:gridSpan w:val="2"/>
            <w:vAlign w:val="center"/>
          </w:tcPr>
          <w:p w14:paraId="3908C299" w14:textId="77777777" w:rsidR="00B47AE8" w:rsidRPr="00E359BF" w:rsidRDefault="00B47AE8">
            <w:pPr>
              <w:pStyle w:val="TableColHeadingCenter"/>
              <w:rPr>
                <w:rFonts w:eastAsia="MS Mincho"/>
              </w:rPr>
            </w:pPr>
            <w:r w:rsidRPr="00E359BF">
              <w:rPr>
                <w:rFonts w:eastAsia="MS Mincho"/>
              </w:rPr>
              <w:t>Low Range</w:t>
            </w:r>
          </w:p>
        </w:tc>
        <w:tc>
          <w:tcPr>
            <w:tcW w:w="2025" w:type="dxa"/>
            <w:gridSpan w:val="3"/>
            <w:vAlign w:val="center"/>
          </w:tcPr>
          <w:p w14:paraId="201E4B3D" w14:textId="77777777" w:rsidR="00B47AE8" w:rsidRPr="00E359BF" w:rsidRDefault="00B47AE8">
            <w:pPr>
              <w:pStyle w:val="TableColHeadingCenter"/>
              <w:rPr>
                <w:rFonts w:eastAsia="MS Mincho"/>
              </w:rPr>
            </w:pPr>
            <w:r w:rsidRPr="00E359BF">
              <w:rPr>
                <w:rFonts w:eastAsia="MS Mincho"/>
              </w:rPr>
              <w:t>Middle Range</w:t>
            </w:r>
          </w:p>
        </w:tc>
        <w:tc>
          <w:tcPr>
            <w:tcW w:w="1396" w:type="dxa"/>
            <w:gridSpan w:val="2"/>
            <w:vAlign w:val="center"/>
          </w:tcPr>
          <w:p w14:paraId="45392CF7" w14:textId="77777777" w:rsidR="00B47AE8" w:rsidRPr="00E359BF" w:rsidRDefault="00B47AE8">
            <w:pPr>
              <w:pStyle w:val="TableColHeadingCenter"/>
              <w:rPr>
                <w:rFonts w:eastAsia="MS Mincho"/>
              </w:rPr>
            </w:pPr>
            <w:r w:rsidRPr="00E359BF">
              <w:rPr>
                <w:rFonts w:eastAsia="MS Mincho"/>
              </w:rPr>
              <w:t>High Range</w:t>
            </w:r>
          </w:p>
        </w:tc>
        <w:tc>
          <w:tcPr>
            <w:tcW w:w="601" w:type="dxa"/>
            <w:vMerge w:val="restart"/>
            <w:vAlign w:val="center"/>
          </w:tcPr>
          <w:p w14:paraId="3D7ED659" w14:textId="77777777" w:rsidR="00B47AE8" w:rsidRPr="00E359BF" w:rsidRDefault="00B47AE8">
            <w:pPr>
              <w:pStyle w:val="TableColHeadingCenter"/>
              <w:rPr>
                <w:rFonts w:eastAsia="MS Mincho"/>
              </w:rPr>
            </w:pPr>
            <w:r>
              <w:rPr>
                <w:rFonts w:eastAsia="MS Mincho"/>
              </w:rPr>
              <w:t>n</w:t>
            </w:r>
          </w:p>
        </w:tc>
        <w:tc>
          <w:tcPr>
            <w:tcW w:w="866" w:type="dxa"/>
            <w:vMerge w:val="restart"/>
            <w:vAlign w:val="center"/>
          </w:tcPr>
          <w:p w14:paraId="45F1ED46" w14:textId="77777777" w:rsidR="00B47AE8" w:rsidRPr="00E359BF" w:rsidRDefault="00B47AE8">
            <w:pPr>
              <w:pStyle w:val="TableColHeadingCenter"/>
              <w:rPr>
                <w:rFonts w:eastAsia="MS Mincho"/>
              </w:rPr>
            </w:pPr>
            <w:r w:rsidRPr="00E359BF">
              <w:rPr>
                <w:rFonts w:eastAsia="MS Mincho"/>
              </w:rPr>
              <w:t>Average Scores*</w:t>
            </w:r>
          </w:p>
        </w:tc>
      </w:tr>
      <w:tr w:rsidR="00B47AE8" w:rsidRPr="00E359BF" w14:paraId="07884FC6" w14:textId="77777777" w:rsidTr="007A0CFB">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412612BC" w14:textId="77777777" w:rsidR="00B47AE8" w:rsidRPr="00E359BF" w:rsidRDefault="00B47AE8">
            <w:pPr>
              <w:pStyle w:val="TableColHeadingCenter"/>
              <w:rPr>
                <w:rFonts w:eastAsia="MS Mincho"/>
              </w:rPr>
            </w:pPr>
          </w:p>
        </w:tc>
        <w:tc>
          <w:tcPr>
            <w:tcW w:w="683" w:type="dxa"/>
            <w:vAlign w:val="center"/>
          </w:tcPr>
          <w:p w14:paraId="6CA98019" w14:textId="77777777" w:rsidR="00B47AE8" w:rsidRPr="00E359BF" w:rsidRDefault="00B47AE8">
            <w:pPr>
              <w:pStyle w:val="TableColHeadingCenter"/>
              <w:rPr>
                <w:rFonts w:eastAsia="MS Mincho"/>
              </w:rPr>
            </w:pPr>
            <w:r w:rsidRPr="00E359BF">
              <w:rPr>
                <w:rFonts w:eastAsia="MS Mincho"/>
              </w:rPr>
              <w:t>1</w:t>
            </w:r>
          </w:p>
        </w:tc>
        <w:tc>
          <w:tcPr>
            <w:tcW w:w="678" w:type="dxa"/>
            <w:vAlign w:val="center"/>
          </w:tcPr>
          <w:p w14:paraId="3DA43C10" w14:textId="77777777" w:rsidR="00B47AE8" w:rsidRPr="00E359BF" w:rsidRDefault="00B47AE8">
            <w:pPr>
              <w:pStyle w:val="TableColHeadingCenter"/>
              <w:rPr>
                <w:rFonts w:eastAsia="MS Mincho"/>
              </w:rPr>
            </w:pPr>
            <w:r w:rsidRPr="00E359BF">
              <w:rPr>
                <w:rFonts w:eastAsia="MS Mincho"/>
              </w:rPr>
              <w:t>2</w:t>
            </w:r>
          </w:p>
        </w:tc>
        <w:tc>
          <w:tcPr>
            <w:tcW w:w="688" w:type="dxa"/>
            <w:vAlign w:val="center"/>
          </w:tcPr>
          <w:p w14:paraId="60A10AC0" w14:textId="77777777" w:rsidR="00B47AE8" w:rsidRPr="00E359BF" w:rsidRDefault="00B47AE8">
            <w:pPr>
              <w:pStyle w:val="TableColHeadingCenter"/>
              <w:rPr>
                <w:rFonts w:eastAsia="MS Mincho"/>
              </w:rPr>
            </w:pPr>
            <w:r w:rsidRPr="00E359BF">
              <w:rPr>
                <w:rFonts w:eastAsia="MS Mincho"/>
              </w:rPr>
              <w:t>3</w:t>
            </w:r>
          </w:p>
        </w:tc>
        <w:tc>
          <w:tcPr>
            <w:tcW w:w="684" w:type="dxa"/>
            <w:vAlign w:val="center"/>
          </w:tcPr>
          <w:p w14:paraId="1D2658E5" w14:textId="77777777" w:rsidR="00B47AE8" w:rsidRPr="00E359BF" w:rsidRDefault="00B47AE8">
            <w:pPr>
              <w:pStyle w:val="TableColHeadingCenter"/>
              <w:rPr>
                <w:rFonts w:eastAsia="MS Mincho"/>
              </w:rPr>
            </w:pPr>
            <w:r w:rsidRPr="00E359BF">
              <w:rPr>
                <w:rFonts w:eastAsia="MS Mincho"/>
              </w:rPr>
              <w:t>4</w:t>
            </w:r>
          </w:p>
        </w:tc>
        <w:tc>
          <w:tcPr>
            <w:tcW w:w="653" w:type="dxa"/>
            <w:vAlign w:val="center"/>
          </w:tcPr>
          <w:p w14:paraId="632D074E" w14:textId="77777777" w:rsidR="00B47AE8" w:rsidRPr="00E359BF" w:rsidRDefault="00B47AE8">
            <w:pPr>
              <w:pStyle w:val="TableColHeadingCenter"/>
              <w:rPr>
                <w:rFonts w:eastAsia="MS Mincho"/>
              </w:rPr>
            </w:pPr>
            <w:r w:rsidRPr="00E359BF">
              <w:rPr>
                <w:rFonts w:eastAsia="MS Mincho"/>
              </w:rPr>
              <w:t>5</w:t>
            </w:r>
          </w:p>
        </w:tc>
        <w:tc>
          <w:tcPr>
            <w:tcW w:w="712" w:type="dxa"/>
            <w:vAlign w:val="center"/>
          </w:tcPr>
          <w:p w14:paraId="517E2B6E" w14:textId="77777777" w:rsidR="00B47AE8" w:rsidRPr="00E359BF" w:rsidRDefault="00B47AE8">
            <w:pPr>
              <w:pStyle w:val="TableColHeadingCenter"/>
              <w:rPr>
                <w:rFonts w:eastAsia="MS Mincho"/>
              </w:rPr>
            </w:pPr>
            <w:r w:rsidRPr="00E359BF">
              <w:rPr>
                <w:rFonts w:eastAsia="MS Mincho"/>
              </w:rPr>
              <w:t>6</w:t>
            </w:r>
          </w:p>
        </w:tc>
        <w:tc>
          <w:tcPr>
            <w:tcW w:w="684" w:type="dxa"/>
            <w:vAlign w:val="center"/>
          </w:tcPr>
          <w:p w14:paraId="7054EA9B" w14:textId="77777777" w:rsidR="00B47AE8" w:rsidRPr="00E359BF" w:rsidRDefault="00B47AE8">
            <w:pPr>
              <w:pStyle w:val="TableColHeadingCenter"/>
              <w:rPr>
                <w:rFonts w:eastAsia="MS Mincho"/>
              </w:rPr>
            </w:pPr>
            <w:r w:rsidRPr="00E359BF">
              <w:rPr>
                <w:rFonts w:eastAsia="MS Mincho"/>
              </w:rPr>
              <w:t>7</w:t>
            </w:r>
          </w:p>
        </w:tc>
        <w:tc>
          <w:tcPr>
            <w:tcW w:w="601" w:type="dxa"/>
            <w:vMerge/>
          </w:tcPr>
          <w:p w14:paraId="04B93FBD" w14:textId="77777777" w:rsidR="00B47AE8" w:rsidRPr="00E359BF" w:rsidRDefault="00B47AE8">
            <w:pPr>
              <w:pStyle w:val="TableColHeadingCenter"/>
              <w:rPr>
                <w:rFonts w:eastAsia="MS Mincho"/>
              </w:rPr>
            </w:pPr>
          </w:p>
        </w:tc>
        <w:tc>
          <w:tcPr>
            <w:tcW w:w="866" w:type="dxa"/>
            <w:vMerge/>
          </w:tcPr>
          <w:p w14:paraId="51CED9DA" w14:textId="77777777" w:rsidR="00B47AE8" w:rsidRPr="00E359BF" w:rsidRDefault="00B47AE8">
            <w:pPr>
              <w:pStyle w:val="TableColHeadingCenter"/>
              <w:rPr>
                <w:rFonts w:eastAsia="MS Mincho"/>
              </w:rPr>
            </w:pPr>
          </w:p>
        </w:tc>
      </w:tr>
      <w:tr w:rsidR="00B47AE8" w:rsidRPr="00E359BF" w14:paraId="2CED2D30" w14:textId="77777777" w:rsidTr="007A0CFB">
        <w:tc>
          <w:tcPr>
            <w:tcW w:w="3095" w:type="dxa"/>
            <w:shd w:val="clear" w:color="auto" w:fill="D9E2F3" w:themeFill="accent5" w:themeFillTint="33"/>
            <w:vAlign w:val="center"/>
          </w:tcPr>
          <w:p w14:paraId="13690EA9" w14:textId="77777777" w:rsidR="00B47AE8" w:rsidRPr="007A0CFB" w:rsidRDefault="00B47AE8" w:rsidP="007A0CFB">
            <w:pPr>
              <w:pStyle w:val="TableSubheading"/>
            </w:pPr>
            <w:r w:rsidRPr="00E359BF">
              <w:t>Emotional Support Domain</w:t>
            </w:r>
          </w:p>
        </w:tc>
        <w:tc>
          <w:tcPr>
            <w:tcW w:w="683" w:type="dxa"/>
            <w:shd w:val="clear" w:color="auto" w:fill="D9E2F3" w:themeFill="accent5" w:themeFillTint="33"/>
          </w:tcPr>
          <w:p w14:paraId="406437EB" w14:textId="77777777" w:rsidR="00B47AE8" w:rsidRPr="00E359BF" w:rsidRDefault="00B47AE8">
            <w:pPr>
              <w:pStyle w:val="TableTextCenteredDemi"/>
              <w:rPr>
                <w:rFonts w:eastAsia="Times New Roman"/>
              </w:rPr>
            </w:pPr>
            <w:r>
              <w:rPr>
                <w:rFonts w:eastAsia="Times New Roman"/>
              </w:rPr>
              <w:t>2</w:t>
            </w:r>
          </w:p>
        </w:tc>
        <w:tc>
          <w:tcPr>
            <w:tcW w:w="678" w:type="dxa"/>
            <w:shd w:val="clear" w:color="auto" w:fill="D9E2F3" w:themeFill="accent5" w:themeFillTint="33"/>
          </w:tcPr>
          <w:p w14:paraId="5FC219FF" w14:textId="77777777" w:rsidR="00B47AE8" w:rsidRPr="00E359BF" w:rsidRDefault="00B47AE8">
            <w:pPr>
              <w:pStyle w:val="TableTextCenteredDemi"/>
              <w:rPr>
                <w:rFonts w:eastAsia="Times New Roman"/>
              </w:rPr>
            </w:pPr>
            <w:r>
              <w:rPr>
                <w:rFonts w:eastAsia="Times New Roman"/>
              </w:rPr>
              <w:t>4</w:t>
            </w:r>
          </w:p>
        </w:tc>
        <w:tc>
          <w:tcPr>
            <w:tcW w:w="688" w:type="dxa"/>
            <w:shd w:val="clear" w:color="auto" w:fill="D9E2F3" w:themeFill="accent5" w:themeFillTint="33"/>
          </w:tcPr>
          <w:p w14:paraId="346C2D7E" w14:textId="77777777" w:rsidR="00B47AE8" w:rsidRPr="00E359BF" w:rsidRDefault="00B47AE8">
            <w:pPr>
              <w:pStyle w:val="TableTextCenteredDemi"/>
              <w:rPr>
                <w:rFonts w:eastAsia="Times New Roman"/>
              </w:rPr>
            </w:pPr>
            <w:r>
              <w:rPr>
                <w:rFonts w:eastAsia="Times New Roman"/>
              </w:rPr>
              <w:t>13</w:t>
            </w:r>
          </w:p>
        </w:tc>
        <w:tc>
          <w:tcPr>
            <w:tcW w:w="684" w:type="dxa"/>
            <w:shd w:val="clear" w:color="auto" w:fill="D9E2F3" w:themeFill="accent5" w:themeFillTint="33"/>
          </w:tcPr>
          <w:p w14:paraId="351A1D28" w14:textId="77777777" w:rsidR="00B47AE8" w:rsidRPr="00E359BF" w:rsidRDefault="00B47AE8">
            <w:pPr>
              <w:pStyle w:val="TableTextCenteredDemi"/>
              <w:rPr>
                <w:rFonts w:eastAsia="Times New Roman"/>
              </w:rPr>
            </w:pPr>
            <w:r>
              <w:rPr>
                <w:rFonts w:eastAsia="Times New Roman"/>
              </w:rPr>
              <w:t>9</w:t>
            </w:r>
          </w:p>
        </w:tc>
        <w:tc>
          <w:tcPr>
            <w:tcW w:w="653" w:type="dxa"/>
            <w:shd w:val="clear" w:color="auto" w:fill="D9E2F3" w:themeFill="accent5" w:themeFillTint="33"/>
          </w:tcPr>
          <w:p w14:paraId="45DD4DF7" w14:textId="77777777" w:rsidR="00B47AE8" w:rsidRPr="00E359BF" w:rsidRDefault="00B47AE8">
            <w:pPr>
              <w:pStyle w:val="TableTextCenteredDemi"/>
              <w:rPr>
                <w:rFonts w:eastAsia="Times New Roman"/>
              </w:rPr>
            </w:pPr>
            <w:r>
              <w:rPr>
                <w:rFonts w:eastAsia="Times New Roman"/>
              </w:rPr>
              <w:t>11</w:t>
            </w:r>
          </w:p>
        </w:tc>
        <w:tc>
          <w:tcPr>
            <w:tcW w:w="712" w:type="dxa"/>
            <w:shd w:val="clear" w:color="auto" w:fill="D9E2F3" w:themeFill="accent5" w:themeFillTint="33"/>
            <w:vAlign w:val="center"/>
          </w:tcPr>
          <w:p w14:paraId="5604CCAE" w14:textId="77777777" w:rsidR="00B47AE8" w:rsidRPr="00E359BF" w:rsidRDefault="00B47AE8">
            <w:pPr>
              <w:pStyle w:val="TableTextCenteredDemi"/>
              <w:rPr>
                <w:rFonts w:eastAsia="Times New Roman"/>
              </w:rPr>
            </w:pPr>
            <w:r>
              <w:rPr>
                <w:rFonts w:eastAsia="Times New Roman"/>
              </w:rPr>
              <w:t>9</w:t>
            </w:r>
          </w:p>
        </w:tc>
        <w:tc>
          <w:tcPr>
            <w:tcW w:w="684" w:type="dxa"/>
            <w:shd w:val="clear" w:color="auto" w:fill="D9E2F3" w:themeFill="accent5" w:themeFillTint="33"/>
            <w:vAlign w:val="center"/>
          </w:tcPr>
          <w:p w14:paraId="112D01C9" w14:textId="77777777" w:rsidR="00B47AE8" w:rsidRPr="00E359BF" w:rsidRDefault="00B47AE8">
            <w:pPr>
              <w:pStyle w:val="TableTextCenteredDemi"/>
              <w:rPr>
                <w:rFonts w:eastAsia="Times New Roman"/>
              </w:rPr>
            </w:pPr>
            <w:r>
              <w:rPr>
                <w:rFonts w:eastAsia="Times New Roman"/>
              </w:rPr>
              <w:t>21</w:t>
            </w:r>
          </w:p>
        </w:tc>
        <w:tc>
          <w:tcPr>
            <w:tcW w:w="601" w:type="dxa"/>
            <w:shd w:val="clear" w:color="auto" w:fill="D9E2F3" w:themeFill="accent5" w:themeFillTint="33"/>
          </w:tcPr>
          <w:p w14:paraId="06AA35F1" w14:textId="77777777" w:rsidR="00B47AE8" w:rsidRPr="00E359BF" w:rsidRDefault="00B47AE8">
            <w:pPr>
              <w:pStyle w:val="TableTextCenteredDemi"/>
              <w:rPr>
                <w:rFonts w:eastAsia="Times New Roman"/>
              </w:rPr>
            </w:pPr>
            <w:r>
              <w:rPr>
                <w:rFonts w:eastAsia="Times New Roman"/>
              </w:rPr>
              <w:t>69</w:t>
            </w:r>
          </w:p>
        </w:tc>
        <w:tc>
          <w:tcPr>
            <w:tcW w:w="866" w:type="dxa"/>
            <w:shd w:val="clear" w:color="auto" w:fill="D9E2F3" w:themeFill="accent5" w:themeFillTint="33"/>
          </w:tcPr>
          <w:p w14:paraId="4AE421B0" w14:textId="77777777" w:rsidR="00B47AE8" w:rsidRPr="00E359BF" w:rsidRDefault="00B47AE8">
            <w:pPr>
              <w:pStyle w:val="TableTextCenteredDemi"/>
              <w:rPr>
                <w:rFonts w:eastAsia="Times New Roman"/>
              </w:rPr>
            </w:pPr>
            <w:r>
              <w:rPr>
                <w:rFonts w:eastAsia="Times New Roman"/>
              </w:rPr>
              <w:t>4.9</w:t>
            </w:r>
          </w:p>
        </w:tc>
      </w:tr>
      <w:tr w:rsidR="00B47AE8" w:rsidRPr="00E359BF" w14:paraId="2543D465" w14:textId="77777777" w:rsidTr="007A0CFB">
        <w:tc>
          <w:tcPr>
            <w:tcW w:w="3095" w:type="dxa"/>
            <w:vAlign w:val="center"/>
          </w:tcPr>
          <w:p w14:paraId="21EB5285" w14:textId="77777777" w:rsidR="00B47AE8" w:rsidRPr="00E359BF" w:rsidRDefault="00B47AE8">
            <w:pPr>
              <w:pStyle w:val="TableText"/>
              <w:ind w:left="204"/>
              <w:rPr>
                <w:b/>
                <w:bCs/>
              </w:rPr>
            </w:pPr>
            <w:r w:rsidRPr="00E359BF">
              <w:t>Positive Climate</w:t>
            </w:r>
          </w:p>
        </w:tc>
        <w:tc>
          <w:tcPr>
            <w:tcW w:w="683" w:type="dxa"/>
          </w:tcPr>
          <w:p w14:paraId="5BC9881D" w14:textId="77777777" w:rsidR="00B47AE8" w:rsidRPr="00E359BF" w:rsidRDefault="00B47AE8">
            <w:pPr>
              <w:pStyle w:val="TableTextCentered"/>
              <w:rPr>
                <w:rFonts w:eastAsia="Times New Roman"/>
              </w:rPr>
            </w:pPr>
            <w:r>
              <w:rPr>
                <w:rFonts w:eastAsia="Times New Roman"/>
              </w:rPr>
              <w:t>0</w:t>
            </w:r>
          </w:p>
        </w:tc>
        <w:tc>
          <w:tcPr>
            <w:tcW w:w="678" w:type="dxa"/>
          </w:tcPr>
          <w:p w14:paraId="5D77AB88" w14:textId="77777777" w:rsidR="00B47AE8" w:rsidRPr="00E359BF" w:rsidRDefault="00B47AE8">
            <w:pPr>
              <w:pStyle w:val="TableTextCentered"/>
              <w:rPr>
                <w:rFonts w:eastAsia="Times New Roman"/>
              </w:rPr>
            </w:pPr>
            <w:r>
              <w:rPr>
                <w:rFonts w:eastAsia="Times New Roman"/>
              </w:rPr>
              <w:t>0</w:t>
            </w:r>
          </w:p>
        </w:tc>
        <w:tc>
          <w:tcPr>
            <w:tcW w:w="688" w:type="dxa"/>
          </w:tcPr>
          <w:p w14:paraId="52FC68EE" w14:textId="77777777" w:rsidR="00B47AE8" w:rsidRPr="00E359BF" w:rsidRDefault="00B47AE8">
            <w:pPr>
              <w:pStyle w:val="TableTextCentered"/>
              <w:rPr>
                <w:rFonts w:eastAsia="Times New Roman"/>
              </w:rPr>
            </w:pPr>
            <w:r>
              <w:rPr>
                <w:rFonts w:eastAsia="Times New Roman"/>
              </w:rPr>
              <w:t>2</w:t>
            </w:r>
          </w:p>
        </w:tc>
        <w:tc>
          <w:tcPr>
            <w:tcW w:w="684" w:type="dxa"/>
          </w:tcPr>
          <w:p w14:paraId="38525B36" w14:textId="77777777" w:rsidR="00B47AE8" w:rsidRPr="00E359BF" w:rsidRDefault="00B47AE8">
            <w:pPr>
              <w:pStyle w:val="TableTextCentered"/>
              <w:rPr>
                <w:rFonts w:eastAsia="Times New Roman"/>
              </w:rPr>
            </w:pPr>
            <w:r>
              <w:rPr>
                <w:rFonts w:eastAsia="Times New Roman"/>
              </w:rPr>
              <w:t>2</w:t>
            </w:r>
          </w:p>
        </w:tc>
        <w:tc>
          <w:tcPr>
            <w:tcW w:w="653" w:type="dxa"/>
          </w:tcPr>
          <w:p w14:paraId="4A81FDE9" w14:textId="77777777" w:rsidR="00B47AE8" w:rsidRPr="00E359BF" w:rsidRDefault="00B47AE8">
            <w:pPr>
              <w:pStyle w:val="TableTextCentered"/>
              <w:rPr>
                <w:rFonts w:eastAsia="Times New Roman"/>
              </w:rPr>
            </w:pPr>
            <w:r>
              <w:rPr>
                <w:rFonts w:eastAsia="Times New Roman"/>
              </w:rPr>
              <w:t>5</w:t>
            </w:r>
          </w:p>
        </w:tc>
        <w:tc>
          <w:tcPr>
            <w:tcW w:w="712" w:type="dxa"/>
            <w:vAlign w:val="center"/>
          </w:tcPr>
          <w:p w14:paraId="77F69E92" w14:textId="77777777" w:rsidR="00B47AE8" w:rsidRPr="00E359BF" w:rsidRDefault="00B47AE8">
            <w:pPr>
              <w:pStyle w:val="TableTextCentered"/>
              <w:rPr>
                <w:rFonts w:eastAsia="Times New Roman"/>
              </w:rPr>
            </w:pPr>
            <w:r>
              <w:rPr>
                <w:rFonts w:eastAsia="Times New Roman"/>
              </w:rPr>
              <w:t>4</w:t>
            </w:r>
          </w:p>
        </w:tc>
        <w:tc>
          <w:tcPr>
            <w:tcW w:w="684" w:type="dxa"/>
            <w:vAlign w:val="center"/>
          </w:tcPr>
          <w:p w14:paraId="4B2E3974" w14:textId="77777777" w:rsidR="00B47AE8" w:rsidRPr="00E359BF" w:rsidRDefault="00B47AE8">
            <w:pPr>
              <w:pStyle w:val="TableTextCentered"/>
              <w:rPr>
                <w:rFonts w:eastAsia="Times New Roman"/>
              </w:rPr>
            </w:pPr>
            <w:r>
              <w:rPr>
                <w:rFonts w:eastAsia="Times New Roman"/>
              </w:rPr>
              <w:t>10</w:t>
            </w:r>
          </w:p>
        </w:tc>
        <w:tc>
          <w:tcPr>
            <w:tcW w:w="601" w:type="dxa"/>
          </w:tcPr>
          <w:p w14:paraId="475EFF11" w14:textId="77777777" w:rsidR="00B47AE8" w:rsidRPr="00E359BF" w:rsidRDefault="00B47AE8">
            <w:pPr>
              <w:pStyle w:val="TableTextCentered"/>
              <w:rPr>
                <w:rFonts w:eastAsia="Times New Roman"/>
              </w:rPr>
            </w:pPr>
            <w:r>
              <w:rPr>
                <w:rFonts w:eastAsia="Times New Roman"/>
              </w:rPr>
              <w:t>23</w:t>
            </w:r>
          </w:p>
        </w:tc>
        <w:tc>
          <w:tcPr>
            <w:tcW w:w="866" w:type="dxa"/>
          </w:tcPr>
          <w:p w14:paraId="226C068B" w14:textId="77777777" w:rsidR="00B47AE8" w:rsidRPr="00E359BF" w:rsidRDefault="00B47AE8">
            <w:pPr>
              <w:pStyle w:val="TableTextCentered"/>
              <w:rPr>
                <w:rFonts w:eastAsia="Times New Roman"/>
              </w:rPr>
            </w:pPr>
            <w:r>
              <w:rPr>
                <w:rFonts w:eastAsia="Times New Roman"/>
              </w:rPr>
              <w:t>5.8</w:t>
            </w:r>
          </w:p>
        </w:tc>
      </w:tr>
      <w:tr w:rsidR="007A0CFB" w:rsidRPr="00E359BF" w14:paraId="3885228E" w14:textId="77777777" w:rsidTr="007A0CFB">
        <w:tc>
          <w:tcPr>
            <w:tcW w:w="3095" w:type="dxa"/>
            <w:vAlign w:val="center"/>
          </w:tcPr>
          <w:p w14:paraId="3637EEA0" w14:textId="77777777" w:rsidR="00B47AE8" w:rsidRPr="00E359BF" w:rsidRDefault="00B47AE8">
            <w:pPr>
              <w:pStyle w:val="TableText"/>
              <w:ind w:left="204"/>
              <w:rPr>
                <w:b/>
                <w:bCs/>
              </w:rPr>
            </w:pPr>
            <w:r w:rsidRPr="00E359BF">
              <w:t>Teacher Sensitivity</w:t>
            </w:r>
          </w:p>
        </w:tc>
        <w:tc>
          <w:tcPr>
            <w:tcW w:w="683" w:type="dxa"/>
          </w:tcPr>
          <w:p w14:paraId="1ACA31FD" w14:textId="77777777" w:rsidR="00B47AE8" w:rsidRPr="00E359BF" w:rsidRDefault="00B47AE8">
            <w:pPr>
              <w:pStyle w:val="TableTextCentered"/>
              <w:rPr>
                <w:rFonts w:eastAsia="Times New Roman"/>
              </w:rPr>
            </w:pPr>
            <w:r>
              <w:rPr>
                <w:rFonts w:eastAsia="Times New Roman"/>
              </w:rPr>
              <w:t>0</w:t>
            </w:r>
          </w:p>
        </w:tc>
        <w:tc>
          <w:tcPr>
            <w:tcW w:w="678" w:type="dxa"/>
          </w:tcPr>
          <w:p w14:paraId="59EC83C9" w14:textId="77777777" w:rsidR="00B47AE8" w:rsidRPr="00E359BF" w:rsidRDefault="00B47AE8">
            <w:pPr>
              <w:pStyle w:val="TableTextCentered"/>
              <w:rPr>
                <w:rFonts w:eastAsia="Times New Roman"/>
              </w:rPr>
            </w:pPr>
            <w:r>
              <w:rPr>
                <w:rFonts w:eastAsia="Times New Roman"/>
              </w:rPr>
              <w:t>0</w:t>
            </w:r>
          </w:p>
        </w:tc>
        <w:tc>
          <w:tcPr>
            <w:tcW w:w="688" w:type="dxa"/>
          </w:tcPr>
          <w:p w14:paraId="61889DCB" w14:textId="77777777" w:rsidR="00B47AE8" w:rsidRPr="00E359BF" w:rsidRDefault="00B47AE8">
            <w:pPr>
              <w:pStyle w:val="TableTextCentered"/>
              <w:rPr>
                <w:rFonts w:eastAsia="Times New Roman"/>
              </w:rPr>
            </w:pPr>
            <w:r>
              <w:rPr>
                <w:rFonts w:eastAsia="Times New Roman"/>
              </w:rPr>
              <w:t>1</w:t>
            </w:r>
          </w:p>
        </w:tc>
        <w:tc>
          <w:tcPr>
            <w:tcW w:w="684" w:type="dxa"/>
          </w:tcPr>
          <w:p w14:paraId="511A648A" w14:textId="77777777" w:rsidR="00B47AE8" w:rsidRPr="00E359BF" w:rsidRDefault="00B47AE8">
            <w:pPr>
              <w:pStyle w:val="TableTextCentered"/>
              <w:rPr>
                <w:rFonts w:eastAsia="Times New Roman"/>
              </w:rPr>
            </w:pPr>
            <w:r>
              <w:rPr>
                <w:rFonts w:eastAsia="Times New Roman"/>
              </w:rPr>
              <w:t>2</w:t>
            </w:r>
          </w:p>
        </w:tc>
        <w:tc>
          <w:tcPr>
            <w:tcW w:w="653" w:type="dxa"/>
          </w:tcPr>
          <w:p w14:paraId="7C8FDC45" w14:textId="77777777" w:rsidR="00B47AE8" w:rsidRPr="00E359BF" w:rsidRDefault="00B47AE8">
            <w:pPr>
              <w:pStyle w:val="TableTextCentered"/>
              <w:rPr>
                <w:rFonts w:eastAsia="Times New Roman"/>
              </w:rPr>
            </w:pPr>
            <w:r>
              <w:rPr>
                <w:rFonts w:eastAsia="Times New Roman"/>
              </w:rPr>
              <w:t>4</w:t>
            </w:r>
          </w:p>
        </w:tc>
        <w:tc>
          <w:tcPr>
            <w:tcW w:w="712" w:type="dxa"/>
            <w:vAlign w:val="center"/>
          </w:tcPr>
          <w:p w14:paraId="3602309D" w14:textId="77777777" w:rsidR="00B47AE8" w:rsidRPr="00E359BF" w:rsidRDefault="00B47AE8">
            <w:pPr>
              <w:pStyle w:val="TableTextCentered"/>
              <w:rPr>
                <w:rFonts w:eastAsia="Times New Roman"/>
              </w:rPr>
            </w:pPr>
            <w:r>
              <w:rPr>
                <w:rFonts w:eastAsia="Times New Roman"/>
              </w:rPr>
              <w:t>5</w:t>
            </w:r>
          </w:p>
        </w:tc>
        <w:tc>
          <w:tcPr>
            <w:tcW w:w="684" w:type="dxa"/>
            <w:vAlign w:val="center"/>
          </w:tcPr>
          <w:p w14:paraId="0D0FC018" w14:textId="77777777" w:rsidR="00B47AE8" w:rsidRPr="00E359BF" w:rsidRDefault="00B47AE8">
            <w:pPr>
              <w:pStyle w:val="TableTextCentered"/>
              <w:rPr>
                <w:rFonts w:eastAsia="Times New Roman"/>
              </w:rPr>
            </w:pPr>
            <w:r>
              <w:rPr>
                <w:rFonts w:eastAsia="Times New Roman"/>
              </w:rPr>
              <w:t>11</w:t>
            </w:r>
          </w:p>
        </w:tc>
        <w:tc>
          <w:tcPr>
            <w:tcW w:w="601" w:type="dxa"/>
          </w:tcPr>
          <w:p w14:paraId="30491004" w14:textId="77777777" w:rsidR="00B47AE8" w:rsidRPr="00E359BF" w:rsidRDefault="00B47AE8">
            <w:pPr>
              <w:pStyle w:val="TableTextCentered"/>
              <w:rPr>
                <w:rFonts w:eastAsia="Times New Roman"/>
              </w:rPr>
            </w:pPr>
            <w:r>
              <w:rPr>
                <w:rFonts w:eastAsia="Times New Roman"/>
              </w:rPr>
              <w:t>23</w:t>
            </w:r>
          </w:p>
        </w:tc>
        <w:tc>
          <w:tcPr>
            <w:tcW w:w="866" w:type="dxa"/>
          </w:tcPr>
          <w:p w14:paraId="7DF8453D" w14:textId="77777777" w:rsidR="00B47AE8" w:rsidRPr="00E359BF" w:rsidRDefault="00B47AE8">
            <w:pPr>
              <w:pStyle w:val="TableTextCentered"/>
              <w:rPr>
                <w:rFonts w:eastAsia="Times New Roman"/>
              </w:rPr>
            </w:pPr>
            <w:r>
              <w:rPr>
                <w:rFonts w:eastAsia="Times New Roman"/>
              </w:rPr>
              <w:t>6.0</w:t>
            </w:r>
          </w:p>
        </w:tc>
      </w:tr>
      <w:tr w:rsidR="00B47AE8" w:rsidRPr="00E359BF" w14:paraId="1E2E6911" w14:textId="77777777" w:rsidTr="007A0CFB">
        <w:tc>
          <w:tcPr>
            <w:tcW w:w="3095" w:type="dxa"/>
            <w:vAlign w:val="center"/>
          </w:tcPr>
          <w:p w14:paraId="668B82EA" w14:textId="77777777" w:rsidR="00B47AE8" w:rsidRPr="00E359BF" w:rsidRDefault="00B47AE8">
            <w:pPr>
              <w:pStyle w:val="TableText"/>
              <w:ind w:left="204"/>
              <w:rPr>
                <w:b/>
                <w:bCs/>
              </w:rPr>
            </w:pPr>
            <w:r w:rsidRPr="00E359BF">
              <w:t>Regard for Student Perspectives</w:t>
            </w:r>
          </w:p>
        </w:tc>
        <w:tc>
          <w:tcPr>
            <w:tcW w:w="683" w:type="dxa"/>
          </w:tcPr>
          <w:p w14:paraId="112A4957" w14:textId="77777777" w:rsidR="00B47AE8" w:rsidRPr="00E359BF" w:rsidRDefault="00B47AE8">
            <w:pPr>
              <w:pStyle w:val="TableTextCentered"/>
              <w:rPr>
                <w:rFonts w:eastAsia="Times New Roman"/>
              </w:rPr>
            </w:pPr>
            <w:r>
              <w:rPr>
                <w:rFonts w:eastAsia="Times New Roman"/>
              </w:rPr>
              <w:t>2</w:t>
            </w:r>
          </w:p>
        </w:tc>
        <w:tc>
          <w:tcPr>
            <w:tcW w:w="678" w:type="dxa"/>
          </w:tcPr>
          <w:p w14:paraId="1E4C4B86" w14:textId="77777777" w:rsidR="00B47AE8" w:rsidRPr="00E359BF" w:rsidRDefault="00B47AE8">
            <w:pPr>
              <w:pStyle w:val="TableTextCentered"/>
              <w:rPr>
                <w:rFonts w:eastAsia="Times New Roman"/>
              </w:rPr>
            </w:pPr>
            <w:r>
              <w:rPr>
                <w:rFonts w:eastAsia="Times New Roman"/>
              </w:rPr>
              <w:t>4</w:t>
            </w:r>
          </w:p>
        </w:tc>
        <w:tc>
          <w:tcPr>
            <w:tcW w:w="688" w:type="dxa"/>
          </w:tcPr>
          <w:p w14:paraId="6FFA2101" w14:textId="77777777" w:rsidR="00B47AE8" w:rsidRPr="00E359BF" w:rsidRDefault="00B47AE8">
            <w:pPr>
              <w:pStyle w:val="TableTextCentered"/>
              <w:rPr>
                <w:rFonts w:eastAsia="Times New Roman"/>
              </w:rPr>
            </w:pPr>
            <w:r>
              <w:rPr>
                <w:rFonts w:eastAsia="Times New Roman"/>
              </w:rPr>
              <w:t>10</w:t>
            </w:r>
          </w:p>
        </w:tc>
        <w:tc>
          <w:tcPr>
            <w:tcW w:w="684" w:type="dxa"/>
          </w:tcPr>
          <w:p w14:paraId="69D10E95" w14:textId="77777777" w:rsidR="00B47AE8" w:rsidRPr="00E359BF" w:rsidRDefault="00B47AE8">
            <w:pPr>
              <w:pStyle w:val="TableTextCentered"/>
              <w:rPr>
                <w:rFonts w:eastAsia="Times New Roman"/>
              </w:rPr>
            </w:pPr>
            <w:r>
              <w:rPr>
                <w:rFonts w:eastAsia="Times New Roman"/>
              </w:rPr>
              <w:t>5</w:t>
            </w:r>
          </w:p>
        </w:tc>
        <w:tc>
          <w:tcPr>
            <w:tcW w:w="653" w:type="dxa"/>
          </w:tcPr>
          <w:p w14:paraId="142967A3" w14:textId="77777777" w:rsidR="00B47AE8" w:rsidRPr="00E359BF" w:rsidRDefault="00B47AE8">
            <w:pPr>
              <w:pStyle w:val="TableTextCentered"/>
              <w:rPr>
                <w:rFonts w:eastAsia="Times New Roman"/>
              </w:rPr>
            </w:pPr>
            <w:r>
              <w:rPr>
                <w:rFonts w:eastAsia="Times New Roman"/>
              </w:rPr>
              <w:t>2</w:t>
            </w:r>
          </w:p>
        </w:tc>
        <w:tc>
          <w:tcPr>
            <w:tcW w:w="712" w:type="dxa"/>
            <w:vAlign w:val="center"/>
          </w:tcPr>
          <w:p w14:paraId="13799536" w14:textId="77777777" w:rsidR="00B47AE8" w:rsidRPr="00E359BF" w:rsidRDefault="00B47AE8">
            <w:pPr>
              <w:pStyle w:val="TableTextCentered"/>
              <w:rPr>
                <w:rFonts w:eastAsia="Times New Roman"/>
              </w:rPr>
            </w:pPr>
            <w:r>
              <w:rPr>
                <w:rFonts w:eastAsia="Times New Roman"/>
              </w:rPr>
              <w:t>0</w:t>
            </w:r>
          </w:p>
        </w:tc>
        <w:tc>
          <w:tcPr>
            <w:tcW w:w="684" w:type="dxa"/>
            <w:vAlign w:val="center"/>
          </w:tcPr>
          <w:p w14:paraId="3A5DE68D" w14:textId="77777777" w:rsidR="00B47AE8" w:rsidRPr="00E359BF" w:rsidRDefault="00B47AE8">
            <w:pPr>
              <w:pStyle w:val="TableTextCentered"/>
              <w:rPr>
                <w:rFonts w:eastAsia="Times New Roman"/>
              </w:rPr>
            </w:pPr>
            <w:r>
              <w:rPr>
                <w:rFonts w:eastAsia="Times New Roman"/>
              </w:rPr>
              <w:t>0</w:t>
            </w:r>
          </w:p>
        </w:tc>
        <w:tc>
          <w:tcPr>
            <w:tcW w:w="601" w:type="dxa"/>
          </w:tcPr>
          <w:p w14:paraId="3F626FF6" w14:textId="77777777" w:rsidR="00B47AE8" w:rsidRPr="00E359BF" w:rsidRDefault="00B47AE8">
            <w:pPr>
              <w:pStyle w:val="TableTextCentered"/>
              <w:rPr>
                <w:rFonts w:eastAsia="Times New Roman"/>
              </w:rPr>
            </w:pPr>
            <w:r>
              <w:rPr>
                <w:rFonts w:eastAsia="Times New Roman"/>
              </w:rPr>
              <w:t>23</w:t>
            </w:r>
          </w:p>
        </w:tc>
        <w:tc>
          <w:tcPr>
            <w:tcW w:w="866" w:type="dxa"/>
          </w:tcPr>
          <w:p w14:paraId="3E6E07CF" w14:textId="77777777" w:rsidR="00B47AE8" w:rsidRPr="00E359BF" w:rsidRDefault="00B47AE8">
            <w:pPr>
              <w:pStyle w:val="TableTextCentered"/>
              <w:rPr>
                <w:rFonts w:eastAsia="Times New Roman"/>
              </w:rPr>
            </w:pPr>
            <w:r>
              <w:rPr>
                <w:rFonts w:eastAsia="Times New Roman"/>
              </w:rPr>
              <w:t>3.0</w:t>
            </w:r>
          </w:p>
        </w:tc>
      </w:tr>
      <w:tr w:rsidR="00B47AE8" w:rsidRPr="00E359BF" w14:paraId="01045318" w14:textId="77777777" w:rsidTr="007A0CFB">
        <w:tc>
          <w:tcPr>
            <w:tcW w:w="3095" w:type="dxa"/>
            <w:shd w:val="clear" w:color="auto" w:fill="D9E2F3" w:themeFill="accent5" w:themeFillTint="33"/>
            <w:vAlign w:val="center"/>
          </w:tcPr>
          <w:p w14:paraId="758174FC" w14:textId="77777777" w:rsidR="00B47AE8" w:rsidRPr="00E359BF" w:rsidRDefault="00B47AE8">
            <w:pPr>
              <w:pStyle w:val="TableSubheading"/>
              <w:rPr>
                <w:szCs w:val="20"/>
              </w:rPr>
            </w:pPr>
            <w:r w:rsidRPr="00E359BF">
              <w:t>Classroom Organization Domain</w:t>
            </w:r>
          </w:p>
        </w:tc>
        <w:tc>
          <w:tcPr>
            <w:tcW w:w="683" w:type="dxa"/>
            <w:shd w:val="clear" w:color="auto" w:fill="D9E2F3" w:themeFill="accent5" w:themeFillTint="33"/>
          </w:tcPr>
          <w:p w14:paraId="0271D027" w14:textId="77777777" w:rsidR="00B47AE8" w:rsidRPr="00E359BF" w:rsidRDefault="00B47AE8">
            <w:pPr>
              <w:pStyle w:val="TableTextCenteredDemi"/>
              <w:rPr>
                <w:rFonts w:eastAsia="Times New Roman"/>
              </w:rPr>
            </w:pPr>
            <w:r>
              <w:rPr>
                <w:rFonts w:eastAsia="Times New Roman"/>
              </w:rPr>
              <w:t>0</w:t>
            </w:r>
          </w:p>
        </w:tc>
        <w:tc>
          <w:tcPr>
            <w:tcW w:w="678" w:type="dxa"/>
            <w:shd w:val="clear" w:color="auto" w:fill="D9E2F3" w:themeFill="accent5" w:themeFillTint="33"/>
          </w:tcPr>
          <w:p w14:paraId="634B0B28" w14:textId="77777777" w:rsidR="00B47AE8" w:rsidRPr="00E359BF" w:rsidRDefault="00B47AE8">
            <w:pPr>
              <w:pStyle w:val="TableTextCenteredDemi"/>
              <w:rPr>
                <w:rFonts w:eastAsia="Times New Roman"/>
              </w:rPr>
            </w:pPr>
            <w:r>
              <w:rPr>
                <w:rFonts w:eastAsia="Times New Roman"/>
              </w:rPr>
              <w:t>0</w:t>
            </w:r>
          </w:p>
        </w:tc>
        <w:tc>
          <w:tcPr>
            <w:tcW w:w="688" w:type="dxa"/>
            <w:shd w:val="clear" w:color="auto" w:fill="D9E2F3" w:themeFill="accent5" w:themeFillTint="33"/>
          </w:tcPr>
          <w:p w14:paraId="50F7F711" w14:textId="77777777" w:rsidR="00B47AE8" w:rsidRPr="00E359BF" w:rsidRDefault="00B47AE8">
            <w:pPr>
              <w:pStyle w:val="TableTextCenteredDemi"/>
              <w:rPr>
                <w:rFonts w:eastAsia="Times New Roman"/>
              </w:rPr>
            </w:pPr>
            <w:r>
              <w:rPr>
                <w:rFonts w:eastAsia="Times New Roman"/>
              </w:rPr>
              <w:t>0</w:t>
            </w:r>
          </w:p>
        </w:tc>
        <w:tc>
          <w:tcPr>
            <w:tcW w:w="684" w:type="dxa"/>
            <w:shd w:val="clear" w:color="auto" w:fill="D9E2F3" w:themeFill="accent5" w:themeFillTint="33"/>
          </w:tcPr>
          <w:p w14:paraId="53CE297B" w14:textId="77777777" w:rsidR="00B47AE8" w:rsidRPr="00E359BF" w:rsidRDefault="00B47AE8">
            <w:pPr>
              <w:pStyle w:val="TableTextCenteredDemi"/>
              <w:rPr>
                <w:rFonts w:eastAsia="Times New Roman"/>
              </w:rPr>
            </w:pPr>
            <w:r>
              <w:rPr>
                <w:rFonts w:eastAsia="Times New Roman"/>
              </w:rPr>
              <w:t>0</w:t>
            </w:r>
          </w:p>
        </w:tc>
        <w:tc>
          <w:tcPr>
            <w:tcW w:w="653" w:type="dxa"/>
            <w:shd w:val="clear" w:color="auto" w:fill="D9E2F3" w:themeFill="accent5" w:themeFillTint="33"/>
          </w:tcPr>
          <w:p w14:paraId="271A3983" w14:textId="77777777" w:rsidR="00B47AE8" w:rsidRPr="00E359BF" w:rsidRDefault="00B47AE8">
            <w:pPr>
              <w:pStyle w:val="TableTextCenteredDemi"/>
              <w:rPr>
                <w:rFonts w:eastAsia="Times New Roman"/>
              </w:rPr>
            </w:pPr>
            <w:r>
              <w:rPr>
                <w:rFonts w:eastAsia="Times New Roman"/>
              </w:rPr>
              <w:t>1</w:t>
            </w:r>
          </w:p>
        </w:tc>
        <w:tc>
          <w:tcPr>
            <w:tcW w:w="712" w:type="dxa"/>
            <w:shd w:val="clear" w:color="auto" w:fill="D9E2F3" w:themeFill="accent5" w:themeFillTint="33"/>
            <w:vAlign w:val="center"/>
          </w:tcPr>
          <w:p w14:paraId="341D2AA9" w14:textId="77777777" w:rsidR="00B47AE8" w:rsidRPr="00E359BF" w:rsidRDefault="00B47AE8">
            <w:pPr>
              <w:pStyle w:val="TableTextCenteredDemi"/>
              <w:rPr>
                <w:rFonts w:eastAsia="Times New Roman"/>
              </w:rPr>
            </w:pPr>
            <w:r>
              <w:rPr>
                <w:rFonts w:eastAsia="Times New Roman"/>
              </w:rPr>
              <w:t>17</w:t>
            </w:r>
          </w:p>
        </w:tc>
        <w:tc>
          <w:tcPr>
            <w:tcW w:w="684" w:type="dxa"/>
            <w:shd w:val="clear" w:color="auto" w:fill="D9E2F3" w:themeFill="accent5" w:themeFillTint="33"/>
            <w:vAlign w:val="center"/>
          </w:tcPr>
          <w:p w14:paraId="5DFA6797" w14:textId="77777777" w:rsidR="00B47AE8" w:rsidRPr="00E359BF" w:rsidRDefault="00B47AE8">
            <w:pPr>
              <w:pStyle w:val="TableTextCenteredDemi"/>
              <w:rPr>
                <w:rFonts w:eastAsia="Times New Roman"/>
              </w:rPr>
            </w:pPr>
            <w:r>
              <w:rPr>
                <w:rFonts w:eastAsia="Times New Roman"/>
              </w:rPr>
              <w:t>51</w:t>
            </w:r>
          </w:p>
        </w:tc>
        <w:tc>
          <w:tcPr>
            <w:tcW w:w="601" w:type="dxa"/>
            <w:shd w:val="clear" w:color="auto" w:fill="D9E2F3" w:themeFill="accent5" w:themeFillTint="33"/>
          </w:tcPr>
          <w:p w14:paraId="6A64EFA8" w14:textId="77777777" w:rsidR="00B47AE8" w:rsidRPr="00E359BF" w:rsidRDefault="00B47AE8">
            <w:pPr>
              <w:pStyle w:val="TableTextCenteredDemi"/>
              <w:rPr>
                <w:rFonts w:eastAsia="Times New Roman"/>
              </w:rPr>
            </w:pPr>
            <w:r>
              <w:rPr>
                <w:rFonts w:eastAsia="Times New Roman"/>
              </w:rPr>
              <w:t>69</w:t>
            </w:r>
          </w:p>
        </w:tc>
        <w:tc>
          <w:tcPr>
            <w:tcW w:w="866" w:type="dxa"/>
            <w:shd w:val="clear" w:color="auto" w:fill="D9E2F3" w:themeFill="accent5" w:themeFillTint="33"/>
          </w:tcPr>
          <w:p w14:paraId="3D4AFE23" w14:textId="77777777" w:rsidR="00B47AE8" w:rsidRPr="00E359BF" w:rsidRDefault="00B47AE8">
            <w:pPr>
              <w:pStyle w:val="TableTextCenteredDemi"/>
              <w:rPr>
                <w:rFonts w:eastAsia="Times New Roman"/>
              </w:rPr>
            </w:pPr>
            <w:r>
              <w:rPr>
                <w:rFonts w:eastAsia="Times New Roman"/>
              </w:rPr>
              <w:t>6.7</w:t>
            </w:r>
          </w:p>
        </w:tc>
      </w:tr>
      <w:tr w:rsidR="00B47AE8" w:rsidRPr="00E359BF" w14:paraId="09103EF7" w14:textId="77777777" w:rsidTr="007A0CFB">
        <w:tc>
          <w:tcPr>
            <w:tcW w:w="3095" w:type="dxa"/>
            <w:vAlign w:val="center"/>
          </w:tcPr>
          <w:p w14:paraId="1DF4730C" w14:textId="77777777" w:rsidR="00B47AE8" w:rsidRPr="00E359BF" w:rsidRDefault="00B47AE8">
            <w:pPr>
              <w:pStyle w:val="TableText"/>
              <w:ind w:left="204"/>
              <w:rPr>
                <w:b/>
                <w:bCs/>
              </w:rPr>
            </w:pPr>
            <w:r w:rsidRPr="00E359BF">
              <w:t>Behavior Management</w:t>
            </w:r>
          </w:p>
        </w:tc>
        <w:tc>
          <w:tcPr>
            <w:tcW w:w="683" w:type="dxa"/>
          </w:tcPr>
          <w:p w14:paraId="45EE5718" w14:textId="77777777" w:rsidR="00B47AE8" w:rsidRPr="00E359BF" w:rsidRDefault="00B47AE8">
            <w:pPr>
              <w:pStyle w:val="TableTextCentered"/>
              <w:rPr>
                <w:rFonts w:eastAsia="Times New Roman"/>
              </w:rPr>
            </w:pPr>
            <w:r>
              <w:rPr>
                <w:rFonts w:eastAsia="Times New Roman"/>
              </w:rPr>
              <w:t>0</w:t>
            </w:r>
          </w:p>
        </w:tc>
        <w:tc>
          <w:tcPr>
            <w:tcW w:w="678" w:type="dxa"/>
          </w:tcPr>
          <w:p w14:paraId="639020DA" w14:textId="77777777" w:rsidR="00B47AE8" w:rsidRPr="00E359BF" w:rsidRDefault="00B47AE8">
            <w:pPr>
              <w:pStyle w:val="TableTextCentered"/>
              <w:rPr>
                <w:rFonts w:eastAsia="Times New Roman"/>
              </w:rPr>
            </w:pPr>
            <w:r>
              <w:rPr>
                <w:rFonts w:eastAsia="Times New Roman"/>
              </w:rPr>
              <w:t>0</w:t>
            </w:r>
          </w:p>
        </w:tc>
        <w:tc>
          <w:tcPr>
            <w:tcW w:w="688" w:type="dxa"/>
          </w:tcPr>
          <w:p w14:paraId="2B49275C" w14:textId="77777777" w:rsidR="00B47AE8" w:rsidRPr="00E359BF" w:rsidRDefault="00B47AE8">
            <w:pPr>
              <w:pStyle w:val="TableTextCentered"/>
              <w:rPr>
                <w:rFonts w:eastAsia="Times New Roman"/>
              </w:rPr>
            </w:pPr>
            <w:r>
              <w:rPr>
                <w:rFonts w:eastAsia="Times New Roman"/>
              </w:rPr>
              <w:t>0</w:t>
            </w:r>
          </w:p>
        </w:tc>
        <w:tc>
          <w:tcPr>
            <w:tcW w:w="684" w:type="dxa"/>
          </w:tcPr>
          <w:p w14:paraId="3077B7EF" w14:textId="77777777" w:rsidR="00B47AE8" w:rsidRPr="00E359BF" w:rsidRDefault="00B47AE8">
            <w:pPr>
              <w:pStyle w:val="TableTextCentered"/>
              <w:rPr>
                <w:rFonts w:eastAsia="Times New Roman"/>
              </w:rPr>
            </w:pPr>
            <w:r>
              <w:rPr>
                <w:rFonts w:eastAsia="Times New Roman"/>
              </w:rPr>
              <w:t>0</w:t>
            </w:r>
          </w:p>
        </w:tc>
        <w:tc>
          <w:tcPr>
            <w:tcW w:w="653" w:type="dxa"/>
          </w:tcPr>
          <w:p w14:paraId="7BD8188C" w14:textId="77777777" w:rsidR="00B47AE8" w:rsidRPr="00E359BF" w:rsidRDefault="00B47AE8">
            <w:pPr>
              <w:pStyle w:val="TableTextCentered"/>
              <w:rPr>
                <w:rFonts w:eastAsia="Times New Roman"/>
              </w:rPr>
            </w:pPr>
            <w:r>
              <w:rPr>
                <w:rFonts w:eastAsia="Times New Roman"/>
              </w:rPr>
              <w:t>1</w:t>
            </w:r>
          </w:p>
        </w:tc>
        <w:tc>
          <w:tcPr>
            <w:tcW w:w="712" w:type="dxa"/>
            <w:vAlign w:val="center"/>
          </w:tcPr>
          <w:p w14:paraId="2C32B310" w14:textId="77777777" w:rsidR="00B47AE8" w:rsidRPr="00E359BF" w:rsidRDefault="00B47AE8">
            <w:pPr>
              <w:pStyle w:val="TableTextCentered"/>
              <w:rPr>
                <w:rFonts w:eastAsia="Times New Roman"/>
              </w:rPr>
            </w:pPr>
            <w:r>
              <w:rPr>
                <w:rFonts w:eastAsia="Times New Roman"/>
              </w:rPr>
              <w:t>7</w:t>
            </w:r>
          </w:p>
        </w:tc>
        <w:tc>
          <w:tcPr>
            <w:tcW w:w="684" w:type="dxa"/>
            <w:vAlign w:val="center"/>
          </w:tcPr>
          <w:p w14:paraId="300C3E90" w14:textId="77777777" w:rsidR="00B47AE8" w:rsidRPr="00E359BF" w:rsidRDefault="00B47AE8">
            <w:pPr>
              <w:pStyle w:val="TableTextCentered"/>
              <w:rPr>
                <w:rFonts w:eastAsia="Times New Roman"/>
              </w:rPr>
            </w:pPr>
            <w:r>
              <w:rPr>
                <w:rFonts w:eastAsia="Times New Roman"/>
              </w:rPr>
              <w:t>15</w:t>
            </w:r>
          </w:p>
        </w:tc>
        <w:tc>
          <w:tcPr>
            <w:tcW w:w="601" w:type="dxa"/>
          </w:tcPr>
          <w:p w14:paraId="60C8D44E" w14:textId="77777777" w:rsidR="00B47AE8" w:rsidRPr="00E359BF" w:rsidRDefault="00B47AE8">
            <w:pPr>
              <w:pStyle w:val="TableTextCentered"/>
              <w:rPr>
                <w:rFonts w:eastAsia="Times New Roman"/>
              </w:rPr>
            </w:pPr>
            <w:r>
              <w:rPr>
                <w:rFonts w:eastAsia="Times New Roman"/>
              </w:rPr>
              <w:t>23</w:t>
            </w:r>
          </w:p>
        </w:tc>
        <w:tc>
          <w:tcPr>
            <w:tcW w:w="866" w:type="dxa"/>
          </w:tcPr>
          <w:p w14:paraId="1385A4CE" w14:textId="77777777" w:rsidR="00B47AE8" w:rsidRPr="00E359BF" w:rsidRDefault="00B47AE8">
            <w:pPr>
              <w:pStyle w:val="TableTextCentered"/>
              <w:rPr>
                <w:rFonts w:eastAsia="Times New Roman"/>
              </w:rPr>
            </w:pPr>
            <w:r>
              <w:rPr>
                <w:rFonts w:eastAsia="Times New Roman"/>
              </w:rPr>
              <w:t>6.6</w:t>
            </w:r>
          </w:p>
        </w:tc>
      </w:tr>
      <w:tr w:rsidR="007A0CFB" w:rsidRPr="00E359BF" w14:paraId="33CAF94A" w14:textId="77777777" w:rsidTr="007A0CFB">
        <w:tc>
          <w:tcPr>
            <w:tcW w:w="3095" w:type="dxa"/>
            <w:vAlign w:val="center"/>
          </w:tcPr>
          <w:p w14:paraId="4F4C522F" w14:textId="77777777" w:rsidR="00B47AE8" w:rsidRPr="00E359BF" w:rsidRDefault="00B47AE8">
            <w:pPr>
              <w:pStyle w:val="TableText"/>
              <w:ind w:left="204"/>
              <w:rPr>
                <w:b/>
                <w:bCs/>
              </w:rPr>
            </w:pPr>
            <w:r w:rsidRPr="00E359BF">
              <w:t>Productivity</w:t>
            </w:r>
          </w:p>
        </w:tc>
        <w:tc>
          <w:tcPr>
            <w:tcW w:w="683" w:type="dxa"/>
          </w:tcPr>
          <w:p w14:paraId="3DF9C7B7" w14:textId="77777777" w:rsidR="00B47AE8" w:rsidRPr="00E359BF" w:rsidRDefault="00B47AE8">
            <w:pPr>
              <w:pStyle w:val="TableTextCentered"/>
              <w:rPr>
                <w:rFonts w:eastAsia="Times New Roman"/>
              </w:rPr>
            </w:pPr>
            <w:r>
              <w:rPr>
                <w:rFonts w:eastAsia="Times New Roman"/>
              </w:rPr>
              <w:t>0</w:t>
            </w:r>
          </w:p>
        </w:tc>
        <w:tc>
          <w:tcPr>
            <w:tcW w:w="678" w:type="dxa"/>
          </w:tcPr>
          <w:p w14:paraId="326F8DE0" w14:textId="77777777" w:rsidR="00B47AE8" w:rsidRPr="00E359BF" w:rsidRDefault="00B47AE8">
            <w:pPr>
              <w:pStyle w:val="TableTextCentered"/>
              <w:rPr>
                <w:rFonts w:eastAsia="Times New Roman"/>
              </w:rPr>
            </w:pPr>
            <w:r>
              <w:rPr>
                <w:rFonts w:eastAsia="Times New Roman"/>
              </w:rPr>
              <w:t>0</w:t>
            </w:r>
          </w:p>
        </w:tc>
        <w:tc>
          <w:tcPr>
            <w:tcW w:w="688" w:type="dxa"/>
          </w:tcPr>
          <w:p w14:paraId="7CA28E68" w14:textId="77777777" w:rsidR="00B47AE8" w:rsidRPr="00E359BF" w:rsidRDefault="00B47AE8">
            <w:pPr>
              <w:pStyle w:val="TableTextCentered"/>
              <w:rPr>
                <w:rFonts w:eastAsia="Times New Roman"/>
              </w:rPr>
            </w:pPr>
            <w:r>
              <w:rPr>
                <w:rFonts w:eastAsia="Times New Roman"/>
              </w:rPr>
              <w:t>0</w:t>
            </w:r>
          </w:p>
        </w:tc>
        <w:tc>
          <w:tcPr>
            <w:tcW w:w="684" w:type="dxa"/>
          </w:tcPr>
          <w:p w14:paraId="033E294A" w14:textId="77777777" w:rsidR="00B47AE8" w:rsidRPr="00E359BF" w:rsidRDefault="00B47AE8">
            <w:pPr>
              <w:pStyle w:val="TableTextCentered"/>
              <w:rPr>
                <w:rFonts w:eastAsia="Times New Roman"/>
              </w:rPr>
            </w:pPr>
            <w:r>
              <w:rPr>
                <w:rFonts w:eastAsia="Times New Roman"/>
              </w:rPr>
              <w:t>0</w:t>
            </w:r>
          </w:p>
        </w:tc>
        <w:tc>
          <w:tcPr>
            <w:tcW w:w="653" w:type="dxa"/>
          </w:tcPr>
          <w:p w14:paraId="02C2B8F4" w14:textId="77777777" w:rsidR="00B47AE8" w:rsidRPr="00E359BF" w:rsidRDefault="00B47AE8">
            <w:pPr>
              <w:pStyle w:val="TableTextCentered"/>
              <w:rPr>
                <w:rFonts w:eastAsia="Times New Roman"/>
              </w:rPr>
            </w:pPr>
            <w:r>
              <w:rPr>
                <w:rFonts w:eastAsia="Times New Roman"/>
              </w:rPr>
              <w:t>0</w:t>
            </w:r>
          </w:p>
        </w:tc>
        <w:tc>
          <w:tcPr>
            <w:tcW w:w="712" w:type="dxa"/>
            <w:vAlign w:val="center"/>
          </w:tcPr>
          <w:p w14:paraId="033E1D8C" w14:textId="77777777" w:rsidR="00B47AE8" w:rsidRPr="00E359BF" w:rsidRDefault="00B47AE8">
            <w:pPr>
              <w:pStyle w:val="TableTextCentered"/>
              <w:rPr>
                <w:rFonts w:eastAsia="Times New Roman"/>
              </w:rPr>
            </w:pPr>
            <w:r>
              <w:rPr>
                <w:rFonts w:eastAsia="Times New Roman"/>
              </w:rPr>
              <w:t>8</w:t>
            </w:r>
          </w:p>
        </w:tc>
        <w:tc>
          <w:tcPr>
            <w:tcW w:w="684" w:type="dxa"/>
            <w:vAlign w:val="center"/>
          </w:tcPr>
          <w:p w14:paraId="0100311E" w14:textId="77777777" w:rsidR="00B47AE8" w:rsidRPr="00E359BF" w:rsidRDefault="00B47AE8">
            <w:pPr>
              <w:pStyle w:val="TableTextCentered"/>
              <w:rPr>
                <w:rFonts w:eastAsia="Times New Roman"/>
              </w:rPr>
            </w:pPr>
            <w:r>
              <w:rPr>
                <w:rFonts w:eastAsia="Times New Roman"/>
              </w:rPr>
              <w:t>15</w:t>
            </w:r>
          </w:p>
        </w:tc>
        <w:tc>
          <w:tcPr>
            <w:tcW w:w="601" w:type="dxa"/>
          </w:tcPr>
          <w:p w14:paraId="7F68ECA8" w14:textId="77777777" w:rsidR="00B47AE8" w:rsidRPr="00E359BF" w:rsidRDefault="00B47AE8">
            <w:pPr>
              <w:pStyle w:val="TableTextCentered"/>
              <w:rPr>
                <w:rFonts w:eastAsia="Times New Roman"/>
              </w:rPr>
            </w:pPr>
            <w:r>
              <w:rPr>
                <w:rFonts w:eastAsia="Times New Roman"/>
              </w:rPr>
              <w:t>23</w:t>
            </w:r>
          </w:p>
        </w:tc>
        <w:tc>
          <w:tcPr>
            <w:tcW w:w="866" w:type="dxa"/>
          </w:tcPr>
          <w:p w14:paraId="774BD8D9" w14:textId="77777777" w:rsidR="00B47AE8" w:rsidRPr="00E359BF" w:rsidRDefault="00B47AE8">
            <w:pPr>
              <w:pStyle w:val="TableTextCentered"/>
              <w:rPr>
                <w:rFonts w:eastAsia="Times New Roman"/>
              </w:rPr>
            </w:pPr>
            <w:r>
              <w:rPr>
                <w:rFonts w:eastAsia="Times New Roman"/>
              </w:rPr>
              <w:t>6.7</w:t>
            </w:r>
          </w:p>
        </w:tc>
      </w:tr>
      <w:tr w:rsidR="00B47AE8" w:rsidRPr="00E359BF" w14:paraId="66F777CB" w14:textId="77777777" w:rsidTr="007A0CFB">
        <w:tc>
          <w:tcPr>
            <w:tcW w:w="3095" w:type="dxa"/>
            <w:vAlign w:val="center"/>
          </w:tcPr>
          <w:p w14:paraId="0CCA5A7C" w14:textId="77777777" w:rsidR="00B47AE8" w:rsidRPr="00E359BF" w:rsidRDefault="00B47AE8">
            <w:pPr>
              <w:pStyle w:val="TableText"/>
              <w:ind w:left="204"/>
              <w:rPr>
                <w:b/>
                <w:bCs/>
              </w:rPr>
            </w:pPr>
            <w:r w:rsidRPr="00D931E1">
              <w:t>Negative Climate</w:t>
            </w:r>
            <w:r>
              <w:t>**</w:t>
            </w:r>
          </w:p>
        </w:tc>
        <w:tc>
          <w:tcPr>
            <w:tcW w:w="683" w:type="dxa"/>
          </w:tcPr>
          <w:p w14:paraId="49FE0F47" w14:textId="77777777" w:rsidR="00B47AE8" w:rsidRPr="00E359BF" w:rsidRDefault="00B47AE8">
            <w:pPr>
              <w:pStyle w:val="TableTextCentered"/>
              <w:rPr>
                <w:rFonts w:eastAsia="Times New Roman"/>
              </w:rPr>
            </w:pPr>
            <w:r>
              <w:rPr>
                <w:rFonts w:eastAsia="Times New Roman"/>
              </w:rPr>
              <w:t>0</w:t>
            </w:r>
          </w:p>
        </w:tc>
        <w:tc>
          <w:tcPr>
            <w:tcW w:w="678" w:type="dxa"/>
          </w:tcPr>
          <w:p w14:paraId="329CF488" w14:textId="77777777" w:rsidR="00B47AE8" w:rsidRPr="00E359BF" w:rsidRDefault="00B47AE8">
            <w:pPr>
              <w:pStyle w:val="TableTextCentered"/>
              <w:rPr>
                <w:rFonts w:eastAsia="Times New Roman"/>
              </w:rPr>
            </w:pPr>
            <w:r>
              <w:rPr>
                <w:rFonts w:eastAsia="Times New Roman"/>
              </w:rPr>
              <w:t>0</w:t>
            </w:r>
          </w:p>
        </w:tc>
        <w:tc>
          <w:tcPr>
            <w:tcW w:w="688" w:type="dxa"/>
          </w:tcPr>
          <w:p w14:paraId="4A5DC1CC" w14:textId="77777777" w:rsidR="00B47AE8" w:rsidRPr="00E359BF" w:rsidRDefault="00B47AE8">
            <w:pPr>
              <w:pStyle w:val="TableTextCentered"/>
              <w:rPr>
                <w:rFonts w:eastAsia="Times New Roman"/>
              </w:rPr>
            </w:pPr>
            <w:r>
              <w:rPr>
                <w:rFonts w:eastAsia="Times New Roman"/>
              </w:rPr>
              <w:t>0</w:t>
            </w:r>
          </w:p>
        </w:tc>
        <w:tc>
          <w:tcPr>
            <w:tcW w:w="684" w:type="dxa"/>
          </w:tcPr>
          <w:p w14:paraId="09E09863" w14:textId="77777777" w:rsidR="00B47AE8" w:rsidRPr="00E359BF" w:rsidRDefault="00B47AE8">
            <w:pPr>
              <w:pStyle w:val="TableTextCentered"/>
              <w:rPr>
                <w:rFonts w:eastAsia="Times New Roman"/>
              </w:rPr>
            </w:pPr>
            <w:r>
              <w:rPr>
                <w:rFonts w:eastAsia="Times New Roman"/>
              </w:rPr>
              <w:t>0</w:t>
            </w:r>
          </w:p>
        </w:tc>
        <w:tc>
          <w:tcPr>
            <w:tcW w:w="653" w:type="dxa"/>
          </w:tcPr>
          <w:p w14:paraId="0842C950" w14:textId="77777777" w:rsidR="00B47AE8" w:rsidRPr="00E359BF" w:rsidRDefault="00B47AE8">
            <w:pPr>
              <w:pStyle w:val="TableTextCentered"/>
              <w:rPr>
                <w:rFonts w:eastAsia="Times New Roman"/>
              </w:rPr>
            </w:pPr>
            <w:r>
              <w:rPr>
                <w:rFonts w:eastAsia="Times New Roman"/>
              </w:rPr>
              <w:t>0</w:t>
            </w:r>
          </w:p>
        </w:tc>
        <w:tc>
          <w:tcPr>
            <w:tcW w:w="712" w:type="dxa"/>
            <w:vAlign w:val="center"/>
          </w:tcPr>
          <w:p w14:paraId="0531B026" w14:textId="77777777" w:rsidR="00B47AE8" w:rsidRPr="00E359BF" w:rsidRDefault="00B47AE8">
            <w:pPr>
              <w:pStyle w:val="TableTextCentered"/>
              <w:rPr>
                <w:rFonts w:eastAsia="Times New Roman"/>
              </w:rPr>
            </w:pPr>
            <w:r>
              <w:rPr>
                <w:rFonts w:eastAsia="Times New Roman"/>
              </w:rPr>
              <w:t>2</w:t>
            </w:r>
          </w:p>
        </w:tc>
        <w:tc>
          <w:tcPr>
            <w:tcW w:w="684" w:type="dxa"/>
            <w:vAlign w:val="center"/>
          </w:tcPr>
          <w:p w14:paraId="5E3F4A1D" w14:textId="77777777" w:rsidR="00B47AE8" w:rsidRPr="00E359BF" w:rsidRDefault="00B47AE8">
            <w:pPr>
              <w:pStyle w:val="TableTextCentered"/>
              <w:rPr>
                <w:rFonts w:eastAsia="Times New Roman"/>
              </w:rPr>
            </w:pPr>
            <w:r>
              <w:rPr>
                <w:rFonts w:eastAsia="Times New Roman"/>
              </w:rPr>
              <w:t>21</w:t>
            </w:r>
          </w:p>
        </w:tc>
        <w:tc>
          <w:tcPr>
            <w:tcW w:w="601" w:type="dxa"/>
          </w:tcPr>
          <w:p w14:paraId="3D0B3019" w14:textId="77777777" w:rsidR="00B47AE8" w:rsidRPr="00E359BF" w:rsidRDefault="00B47AE8">
            <w:pPr>
              <w:pStyle w:val="TableTextCentered"/>
              <w:rPr>
                <w:rFonts w:eastAsia="Times New Roman"/>
              </w:rPr>
            </w:pPr>
            <w:r>
              <w:rPr>
                <w:rFonts w:eastAsia="Times New Roman"/>
              </w:rPr>
              <w:t>23</w:t>
            </w:r>
          </w:p>
        </w:tc>
        <w:tc>
          <w:tcPr>
            <w:tcW w:w="866" w:type="dxa"/>
          </w:tcPr>
          <w:p w14:paraId="714108B2" w14:textId="77777777" w:rsidR="00B47AE8" w:rsidRPr="00E359BF" w:rsidRDefault="00B47AE8">
            <w:pPr>
              <w:pStyle w:val="TableTextCentered"/>
              <w:rPr>
                <w:rFonts w:eastAsia="Times New Roman"/>
              </w:rPr>
            </w:pPr>
            <w:r>
              <w:rPr>
                <w:rFonts w:eastAsia="Times New Roman"/>
              </w:rPr>
              <w:t>6.9</w:t>
            </w:r>
          </w:p>
        </w:tc>
      </w:tr>
      <w:tr w:rsidR="00B47AE8" w:rsidRPr="00E359BF" w14:paraId="25C10B58" w14:textId="77777777" w:rsidTr="007A0CFB">
        <w:tc>
          <w:tcPr>
            <w:tcW w:w="3095" w:type="dxa"/>
            <w:shd w:val="clear" w:color="auto" w:fill="D9E2F3" w:themeFill="accent5" w:themeFillTint="33"/>
            <w:vAlign w:val="center"/>
          </w:tcPr>
          <w:p w14:paraId="3EBB8C93" w14:textId="77777777" w:rsidR="00B47AE8" w:rsidRPr="00E359BF" w:rsidRDefault="00B47AE8">
            <w:pPr>
              <w:pStyle w:val="TableSubheading"/>
              <w:rPr>
                <w:szCs w:val="20"/>
              </w:rPr>
            </w:pPr>
            <w:r w:rsidRPr="00E359BF">
              <w:t>Instructional Support Domain</w:t>
            </w:r>
          </w:p>
        </w:tc>
        <w:tc>
          <w:tcPr>
            <w:tcW w:w="683" w:type="dxa"/>
            <w:shd w:val="clear" w:color="auto" w:fill="D9E2F3" w:themeFill="accent5" w:themeFillTint="33"/>
          </w:tcPr>
          <w:p w14:paraId="3C0CB779" w14:textId="77777777" w:rsidR="00B47AE8" w:rsidRPr="00E359BF" w:rsidRDefault="00B47AE8">
            <w:pPr>
              <w:pStyle w:val="TableTextCenteredDemi"/>
              <w:rPr>
                <w:rFonts w:eastAsia="Times New Roman"/>
              </w:rPr>
            </w:pPr>
            <w:r>
              <w:rPr>
                <w:rFonts w:eastAsia="Times New Roman"/>
              </w:rPr>
              <w:t>21</w:t>
            </w:r>
          </w:p>
        </w:tc>
        <w:tc>
          <w:tcPr>
            <w:tcW w:w="678" w:type="dxa"/>
            <w:shd w:val="clear" w:color="auto" w:fill="D9E2F3" w:themeFill="accent5" w:themeFillTint="33"/>
          </w:tcPr>
          <w:p w14:paraId="4EE76F27" w14:textId="77777777" w:rsidR="00B47AE8" w:rsidRPr="00E359BF" w:rsidRDefault="00B47AE8">
            <w:pPr>
              <w:pStyle w:val="TableTextCenteredDemi"/>
              <w:rPr>
                <w:rFonts w:eastAsia="Times New Roman"/>
              </w:rPr>
            </w:pPr>
            <w:r>
              <w:rPr>
                <w:rFonts w:eastAsia="Times New Roman"/>
              </w:rPr>
              <w:t>13</w:t>
            </w:r>
          </w:p>
        </w:tc>
        <w:tc>
          <w:tcPr>
            <w:tcW w:w="688" w:type="dxa"/>
            <w:shd w:val="clear" w:color="auto" w:fill="D9E2F3" w:themeFill="accent5" w:themeFillTint="33"/>
          </w:tcPr>
          <w:p w14:paraId="1FA00EFA" w14:textId="77777777" w:rsidR="00B47AE8" w:rsidRPr="00E359BF" w:rsidRDefault="00B47AE8">
            <w:pPr>
              <w:pStyle w:val="TableTextCenteredDemi"/>
              <w:rPr>
                <w:rFonts w:eastAsia="Times New Roman"/>
              </w:rPr>
            </w:pPr>
            <w:r>
              <w:rPr>
                <w:rFonts w:eastAsia="Times New Roman"/>
              </w:rPr>
              <w:t>16</w:t>
            </w:r>
          </w:p>
        </w:tc>
        <w:tc>
          <w:tcPr>
            <w:tcW w:w="684" w:type="dxa"/>
            <w:shd w:val="clear" w:color="auto" w:fill="D9E2F3" w:themeFill="accent5" w:themeFillTint="33"/>
          </w:tcPr>
          <w:p w14:paraId="5A6B3E32" w14:textId="77777777" w:rsidR="00B47AE8" w:rsidRPr="00E359BF" w:rsidRDefault="00B47AE8">
            <w:pPr>
              <w:pStyle w:val="TableTextCenteredDemi"/>
              <w:rPr>
                <w:rFonts w:eastAsia="Times New Roman"/>
              </w:rPr>
            </w:pPr>
            <w:r>
              <w:rPr>
                <w:rFonts w:eastAsia="Times New Roman"/>
              </w:rPr>
              <w:t>15</w:t>
            </w:r>
          </w:p>
        </w:tc>
        <w:tc>
          <w:tcPr>
            <w:tcW w:w="653" w:type="dxa"/>
            <w:shd w:val="clear" w:color="auto" w:fill="D9E2F3" w:themeFill="accent5" w:themeFillTint="33"/>
          </w:tcPr>
          <w:p w14:paraId="5F3DF8E7" w14:textId="77777777" w:rsidR="00B47AE8" w:rsidRPr="00E359BF" w:rsidRDefault="00B47AE8">
            <w:pPr>
              <w:pStyle w:val="TableTextCenteredDemi"/>
              <w:rPr>
                <w:rFonts w:eastAsia="Times New Roman"/>
              </w:rPr>
            </w:pPr>
            <w:r>
              <w:rPr>
                <w:rFonts w:eastAsia="Times New Roman"/>
              </w:rPr>
              <w:t>22</w:t>
            </w:r>
          </w:p>
        </w:tc>
        <w:tc>
          <w:tcPr>
            <w:tcW w:w="712" w:type="dxa"/>
            <w:shd w:val="clear" w:color="auto" w:fill="D9E2F3" w:themeFill="accent5" w:themeFillTint="33"/>
            <w:vAlign w:val="center"/>
          </w:tcPr>
          <w:p w14:paraId="67828F9B" w14:textId="77777777" w:rsidR="00B47AE8" w:rsidRPr="00E359BF" w:rsidRDefault="00B47AE8">
            <w:pPr>
              <w:pStyle w:val="TableTextCenteredDemi"/>
              <w:rPr>
                <w:rFonts w:eastAsia="Times New Roman"/>
              </w:rPr>
            </w:pPr>
            <w:r>
              <w:rPr>
                <w:rFonts w:eastAsia="Times New Roman"/>
              </w:rPr>
              <w:t>20</w:t>
            </w:r>
          </w:p>
        </w:tc>
        <w:tc>
          <w:tcPr>
            <w:tcW w:w="684" w:type="dxa"/>
            <w:shd w:val="clear" w:color="auto" w:fill="D9E2F3" w:themeFill="accent5" w:themeFillTint="33"/>
            <w:vAlign w:val="center"/>
          </w:tcPr>
          <w:p w14:paraId="16CC1769" w14:textId="77777777" w:rsidR="00B47AE8" w:rsidRPr="00E359BF" w:rsidRDefault="00B47AE8">
            <w:pPr>
              <w:pStyle w:val="TableTextCenteredDemi"/>
              <w:rPr>
                <w:rFonts w:eastAsia="Times New Roman"/>
              </w:rPr>
            </w:pPr>
            <w:r>
              <w:rPr>
                <w:rFonts w:eastAsia="Times New Roman"/>
              </w:rPr>
              <w:t>8</w:t>
            </w:r>
          </w:p>
        </w:tc>
        <w:tc>
          <w:tcPr>
            <w:tcW w:w="601" w:type="dxa"/>
            <w:shd w:val="clear" w:color="auto" w:fill="D9E2F3" w:themeFill="accent5" w:themeFillTint="33"/>
          </w:tcPr>
          <w:p w14:paraId="2EAAD26A" w14:textId="77777777" w:rsidR="00B47AE8" w:rsidRPr="00E359BF" w:rsidRDefault="00B47AE8">
            <w:pPr>
              <w:pStyle w:val="TableTextCenteredDemi"/>
              <w:rPr>
                <w:rFonts w:eastAsia="Times New Roman"/>
              </w:rPr>
            </w:pPr>
            <w:r>
              <w:rPr>
                <w:rFonts w:eastAsia="Times New Roman"/>
              </w:rPr>
              <w:t>115</w:t>
            </w:r>
          </w:p>
        </w:tc>
        <w:tc>
          <w:tcPr>
            <w:tcW w:w="866" w:type="dxa"/>
            <w:shd w:val="clear" w:color="auto" w:fill="D9E2F3" w:themeFill="accent5" w:themeFillTint="33"/>
          </w:tcPr>
          <w:p w14:paraId="6A56F9FB" w14:textId="77777777" w:rsidR="00B47AE8" w:rsidRPr="00E359BF" w:rsidRDefault="00B47AE8">
            <w:pPr>
              <w:pStyle w:val="TableTextCenteredDemi"/>
              <w:rPr>
                <w:rFonts w:eastAsia="Times New Roman"/>
              </w:rPr>
            </w:pPr>
            <w:r>
              <w:rPr>
                <w:rFonts w:eastAsia="Times New Roman"/>
              </w:rPr>
              <w:t>3.8</w:t>
            </w:r>
          </w:p>
        </w:tc>
      </w:tr>
      <w:tr w:rsidR="00B47AE8" w:rsidRPr="00E359BF" w14:paraId="36999241" w14:textId="77777777" w:rsidTr="007A0CFB">
        <w:tc>
          <w:tcPr>
            <w:tcW w:w="3095" w:type="dxa"/>
            <w:vAlign w:val="center"/>
          </w:tcPr>
          <w:p w14:paraId="79DCFDCA" w14:textId="77777777" w:rsidR="00B47AE8" w:rsidRPr="00E359BF" w:rsidRDefault="00B47AE8">
            <w:pPr>
              <w:pStyle w:val="TableText"/>
              <w:ind w:left="204"/>
              <w:rPr>
                <w:b/>
                <w:bCs/>
              </w:rPr>
            </w:pPr>
            <w:r w:rsidRPr="00D931E1">
              <w:t>Instructional Learning Formats</w:t>
            </w:r>
          </w:p>
        </w:tc>
        <w:tc>
          <w:tcPr>
            <w:tcW w:w="683" w:type="dxa"/>
          </w:tcPr>
          <w:p w14:paraId="2E0131E2" w14:textId="77777777" w:rsidR="00B47AE8" w:rsidRPr="00E359BF" w:rsidRDefault="00B47AE8">
            <w:pPr>
              <w:pStyle w:val="TableTextCentered"/>
              <w:rPr>
                <w:rFonts w:eastAsia="Times New Roman"/>
              </w:rPr>
            </w:pPr>
            <w:r>
              <w:rPr>
                <w:rFonts w:eastAsia="Times New Roman"/>
              </w:rPr>
              <w:t>0</w:t>
            </w:r>
          </w:p>
        </w:tc>
        <w:tc>
          <w:tcPr>
            <w:tcW w:w="678" w:type="dxa"/>
          </w:tcPr>
          <w:p w14:paraId="7EE37C8C" w14:textId="77777777" w:rsidR="00B47AE8" w:rsidRPr="00E359BF" w:rsidRDefault="00B47AE8">
            <w:pPr>
              <w:pStyle w:val="TableTextCentered"/>
              <w:rPr>
                <w:rFonts w:eastAsia="Times New Roman"/>
              </w:rPr>
            </w:pPr>
            <w:r>
              <w:rPr>
                <w:rFonts w:eastAsia="Times New Roman"/>
              </w:rPr>
              <w:t>0</w:t>
            </w:r>
          </w:p>
        </w:tc>
        <w:tc>
          <w:tcPr>
            <w:tcW w:w="688" w:type="dxa"/>
          </w:tcPr>
          <w:p w14:paraId="782DF1B4" w14:textId="77777777" w:rsidR="00B47AE8" w:rsidRPr="00E359BF" w:rsidRDefault="00B47AE8">
            <w:pPr>
              <w:pStyle w:val="TableTextCentered"/>
              <w:rPr>
                <w:rFonts w:eastAsia="Times New Roman"/>
              </w:rPr>
            </w:pPr>
            <w:r>
              <w:rPr>
                <w:rFonts w:eastAsia="Times New Roman"/>
              </w:rPr>
              <w:t>2</w:t>
            </w:r>
          </w:p>
        </w:tc>
        <w:tc>
          <w:tcPr>
            <w:tcW w:w="684" w:type="dxa"/>
          </w:tcPr>
          <w:p w14:paraId="159E877F" w14:textId="77777777" w:rsidR="00B47AE8" w:rsidRPr="00E359BF" w:rsidRDefault="00B47AE8">
            <w:pPr>
              <w:pStyle w:val="TableTextCentered"/>
              <w:rPr>
                <w:rFonts w:eastAsia="Times New Roman"/>
              </w:rPr>
            </w:pPr>
            <w:r>
              <w:rPr>
                <w:rFonts w:eastAsia="Times New Roman"/>
              </w:rPr>
              <w:t>2</w:t>
            </w:r>
          </w:p>
        </w:tc>
        <w:tc>
          <w:tcPr>
            <w:tcW w:w="653" w:type="dxa"/>
          </w:tcPr>
          <w:p w14:paraId="7DC0C569" w14:textId="77777777" w:rsidR="00B47AE8" w:rsidRPr="00E359BF" w:rsidRDefault="00B47AE8">
            <w:pPr>
              <w:pStyle w:val="TableTextCentered"/>
              <w:rPr>
                <w:rFonts w:eastAsia="Times New Roman"/>
              </w:rPr>
            </w:pPr>
            <w:r>
              <w:rPr>
                <w:rFonts w:eastAsia="Times New Roman"/>
              </w:rPr>
              <w:t>8</w:t>
            </w:r>
          </w:p>
        </w:tc>
        <w:tc>
          <w:tcPr>
            <w:tcW w:w="712" w:type="dxa"/>
            <w:vAlign w:val="center"/>
          </w:tcPr>
          <w:p w14:paraId="676248C6" w14:textId="77777777" w:rsidR="00B47AE8" w:rsidRPr="00E359BF" w:rsidRDefault="00B47AE8">
            <w:pPr>
              <w:pStyle w:val="TableTextCentered"/>
              <w:rPr>
                <w:rFonts w:eastAsia="Times New Roman"/>
              </w:rPr>
            </w:pPr>
            <w:r>
              <w:rPr>
                <w:rFonts w:eastAsia="Times New Roman"/>
              </w:rPr>
              <w:t>7</w:t>
            </w:r>
          </w:p>
        </w:tc>
        <w:tc>
          <w:tcPr>
            <w:tcW w:w="684" w:type="dxa"/>
            <w:vAlign w:val="center"/>
          </w:tcPr>
          <w:p w14:paraId="408EC90B" w14:textId="77777777" w:rsidR="00B47AE8" w:rsidRPr="00E359BF" w:rsidRDefault="00B47AE8">
            <w:pPr>
              <w:pStyle w:val="TableTextCentered"/>
              <w:rPr>
                <w:rFonts w:eastAsia="Times New Roman"/>
              </w:rPr>
            </w:pPr>
            <w:r>
              <w:rPr>
                <w:rFonts w:eastAsia="Times New Roman"/>
              </w:rPr>
              <w:t>4</w:t>
            </w:r>
          </w:p>
        </w:tc>
        <w:tc>
          <w:tcPr>
            <w:tcW w:w="601" w:type="dxa"/>
          </w:tcPr>
          <w:p w14:paraId="40C3812A" w14:textId="77777777" w:rsidR="00B47AE8" w:rsidRPr="00E359BF" w:rsidRDefault="00B47AE8">
            <w:pPr>
              <w:pStyle w:val="TableTextCentered"/>
              <w:rPr>
                <w:rFonts w:eastAsia="Times New Roman"/>
              </w:rPr>
            </w:pPr>
            <w:r>
              <w:rPr>
                <w:rFonts w:eastAsia="Times New Roman"/>
              </w:rPr>
              <w:t>23</w:t>
            </w:r>
          </w:p>
        </w:tc>
        <w:tc>
          <w:tcPr>
            <w:tcW w:w="866" w:type="dxa"/>
          </w:tcPr>
          <w:p w14:paraId="273EFDC1" w14:textId="77777777" w:rsidR="00B47AE8" w:rsidRPr="00E359BF" w:rsidRDefault="00B47AE8">
            <w:pPr>
              <w:pStyle w:val="TableTextCentered"/>
              <w:rPr>
                <w:rFonts w:eastAsia="Times New Roman"/>
              </w:rPr>
            </w:pPr>
            <w:r>
              <w:rPr>
                <w:rFonts w:eastAsia="Times New Roman"/>
              </w:rPr>
              <w:t>5.4</w:t>
            </w:r>
          </w:p>
        </w:tc>
      </w:tr>
      <w:tr w:rsidR="007A0CFB" w:rsidRPr="00E359BF" w14:paraId="7091DD6E" w14:textId="77777777" w:rsidTr="007A0CFB">
        <w:tc>
          <w:tcPr>
            <w:tcW w:w="3095" w:type="dxa"/>
            <w:vAlign w:val="center"/>
          </w:tcPr>
          <w:p w14:paraId="3C8CA9D8" w14:textId="77777777" w:rsidR="00B47AE8" w:rsidRPr="00E359BF" w:rsidRDefault="00B47AE8">
            <w:pPr>
              <w:pStyle w:val="TableText"/>
              <w:ind w:left="204"/>
              <w:rPr>
                <w:b/>
                <w:bCs/>
              </w:rPr>
            </w:pPr>
            <w:r w:rsidRPr="00D931E1">
              <w:t>Content Understanding</w:t>
            </w:r>
          </w:p>
        </w:tc>
        <w:tc>
          <w:tcPr>
            <w:tcW w:w="683" w:type="dxa"/>
          </w:tcPr>
          <w:p w14:paraId="7B5CA253" w14:textId="77777777" w:rsidR="00B47AE8" w:rsidRPr="00E359BF" w:rsidRDefault="00B47AE8">
            <w:pPr>
              <w:pStyle w:val="TableTextCentered"/>
              <w:rPr>
                <w:rFonts w:eastAsia="Times New Roman"/>
              </w:rPr>
            </w:pPr>
            <w:r>
              <w:rPr>
                <w:rFonts w:eastAsia="Times New Roman"/>
              </w:rPr>
              <w:t>0</w:t>
            </w:r>
          </w:p>
        </w:tc>
        <w:tc>
          <w:tcPr>
            <w:tcW w:w="678" w:type="dxa"/>
          </w:tcPr>
          <w:p w14:paraId="2BCC48B5" w14:textId="77777777" w:rsidR="00B47AE8" w:rsidRPr="00E359BF" w:rsidRDefault="00B47AE8">
            <w:pPr>
              <w:pStyle w:val="TableTextCentered"/>
              <w:rPr>
                <w:rFonts w:eastAsia="Times New Roman"/>
              </w:rPr>
            </w:pPr>
            <w:r>
              <w:rPr>
                <w:rFonts w:eastAsia="Times New Roman"/>
              </w:rPr>
              <w:t>0</w:t>
            </w:r>
          </w:p>
        </w:tc>
        <w:tc>
          <w:tcPr>
            <w:tcW w:w="688" w:type="dxa"/>
          </w:tcPr>
          <w:p w14:paraId="570E19A6" w14:textId="77777777" w:rsidR="00B47AE8" w:rsidRPr="00E359BF" w:rsidRDefault="00B47AE8">
            <w:pPr>
              <w:pStyle w:val="TableTextCentered"/>
              <w:rPr>
                <w:rFonts w:eastAsia="Times New Roman"/>
              </w:rPr>
            </w:pPr>
            <w:r>
              <w:rPr>
                <w:rFonts w:eastAsia="Times New Roman"/>
              </w:rPr>
              <w:t>1</w:t>
            </w:r>
          </w:p>
        </w:tc>
        <w:tc>
          <w:tcPr>
            <w:tcW w:w="684" w:type="dxa"/>
          </w:tcPr>
          <w:p w14:paraId="52FAE399" w14:textId="77777777" w:rsidR="00B47AE8" w:rsidRPr="00E359BF" w:rsidRDefault="00B47AE8">
            <w:pPr>
              <w:pStyle w:val="TableTextCentered"/>
              <w:rPr>
                <w:rFonts w:eastAsia="Times New Roman"/>
              </w:rPr>
            </w:pPr>
            <w:r>
              <w:rPr>
                <w:rFonts w:eastAsia="Times New Roman"/>
              </w:rPr>
              <w:t>2</w:t>
            </w:r>
          </w:p>
        </w:tc>
        <w:tc>
          <w:tcPr>
            <w:tcW w:w="653" w:type="dxa"/>
          </w:tcPr>
          <w:p w14:paraId="7DFA4CCE" w14:textId="77777777" w:rsidR="00B47AE8" w:rsidRPr="00E359BF" w:rsidRDefault="00B47AE8">
            <w:pPr>
              <w:pStyle w:val="TableTextCentered"/>
              <w:rPr>
                <w:rFonts w:eastAsia="Times New Roman"/>
              </w:rPr>
            </w:pPr>
            <w:r>
              <w:rPr>
                <w:rFonts w:eastAsia="Times New Roman"/>
              </w:rPr>
              <w:t>9</w:t>
            </w:r>
          </w:p>
        </w:tc>
        <w:tc>
          <w:tcPr>
            <w:tcW w:w="712" w:type="dxa"/>
            <w:vAlign w:val="center"/>
          </w:tcPr>
          <w:p w14:paraId="06616E14" w14:textId="77777777" w:rsidR="00B47AE8" w:rsidRPr="00E359BF" w:rsidRDefault="00B47AE8">
            <w:pPr>
              <w:pStyle w:val="TableTextCentered"/>
              <w:rPr>
                <w:rFonts w:eastAsia="Times New Roman"/>
              </w:rPr>
            </w:pPr>
            <w:r>
              <w:rPr>
                <w:rFonts w:eastAsia="Times New Roman"/>
              </w:rPr>
              <w:t>8</w:t>
            </w:r>
          </w:p>
        </w:tc>
        <w:tc>
          <w:tcPr>
            <w:tcW w:w="684" w:type="dxa"/>
            <w:vAlign w:val="center"/>
          </w:tcPr>
          <w:p w14:paraId="62C8B6D3" w14:textId="77777777" w:rsidR="00B47AE8" w:rsidRPr="00E359BF" w:rsidRDefault="00B47AE8">
            <w:pPr>
              <w:pStyle w:val="TableTextCentered"/>
              <w:rPr>
                <w:rFonts w:eastAsia="Times New Roman"/>
              </w:rPr>
            </w:pPr>
            <w:r>
              <w:rPr>
                <w:rFonts w:eastAsia="Times New Roman"/>
              </w:rPr>
              <w:t>3</w:t>
            </w:r>
          </w:p>
        </w:tc>
        <w:tc>
          <w:tcPr>
            <w:tcW w:w="601" w:type="dxa"/>
          </w:tcPr>
          <w:p w14:paraId="491ABA62" w14:textId="77777777" w:rsidR="00B47AE8" w:rsidRPr="00E359BF" w:rsidRDefault="00B47AE8">
            <w:pPr>
              <w:pStyle w:val="TableTextCentered"/>
              <w:rPr>
                <w:rFonts w:eastAsia="Times New Roman"/>
              </w:rPr>
            </w:pPr>
            <w:r>
              <w:rPr>
                <w:rFonts w:eastAsia="Times New Roman"/>
              </w:rPr>
              <w:t>23</w:t>
            </w:r>
          </w:p>
        </w:tc>
        <w:tc>
          <w:tcPr>
            <w:tcW w:w="866" w:type="dxa"/>
          </w:tcPr>
          <w:p w14:paraId="216D1380" w14:textId="77777777" w:rsidR="00B47AE8" w:rsidRPr="00E359BF" w:rsidRDefault="00B47AE8">
            <w:pPr>
              <w:pStyle w:val="TableTextCentered"/>
              <w:rPr>
                <w:rFonts w:eastAsia="Times New Roman"/>
              </w:rPr>
            </w:pPr>
            <w:r>
              <w:rPr>
                <w:rFonts w:eastAsia="Times New Roman"/>
              </w:rPr>
              <w:t>5.4</w:t>
            </w:r>
          </w:p>
        </w:tc>
      </w:tr>
      <w:tr w:rsidR="00B47AE8" w:rsidRPr="00E359BF" w14:paraId="630D3CB9" w14:textId="77777777" w:rsidTr="007A0CFB">
        <w:tc>
          <w:tcPr>
            <w:tcW w:w="3095" w:type="dxa"/>
            <w:vAlign w:val="center"/>
          </w:tcPr>
          <w:p w14:paraId="26E8AD30" w14:textId="77777777" w:rsidR="00B47AE8" w:rsidRPr="00E359BF" w:rsidRDefault="00B47AE8">
            <w:pPr>
              <w:pStyle w:val="TableText"/>
              <w:ind w:left="204"/>
              <w:rPr>
                <w:b/>
                <w:bCs/>
              </w:rPr>
            </w:pPr>
            <w:r w:rsidRPr="00D931E1">
              <w:t>Analysis and Inquiry</w:t>
            </w:r>
          </w:p>
        </w:tc>
        <w:tc>
          <w:tcPr>
            <w:tcW w:w="683" w:type="dxa"/>
          </w:tcPr>
          <w:p w14:paraId="4748D764" w14:textId="77777777" w:rsidR="00B47AE8" w:rsidRPr="00E359BF" w:rsidRDefault="00B47AE8">
            <w:pPr>
              <w:pStyle w:val="TableTextCentered"/>
              <w:rPr>
                <w:rFonts w:eastAsia="Times New Roman"/>
              </w:rPr>
            </w:pPr>
            <w:r>
              <w:rPr>
                <w:rFonts w:eastAsia="Times New Roman"/>
              </w:rPr>
              <w:t>9</w:t>
            </w:r>
          </w:p>
        </w:tc>
        <w:tc>
          <w:tcPr>
            <w:tcW w:w="678" w:type="dxa"/>
          </w:tcPr>
          <w:p w14:paraId="507BDFB5" w14:textId="77777777" w:rsidR="00B47AE8" w:rsidRPr="00E359BF" w:rsidRDefault="00B47AE8">
            <w:pPr>
              <w:pStyle w:val="TableTextCentered"/>
              <w:rPr>
                <w:rFonts w:eastAsia="Times New Roman"/>
              </w:rPr>
            </w:pPr>
            <w:r>
              <w:rPr>
                <w:rFonts w:eastAsia="Times New Roman"/>
              </w:rPr>
              <w:t>5</w:t>
            </w:r>
          </w:p>
        </w:tc>
        <w:tc>
          <w:tcPr>
            <w:tcW w:w="688" w:type="dxa"/>
          </w:tcPr>
          <w:p w14:paraId="3B420E6D" w14:textId="77777777" w:rsidR="00B47AE8" w:rsidRPr="00E359BF" w:rsidRDefault="00B47AE8">
            <w:pPr>
              <w:pStyle w:val="TableTextCentered"/>
              <w:rPr>
                <w:rFonts w:eastAsia="Times New Roman"/>
              </w:rPr>
            </w:pPr>
            <w:r>
              <w:rPr>
                <w:rFonts w:eastAsia="Times New Roman"/>
              </w:rPr>
              <w:t>4</w:t>
            </w:r>
          </w:p>
        </w:tc>
        <w:tc>
          <w:tcPr>
            <w:tcW w:w="684" w:type="dxa"/>
          </w:tcPr>
          <w:p w14:paraId="7030461C" w14:textId="77777777" w:rsidR="00B47AE8" w:rsidRPr="00E359BF" w:rsidRDefault="00B47AE8">
            <w:pPr>
              <w:pStyle w:val="TableTextCentered"/>
              <w:rPr>
                <w:rFonts w:eastAsia="Times New Roman"/>
              </w:rPr>
            </w:pPr>
            <w:r>
              <w:rPr>
                <w:rFonts w:eastAsia="Times New Roman"/>
              </w:rPr>
              <w:t>2</w:t>
            </w:r>
          </w:p>
        </w:tc>
        <w:tc>
          <w:tcPr>
            <w:tcW w:w="653" w:type="dxa"/>
          </w:tcPr>
          <w:p w14:paraId="06FE8A33" w14:textId="77777777" w:rsidR="00B47AE8" w:rsidRPr="00E359BF" w:rsidRDefault="00B47AE8">
            <w:pPr>
              <w:pStyle w:val="TableTextCentered"/>
              <w:rPr>
                <w:rFonts w:eastAsia="Times New Roman"/>
              </w:rPr>
            </w:pPr>
            <w:r>
              <w:rPr>
                <w:rFonts w:eastAsia="Times New Roman"/>
              </w:rPr>
              <w:t>1</w:t>
            </w:r>
          </w:p>
        </w:tc>
        <w:tc>
          <w:tcPr>
            <w:tcW w:w="712" w:type="dxa"/>
            <w:vAlign w:val="center"/>
          </w:tcPr>
          <w:p w14:paraId="6E087AE6" w14:textId="77777777" w:rsidR="00B47AE8" w:rsidRPr="00E359BF" w:rsidRDefault="00B47AE8">
            <w:pPr>
              <w:pStyle w:val="TableTextCentered"/>
              <w:rPr>
                <w:rFonts w:eastAsia="Times New Roman"/>
              </w:rPr>
            </w:pPr>
            <w:r>
              <w:rPr>
                <w:rFonts w:eastAsia="Times New Roman"/>
              </w:rPr>
              <w:t>2</w:t>
            </w:r>
          </w:p>
        </w:tc>
        <w:tc>
          <w:tcPr>
            <w:tcW w:w="684" w:type="dxa"/>
            <w:vAlign w:val="center"/>
          </w:tcPr>
          <w:p w14:paraId="565FC87B" w14:textId="77777777" w:rsidR="00B47AE8" w:rsidRPr="00E359BF" w:rsidRDefault="00B47AE8">
            <w:pPr>
              <w:pStyle w:val="TableTextCentered"/>
              <w:rPr>
                <w:rFonts w:eastAsia="Times New Roman"/>
              </w:rPr>
            </w:pPr>
            <w:r>
              <w:rPr>
                <w:rFonts w:eastAsia="Times New Roman"/>
              </w:rPr>
              <w:t>0</w:t>
            </w:r>
          </w:p>
        </w:tc>
        <w:tc>
          <w:tcPr>
            <w:tcW w:w="601" w:type="dxa"/>
          </w:tcPr>
          <w:p w14:paraId="339B0B7F" w14:textId="77777777" w:rsidR="00B47AE8" w:rsidRPr="00E359BF" w:rsidRDefault="00B47AE8">
            <w:pPr>
              <w:pStyle w:val="TableTextCentered"/>
              <w:rPr>
                <w:rFonts w:eastAsia="Times New Roman"/>
              </w:rPr>
            </w:pPr>
            <w:r>
              <w:rPr>
                <w:rFonts w:eastAsia="Times New Roman"/>
              </w:rPr>
              <w:t>23</w:t>
            </w:r>
          </w:p>
        </w:tc>
        <w:tc>
          <w:tcPr>
            <w:tcW w:w="866" w:type="dxa"/>
          </w:tcPr>
          <w:p w14:paraId="5E14E7CB" w14:textId="77777777" w:rsidR="00B47AE8" w:rsidRPr="00E359BF" w:rsidRDefault="00B47AE8">
            <w:pPr>
              <w:pStyle w:val="TableTextCentered"/>
              <w:rPr>
                <w:rFonts w:eastAsia="Times New Roman"/>
              </w:rPr>
            </w:pPr>
            <w:r>
              <w:rPr>
                <w:rFonts w:eastAsia="Times New Roman"/>
              </w:rPr>
              <w:t>2.4</w:t>
            </w:r>
          </w:p>
        </w:tc>
      </w:tr>
      <w:tr w:rsidR="007A0CFB" w:rsidRPr="00E359BF" w14:paraId="48769081" w14:textId="77777777" w:rsidTr="007A0CFB">
        <w:tc>
          <w:tcPr>
            <w:tcW w:w="3095" w:type="dxa"/>
            <w:vAlign w:val="center"/>
          </w:tcPr>
          <w:p w14:paraId="0DDF6737" w14:textId="77777777" w:rsidR="00B47AE8" w:rsidRPr="00D931E1" w:rsidRDefault="00B47AE8">
            <w:pPr>
              <w:pStyle w:val="TableText"/>
              <w:ind w:left="204"/>
              <w:rPr>
                <w:b/>
                <w:bCs/>
              </w:rPr>
            </w:pPr>
            <w:r w:rsidRPr="00D931E1">
              <w:t>Quality of Feedback</w:t>
            </w:r>
          </w:p>
        </w:tc>
        <w:tc>
          <w:tcPr>
            <w:tcW w:w="683" w:type="dxa"/>
          </w:tcPr>
          <w:p w14:paraId="4E8772EF" w14:textId="77777777" w:rsidR="00B47AE8" w:rsidRPr="00E359BF" w:rsidRDefault="00B47AE8">
            <w:pPr>
              <w:pStyle w:val="TableTextCentered"/>
              <w:rPr>
                <w:rFonts w:eastAsia="Times New Roman"/>
              </w:rPr>
            </w:pPr>
            <w:r>
              <w:rPr>
                <w:rFonts w:eastAsia="Times New Roman"/>
              </w:rPr>
              <w:t>4</w:t>
            </w:r>
          </w:p>
        </w:tc>
        <w:tc>
          <w:tcPr>
            <w:tcW w:w="678" w:type="dxa"/>
          </w:tcPr>
          <w:p w14:paraId="3D511F61" w14:textId="77777777" w:rsidR="00B47AE8" w:rsidRPr="00E359BF" w:rsidRDefault="00B47AE8">
            <w:pPr>
              <w:pStyle w:val="TableTextCentered"/>
              <w:rPr>
                <w:rFonts w:eastAsia="Times New Roman"/>
              </w:rPr>
            </w:pPr>
            <w:r>
              <w:rPr>
                <w:rFonts w:eastAsia="Times New Roman"/>
              </w:rPr>
              <w:t>6</w:t>
            </w:r>
          </w:p>
        </w:tc>
        <w:tc>
          <w:tcPr>
            <w:tcW w:w="688" w:type="dxa"/>
          </w:tcPr>
          <w:p w14:paraId="6C2D9CEF" w14:textId="77777777" w:rsidR="00B47AE8" w:rsidRPr="00E359BF" w:rsidRDefault="00B47AE8">
            <w:pPr>
              <w:pStyle w:val="TableTextCentered"/>
              <w:rPr>
                <w:rFonts w:eastAsia="Times New Roman"/>
              </w:rPr>
            </w:pPr>
            <w:r>
              <w:rPr>
                <w:rFonts w:eastAsia="Times New Roman"/>
              </w:rPr>
              <w:t>3</w:t>
            </w:r>
          </w:p>
        </w:tc>
        <w:tc>
          <w:tcPr>
            <w:tcW w:w="684" w:type="dxa"/>
          </w:tcPr>
          <w:p w14:paraId="2CEA6EB7" w14:textId="77777777" w:rsidR="00B47AE8" w:rsidRPr="00E359BF" w:rsidRDefault="00B47AE8">
            <w:pPr>
              <w:pStyle w:val="TableTextCentered"/>
              <w:rPr>
                <w:rFonts w:eastAsia="Times New Roman"/>
              </w:rPr>
            </w:pPr>
            <w:r>
              <w:rPr>
                <w:rFonts w:eastAsia="Times New Roman"/>
              </w:rPr>
              <w:t>6</w:t>
            </w:r>
          </w:p>
        </w:tc>
        <w:tc>
          <w:tcPr>
            <w:tcW w:w="653" w:type="dxa"/>
          </w:tcPr>
          <w:p w14:paraId="38A63FEB" w14:textId="77777777" w:rsidR="00B47AE8" w:rsidRPr="00E359BF" w:rsidRDefault="00B47AE8">
            <w:pPr>
              <w:pStyle w:val="TableTextCentered"/>
              <w:rPr>
                <w:rFonts w:eastAsia="Times New Roman"/>
              </w:rPr>
            </w:pPr>
            <w:r>
              <w:rPr>
                <w:rFonts w:eastAsia="Times New Roman"/>
              </w:rPr>
              <w:t>3</w:t>
            </w:r>
          </w:p>
        </w:tc>
        <w:tc>
          <w:tcPr>
            <w:tcW w:w="712" w:type="dxa"/>
            <w:vAlign w:val="center"/>
          </w:tcPr>
          <w:p w14:paraId="5CEEE140" w14:textId="77777777" w:rsidR="00B47AE8" w:rsidRPr="00E359BF" w:rsidRDefault="00B47AE8">
            <w:pPr>
              <w:pStyle w:val="TableTextCentered"/>
              <w:rPr>
                <w:rFonts w:eastAsia="Times New Roman"/>
              </w:rPr>
            </w:pPr>
            <w:r>
              <w:rPr>
                <w:rFonts w:eastAsia="Times New Roman"/>
              </w:rPr>
              <w:t>0</w:t>
            </w:r>
          </w:p>
        </w:tc>
        <w:tc>
          <w:tcPr>
            <w:tcW w:w="684" w:type="dxa"/>
            <w:vAlign w:val="center"/>
          </w:tcPr>
          <w:p w14:paraId="53444E02" w14:textId="77777777" w:rsidR="00B47AE8" w:rsidRPr="00E359BF" w:rsidRDefault="00B47AE8">
            <w:pPr>
              <w:pStyle w:val="TableTextCentered"/>
              <w:rPr>
                <w:rFonts w:eastAsia="Times New Roman"/>
              </w:rPr>
            </w:pPr>
            <w:r>
              <w:rPr>
                <w:rFonts w:eastAsia="Times New Roman"/>
              </w:rPr>
              <w:t>1</w:t>
            </w:r>
          </w:p>
        </w:tc>
        <w:tc>
          <w:tcPr>
            <w:tcW w:w="601" w:type="dxa"/>
          </w:tcPr>
          <w:p w14:paraId="7E7182EE" w14:textId="77777777" w:rsidR="00B47AE8" w:rsidRPr="00E359BF" w:rsidRDefault="00B47AE8">
            <w:pPr>
              <w:pStyle w:val="TableTextCentered"/>
              <w:rPr>
                <w:rFonts w:eastAsia="Times New Roman"/>
              </w:rPr>
            </w:pPr>
            <w:r>
              <w:rPr>
                <w:rFonts w:eastAsia="Times New Roman"/>
              </w:rPr>
              <w:t>23</w:t>
            </w:r>
          </w:p>
        </w:tc>
        <w:tc>
          <w:tcPr>
            <w:tcW w:w="866" w:type="dxa"/>
          </w:tcPr>
          <w:p w14:paraId="63B8ED5A" w14:textId="77777777" w:rsidR="00B47AE8" w:rsidRPr="00E359BF" w:rsidRDefault="00B47AE8">
            <w:pPr>
              <w:pStyle w:val="TableTextCentered"/>
              <w:rPr>
                <w:rFonts w:eastAsia="Times New Roman"/>
              </w:rPr>
            </w:pPr>
            <w:r>
              <w:rPr>
                <w:rFonts w:eastAsia="Times New Roman"/>
              </w:rPr>
              <w:t>3.1</w:t>
            </w:r>
          </w:p>
        </w:tc>
      </w:tr>
      <w:tr w:rsidR="00B47AE8" w:rsidRPr="00E359BF" w14:paraId="229C281F" w14:textId="77777777" w:rsidTr="007A0CFB">
        <w:tc>
          <w:tcPr>
            <w:tcW w:w="3095" w:type="dxa"/>
            <w:vAlign w:val="center"/>
          </w:tcPr>
          <w:p w14:paraId="0792738B" w14:textId="77777777" w:rsidR="00B47AE8" w:rsidRPr="00D931E1" w:rsidRDefault="00B47AE8">
            <w:pPr>
              <w:pStyle w:val="TableText"/>
              <w:ind w:left="204"/>
              <w:rPr>
                <w:b/>
                <w:bCs/>
              </w:rPr>
            </w:pPr>
            <w:r w:rsidRPr="00D931E1">
              <w:t>Instructional Dialogue</w:t>
            </w:r>
          </w:p>
        </w:tc>
        <w:tc>
          <w:tcPr>
            <w:tcW w:w="683" w:type="dxa"/>
          </w:tcPr>
          <w:p w14:paraId="18674456" w14:textId="77777777" w:rsidR="00B47AE8" w:rsidRPr="00E359BF" w:rsidRDefault="00B47AE8">
            <w:pPr>
              <w:pStyle w:val="TableTextCentered"/>
              <w:rPr>
                <w:rFonts w:eastAsia="Times New Roman"/>
              </w:rPr>
            </w:pPr>
            <w:r>
              <w:rPr>
                <w:rFonts w:eastAsia="Times New Roman"/>
              </w:rPr>
              <w:t>8</w:t>
            </w:r>
          </w:p>
        </w:tc>
        <w:tc>
          <w:tcPr>
            <w:tcW w:w="678" w:type="dxa"/>
          </w:tcPr>
          <w:p w14:paraId="4CB54A7E" w14:textId="77777777" w:rsidR="00B47AE8" w:rsidRPr="00E359BF" w:rsidRDefault="00B47AE8">
            <w:pPr>
              <w:pStyle w:val="TableTextCentered"/>
              <w:rPr>
                <w:rFonts w:eastAsia="Times New Roman"/>
              </w:rPr>
            </w:pPr>
            <w:r>
              <w:rPr>
                <w:rFonts w:eastAsia="Times New Roman"/>
              </w:rPr>
              <w:t>2</w:t>
            </w:r>
          </w:p>
        </w:tc>
        <w:tc>
          <w:tcPr>
            <w:tcW w:w="688" w:type="dxa"/>
          </w:tcPr>
          <w:p w14:paraId="61F7A6E7" w14:textId="77777777" w:rsidR="00B47AE8" w:rsidRPr="00E359BF" w:rsidRDefault="00B47AE8">
            <w:pPr>
              <w:pStyle w:val="TableTextCentered"/>
              <w:rPr>
                <w:rFonts w:eastAsia="Times New Roman"/>
              </w:rPr>
            </w:pPr>
            <w:r>
              <w:rPr>
                <w:rFonts w:eastAsia="Times New Roman"/>
              </w:rPr>
              <w:t>6</w:t>
            </w:r>
          </w:p>
        </w:tc>
        <w:tc>
          <w:tcPr>
            <w:tcW w:w="684" w:type="dxa"/>
          </w:tcPr>
          <w:p w14:paraId="74CAD1AB" w14:textId="77777777" w:rsidR="00B47AE8" w:rsidRPr="00E359BF" w:rsidRDefault="00B47AE8">
            <w:pPr>
              <w:pStyle w:val="TableTextCentered"/>
              <w:rPr>
                <w:rFonts w:eastAsia="Times New Roman"/>
              </w:rPr>
            </w:pPr>
            <w:r>
              <w:rPr>
                <w:rFonts w:eastAsia="Times New Roman"/>
              </w:rPr>
              <w:t>3</w:t>
            </w:r>
          </w:p>
        </w:tc>
        <w:tc>
          <w:tcPr>
            <w:tcW w:w="653" w:type="dxa"/>
          </w:tcPr>
          <w:p w14:paraId="23DA8096" w14:textId="77777777" w:rsidR="00B47AE8" w:rsidRPr="00E359BF" w:rsidRDefault="00B47AE8">
            <w:pPr>
              <w:pStyle w:val="TableTextCentered"/>
              <w:rPr>
                <w:rFonts w:eastAsia="Times New Roman"/>
              </w:rPr>
            </w:pPr>
            <w:r>
              <w:rPr>
                <w:rFonts w:eastAsia="Times New Roman"/>
              </w:rPr>
              <w:t>1</w:t>
            </w:r>
          </w:p>
        </w:tc>
        <w:tc>
          <w:tcPr>
            <w:tcW w:w="712" w:type="dxa"/>
            <w:vAlign w:val="center"/>
          </w:tcPr>
          <w:p w14:paraId="1083D0E3" w14:textId="77777777" w:rsidR="00B47AE8" w:rsidRPr="00E359BF" w:rsidRDefault="00B47AE8">
            <w:pPr>
              <w:pStyle w:val="TableTextCentered"/>
              <w:rPr>
                <w:rFonts w:eastAsia="Times New Roman"/>
              </w:rPr>
            </w:pPr>
            <w:r>
              <w:rPr>
                <w:rFonts w:eastAsia="Times New Roman"/>
              </w:rPr>
              <w:t>3</w:t>
            </w:r>
          </w:p>
        </w:tc>
        <w:tc>
          <w:tcPr>
            <w:tcW w:w="684" w:type="dxa"/>
            <w:vAlign w:val="center"/>
          </w:tcPr>
          <w:p w14:paraId="2BF15880" w14:textId="77777777" w:rsidR="00B47AE8" w:rsidRPr="00E359BF" w:rsidRDefault="00B47AE8">
            <w:pPr>
              <w:pStyle w:val="TableTextCentered"/>
              <w:rPr>
                <w:rFonts w:eastAsia="Times New Roman"/>
              </w:rPr>
            </w:pPr>
            <w:r>
              <w:rPr>
                <w:rFonts w:eastAsia="Times New Roman"/>
              </w:rPr>
              <w:t>0</w:t>
            </w:r>
          </w:p>
        </w:tc>
        <w:tc>
          <w:tcPr>
            <w:tcW w:w="601" w:type="dxa"/>
          </w:tcPr>
          <w:p w14:paraId="64DCFDA4" w14:textId="77777777" w:rsidR="00B47AE8" w:rsidRPr="00E359BF" w:rsidRDefault="00B47AE8">
            <w:pPr>
              <w:pStyle w:val="TableTextCentered"/>
              <w:rPr>
                <w:rFonts w:eastAsia="Times New Roman"/>
              </w:rPr>
            </w:pPr>
            <w:r>
              <w:rPr>
                <w:rFonts w:eastAsia="Times New Roman"/>
              </w:rPr>
              <w:t>23</w:t>
            </w:r>
          </w:p>
        </w:tc>
        <w:tc>
          <w:tcPr>
            <w:tcW w:w="866" w:type="dxa"/>
          </w:tcPr>
          <w:p w14:paraId="0CFB5FF0" w14:textId="77777777" w:rsidR="00B47AE8" w:rsidRPr="00E359BF" w:rsidRDefault="00B47AE8">
            <w:pPr>
              <w:pStyle w:val="TableTextCentered"/>
              <w:rPr>
                <w:rFonts w:eastAsia="Times New Roman"/>
              </w:rPr>
            </w:pPr>
            <w:r>
              <w:rPr>
                <w:rFonts w:eastAsia="Times New Roman"/>
              </w:rPr>
              <w:t>2.8</w:t>
            </w:r>
          </w:p>
        </w:tc>
      </w:tr>
      <w:tr w:rsidR="00B47AE8" w:rsidRPr="00E359BF" w14:paraId="78BE6971" w14:textId="77777777" w:rsidTr="007A0CFB">
        <w:tc>
          <w:tcPr>
            <w:tcW w:w="3095" w:type="dxa"/>
            <w:shd w:val="clear" w:color="auto" w:fill="D9E2F3" w:themeFill="accent5" w:themeFillTint="33"/>
            <w:vAlign w:val="center"/>
          </w:tcPr>
          <w:p w14:paraId="5BBBEE00" w14:textId="77777777" w:rsidR="00B47AE8" w:rsidRPr="00A34856" w:rsidRDefault="00B47AE8">
            <w:pPr>
              <w:pStyle w:val="TableSubheading"/>
            </w:pPr>
            <w:r w:rsidRPr="00A34856">
              <w:t>Student Engagement</w:t>
            </w:r>
          </w:p>
        </w:tc>
        <w:tc>
          <w:tcPr>
            <w:tcW w:w="683" w:type="dxa"/>
            <w:shd w:val="clear" w:color="auto" w:fill="D9E2F3" w:themeFill="accent5" w:themeFillTint="33"/>
          </w:tcPr>
          <w:p w14:paraId="53A64D71" w14:textId="77777777" w:rsidR="00B47AE8" w:rsidRPr="009A0F07" w:rsidRDefault="00B47AE8">
            <w:pPr>
              <w:pStyle w:val="TableTextCenteredDemi"/>
              <w:rPr>
                <w:rFonts w:eastAsia="Times New Roman"/>
                <w:bCs/>
              </w:rPr>
            </w:pPr>
            <w:r>
              <w:rPr>
                <w:rFonts w:eastAsia="Times New Roman"/>
                <w:bCs/>
              </w:rPr>
              <w:t>0</w:t>
            </w:r>
          </w:p>
        </w:tc>
        <w:tc>
          <w:tcPr>
            <w:tcW w:w="678" w:type="dxa"/>
            <w:shd w:val="clear" w:color="auto" w:fill="D9E2F3" w:themeFill="accent5" w:themeFillTint="33"/>
          </w:tcPr>
          <w:p w14:paraId="2DF5C0EB" w14:textId="77777777" w:rsidR="00B47AE8" w:rsidRPr="009A0F07" w:rsidRDefault="00B47AE8">
            <w:pPr>
              <w:pStyle w:val="TableTextCenteredDemi"/>
              <w:rPr>
                <w:rFonts w:eastAsia="Times New Roman"/>
                <w:bCs/>
              </w:rPr>
            </w:pPr>
            <w:r>
              <w:rPr>
                <w:rFonts w:eastAsia="Times New Roman"/>
                <w:bCs/>
              </w:rPr>
              <w:t>0</w:t>
            </w:r>
          </w:p>
        </w:tc>
        <w:tc>
          <w:tcPr>
            <w:tcW w:w="688" w:type="dxa"/>
            <w:shd w:val="clear" w:color="auto" w:fill="D9E2F3" w:themeFill="accent5" w:themeFillTint="33"/>
          </w:tcPr>
          <w:p w14:paraId="47F6BB2E" w14:textId="77777777" w:rsidR="00B47AE8" w:rsidRPr="009A0F07" w:rsidRDefault="00B47AE8">
            <w:pPr>
              <w:pStyle w:val="TableTextCenteredDemi"/>
              <w:rPr>
                <w:rFonts w:eastAsia="Times New Roman"/>
                <w:bCs/>
              </w:rPr>
            </w:pPr>
            <w:r>
              <w:rPr>
                <w:rFonts w:eastAsia="Times New Roman"/>
                <w:bCs/>
              </w:rPr>
              <w:t>0</w:t>
            </w:r>
          </w:p>
        </w:tc>
        <w:tc>
          <w:tcPr>
            <w:tcW w:w="684" w:type="dxa"/>
            <w:shd w:val="clear" w:color="auto" w:fill="D9E2F3" w:themeFill="accent5" w:themeFillTint="33"/>
          </w:tcPr>
          <w:p w14:paraId="5F77BC4F" w14:textId="77777777" w:rsidR="00B47AE8" w:rsidRPr="009A0F07" w:rsidRDefault="00B47AE8">
            <w:pPr>
              <w:pStyle w:val="TableTextCenteredDemi"/>
              <w:rPr>
                <w:rFonts w:eastAsia="Times New Roman"/>
                <w:bCs/>
              </w:rPr>
            </w:pPr>
            <w:r>
              <w:rPr>
                <w:rFonts w:eastAsia="Times New Roman"/>
                <w:bCs/>
              </w:rPr>
              <w:t>1</w:t>
            </w:r>
          </w:p>
        </w:tc>
        <w:tc>
          <w:tcPr>
            <w:tcW w:w="653" w:type="dxa"/>
            <w:shd w:val="clear" w:color="auto" w:fill="D9E2F3" w:themeFill="accent5" w:themeFillTint="33"/>
          </w:tcPr>
          <w:p w14:paraId="0F80126C" w14:textId="77777777" w:rsidR="00B47AE8" w:rsidRPr="009A0F07" w:rsidRDefault="00B47AE8">
            <w:pPr>
              <w:pStyle w:val="TableTextCenteredDemi"/>
              <w:rPr>
                <w:rFonts w:eastAsia="Times New Roman"/>
                <w:bCs/>
              </w:rPr>
            </w:pPr>
            <w:r>
              <w:rPr>
                <w:rFonts w:eastAsia="Times New Roman"/>
                <w:bCs/>
              </w:rPr>
              <w:t>8</w:t>
            </w:r>
          </w:p>
        </w:tc>
        <w:tc>
          <w:tcPr>
            <w:tcW w:w="712" w:type="dxa"/>
            <w:shd w:val="clear" w:color="auto" w:fill="D9E2F3" w:themeFill="accent5" w:themeFillTint="33"/>
            <w:vAlign w:val="center"/>
          </w:tcPr>
          <w:p w14:paraId="3F4F660B" w14:textId="77777777" w:rsidR="00B47AE8" w:rsidRPr="009A0F07" w:rsidRDefault="00B47AE8">
            <w:pPr>
              <w:pStyle w:val="TableTextCenteredDemi"/>
              <w:rPr>
                <w:rFonts w:eastAsia="Times New Roman"/>
                <w:bCs/>
              </w:rPr>
            </w:pPr>
            <w:r>
              <w:rPr>
                <w:rFonts w:eastAsia="Times New Roman"/>
                <w:bCs/>
              </w:rPr>
              <w:t>10</w:t>
            </w:r>
          </w:p>
        </w:tc>
        <w:tc>
          <w:tcPr>
            <w:tcW w:w="684" w:type="dxa"/>
            <w:shd w:val="clear" w:color="auto" w:fill="D9E2F3" w:themeFill="accent5" w:themeFillTint="33"/>
            <w:vAlign w:val="center"/>
          </w:tcPr>
          <w:p w14:paraId="640A7F4C" w14:textId="77777777" w:rsidR="00B47AE8" w:rsidRPr="009A0F07" w:rsidRDefault="00B47AE8">
            <w:pPr>
              <w:pStyle w:val="TableTextCenteredDemi"/>
              <w:rPr>
                <w:rFonts w:eastAsia="Times New Roman"/>
                <w:bCs/>
              </w:rPr>
            </w:pPr>
            <w:r>
              <w:rPr>
                <w:rFonts w:eastAsia="Times New Roman"/>
                <w:bCs/>
              </w:rPr>
              <w:t>4</w:t>
            </w:r>
          </w:p>
        </w:tc>
        <w:tc>
          <w:tcPr>
            <w:tcW w:w="601" w:type="dxa"/>
            <w:shd w:val="clear" w:color="auto" w:fill="D9E2F3" w:themeFill="accent5" w:themeFillTint="33"/>
          </w:tcPr>
          <w:p w14:paraId="01C27582" w14:textId="77777777" w:rsidR="00B47AE8" w:rsidRPr="009A0F07" w:rsidRDefault="00B47AE8">
            <w:pPr>
              <w:pStyle w:val="TableTextCenteredDemi"/>
              <w:rPr>
                <w:rFonts w:eastAsia="Times New Roman"/>
                <w:bCs/>
              </w:rPr>
            </w:pPr>
            <w:r>
              <w:rPr>
                <w:rFonts w:eastAsia="Times New Roman"/>
                <w:bCs/>
              </w:rPr>
              <w:t>23</w:t>
            </w:r>
          </w:p>
        </w:tc>
        <w:tc>
          <w:tcPr>
            <w:tcW w:w="866" w:type="dxa"/>
            <w:shd w:val="clear" w:color="auto" w:fill="D9E2F3" w:themeFill="accent5" w:themeFillTint="33"/>
          </w:tcPr>
          <w:p w14:paraId="1C22A91C" w14:textId="77777777" w:rsidR="00B47AE8" w:rsidRPr="009A0F07" w:rsidRDefault="00B47AE8">
            <w:pPr>
              <w:pStyle w:val="TableTextCenteredDemi"/>
              <w:rPr>
                <w:rFonts w:eastAsia="Times New Roman"/>
                <w:bCs/>
              </w:rPr>
            </w:pPr>
            <w:r>
              <w:rPr>
                <w:rFonts w:eastAsia="Times New Roman"/>
                <w:bCs/>
              </w:rPr>
              <w:t>5.7</w:t>
            </w:r>
          </w:p>
        </w:tc>
      </w:tr>
    </w:tbl>
    <w:bookmarkEnd w:id="174"/>
    <w:p w14:paraId="3BE015D4" w14:textId="77777777" w:rsidR="00B47AE8" w:rsidRDefault="00B47AE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75" w:name="Middle_PC_Calc"/>
      <w:r>
        <w:rPr>
          <w:szCs w:val="20"/>
        </w:rPr>
        <w:t>([3 x 2] + [4 x 2] + [5 x 5] + [6 x 4] + [7 x 10]) ÷ 23 observations = 5.8</w:t>
      </w:r>
      <w:bookmarkEnd w:id="175"/>
    </w:p>
    <w:p w14:paraId="1EB23092" w14:textId="77777777" w:rsidR="00B47AE8" w:rsidRDefault="00B47AE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6" w:name="Middle_NC_Calc"/>
      <w:r>
        <w:t>([6 x 2] + [7 x 21]) ÷ 23 observations = 6.9</w:t>
      </w:r>
      <w:bookmarkEnd w:id="176"/>
    </w:p>
    <w:p w14:paraId="34FE209D" w14:textId="77777777" w:rsidR="00B47AE8" w:rsidRDefault="00B47AE8">
      <w:pPr>
        <w:spacing w:after="160" w:line="259"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1435FD21" w14:textId="77777777" w:rsidR="00B47AE8" w:rsidRPr="00E359BF" w:rsidRDefault="00B47AE8">
      <w:pPr>
        <w:pStyle w:val="Heading2-SIOR"/>
      </w:pPr>
      <w:bookmarkStart w:id="177" w:name="_Toc92194270"/>
      <w:r w:rsidRPr="00E359BF">
        <w:lastRenderedPageBreak/>
        <w:t>Summary of Average Ratings</w:t>
      </w:r>
      <w:r>
        <w:t xml:space="preserve">: </w:t>
      </w:r>
      <w:bookmarkEnd w:id="177"/>
      <w:r>
        <w:t>Grades 9</w:t>
      </w:r>
      <w:r w:rsidRPr="00E359BF">
        <w:t>–</w:t>
      </w:r>
      <w:r>
        <w:t>12</w:t>
      </w:r>
    </w:p>
    <w:p w14:paraId="763CA983" w14:textId="77777777" w:rsidR="00B47AE8" w:rsidRPr="00E359BF" w:rsidRDefault="00B47AE8">
      <w:pPr>
        <w:pStyle w:val="TableTitle0"/>
      </w:pPr>
      <w:r w:rsidRPr="004E6368">
        <w:t>Table</w:t>
      </w:r>
      <w:r>
        <w:t xml:space="preserve"> 19.</w:t>
      </w:r>
      <w:r w:rsidRPr="00BC09E0">
        <w:t xml:space="preserve"> Summary Table of Average Ratings for</w:t>
      </w:r>
      <w:r>
        <w:t xml:space="preserve"> </w:t>
      </w:r>
      <w:r w:rsidRPr="00BC09E0">
        <w:t xml:space="preserve">Each Dimension in Grades </w:t>
      </w:r>
      <w:r>
        <w:t>9</w:t>
      </w:r>
      <w:r w:rsidRPr="00E359BF">
        <w:t>–</w:t>
      </w:r>
      <w:r>
        <w:t>12</w:t>
      </w:r>
    </w:p>
    <w:tbl>
      <w:tblPr>
        <w:tblStyle w:val="MSVTable1"/>
        <w:tblW w:w="5000" w:type="pct"/>
        <w:tblLayout w:type="fixed"/>
        <w:tblLook w:val="06A0" w:firstRow="1" w:lastRow="0" w:firstColumn="1" w:lastColumn="0" w:noHBand="1" w:noVBand="1"/>
      </w:tblPr>
      <w:tblGrid>
        <w:gridCol w:w="3095"/>
        <w:gridCol w:w="683"/>
        <w:gridCol w:w="678"/>
        <w:gridCol w:w="688"/>
        <w:gridCol w:w="684"/>
        <w:gridCol w:w="653"/>
        <w:gridCol w:w="712"/>
        <w:gridCol w:w="684"/>
        <w:gridCol w:w="601"/>
        <w:gridCol w:w="866"/>
      </w:tblGrid>
      <w:tr w:rsidR="00B47AE8" w:rsidRPr="00E359BF" w14:paraId="2F7E128A" w14:textId="77777777" w:rsidTr="007A0CFB">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103FEE38" w14:textId="77777777" w:rsidR="00B47AE8" w:rsidRPr="00E359BF" w:rsidRDefault="00B47AE8">
            <w:pPr>
              <w:pStyle w:val="TableColHeadingCenter"/>
              <w:rPr>
                <w:rFonts w:eastAsia="MS Mincho"/>
              </w:rPr>
            </w:pPr>
            <w:bookmarkStart w:id="178" w:name="SummaryTbl_High"/>
          </w:p>
        </w:tc>
        <w:tc>
          <w:tcPr>
            <w:tcW w:w="1361" w:type="dxa"/>
            <w:gridSpan w:val="2"/>
            <w:vAlign w:val="center"/>
          </w:tcPr>
          <w:p w14:paraId="7FA295E8" w14:textId="77777777" w:rsidR="00B47AE8" w:rsidRPr="00E359BF" w:rsidRDefault="00B47AE8">
            <w:pPr>
              <w:pStyle w:val="TableColHeadingCenter"/>
              <w:rPr>
                <w:rFonts w:eastAsia="MS Mincho"/>
              </w:rPr>
            </w:pPr>
            <w:r w:rsidRPr="00E359BF">
              <w:rPr>
                <w:rFonts w:eastAsia="MS Mincho"/>
              </w:rPr>
              <w:t>Low Range</w:t>
            </w:r>
          </w:p>
        </w:tc>
        <w:tc>
          <w:tcPr>
            <w:tcW w:w="2025" w:type="dxa"/>
            <w:gridSpan w:val="3"/>
            <w:vAlign w:val="center"/>
          </w:tcPr>
          <w:p w14:paraId="1B5DF4FF" w14:textId="77777777" w:rsidR="00B47AE8" w:rsidRPr="00E359BF" w:rsidRDefault="00B47AE8">
            <w:pPr>
              <w:pStyle w:val="TableColHeadingCenter"/>
              <w:rPr>
                <w:rFonts w:eastAsia="MS Mincho"/>
              </w:rPr>
            </w:pPr>
            <w:r w:rsidRPr="00E359BF">
              <w:rPr>
                <w:rFonts w:eastAsia="MS Mincho"/>
              </w:rPr>
              <w:t>Middle Range</w:t>
            </w:r>
          </w:p>
        </w:tc>
        <w:tc>
          <w:tcPr>
            <w:tcW w:w="1396" w:type="dxa"/>
            <w:gridSpan w:val="2"/>
            <w:vAlign w:val="center"/>
          </w:tcPr>
          <w:p w14:paraId="7E8C9D18" w14:textId="77777777" w:rsidR="00B47AE8" w:rsidRPr="00E359BF" w:rsidRDefault="00B47AE8">
            <w:pPr>
              <w:pStyle w:val="TableColHeadingCenter"/>
              <w:rPr>
                <w:rFonts w:eastAsia="MS Mincho"/>
              </w:rPr>
            </w:pPr>
            <w:r w:rsidRPr="00E359BF">
              <w:rPr>
                <w:rFonts w:eastAsia="MS Mincho"/>
              </w:rPr>
              <w:t>High Range</w:t>
            </w:r>
          </w:p>
        </w:tc>
        <w:tc>
          <w:tcPr>
            <w:tcW w:w="601" w:type="dxa"/>
            <w:vMerge w:val="restart"/>
            <w:vAlign w:val="center"/>
          </w:tcPr>
          <w:p w14:paraId="7373A657" w14:textId="77777777" w:rsidR="00B47AE8" w:rsidRPr="00E359BF" w:rsidRDefault="00B47AE8">
            <w:pPr>
              <w:pStyle w:val="TableColHeadingCenter"/>
              <w:rPr>
                <w:rFonts w:eastAsia="MS Mincho"/>
              </w:rPr>
            </w:pPr>
            <w:r>
              <w:rPr>
                <w:rFonts w:eastAsia="MS Mincho"/>
              </w:rPr>
              <w:t>n</w:t>
            </w:r>
          </w:p>
        </w:tc>
        <w:tc>
          <w:tcPr>
            <w:tcW w:w="866" w:type="dxa"/>
            <w:vMerge w:val="restart"/>
            <w:vAlign w:val="center"/>
          </w:tcPr>
          <w:p w14:paraId="36C144ED" w14:textId="77777777" w:rsidR="00B47AE8" w:rsidRPr="00E359BF" w:rsidRDefault="00B47AE8">
            <w:pPr>
              <w:pStyle w:val="TableColHeadingCenter"/>
              <w:rPr>
                <w:rFonts w:eastAsia="MS Mincho"/>
              </w:rPr>
            </w:pPr>
            <w:r w:rsidRPr="00E359BF">
              <w:rPr>
                <w:rFonts w:eastAsia="MS Mincho"/>
              </w:rPr>
              <w:t>Average Scores*</w:t>
            </w:r>
          </w:p>
        </w:tc>
      </w:tr>
      <w:tr w:rsidR="00B47AE8" w:rsidRPr="00E359BF" w14:paraId="56B5C594" w14:textId="77777777" w:rsidTr="007A0CFB">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1299F4D4" w14:textId="77777777" w:rsidR="00B47AE8" w:rsidRPr="00E359BF" w:rsidRDefault="00B47AE8">
            <w:pPr>
              <w:pStyle w:val="TableColHeadingCenter"/>
              <w:rPr>
                <w:rFonts w:eastAsia="MS Mincho"/>
              </w:rPr>
            </w:pPr>
          </w:p>
        </w:tc>
        <w:tc>
          <w:tcPr>
            <w:tcW w:w="683" w:type="dxa"/>
            <w:vAlign w:val="center"/>
          </w:tcPr>
          <w:p w14:paraId="37522170" w14:textId="77777777" w:rsidR="00B47AE8" w:rsidRPr="00E359BF" w:rsidRDefault="00B47AE8">
            <w:pPr>
              <w:pStyle w:val="TableColHeadingCenter"/>
              <w:rPr>
                <w:rFonts w:eastAsia="MS Mincho"/>
              </w:rPr>
            </w:pPr>
            <w:r w:rsidRPr="00E359BF">
              <w:rPr>
                <w:rFonts w:eastAsia="MS Mincho"/>
              </w:rPr>
              <w:t>1</w:t>
            </w:r>
          </w:p>
        </w:tc>
        <w:tc>
          <w:tcPr>
            <w:tcW w:w="678" w:type="dxa"/>
            <w:vAlign w:val="center"/>
          </w:tcPr>
          <w:p w14:paraId="64D996E8" w14:textId="77777777" w:rsidR="00B47AE8" w:rsidRPr="00E359BF" w:rsidRDefault="00B47AE8">
            <w:pPr>
              <w:pStyle w:val="TableColHeadingCenter"/>
              <w:rPr>
                <w:rFonts w:eastAsia="MS Mincho"/>
              </w:rPr>
            </w:pPr>
            <w:r w:rsidRPr="00E359BF">
              <w:rPr>
                <w:rFonts w:eastAsia="MS Mincho"/>
              </w:rPr>
              <w:t>2</w:t>
            </w:r>
          </w:p>
        </w:tc>
        <w:tc>
          <w:tcPr>
            <w:tcW w:w="688" w:type="dxa"/>
            <w:vAlign w:val="center"/>
          </w:tcPr>
          <w:p w14:paraId="0A7F3E97" w14:textId="77777777" w:rsidR="00B47AE8" w:rsidRPr="00E359BF" w:rsidRDefault="00B47AE8">
            <w:pPr>
              <w:pStyle w:val="TableColHeadingCenter"/>
              <w:rPr>
                <w:rFonts w:eastAsia="MS Mincho"/>
              </w:rPr>
            </w:pPr>
            <w:r w:rsidRPr="00E359BF">
              <w:rPr>
                <w:rFonts w:eastAsia="MS Mincho"/>
              </w:rPr>
              <w:t>3</w:t>
            </w:r>
          </w:p>
        </w:tc>
        <w:tc>
          <w:tcPr>
            <w:tcW w:w="684" w:type="dxa"/>
            <w:vAlign w:val="center"/>
          </w:tcPr>
          <w:p w14:paraId="4E90E771" w14:textId="77777777" w:rsidR="00B47AE8" w:rsidRPr="00E359BF" w:rsidRDefault="00B47AE8">
            <w:pPr>
              <w:pStyle w:val="TableColHeadingCenter"/>
              <w:rPr>
                <w:rFonts w:eastAsia="MS Mincho"/>
              </w:rPr>
            </w:pPr>
            <w:r w:rsidRPr="00E359BF">
              <w:rPr>
                <w:rFonts w:eastAsia="MS Mincho"/>
              </w:rPr>
              <w:t>4</w:t>
            </w:r>
          </w:p>
        </w:tc>
        <w:tc>
          <w:tcPr>
            <w:tcW w:w="653" w:type="dxa"/>
            <w:vAlign w:val="center"/>
          </w:tcPr>
          <w:p w14:paraId="280BC9EC" w14:textId="77777777" w:rsidR="00B47AE8" w:rsidRPr="00E359BF" w:rsidRDefault="00B47AE8">
            <w:pPr>
              <w:pStyle w:val="TableColHeadingCenter"/>
              <w:rPr>
                <w:rFonts w:eastAsia="MS Mincho"/>
              </w:rPr>
            </w:pPr>
            <w:r w:rsidRPr="00E359BF">
              <w:rPr>
                <w:rFonts w:eastAsia="MS Mincho"/>
              </w:rPr>
              <w:t>5</w:t>
            </w:r>
          </w:p>
        </w:tc>
        <w:tc>
          <w:tcPr>
            <w:tcW w:w="712" w:type="dxa"/>
            <w:vAlign w:val="center"/>
          </w:tcPr>
          <w:p w14:paraId="674E1D7A" w14:textId="77777777" w:rsidR="00B47AE8" w:rsidRPr="00E359BF" w:rsidRDefault="00B47AE8">
            <w:pPr>
              <w:pStyle w:val="TableColHeadingCenter"/>
              <w:rPr>
                <w:rFonts w:eastAsia="MS Mincho"/>
              </w:rPr>
            </w:pPr>
            <w:r w:rsidRPr="00E359BF">
              <w:rPr>
                <w:rFonts w:eastAsia="MS Mincho"/>
              </w:rPr>
              <w:t>6</w:t>
            </w:r>
          </w:p>
        </w:tc>
        <w:tc>
          <w:tcPr>
            <w:tcW w:w="684" w:type="dxa"/>
            <w:vAlign w:val="center"/>
          </w:tcPr>
          <w:p w14:paraId="3ACDBABF" w14:textId="77777777" w:rsidR="00B47AE8" w:rsidRPr="00E359BF" w:rsidRDefault="00B47AE8">
            <w:pPr>
              <w:pStyle w:val="TableColHeadingCenter"/>
              <w:rPr>
                <w:rFonts w:eastAsia="MS Mincho"/>
              </w:rPr>
            </w:pPr>
            <w:r w:rsidRPr="00E359BF">
              <w:rPr>
                <w:rFonts w:eastAsia="MS Mincho"/>
              </w:rPr>
              <w:t>7</w:t>
            </w:r>
          </w:p>
        </w:tc>
        <w:tc>
          <w:tcPr>
            <w:tcW w:w="601" w:type="dxa"/>
            <w:vMerge/>
          </w:tcPr>
          <w:p w14:paraId="0181FAAC" w14:textId="77777777" w:rsidR="00B47AE8" w:rsidRPr="00E359BF" w:rsidRDefault="00B47AE8">
            <w:pPr>
              <w:pStyle w:val="TableColHeadingCenter"/>
              <w:rPr>
                <w:rFonts w:eastAsia="MS Mincho"/>
              </w:rPr>
            </w:pPr>
          </w:p>
        </w:tc>
        <w:tc>
          <w:tcPr>
            <w:tcW w:w="866" w:type="dxa"/>
            <w:vMerge/>
          </w:tcPr>
          <w:p w14:paraId="727A3E52" w14:textId="77777777" w:rsidR="00B47AE8" w:rsidRPr="00E359BF" w:rsidRDefault="00B47AE8">
            <w:pPr>
              <w:pStyle w:val="TableColHeadingCenter"/>
              <w:rPr>
                <w:rFonts w:eastAsia="MS Mincho"/>
              </w:rPr>
            </w:pPr>
          </w:p>
        </w:tc>
      </w:tr>
      <w:tr w:rsidR="00B47AE8" w:rsidRPr="00E359BF" w14:paraId="5C1AA814" w14:textId="77777777" w:rsidTr="007A0CFB">
        <w:tc>
          <w:tcPr>
            <w:tcW w:w="3095" w:type="dxa"/>
            <w:shd w:val="clear" w:color="auto" w:fill="D9E2F3" w:themeFill="accent5" w:themeFillTint="33"/>
            <w:vAlign w:val="center"/>
          </w:tcPr>
          <w:p w14:paraId="16699277" w14:textId="77777777" w:rsidR="00B47AE8" w:rsidRPr="00E359BF" w:rsidRDefault="00B47AE8">
            <w:pPr>
              <w:pStyle w:val="TableSubheading"/>
            </w:pPr>
            <w:r w:rsidRPr="00E359BF">
              <w:t>Emotional Support Domain</w:t>
            </w:r>
          </w:p>
        </w:tc>
        <w:tc>
          <w:tcPr>
            <w:tcW w:w="683" w:type="dxa"/>
            <w:shd w:val="clear" w:color="auto" w:fill="D9E2F3" w:themeFill="accent5" w:themeFillTint="33"/>
          </w:tcPr>
          <w:p w14:paraId="6B248E95" w14:textId="77777777" w:rsidR="00B47AE8" w:rsidRPr="00E359BF" w:rsidRDefault="00B47AE8">
            <w:pPr>
              <w:pStyle w:val="TableTextCenteredDemi"/>
              <w:rPr>
                <w:rFonts w:eastAsia="Times New Roman"/>
              </w:rPr>
            </w:pPr>
            <w:r>
              <w:rPr>
                <w:rFonts w:eastAsia="Times New Roman"/>
              </w:rPr>
              <w:t>2</w:t>
            </w:r>
          </w:p>
        </w:tc>
        <w:tc>
          <w:tcPr>
            <w:tcW w:w="678" w:type="dxa"/>
            <w:shd w:val="clear" w:color="auto" w:fill="D9E2F3" w:themeFill="accent5" w:themeFillTint="33"/>
          </w:tcPr>
          <w:p w14:paraId="747EE289" w14:textId="77777777" w:rsidR="00B47AE8" w:rsidRPr="00E359BF" w:rsidRDefault="00B47AE8">
            <w:pPr>
              <w:pStyle w:val="TableTextCenteredDemi"/>
              <w:rPr>
                <w:rFonts w:eastAsia="Times New Roman"/>
              </w:rPr>
            </w:pPr>
            <w:r>
              <w:rPr>
                <w:rFonts w:eastAsia="Times New Roman"/>
              </w:rPr>
              <w:t>14</w:t>
            </w:r>
          </w:p>
        </w:tc>
        <w:tc>
          <w:tcPr>
            <w:tcW w:w="688" w:type="dxa"/>
            <w:shd w:val="clear" w:color="auto" w:fill="D9E2F3" w:themeFill="accent5" w:themeFillTint="33"/>
          </w:tcPr>
          <w:p w14:paraId="42C59E13" w14:textId="77777777" w:rsidR="00B47AE8" w:rsidRPr="00E359BF" w:rsidRDefault="00B47AE8">
            <w:pPr>
              <w:pStyle w:val="TableTextCenteredDemi"/>
              <w:rPr>
                <w:rFonts w:eastAsia="Times New Roman"/>
              </w:rPr>
            </w:pPr>
            <w:r>
              <w:rPr>
                <w:rFonts w:eastAsia="Times New Roman"/>
              </w:rPr>
              <w:t>10</w:t>
            </w:r>
          </w:p>
        </w:tc>
        <w:tc>
          <w:tcPr>
            <w:tcW w:w="684" w:type="dxa"/>
            <w:shd w:val="clear" w:color="auto" w:fill="D9E2F3" w:themeFill="accent5" w:themeFillTint="33"/>
          </w:tcPr>
          <w:p w14:paraId="324E25EE" w14:textId="77777777" w:rsidR="00B47AE8" w:rsidRPr="00E359BF" w:rsidRDefault="00B47AE8">
            <w:pPr>
              <w:pStyle w:val="TableTextCenteredDemi"/>
              <w:rPr>
                <w:rFonts w:eastAsia="Times New Roman"/>
              </w:rPr>
            </w:pPr>
            <w:r>
              <w:rPr>
                <w:rFonts w:eastAsia="Times New Roman"/>
              </w:rPr>
              <w:t>21</w:t>
            </w:r>
          </w:p>
        </w:tc>
        <w:tc>
          <w:tcPr>
            <w:tcW w:w="653" w:type="dxa"/>
            <w:shd w:val="clear" w:color="auto" w:fill="D9E2F3" w:themeFill="accent5" w:themeFillTint="33"/>
          </w:tcPr>
          <w:p w14:paraId="7B11EBEE" w14:textId="77777777" w:rsidR="00B47AE8" w:rsidRPr="00E359BF" w:rsidRDefault="00B47AE8">
            <w:pPr>
              <w:pStyle w:val="TableTextCenteredDemi"/>
              <w:rPr>
                <w:rFonts w:eastAsia="Times New Roman"/>
              </w:rPr>
            </w:pPr>
            <w:r>
              <w:rPr>
                <w:rFonts w:eastAsia="Times New Roman"/>
              </w:rPr>
              <w:t>17</w:t>
            </w:r>
          </w:p>
        </w:tc>
        <w:tc>
          <w:tcPr>
            <w:tcW w:w="712" w:type="dxa"/>
            <w:shd w:val="clear" w:color="auto" w:fill="D9E2F3" w:themeFill="accent5" w:themeFillTint="33"/>
            <w:vAlign w:val="center"/>
          </w:tcPr>
          <w:p w14:paraId="79950CCF" w14:textId="77777777" w:rsidR="00B47AE8" w:rsidRPr="00E359BF" w:rsidRDefault="00B47AE8">
            <w:pPr>
              <w:pStyle w:val="TableTextCenteredDemi"/>
              <w:rPr>
                <w:rFonts w:eastAsia="Times New Roman"/>
              </w:rPr>
            </w:pPr>
            <w:r>
              <w:rPr>
                <w:rFonts w:eastAsia="Times New Roman"/>
              </w:rPr>
              <w:t>16</w:t>
            </w:r>
          </w:p>
        </w:tc>
        <w:tc>
          <w:tcPr>
            <w:tcW w:w="684" w:type="dxa"/>
            <w:shd w:val="clear" w:color="auto" w:fill="D9E2F3" w:themeFill="accent5" w:themeFillTint="33"/>
            <w:vAlign w:val="center"/>
          </w:tcPr>
          <w:p w14:paraId="66194B12" w14:textId="77777777" w:rsidR="00B47AE8" w:rsidRPr="00E359BF" w:rsidRDefault="00B47AE8">
            <w:pPr>
              <w:pStyle w:val="TableTextCenteredDemi"/>
              <w:rPr>
                <w:rFonts w:eastAsia="Times New Roman"/>
              </w:rPr>
            </w:pPr>
            <w:r>
              <w:rPr>
                <w:rFonts w:eastAsia="Times New Roman"/>
              </w:rPr>
              <w:t>16</w:t>
            </w:r>
          </w:p>
        </w:tc>
        <w:tc>
          <w:tcPr>
            <w:tcW w:w="601" w:type="dxa"/>
            <w:shd w:val="clear" w:color="auto" w:fill="D9E2F3" w:themeFill="accent5" w:themeFillTint="33"/>
          </w:tcPr>
          <w:p w14:paraId="7361E4B3" w14:textId="77777777" w:rsidR="00B47AE8" w:rsidRPr="00E359BF" w:rsidRDefault="00B47AE8">
            <w:pPr>
              <w:pStyle w:val="TableTextCenteredDemi"/>
              <w:rPr>
                <w:rFonts w:eastAsia="Times New Roman"/>
              </w:rPr>
            </w:pPr>
            <w:r>
              <w:rPr>
                <w:rFonts w:eastAsia="Times New Roman"/>
              </w:rPr>
              <w:t>96</w:t>
            </w:r>
          </w:p>
        </w:tc>
        <w:tc>
          <w:tcPr>
            <w:tcW w:w="866" w:type="dxa"/>
            <w:shd w:val="clear" w:color="auto" w:fill="D9E2F3" w:themeFill="accent5" w:themeFillTint="33"/>
          </w:tcPr>
          <w:p w14:paraId="0D8FAE34" w14:textId="77777777" w:rsidR="00B47AE8" w:rsidRPr="00E359BF" w:rsidRDefault="00B47AE8">
            <w:pPr>
              <w:pStyle w:val="TableTextCenteredDemi"/>
              <w:rPr>
                <w:rFonts w:eastAsia="Times New Roman"/>
              </w:rPr>
            </w:pPr>
            <w:r>
              <w:rPr>
                <w:rFonts w:eastAsia="Times New Roman"/>
              </w:rPr>
              <w:t>4.6</w:t>
            </w:r>
          </w:p>
        </w:tc>
      </w:tr>
      <w:tr w:rsidR="00B47AE8" w:rsidRPr="00E359BF" w14:paraId="79F3A70E" w14:textId="77777777" w:rsidTr="007A0CFB">
        <w:tc>
          <w:tcPr>
            <w:tcW w:w="3095" w:type="dxa"/>
            <w:vAlign w:val="center"/>
          </w:tcPr>
          <w:p w14:paraId="05AEE109" w14:textId="77777777" w:rsidR="00B47AE8" w:rsidRPr="00E359BF" w:rsidRDefault="00B47AE8">
            <w:pPr>
              <w:pStyle w:val="TableText"/>
              <w:ind w:left="204"/>
              <w:rPr>
                <w:b/>
                <w:bCs/>
              </w:rPr>
            </w:pPr>
            <w:r w:rsidRPr="00E359BF">
              <w:t>Positive Climate</w:t>
            </w:r>
          </w:p>
        </w:tc>
        <w:tc>
          <w:tcPr>
            <w:tcW w:w="683" w:type="dxa"/>
          </w:tcPr>
          <w:p w14:paraId="20FBBA9D" w14:textId="77777777" w:rsidR="00B47AE8" w:rsidRPr="00E359BF" w:rsidRDefault="00B47AE8">
            <w:pPr>
              <w:pStyle w:val="TableTextCentered"/>
              <w:rPr>
                <w:rFonts w:eastAsia="Times New Roman"/>
              </w:rPr>
            </w:pPr>
            <w:r>
              <w:rPr>
                <w:rFonts w:eastAsia="Times New Roman"/>
              </w:rPr>
              <w:t>0</w:t>
            </w:r>
          </w:p>
        </w:tc>
        <w:tc>
          <w:tcPr>
            <w:tcW w:w="678" w:type="dxa"/>
          </w:tcPr>
          <w:p w14:paraId="7432D02E" w14:textId="77777777" w:rsidR="00B47AE8" w:rsidRPr="00E359BF" w:rsidRDefault="00B47AE8">
            <w:pPr>
              <w:pStyle w:val="TableTextCentered"/>
              <w:rPr>
                <w:rFonts w:eastAsia="Times New Roman"/>
              </w:rPr>
            </w:pPr>
            <w:r>
              <w:rPr>
                <w:rFonts w:eastAsia="Times New Roman"/>
              </w:rPr>
              <w:t>2</w:t>
            </w:r>
          </w:p>
        </w:tc>
        <w:tc>
          <w:tcPr>
            <w:tcW w:w="688" w:type="dxa"/>
          </w:tcPr>
          <w:p w14:paraId="5C6968EC" w14:textId="77777777" w:rsidR="00B47AE8" w:rsidRPr="00E359BF" w:rsidRDefault="00B47AE8">
            <w:pPr>
              <w:pStyle w:val="TableTextCentered"/>
              <w:rPr>
                <w:rFonts w:eastAsia="Times New Roman"/>
              </w:rPr>
            </w:pPr>
            <w:r>
              <w:rPr>
                <w:rFonts w:eastAsia="Times New Roman"/>
              </w:rPr>
              <w:t>4</w:t>
            </w:r>
          </w:p>
        </w:tc>
        <w:tc>
          <w:tcPr>
            <w:tcW w:w="684" w:type="dxa"/>
          </w:tcPr>
          <w:p w14:paraId="52EB1B72" w14:textId="77777777" w:rsidR="00B47AE8" w:rsidRPr="00E359BF" w:rsidRDefault="00B47AE8">
            <w:pPr>
              <w:pStyle w:val="TableTextCentered"/>
              <w:rPr>
                <w:rFonts w:eastAsia="Times New Roman"/>
              </w:rPr>
            </w:pPr>
            <w:r>
              <w:rPr>
                <w:rFonts w:eastAsia="Times New Roman"/>
              </w:rPr>
              <w:t>7</w:t>
            </w:r>
          </w:p>
        </w:tc>
        <w:tc>
          <w:tcPr>
            <w:tcW w:w="653" w:type="dxa"/>
          </w:tcPr>
          <w:p w14:paraId="2088CBF8" w14:textId="77777777" w:rsidR="00B47AE8" w:rsidRPr="00E359BF" w:rsidRDefault="00B47AE8">
            <w:pPr>
              <w:pStyle w:val="TableTextCentered"/>
              <w:rPr>
                <w:rFonts w:eastAsia="Times New Roman"/>
              </w:rPr>
            </w:pPr>
            <w:r>
              <w:rPr>
                <w:rFonts w:eastAsia="Times New Roman"/>
              </w:rPr>
              <w:t>7</w:t>
            </w:r>
          </w:p>
        </w:tc>
        <w:tc>
          <w:tcPr>
            <w:tcW w:w="712" w:type="dxa"/>
            <w:vAlign w:val="center"/>
          </w:tcPr>
          <w:p w14:paraId="3B059D9E" w14:textId="77777777" w:rsidR="00B47AE8" w:rsidRPr="00E359BF" w:rsidRDefault="00B47AE8">
            <w:pPr>
              <w:pStyle w:val="TableTextCentered"/>
              <w:rPr>
                <w:rFonts w:eastAsia="Times New Roman"/>
              </w:rPr>
            </w:pPr>
            <w:r>
              <w:rPr>
                <w:rFonts w:eastAsia="Times New Roman"/>
              </w:rPr>
              <w:t>6</w:t>
            </w:r>
          </w:p>
        </w:tc>
        <w:tc>
          <w:tcPr>
            <w:tcW w:w="684" w:type="dxa"/>
            <w:vAlign w:val="center"/>
          </w:tcPr>
          <w:p w14:paraId="617C9CE6" w14:textId="77777777" w:rsidR="00B47AE8" w:rsidRPr="00E359BF" w:rsidRDefault="00B47AE8">
            <w:pPr>
              <w:pStyle w:val="TableTextCentered"/>
              <w:rPr>
                <w:rFonts w:eastAsia="Times New Roman"/>
              </w:rPr>
            </w:pPr>
            <w:r>
              <w:rPr>
                <w:rFonts w:eastAsia="Times New Roman"/>
              </w:rPr>
              <w:t>6</w:t>
            </w:r>
          </w:p>
        </w:tc>
        <w:tc>
          <w:tcPr>
            <w:tcW w:w="601" w:type="dxa"/>
          </w:tcPr>
          <w:p w14:paraId="049C0FFB" w14:textId="77777777" w:rsidR="00B47AE8" w:rsidRPr="00E359BF" w:rsidRDefault="00B47AE8">
            <w:pPr>
              <w:pStyle w:val="TableTextCentered"/>
              <w:rPr>
                <w:rFonts w:eastAsia="Times New Roman"/>
              </w:rPr>
            </w:pPr>
            <w:r>
              <w:rPr>
                <w:rFonts w:eastAsia="Times New Roman"/>
              </w:rPr>
              <w:t>32</w:t>
            </w:r>
          </w:p>
        </w:tc>
        <w:tc>
          <w:tcPr>
            <w:tcW w:w="866" w:type="dxa"/>
          </w:tcPr>
          <w:p w14:paraId="721DBD4A" w14:textId="77777777" w:rsidR="00B47AE8" w:rsidRPr="00E359BF" w:rsidRDefault="00B47AE8">
            <w:pPr>
              <w:pStyle w:val="TableTextCentered"/>
              <w:rPr>
                <w:rFonts w:eastAsia="Times New Roman"/>
              </w:rPr>
            </w:pPr>
            <w:r>
              <w:rPr>
                <w:rFonts w:eastAsia="Times New Roman"/>
              </w:rPr>
              <w:t>4.9</w:t>
            </w:r>
          </w:p>
        </w:tc>
      </w:tr>
      <w:tr w:rsidR="007A0CFB" w:rsidRPr="00E359BF" w14:paraId="76DE3D69" w14:textId="77777777" w:rsidTr="007A0CFB">
        <w:tc>
          <w:tcPr>
            <w:tcW w:w="3095" w:type="dxa"/>
            <w:vAlign w:val="center"/>
          </w:tcPr>
          <w:p w14:paraId="135CC8F0" w14:textId="77777777" w:rsidR="00B47AE8" w:rsidRPr="00E359BF" w:rsidRDefault="00B47AE8">
            <w:pPr>
              <w:pStyle w:val="TableText"/>
              <w:ind w:left="204"/>
              <w:rPr>
                <w:b/>
                <w:bCs/>
              </w:rPr>
            </w:pPr>
            <w:r w:rsidRPr="00E359BF">
              <w:t>Teacher Sensitivity</w:t>
            </w:r>
          </w:p>
        </w:tc>
        <w:tc>
          <w:tcPr>
            <w:tcW w:w="683" w:type="dxa"/>
          </w:tcPr>
          <w:p w14:paraId="6995549C" w14:textId="77777777" w:rsidR="00B47AE8" w:rsidRPr="00E359BF" w:rsidRDefault="00B47AE8">
            <w:pPr>
              <w:pStyle w:val="TableTextCentered"/>
              <w:rPr>
                <w:rFonts w:eastAsia="Times New Roman"/>
              </w:rPr>
            </w:pPr>
            <w:r>
              <w:rPr>
                <w:rFonts w:eastAsia="Times New Roman"/>
              </w:rPr>
              <w:t>0</w:t>
            </w:r>
          </w:p>
        </w:tc>
        <w:tc>
          <w:tcPr>
            <w:tcW w:w="678" w:type="dxa"/>
          </w:tcPr>
          <w:p w14:paraId="20DBD212" w14:textId="77777777" w:rsidR="00B47AE8" w:rsidRPr="00E359BF" w:rsidRDefault="00B47AE8">
            <w:pPr>
              <w:pStyle w:val="TableTextCentered"/>
              <w:rPr>
                <w:rFonts w:eastAsia="Times New Roman"/>
              </w:rPr>
            </w:pPr>
            <w:r>
              <w:rPr>
                <w:rFonts w:eastAsia="Times New Roman"/>
              </w:rPr>
              <w:t>0</w:t>
            </w:r>
          </w:p>
        </w:tc>
        <w:tc>
          <w:tcPr>
            <w:tcW w:w="688" w:type="dxa"/>
          </w:tcPr>
          <w:p w14:paraId="2C16B782" w14:textId="77777777" w:rsidR="00B47AE8" w:rsidRPr="00E359BF" w:rsidRDefault="00B47AE8">
            <w:pPr>
              <w:pStyle w:val="TableTextCentered"/>
              <w:rPr>
                <w:rFonts w:eastAsia="Times New Roman"/>
              </w:rPr>
            </w:pPr>
            <w:r>
              <w:rPr>
                <w:rFonts w:eastAsia="Times New Roman"/>
              </w:rPr>
              <w:t>0</w:t>
            </w:r>
          </w:p>
        </w:tc>
        <w:tc>
          <w:tcPr>
            <w:tcW w:w="684" w:type="dxa"/>
          </w:tcPr>
          <w:p w14:paraId="7E8ACE30" w14:textId="77777777" w:rsidR="00B47AE8" w:rsidRPr="00E359BF" w:rsidRDefault="00B47AE8">
            <w:pPr>
              <w:pStyle w:val="TableTextCentered"/>
              <w:rPr>
                <w:rFonts w:eastAsia="Times New Roman"/>
              </w:rPr>
            </w:pPr>
            <w:r>
              <w:rPr>
                <w:rFonts w:eastAsia="Times New Roman"/>
              </w:rPr>
              <w:t>5</w:t>
            </w:r>
          </w:p>
        </w:tc>
        <w:tc>
          <w:tcPr>
            <w:tcW w:w="653" w:type="dxa"/>
          </w:tcPr>
          <w:p w14:paraId="2E151115" w14:textId="77777777" w:rsidR="00B47AE8" w:rsidRPr="00E359BF" w:rsidRDefault="00B47AE8">
            <w:pPr>
              <w:pStyle w:val="TableTextCentered"/>
              <w:rPr>
                <w:rFonts w:eastAsia="Times New Roman"/>
              </w:rPr>
            </w:pPr>
            <w:r>
              <w:rPr>
                <w:rFonts w:eastAsia="Times New Roman"/>
              </w:rPr>
              <w:t>8</w:t>
            </w:r>
          </w:p>
        </w:tc>
        <w:tc>
          <w:tcPr>
            <w:tcW w:w="712" w:type="dxa"/>
            <w:vAlign w:val="center"/>
          </w:tcPr>
          <w:p w14:paraId="793D2007" w14:textId="77777777" w:rsidR="00B47AE8" w:rsidRPr="00E359BF" w:rsidRDefault="00B47AE8">
            <w:pPr>
              <w:pStyle w:val="TableTextCentered"/>
              <w:rPr>
                <w:rFonts w:eastAsia="Times New Roman"/>
              </w:rPr>
            </w:pPr>
            <w:r>
              <w:rPr>
                <w:rFonts w:eastAsia="Times New Roman"/>
              </w:rPr>
              <w:t>9</w:t>
            </w:r>
          </w:p>
        </w:tc>
        <w:tc>
          <w:tcPr>
            <w:tcW w:w="684" w:type="dxa"/>
            <w:vAlign w:val="center"/>
          </w:tcPr>
          <w:p w14:paraId="39029EBC" w14:textId="77777777" w:rsidR="00B47AE8" w:rsidRPr="00E359BF" w:rsidRDefault="00B47AE8">
            <w:pPr>
              <w:pStyle w:val="TableTextCentered"/>
              <w:rPr>
                <w:rFonts w:eastAsia="Times New Roman"/>
              </w:rPr>
            </w:pPr>
            <w:r>
              <w:rPr>
                <w:rFonts w:eastAsia="Times New Roman"/>
              </w:rPr>
              <w:t>10</w:t>
            </w:r>
          </w:p>
        </w:tc>
        <w:tc>
          <w:tcPr>
            <w:tcW w:w="601" w:type="dxa"/>
          </w:tcPr>
          <w:p w14:paraId="3490653E" w14:textId="77777777" w:rsidR="00B47AE8" w:rsidRPr="00E359BF" w:rsidRDefault="00B47AE8">
            <w:pPr>
              <w:pStyle w:val="TableTextCentered"/>
              <w:rPr>
                <w:rFonts w:eastAsia="Times New Roman"/>
              </w:rPr>
            </w:pPr>
            <w:r>
              <w:rPr>
                <w:rFonts w:eastAsia="Times New Roman"/>
              </w:rPr>
              <w:t>32</w:t>
            </w:r>
          </w:p>
        </w:tc>
        <w:tc>
          <w:tcPr>
            <w:tcW w:w="866" w:type="dxa"/>
          </w:tcPr>
          <w:p w14:paraId="2288D849" w14:textId="77777777" w:rsidR="00B47AE8" w:rsidRPr="00E359BF" w:rsidRDefault="00B47AE8">
            <w:pPr>
              <w:pStyle w:val="TableTextCentered"/>
              <w:rPr>
                <w:rFonts w:eastAsia="Times New Roman"/>
              </w:rPr>
            </w:pPr>
            <w:r>
              <w:rPr>
                <w:rFonts w:eastAsia="Times New Roman"/>
              </w:rPr>
              <w:t>5.8</w:t>
            </w:r>
          </w:p>
        </w:tc>
      </w:tr>
      <w:tr w:rsidR="00B47AE8" w:rsidRPr="00E359BF" w14:paraId="70A23256" w14:textId="77777777" w:rsidTr="007A0CFB">
        <w:tc>
          <w:tcPr>
            <w:tcW w:w="3095" w:type="dxa"/>
            <w:vAlign w:val="center"/>
          </w:tcPr>
          <w:p w14:paraId="46E6DDA1" w14:textId="77777777" w:rsidR="00B47AE8" w:rsidRPr="00E359BF" w:rsidRDefault="00B47AE8">
            <w:pPr>
              <w:pStyle w:val="TableText"/>
              <w:ind w:left="204"/>
              <w:rPr>
                <w:b/>
                <w:bCs/>
              </w:rPr>
            </w:pPr>
            <w:r w:rsidRPr="00E359BF">
              <w:t>Regard for Student Perspectives</w:t>
            </w:r>
          </w:p>
        </w:tc>
        <w:tc>
          <w:tcPr>
            <w:tcW w:w="683" w:type="dxa"/>
          </w:tcPr>
          <w:p w14:paraId="21D14654" w14:textId="77777777" w:rsidR="00B47AE8" w:rsidRPr="00E359BF" w:rsidRDefault="00B47AE8">
            <w:pPr>
              <w:pStyle w:val="TableTextCentered"/>
              <w:rPr>
                <w:rFonts w:eastAsia="Times New Roman"/>
              </w:rPr>
            </w:pPr>
            <w:r>
              <w:rPr>
                <w:rFonts w:eastAsia="Times New Roman"/>
              </w:rPr>
              <w:t>2</w:t>
            </w:r>
          </w:p>
        </w:tc>
        <w:tc>
          <w:tcPr>
            <w:tcW w:w="678" w:type="dxa"/>
          </w:tcPr>
          <w:p w14:paraId="7483BA03" w14:textId="77777777" w:rsidR="00B47AE8" w:rsidRPr="00E359BF" w:rsidRDefault="00B47AE8">
            <w:pPr>
              <w:pStyle w:val="TableTextCentered"/>
              <w:rPr>
                <w:rFonts w:eastAsia="Times New Roman"/>
              </w:rPr>
            </w:pPr>
            <w:r>
              <w:rPr>
                <w:rFonts w:eastAsia="Times New Roman"/>
              </w:rPr>
              <w:t>12</w:t>
            </w:r>
          </w:p>
        </w:tc>
        <w:tc>
          <w:tcPr>
            <w:tcW w:w="688" w:type="dxa"/>
          </w:tcPr>
          <w:p w14:paraId="7C83F973" w14:textId="77777777" w:rsidR="00B47AE8" w:rsidRPr="00E359BF" w:rsidRDefault="00B47AE8">
            <w:pPr>
              <w:pStyle w:val="TableTextCentered"/>
              <w:rPr>
                <w:rFonts w:eastAsia="Times New Roman"/>
              </w:rPr>
            </w:pPr>
            <w:r>
              <w:rPr>
                <w:rFonts w:eastAsia="Times New Roman"/>
              </w:rPr>
              <w:t>6</w:t>
            </w:r>
          </w:p>
        </w:tc>
        <w:tc>
          <w:tcPr>
            <w:tcW w:w="684" w:type="dxa"/>
          </w:tcPr>
          <w:p w14:paraId="6E05B46D" w14:textId="77777777" w:rsidR="00B47AE8" w:rsidRPr="00E359BF" w:rsidRDefault="00B47AE8">
            <w:pPr>
              <w:pStyle w:val="TableTextCentered"/>
              <w:rPr>
                <w:rFonts w:eastAsia="Times New Roman"/>
              </w:rPr>
            </w:pPr>
            <w:r>
              <w:rPr>
                <w:rFonts w:eastAsia="Times New Roman"/>
              </w:rPr>
              <w:t>9</w:t>
            </w:r>
          </w:p>
        </w:tc>
        <w:tc>
          <w:tcPr>
            <w:tcW w:w="653" w:type="dxa"/>
          </w:tcPr>
          <w:p w14:paraId="6BE798FB" w14:textId="77777777" w:rsidR="00B47AE8" w:rsidRPr="00E359BF" w:rsidRDefault="00B47AE8">
            <w:pPr>
              <w:pStyle w:val="TableTextCentered"/>
              <w:rPr>
                <w:rFonts w:eastAsia="Times New Roman"/>
              </w:rPr>
            </w:pPr>
            <w:r>
              <w:rPr>
                <w:rFonts w:eastAsia="Times New Roman"/>
              </w:rPr>
              <w:t>2</w:t>
            </w:r>
          </w:p>
        </w:tc>
        <w:tc>
          <w:tcPr>
            <w:tcW w:w="712" w:type="dxa"/>
            <w:vAlign w:val="center"/>
          </w:tcPr>
          <w:p w14:paraId="2EE4B7DE" w14:textId="77777777" w:rsidR="00B47AE8" w:rsidRPr="00E359BF" w:rsidRDefault="00B47AE8">
            <w:pPr>
              <w:pStyle w:val="TableTextCentered"/>
              <w:rPr>
                <w:rFonts w:eastAsia="Times New Roman"/>
              </w:rPr>
            </w:pPr>
            <w:r>
              <w:rPr>
                <w:rFonts w:eastAsia="Times New Roman"/>
              </w:rPr>
              <w:t>1</w:t>
            </w:r>
          </w:p>
        </w:tc>
        <w:tc>
          <w:tcPr>
            <w:tcW w:w="684" w:type="dxa"/>
            <w:vAlign w:val="center"/>
          </w:tcPr>
          <w:p w14:paraId="176E7BAB" w14:textId="77777777" w:rsidR="00B47AE8" w:rsidRPr="00E359BF" w:rsidRDefault="00B47AE8">
            <w:pPr>
              <w:pStyle w:val="TableTextCentered"/>
              <w:rPr>
                <w:rFonts w:eastAsia="Times New Roman"/>
              </w:rPr>
            </w:pPr>
            <w:r>
              <w:rPr>
                <w:rFonts w:eastAsia="Times New Roman"/>
              </w:rPr>
              <w:t>0</w:t>
            </w:r>
          </w:p>
        </w:tc>
        <w:tc>
          <w:tcPr>
            <w:tcW w:w="601" w:type="dxa"/>
          </w:tcPr>
          <w:p w14:paraId="048B158F" w14:textId="77777777" w:rsidR="00B47AE8" w:rsidRPr="00E359BF" w:rsidRDefault="00B47AE8">
            <w:pPr>
              <w:pStyle w:val="TableTextCentered"/>
              <w:rPr>
                <w:rFonts w:eastAsia="Times New Roman"/>
              </w:rPr>
            </w:pPr>
            <w:r>
              <w:rPr>
                <w:rFonts w:eastAsia="Times New Roman"/>
              </w:rPr>
              <w:t>32</w:t>
            </w:r>
          </w:p>
        </w:tc>
        <w:tc>
          <w:tcPr>
            <w:tcW w:w="866" w:type="dxa"/>
          </w:tcPr>
          <w:p w14:paraId="66C6B888" w14:textId="77777777" w:rsidR="00B47AE8" w:rsidRPr="00E359BF" w:rsidRDefault="00B47AE8">
            <w:pPr>
              <w:pStyle w:val="TableTextCentered"/>
              <w:rPr>
                <w:rFonts w:eastAsia="Times New Roman"/>
              </w:rPr>
            </w:pPr>
            <w:r>
              <w:rPr>
                <w:rFonts w:eastAsia="Times New Roman"/>
              </w:rPr>
              <w:t>3.0</w:t>
            </w:r>
          </w:p>
        </w:tc>
      </w:tr>
      <w:tr w:rsidR="00B47AE8" w:rsidRPr="00E359BF" w14:paraId="57F9B799" w14:textId="77777777" w:rsidTr="007A0CFB">
        <w:tc>
          <w:tcPr>
            <w:tcW w:w="3095" w:type="dxa"/>
            <w:shd w:val="clear" w:color="auto" w:fill="D9E2F3" w:themeFill="accent5" w:themeFillTint="33"/>
            <w:vAlign w:val="center"/>
          </w:tcPr>
          <w:p w14:paraId="197213E4" w14:textId="77777777" w:rsidR="00B47AE8" w:rsidRPr="00E359BF" w:rsidRDefault="00B47AE8">
            <w:pPr>
              <w:pStyle w:val="TableSubheading"/>
              <w:rPr>
                <w:szCs w:val="20"/>
              </w:rPr>
            </w:pPr>
            <w:r w:rsidRPr="00E359BF">
              <w:t>Classroom Organization Domain</w:t>
            </w:r>
          </w:p>
        </w:tc>
        <w:tc>
          <w:tcPr>
            <w:tcW w:w="683" w:type="dxa"/>
            <w:shd w:val="clear" w:color="auto" w:fill="D9E2F3" w:themeFill="accent5" w:themeFillTint="33"/>
          </w:tcPr>
          <w:p w14:paraId="4871D50A" w14:textId="77777777" w:rsidR="00B47AE8" w:rsidRPr="00E359BF" w:rsidRDefault="00B47AE8">
            <w:pPr>
              <w:pStyle w:val="TableTextCenteredDemi"/>
              <w:rPr>
                <w:rFonts w:eastAsia="Times New Roman"/>
              </w:rPr>
            </w:pPr>
            <w:r>
              <w:rPr>
                <w:rFonts w:eastAsia="Times New Roman"/>
              </w:rPr>
              <w:t>0</w:t>
            </w:r>
          </w:p>
        </w:tc>
        <w:tc>
          <w:tcPr>
            <w:tcW w:w="678" w:type="dxa"/>
            <w:shd w:val="clear" w:color="auto" w:fill="D9E2F3" w:themeFill="accent5" w:themeFillTint="33"/>
          </w:tcPr>
          <w:p w14:paraId="5206B7D9" w14:textId="77777777" w:rsidR="00B47AE8" w:rsidRPr="00E359BF" w:rsidRDefault="00B47AE8">
            <w:pPr>
              <w:pStyle w:val="TableTextCenteredDemi"/>
              <w:rPr>
                <w:rFonts w:eastAsia="Times New Roman"/>
              </w:rPr>
            </w:pPr>
            <w:r>
              <w:rPr>
                <w:rFonts w:eastAsia="Times New Roman"/>
              </w:rPr>
              <w:t>0</w:t>
            </w:r>
          </w:p>
        </w:tc>
        <w:tc>
          <w:tcPr>
            <w:tcW w:w="688" w:type="dxa"/>
            <w:shd w:val="clear" w:color="auto" w:fill="D9E2F3" w:themeFill="accent5" w:themeFillTint="33"/>
          </w:tcPr>
          <w:p w14:paraId="66C7EA27" w14:textId="77777777" w:rsidR="00B47AE8" w:rsidRPr="00E359BF" w:rsidRDefault="00B47AE8">
            <w:pPr>
              <w:pStyle w:val="TableTextCenteredDemi"/>
              <w:rPr>
                <w:rFonts w:eastAsia="Times New Roman"/>
              </w:rPr>
            </w:pPr>
            <w:r>
              <w:rPr>
                <w:rFonts w:eastAsia="Times New Roman"/>
              </w:rPr>
              <w:t>0</w:t>
            </w:r>
          </w:p>
        </w:tc>
        <w:tc>
          <w:tcPr>
            <w:tcW w:w="684" w:type="dxa"/>
            <w:shd w:val="clear" w:color="auto" w:fill="D9E2F3" w:themeFill="accent5" w:themeFillTint="33"/>
          </w:tcPr>
          <w:p w14:paraId="1E6ED0B5" w14:textId="77777777" w:rsidR="00B47AE8" w:rsidRPr="00E359BF" w:rsidRDefault="00B47AE8">
            <w:pPr>
              <w:pStyle w:val="TableTextCenteredDemi"/>
              <w:rPr>
                <w:rFonts w:eastAsia="Times New Roman"/>
              </w:rPr>
            </w:pPr>
            <w:r>
              <w:rPr>
                <w:rFonts w:eastAsia="Times New Roman"/>
              </w:rPr>
              <w:t>0</w:t>
            </w:r>
          </w:p>
        </w:tc>
        <w:tc>
          <w:tcPr>
            <w:tcW w:w="653" w:type="dxa"/>
            <w:shd w:val="clear" w:color="auto" w:fill="D9E2F3" w:themeFill="accent5" w:themeFillTint="33"/>
          </w:tcPr>
          <w:p w14:paraId="1C4970DE" w14:textId="77777777" w:rsidR="00B47AE8" w:rsidRPr="00E359BF" w:rsidRDefault="00B47AE8">
            <w:pPr>
              <w:pStyle w:val="TableTextCenteredDemi"/>
              <w:rPr>
                <w:rFonts w:eastAsia="Times New Roman"/>
              </w:rPr>
            </w:pPr>
            <w:r>
              <w:rPr>
                <w:rFonts w:eastAsia="Times New Roman"/>
              </w:rPr>
              <w:t>3</w:t>
            </w:r>
          </w:p>
        </w:tc>
        <w:tc>
          <w:tcPr>
            <w:tcW w:w="712" w:type="dxa"/>
            <w:shd w:val="clear" w:color="auto" w:fill="D9E2F3" w:themeFill="accent5" w:themeFillTint="33"/>
            <w:vAlign w:val="center"/>
          </w:tcPr>
          <w:p w14:paraId="487BC891" w14:textId="77777777" w:rsidR="00B47AE8" w:rsidRPr="00E359BF" w:rsidRDefault="00B47AE8">
            <w:pPr>
              <w:pStyle w:val="TableTextCenteredDemi"/>
              <w:rPr>
                <w:rFonts w:eastAsia="Times New Roman"/>
              </w:rPr>
            </w:pPr>
            <w:r>
              <w:rPr>
                <w:rFonts w:eastAsia="Times New Roman"/>
              </w:rPr>
              <w:t>13</w:t>
            </w:r>
          </w:p>
        </w:tc>
        <w:tc>
          <w:tcPr>
            <w:tcW w:w="684" w:type="dxa"/>
            <w:shd w:val="clear" w:color="auto" w:fill="D9E2F3" w:themeFill="accent5" w:themeFillTint="33"/>
            <w:vAlign w:val="center"/>
          </w:tcPr>
          <w:p w14:paraId="4FCA4D4C" w14:textId="77777777" w:rsidR="00B47AE8" w:rsidRPr="00E359BF" w:rsidRDefault="00B47AE8">
            <w:pPr>
              <w:pStyle w:val="TableTextCenteredDemi"/>
              <w:rPr>
                <w:rFonts w:eastAsia="Times New Roman"/>
              </w:rPr>
            </w:pPr>
            <w:r>
              <w:rPr>
                <w:rFonts w:eastAsia="Times New Roman"/>
              </w:rPr>
              <w:t>80</w:t>
            </w:r>
          </w:p>
        </w:tc>
        <w:tc>
          <w:tcPr>
            <w:tcW w:w="601" w:type="dxa"/>
            <w:shd w:val="clear" w:color="auto" w:fill="D9E2F3" w:themeFill="accent5" w:themeFillTint="33"/>
          </w:tcPr>
          <w:p w14:paraId="1F0448A9" w14:textId="77777777" w:rsidR="00B47AE8" w:rsidRPr="00E359BF" w:rsidRDefault="00B47AE8">
            <w:pPr>
              <w:pStyle w:val="TableTextCenteredDemi"/>
              <w:rPr>
                <w:rFonts w:eastAsia="Times New Roman"/>
              </w:rPr>
            </w:pPr>
            <w:r>
              <w:rPr>
                <w:rFonts w:eastAsia="Times New Roman"/>
              </w:rPr>
              <w:t>96</w:t>
            </w:r>
          </w:p>
        </w:tc>
        <w:tc>
          <w:tcPr>
            <w:tcW w:w="866" w:type="dxa"/>
            <w:shd w:val="clear" w:color="auto" w:fill="D9E2F3" w:themeFill="accent5" w:themeFillTint="33"/>
          </w:tcPr>
          <w:p w14:paraId="02642C07" w14:textId="77777777" w:rsidR="00B47AE8" w:rsidRPr="00E359BF" w:rsidRDefault="00B47AE8">
            <w:pPr>
              <w:pStyle w:val="TableTextCenteredDemi"/>
              <w:rPr>
                <w:rFonts w:eastAsia="Times New Roman"/>
              </w:rPr>
            </w:pPr>
            <w:r>
              <w:rPr>
                <w:rFonts w:eastAsia="Times New Roman"/>
              </w:rPr>
              <w:t>6.8</w:t>
            </w:r>
          </w:p>
        </w:tc>
      </w:tr>
      <w:tr w:rsidR="00B47AE8" w:rsidRPr="00E359BF" w14:paraId="65101111" w14:textId="77777777" w:rsidTr="007A0CFB">
        <w:tc>
          <w:tcPr>
            <w:tcW w:w="3095" w:type="dxa"/>
            <w:vAlign w:val="center"/>
          </w:tcPr>
          <w:p w14:paraId="2205451F" w14:textId="77777777" w:rsidR="00B47AE8" w:rsidRPr="00E359BF" w:rsidRDefault="00B47AE8">
            <w:pPr>
              <w:pStyle w:val="TableText"/>
              <w:ind w:left="204"/>
              <w:rPr>
                <w:b/>
                <w:bCs/>
              </w:rPr>
            </w:pPr>
            <w:r w:rsidRPr="00E359BF">
              <w:t>Behavior Management</w:t>
            </w:r>
          </w:p>
        </w:tc>
        <w:tc>
          <w:tcPr>
            <w:tcW w:w="683" w:type="dxa"/>
          </w:tcPr>
          <w:p w14:paraId="3F398D41" w14:textId="77777777" w:rsidR="00B47AE8" w:rsidRPr="00E359BF" w:rsidRDefault="00B47AE8">
            <w:pPr>
              <w:pStyle w:val="TableTextCentered"/>
              <w:rPr>
                <w:rFonts w:eastAsia="Times New Roman"/>
              </w:rPr>
            </w:pPr>
            <w:r>
              <w:rPr>
                <w:rFonts w:eastAsia="Times New Roman"/>
              </w:rPr>
              <w:t>0</w:t>
            </w:r>
          </w:p>
        </w:tc>
        <w:tc>
          <w:tcPr>
            <w:tcW w:w="678" w:type="dxa"/>
          </w:tcPr>
          <w:p w14:paraId="1DECCC09" w14:textId="77777777" w:rsidR="00B47AE8" w:rsidRPr="00E359BF" w:rsidRDefault="00B47AE8">
            <w:pPr>
              <w:pStyle w:val="TableTextCentered"/>
              <w:rPr>
                <w:rFonts w:eastAsia="Times New Roman"/>
              </w:rPr>
            </w:pPr>
            <w:r>
              <w:rPr>
                <w:rFonts w:eastAsia="Times New Roman"/>
              </w:rPr>
              <w:t>0</w:t>
            </w:r>
          </w:p>
        </w:tc>
        <w:tc>
          <w:tcPr>
            <w:tcW w:w="688" w:type="dxa"/>
          </w:tcPr>
          <w:p w14:paraId="205C2B72" w14:textId="77777777" w:rsidR="00B47AE8" w:rsidRPr="00E359BF" w:rsidRDefault="00B47AE8">
            <w:pPr>
              <w:pStyle w:val="TableTextCentered"/>
              <w:rPr>
                <w:rFonts w:eastAsia="Times New Roman"/>
              </w:rPr>
            </w:pPr>
            <w:r>
              <w:rPr>
                <w:rFonts w:eastAsia="Times New Roman"/>
              </w:rPr>
              <w:t>0</w:t>
            </w:r>
          </w:p>
        </w:tc>
        <w:tc>
          <w:tcPr>
            <w:tcW w:w="684" w:type="dxa"/>
          </w:tcPr>
          <w:p w14:paraId="0AFB7468" w14:textId="77777777" w:rsidR="00B47AE8" w:rsidRPr="00E359BF" w:rsidRDefault="00B47AE8">
            <w:pPr>
              <w:pStyle w:val="TableTextCentered"/>
              <w:rPr>
                <w:rFonts w:eastAsia="Times New Roman"/>
              </w:rPr>
            </w:pPr>
            <w:r>
              <w:rPr>
                <w:rFonts w:eastAsia="Times New Roman"/>
              </w:rPr>
              <w:t>0</w:t>
            </w:r>
          </w:p>
        </w:tc>
        <w:tc>
          <w:tcPr>
            <w:tcW w:w="653" w:type="dxa"/>
          </w:tcPr>
          <w:p w14:paraId="6BAD71E6" w14:textId="77777777" w:rsidR="00B47AE8" w:rsidRPr="00E359BF" w:rsidRDefault="00B47AE8">
            <w:pPr>
              <w:pStyle w:val="TableTextCentered"/>
              <w:rPr>
                <w:rFonts w:eastAsia="Times New Roman"/>
              </w:rPr>
            </w:pPr>
            <w:r>
              <w:rPr>
                <w:rFonts w:eastAsia="Times New Roman"/>
              </w:rPr>
              <w:t>1</w:t>
            </w:r>
          </w:p>
        </w:tc>
        <w:tc>
          <w:tcPr>
            <w:tcW w:w="712" w:type="dxa"/>
            <w:vAlign w:val="center"/>
          </w:tcPr>
          <w:p w14:paraId="77F786A1" w14:textId="77777777" w:rsidR="00B47AE8" w:rsidRPr="00E359BF" w:rsidRDefault="00B47AE8">
            <w:pPr>
              <w:pStyle w:val="TableTextCentered"/>
              <w:rPr>
                <w:rFonts w:eastAsia="Times New Roman"/>
              </w:rPr>
            </w:pPr>
            <w:r>
              <w:rPr>
                <w:rFonts w:eastAsia="Times New Roman"/>
              </w:rPr>
              <w:t>4</w:t>
            </w:r>
          </w:p>
        </w:tc>
        <w:tc>
          <w:tcPr>
            <w:tcW w:w="684" w:type="dxa"/>
            <w:vAlign w:val="center"/>
          </w:tcPr>
          <w:p w14:paraId="6DF4B4EA" w14:textId="77777777" w:rsidR="00B47AE8" w:rsidRPr="00E359BF" w:rsidRDefault="00B47AE8">
            <w:pPr>
              <w:pStyle w:val="TableTextCentered"/>
              <w:rPr>
                <w:rFonts w:eastAsia="Times New Roman"/>
              </w:rPr>
            </w:pPr>
            <w:r>
              <w:rPr>
                <w:rFonts w:eastAsia="Times New Roman"/>
              </w:rPr>
              <w:t>27</w:t>
            </w:r>
          </w:p>
        </w:tc>
        <w:tc>
          <w:tcPr>
            <w:tcW w:w="601" w:type="dxa"/>
          </w:tcPr>
          <w:p w14:paraId="5FCD5A89" w14:textId="77777777" w:rsidR="00B47AE8" w:rsidRPr="00E359BF" w:rsidRDefault="00B47AE8">
            <w:pPr>
              <w:pStyle w:val="TableTextCentered"/>
              <w:rPr>
                <w:rFonts w:eastAsia="Times New Roman"/>
              </w:rPr>
            </w:pPr>
            <w:r>
              <w:rPr>
                <w:rFonts w:eastAsia="Times New Roman"/>
              </w:rPr>
              <w:t>32</w:t>
            </w:r>
          </w:p>
        </w:tc>
        <w:tc>
          <w:tcPr>
            <w:tcW w:w="866" w:type="dxa"/>
          </w:tcPr>
          <w:p w14:paraId="64171867" w14:textId="77777777" w:rsidR="00B47AE8" w:rsidRPr="00E359BF" w:rsidRDefault="00B47AE8">
            <w:pPr>
              <w:pStyle w:val="TableTextCentered"/>
              <w:rPr>
                <w:rFonts w:eastAsia="Times New Roman"/>
              </w:rPr>
            </w:pPr>
            <w:r>
              <w:rPr>
                <w:rFonts w:eastAsia="Times New Roman"/>
              </w:rPr>
              <w:t>6.8</w:t>
            </w:r>
          </w:p>
        </w:tc>
      </w:tr>
      <w:tr w:rsidR="007A0CFB" w:rsidRPr="00E359BF" w14:paraId="7AD4AB7B" w14:textId="77777777" w:rsidTr="007A0CFB">
        <w:tc>
          <w:tcPr>
            <w:tcW w:w="3095" w:type="dxa"/>
            <w:vAlign w:val="center"/>
          </w:tcPr>
          <w:p w14:paraId="346B975D" w14:textId="77777777" w:rsidR="00B47AE8" w:rsidRPr="00E359BF" w:rsidRDefault="00B47AE8">
            <w:pPr>
              <w:pStyle w:val="TableText"/>
              <w:ind w:left="204"/>
              <w:rPr>
                <w:b/>
                <w:bCs/>
              </w:rPr>
            </w:pPr>
            <w:r w:rsidRPr="00E359BF">
              <w:t>Productivity</w:t>
            </w:r>
          </w:p>
        </w:tc>
        <w:tc>
          <w:tcPr>
            <w:tcW w:w="683" w:type="dxa"/>
          </w:tcPr>
          <w:p w14:paraId="1E9A8AA0" w14:textId="77777777" w:rsidR="00B47AE8" w:rsidRPr="00E359BF" w:rsidRDefault="00B47AE8">
            <w:pPr>
              <w:pStyle w:val="TableTextCentered"/>
              <w:rPr>
                <w:rFonts w:eastAsia="Times New Roman"/>
              </w:rPr>
            </w:pPr>
            <w:r>
              <w:rPr>
                <w:rFonts w:eastAsia="Times New Roman"/>
              </w:rPr>
              <w:t>0</w:t>
            </w:r>
          </w:p>
        </w:tc>
        <w:tc>
          <w:tcPr>
            <w:tcW w:w="678" w:type="dxa"/>
          </w:tcPr>
          <w:p w14:paraId="29C4ECAD" w14:textId="77777777" w:rsidR="00B47AE8" w:rsidRPr="00E359BF" w:rsidRDefault="00B47AE8">
            <w:pPr>
              <w:pStyle w:val="TableTextCentered"/>
              <w:rPr>
                <w:rFonts w:eastAsia="Times New Roman"/>
              </w:rPr>
            </w:pPr>
            <w:r>
              <w:rPr>
                <w:rFonts w:eastAsia="Times New Roman"/>
              </w:rPr>
              <w:t>0</w:t>
            </w:r>
          </w:p>
        </w:tc>
        <w:tc>
          <w:tcPr>
            <w:tcW w:w="688" w:type="dxa"/>
          </w:tcPr>
          <w:p w14:paraId="02B86671" w14:textId="77777777" w:rsidR="00B47AE8" w:rsidRPr="00E359BF" w:rsidRDefault="00B47AE8">
            <w:pPr>
              <w:pStyle w:val="TableTextCentered"/>
              <w:rPr>
                <w:rFonts w:eastAsia="Times New Roman"/>
              </w:rPr>
            </w:pPr>
            <w:r>
              <w:rPr>
                <w:rFonts w:eastAsia="Times New Roman"/>
              </w:rPr>
              <w:t>0</w:t>
            </w:r>
          </w:p>
        </w:tc>
        <w:tc>
          <w:tcPr>
            <w:tcW w:w="684" w:type="dxa"/>
          </w:tcPr>
          <w:p w14:paraId="773EBC5D" w14:textId="77777777" w:rsidR="00B47AE8" w:rsidRPr="00E359BF" w:rsidRDefault="00B47AE8">
            <w:pPr>
              <w:pStyle w:val="TableTextCentered"/>
              <w:rPr>
                <w:rFonts w:eastAsia="Times New Roman"/>
              </w:rPr>
            </w:pPr>
            <w:r>
              <w:rPr>
                <w:rFonts w:eastAsia="Times New Roman"/>
              </w:rPr>
              <w:t>0</w:t>
            </w:r>
          </w:p>
        </w:tc>
        <w:tc>
          <w:tcPr>
            <w:tcW w:w="653" w:type="dxa"/>
          </w:tcPr>
          <w:p w14:paraId="3CCD2849" w14:textId="77777777" w:rsidR="00B47AE8" w:rsidRPr="00E359BF" w:rsidRDefault="00B47AE8">
            <w:pPr>
              <w:pStyle w:val="TableTextCentered"/>
              <w:rPr>
                <w:rFonts w:eastAsia="Times New Roman"/>
              </w:rPr>
            </w:pPr>
            <w:r>
              <w:rPr>
                <w:rFonts w:eastAsia="Times New Roman"/>
              </w:rPr>
              <w:t>2</w:t>
            </w:r>
          </w:p>
        </w:tc>
        <w:tc>
          <w:tcPr>
            <w:tcW w:w="712" w:type="dxa"/>
            <w:vAlign w:val="center"/>
          </w:tcPr>
          <w:p w14:paraId="258F43AD" w14:textId="77777777" w:rsidR="00B47AE8" w:rsidRPr="00E359BF" w:rsidRDefault="00B47AE8">
            <w:pPr>
              <w:pStyle w:val="TableTextCentered"/>
              <w:rPr>
                <w:rFonts w:eastAsia="Times New Roman"/>
              </w:rPr>
            </w:pPr>
            <w:r>
              <w:rPr>
                <w:rFonts w:eastAsia="Times New Roman"/>
              </w:rPr>
              <w:t>8</w:t>
            </w:r>
          </w:p>
        </w:tc>
        <w:tc>
          <w:tcPr>
            <w:tcW w:w="684" w:type="dxa"/>
            <w:vAlign w:val="center"/>
          </w:tcPr>
          <w:p w14:paraId="0423FE72" w14:textId="77777777" w:rsidR="00B47AE8" w:rsidRPr="00E359BF" w:rsidRDefault="00B47AE8">
            <w:pPr>
              <w:pStyle w:val="TableTextCentered"/>
              <w:rPr>
                <w:rFonts w:eastAsia="Times New Roman"/>
              </w:rPr>
            </w:pPr>
            <w:r>
              <w:rPr>
                <w:rFonts w:eastAsia="Times New Roman"/>
              </w:rPr>
              <w:t>22</w:t>
            </w:r>
          </w:p>
        </w:tc>
        <w:tc>
          <w:tcPr>
            <w:tcW w:w="601" w:type="dxa"/>
          </w:tcPr>
          <w:p w14:paraId="73E51089" w14:textId="77777777" w:rsidR="00B47AE8" w:rsidRPr="00E359BF" w:rsidRDefault="00B47AE8">
            <w:pPr>
              <w:pStyle w:val="TableTextCentered"/>
              <w:rPr>
                <w:rFonts w:eastAsia="Times New Roman"/>
              </w:rPr>
            </w:pPr>
            <w:r>
              <w:rPr>
                <w:rFonts w:eastAsia="Times New Roman"/>
              </w:rPr>
              <w:t>32</w:t>
            </w:r>
          </w:p>
        </w:tc>
        <w:tc>
          <w:tcPr>
            <w:tcW w:w="866" w:type="dxa"/>
          </w:tcPr>
          <w:p w14:paraId="35B84FA8" w14:textId="77777777" w:rsidR="00B47AE8" w:rsidRPr="00E359BF" w:rsidRDefault="00B47AE8">
            <w:pPr>
              <w:pStyle w:val="TableTextCentered"/>
              <w:rPr>
                <w:rFonts w:eastAsia="Times New Roman"/>
              </w:rPr>
            </w:pPr>
            <w:r>
              <w:rPr>
                <w:rFonts w:eastAsia="Times New Roman"/>
              </w:rPr>
              <w:t>6.6</w:t>
            </w:r>
          </w:p>
        </w:tc>
      </w:tr>
      <w:tr w:rsidR="00B47AE8" w:rsidRPr="00E359BF" w14:paraId="5A3074A3" w14:textId="77777777" w:rsidTr="007A0CFB">
        <w:tc>
          <w:tcPr>
            <w:tcW w:w="3095" w:type="dxa"/>
            <w:vAlign w:val="center"/>
          </w:tcPr>
          <w:p w14:paraId="4BC38A84" w14:textId="77777777" w:rsidR="00B47AE8" w:rsidRPr="00E359BF" w:rsidRDefault="00B47AE8">
            <w:pPr>
              <w:pStyle w:val="TableText"/>
              <w:ind w:left="204"/>
              <w:rPr>
                <w:b/>
                <w:bCs/>
              </w:rPr>
            </w:pPr>
            <w:r w:rsidRPr="00D931E1">
              <w:t>Negative Climate</w:t>
            </w:r>
            <w:r>
              <w:t>**</w:t>
            </w:r>
          </w:p>
        </w:tc>
        <w:tc>
          <w:tcPr>
            <w:tcW w:w="683" w:type="dxa"/>
          </w:tcPr>
          <w:p w14:paraId="27A5B51C" w14:textId="77777777" w:rsidR="00B47AE8" w:rsidRPr="00E359BF" w:rsidRDefault="00B47AE8">
            <w:pPr>
              <w:pStyle w:val="TableTextCentered"/>
              <w:rPr>
                <w:rFonts w:eastAsia="Times New Roman"/>
              </w:rPr>
            </w:pPr>
            <w:r>
              <w:rPr>
                <w:rFonts w:eastAsia="Times New Roman"/>
              </w:rPr>
              <w:t>0</w:t>
            </w:r>
          </w:p>
        </w:tc>
        <w:tc>
          <w:tcPr>
            <w:tcW w:w="678" w:type="dxa"/>
          </w:tcPr>
          <w:p w14:paraId="1B21ADC5" w14:textId="77777777" w:rsidR="00B47AE8" w:rsidRPr="00E359BF" w:rsidRDefault="00B47AE8">
            <w:pPr>
              <w:pStyle w:val="TableTextCentered"/>
              <w:rPr>
                <w:rFonts w:eastAsia="Times New Roman"/>
              </w:rPr>
            </w:pPr>
            <w:r>
              <w:rPr>
                <w:rFonts w:eastAsia="Times New Roman"/>
              </w:rPr>
              <w:t>0</w:t>
            </w:r>
          </w:p>
        </w:tc>
        <w:tc>
          <w:tcPr>
            <w:tcW w:w="688" w:type="dxa"/>
          </w:tcPr>
          <w:p w14:paraId="761413B0" w14:textId="77777777" w:rsidR="00B47AE8" w:rsidRPr="00E359BF" w:rsidRDefault="00B47AE8">
            <w:pPr>
              <w:pStyle w:val="TableTextCentered"/>
              <w:rPr>
                <w:rFonts w:eastAsia="Times New Roman"/>
              </w:rPr>
            </w:pPr>
            <w:r>
              <w:rPr>
                <w:rFonts w:eastAsia="Times New Roman"/>
              </w:rPr>
              <w:t>0</w:t>
            </w:r>
          </w:p>
        </w:tc>
        <w:tc>
          <w:tcPr>
            <w:tcW w:w="684" w:type="dxa"/>
          </w:tcPr>
          <w:p w14:paraId="7B443ED2" w14:textId="77777777" w:rsidR="00B47AE8" w:rsidRPr="00E359BF" w:rsidRDefault="00B47AE8">
            <w:pPr>
              <w:pStyle w:val="TableTextCentered"/>
              <w:rPr>
                <w:rFonts w:eastAsia="Times New Roman"/>
              </w:rPr>
            </w:pPr>
            <w:r>
              <w:rPr>
                <w:rFonts w:eastAsia="Times New Roman"/>
              </w:rPr>
              <w:t>0</w:t>
            </w:r>
          </w:p>
        </w:tc>
        <w:tc>
          <w:tcPr>
            <w:tcW w:w="653" w:type="dxa"/>
          </w:tcPr>
          <w:p w14:paraId="042AF01C" w14:textId="77777777" w:rsidR="00B47AE8" w:rsidRPr="00E359BF" w:rsidRDefault="00B47AE8">
            <w:pPr>
              <w:pStyle w:val="TableTextCentered"/>
              <w:rPr>
                <w:rFonts w:eastAsia="Times New Roman"/>
              </w:rPr>
            </w:pPr>
            <w:r>
              <w:rPr>
                <w:rFonts w:eastAsia="Times New Roman"/>
              </w:rPr>
              <w:t>0</w:t>
            </w:r>
          </w:p>
        </w:tc>
        <w:tc>
          <w:tcPr>
            <w:tcW w:w="712" w:type="dxa"/>
            <w:vAlign w:val="center"/>
          </w:tcPr>
          <w:p w14:paraId="7E4A1259" w14:textId="77777777" w:rsidR="00B47AE8" w:rsidRPr="00E359BF" w:rsidRDefault="00B47AE8">
            <w:pPr>
              <w:pStyle w:val="TableTextCentered"/>
              <w:rPr>
                <w:rFonts w:eastAsia="Times New Roman"/>
              </w:rPr>
            </w:pPr>
            <w:r>
              <w:rPr>
                <w:rFonts w:eastAsia="Times New Roman"/>
              </w:rPr>
              <w:t>1</w:t>
            </w:r>
          </w:p>
        </w:tc>
        <w:tc>
          <w:tcPr>
            <w:tcW w:w="684" w:type="dxa"/>
            <w:vAlign w:val="center"/>
          </w:tcPr>
          <w:p w14:paraId="7AAED8AA" w14:textId="77777777" w:rsidR="00B47AE8" w:rsidRPr="00E359BF" w:rsidRDefault="00B47AE8">
            <w:pPr>
              <w:pStyle w:val="TableTextCentered"/>
              <w:rPr>
                <w:rFonts w:eastAsia="Times New Roman"/>
              </w:rPr>
            </w:pPr>
            <w:r>
              <w:rPr>
                <w:rFonts w:eastAsia="Times New Roman"/>
              </w:rPr>
              <w:t>31</w:t>
            </w:r>
          </w:p>
        </w:tc>
        <w:tc>
          <w:tcPr>
            <w:tcW w:w="601" w:type="dxa"/>
          </w:tcPr>
          <w:p w14:paraId="20BAE72C" w14:textId="77777777" w:rsidR="00B47AE8" w:rsidRPr="00E359BF" w:rsidRDefault="00B47AE8">
            <w:pPr>
              <w:pStyle w:val="TableTextCentered"/>
              <w:rPr>
                <w:rFonts w:eastAsia="Times New Roman"/>
              </w:rPr>
            </w:pPr>
            <w:r>
              <w:rPr>
                <w:rFonts w:eastAsia="Times New Roman"/>
              </w:rPr>
              <w:t>32</w:t>
            </w:r>
          </w:p>
        </w:tc>
        <w:tc>
          <w:tcPr>
            <w:tcW w:w="866" w:type="dxa"/>
          </w:tcPr>
          <w:p w14:paraId="3D434EBD" w14:textId="77777777" w:rsidR="00B47AE8" w:rsidRPr="00E359BF" w:rsidRDefault="00B47AE8">
            <w:pPr>
              <w:pStyle w:val="TableTextCentered"/>
              <w:rPr>
                <w:rFonts w:eastAsia="Times New Roman"/>
              </w:rPr>
            </w:pPr>
            <w:r>
              <w:rPr>
                <w:rFonts w:eastAsia="Times New Roman"/>
              </w:rPr>
              <w:t>7.0</w:t>
            </w:r>
          </w:p>
        </w:tc>
      </w:tr>
      <w:tr w:rsidR="00B47AE8" w:rsidRPr="00E359BF" w14:paraId="3AE72C28" w14:textId="77777777" w:rsidTr="007A0CFB">
        <w:tc>
          <w:tcPr>
            <w:tcW w:w="3095" w:type="dxa"/>
            <w:shd w:val="clear" w:color="auto" w:fill="D9E2F3" w:themeFill="accent5" w:themeFillTint="33"/>
            <w:vAlign w:val="center"/>
          </w:tcPr>
          <w:p w14:paraId="0FF7721A" w14:textId="77777777" w:rsidR="00B47AE8" w:rsidRPr="00E359BF" w:rsidRDefault="00B47AE8">
            <w:pPr>
              <w:pStyle w:val="TableSubheading"/>
              <w:rPr>
                <w:szCs w:val="20"/>
              </w:rPr>
            </w:pPr>
            <w:r w:rsidRPr="00E359BF">
              <w:t>Instructional Support Domain</w:t>
            </w:r>
          </w:p>
        </w:tc>
        <w:tc>
          <w:tcPr>
            <w:tcW w:w="683" w:type="dxa"/>
            <w:shd w:val="clear" w:color="auto" w:fill="D9E2F3" w:themeFill="accent5" w:themeFillTint="33"/>
          </w:tcPr>
          <w:p w14:paraId="22E0FD9A" w14:textId="77777777" w:rsidR="00B47AE8" w:rsidRPr="00E359BF" w:rsidRDefault="00B47AE8">
            <w:pPr>
              <w:pStyle w:val="TableTextCenteredDemi"/>
              <w:rPr>
                <w:rFonts w:eastAsia="Times New Roman"/>
              </w:rPr>
            </w:pPr>
            <w:r>
              <w:rPr>
                <w:rFonts w:eastAsia="Times New Roman"/>
              </w:rPr>
              <w:t>20</w:t>
            </w:r>
          </w:p>
        </w:tc>
        <w:tc>
          <w:tcPr>
            <w:tcW w:w="678" w:type="dxa"/>
            <w:shd w:val="clear" w:color="auto" w:fill="D9E2F3" w:themeFill="accent5" w:themeFillTint="33"/>
          </w:tcPr>
          <w:p w14:paraId="2C6DD297" w14:textId="77777777" w:rsidR="00B47AE8" w:rsidRPr="00E359BF" w:rsidRDefault="00B47AE8">
            <w:pPr>
              <w:pStyle w:val="TableTextCenteredDemi"/>
              <w:rPr>
                <w:rFonts w:eastAsia="Times New Roman"/>
              </w:rPr>
            </w:pPr>
            <w:r>
              <w:rPr>
                <w:rFonts w:eastAsia="Times New Roman"/>
              </w:rPr>
              <w:t>28</w:t>
            </w:r>
          </w:p>
        </w:tc>
        <w:tc>
          <w:tcPr>
            <w:tcW w:w="688" w:type="dxa"/>
            <w:shd w:val="clear" w:color="auto" w:fill="D9E2F3" w:themeFill="accent5" w:themeFillTint="33"/>
          </w:tcPr>
          <w:p w14:paraId="0C34B5F0" w14:textId="77777777" w:rsidR="00B47AE8" w:rsidRPr="00E359BF" w:rsidRDefault="00B47AE8">
            <w:pPr>
              <w:pStyle w:val="TableTextCenteredDemi"/>
              <w:rPr>
                <w:rFonts w:eastAsia="Times New Roman"/>
              </w:rPr>
            </w:pPr>
            <w:r>
              <w:rPr>
                <w:rFonts w:eastAsia="Times New Roman"/>
              </w:rPr>
              <w:t>29</w:t>
            </w:r>
          </w:p>
        </w:tc>
        <w:tc>
          <w:tcPr>
            <w:tcW w:w="684" w:type="dxa"/>
            <w:shd w:val="clear" w:color="auto" w:fill="D9E2F3" w:themeFill="accent5" w:themeFillTint="33"/>
          </w:tcPr>
          <w:p w14:paraId="5D346BD0" w14:textId="77777777" w:rsidR="00B47AE8" w:rsidRPr="00E359BF" w:rsidRDefault="00B47AE8">
            <w:pPr>
              <w:pStyle w:val="TableTextCenteredDemi"/>
              <w:rPr>
                <w:rFonts w:eastAsia="Times New Roman"/>
              </w:rPr>
            </w:pPr>
            <w:r>
              <w:rPr>
                <w:rFonts w:eastAsia="Times New Roman"/>
              </w:rPr>
              <w:t>22</w:t>
            </w:r>
          </w:p>
        </w:tc>
        <w:tc>
          <w:tcPr>
            <w:tcW w:w="653" w:type="dxa"/>
            <w:shd w:val="clear" w:color="auto" w:fill="D9E2F3" w:themeFill="accent5" w:themeFillTint="33"/>
          </w:tcPr>
          <w:p w14:paraId="3F18EA2C" w14:textId="77777777" w:rsidR="00B47AE8" w:rsidRPr="00E359BF" w:rsidRDefault="00B47AE8">
            <w:pPr>
              <w:pStyle w:val="TableTextCenteredDemi"/>
              <w:rPr>
                <w:rFonts w:eastAsia="Times New Roman"/>
              </w:rPr>
            </w:pPr>
            <w:r>
              <w:rPr>
                <w:rFonts w:eastAsia="Times New Roman"/>
              </w:rPr>
              <w:t>34</w:t>
            </w:r>
          </w:p>
        </w:tc>
        <w:tc>
          <w:tcPr>
            <w:tcW w:w="712" w:type="dxa"/>
            <w:shd w:val="clear" w:color="auto" w:fill="D9E2F3" w:themeFill="accent5" w:themeFillTint="33"/>
            <w:vAlign w:val="center"/>
          </w:tcPr>
          <w:p w14:paraId="39DC6B22" w14:textId="77777777" w:rsidR="00B47AE8" w:rsidRPr="00E359BF" w:rsidRDefault="00B47AE8">
            <w:pPr>
              <w:pStyle w:val="TableTextCenteredDemi"/>
              <w:rPr>
                <w:rFonts w:eastAsia="Times New Roman"/>
              </w:rPr>
            </w:pPr>
            <w:r>
              <w:rPr>
                <w:rFonts w:eastAsia="Times New Roman"/>
              </w:rPr>
              <w:t>23</w:t>
            </w:r>
          </w:p>
        </w:tc>
        <w:tc>
          <w:tcPr>
            <w:tcW w:w="684" w:type="dxa"/>
            <w:shd w:val="clear" w:color="auto" w:fill="D9E2F3" w:themeFill="accent5" w:themeFillTint="33"/>
            <w:vAlign w:val="center"/>
          </w:tcPr>
          <w:p w14:paraId="5806C653" w14:textId="77777777" w:rsidR="00B47AE8" w:rsidRPr="00E359BF" w:rsidRDefault="00B47AE8">
            <w:pPr>
              <w:pStyle w:val="TableTextCenteredDemi"/>
              <w:rPr>
                <w:rFonts w:eastAsia="Times New Roman"/>
              </w:rPr>
            </w:pPr>
            <w:r>
              <w:rPr>
                <w:rFonts w:eastAsia="Times New Roman"/>
              </w:rPr>
              <w:t>4</w:t>
            </w:r>
          </w:p>
        </w:tc>
        <w:tc>
          <w:tcPr>
            <w:tcW w:w="601" w:type="dxa"/>
            <w:shd w:val="clear" w:color="auto" w:fill="D9E2F3" w:themeFill="accent5" w:themeFillTint="33"/>
          </w:tcPr>
          <w:p w14:paraId="16F3493A" w14:textId="77777777" w:rsidR="00B47AE8" w:rsidRPr="00E359BF" w:rsidRDefault="00B47AE8">
            <w:pPr>
              <w:pStyle w:val="TableTextCenteredDemi"/>
              <w:rPr>
                <w:rFonts w:eastAsia="Times New Roman"/>
              </w:rPr>
            </w:pPr>
            <w:r>
              <w:rPr>
                <w:rFonts w:eastAsia="Times New Roman"/>
              </w:rPr>
              <w:t>160</w:t>
            </w:r>
          </w:p>
        </w:tc>
        <w:tc>
          <w:tcPr>
            <w:tcW w:w="866" w:type="dxa"/>
            <w:shd w:val="clear" w:color="auto" w:fill="D9E2F3" w:themeFill="accent5" w:themeFillTint="33"/>
          </w:tcPr>
          <w:p w14:paraId="0E4CFF34" w14:textId="77777777" w:rsidR="00B47AE8" w:rsidRPr="00E359BF" w:rsidRDefault="00B47AE8">
            <w:pPr>
              <w:pStyle w:val="TableTextCenteredDemi"/>
              <w:rPr>
                <w:rFonts w:eastAsia="Times New Roman"/>
              </w:rPr>
            </w:pPr>
            <w:r>
              <w:rPr>
                <w:rFonts w:eastAsia="Times New Roman"/>
              </w:rPr>
              <w:t>3.7</w:t>
            </w:r>
          </w:p>
        </w:tc>
      </w:tr>
      <w:tr w:rsidR="00B47AE8" w:rsidRPr="00E359BF" w14:paraId="0A8AE784" w14:textId="77777777" w:rsidTr="007A0CFB">
        <w:tc>
          <w:tcPr>
            <w:tcW w:w="3095" w:type="dxa"/>
            <w:vAlign w:val="center"/>
          </w:tcPr>
          <w:p w14:paraId="5195D232" w14:textId="77777777" w:rsidR="00B47AE8" w:rsidRPr="00E359BF" w:rsidRDefault="00B47AE8">
            <w:pPr>
              <w:pStyle w:val="TableText"/>
              <w:ind w:left="204"/>
              <w:rPr>
                <w:b/>
                <w:bCs/>
              </w:rPr>
            </w:pPr>
            <w:r w:rsidRPr="00D931E1">
              <w:t>Instructional Learning Formats</w:t>
            </w:r>
          </w:p>
        </w:tc>
        <w:tc>
          <w:tcPr>
            <w:tcW w:w="683" w:type="dxa"/>
          </w:tcPr>
          <w:p w14:paraId="7BADB5EE" w14:textId="77777777" w:rsidR="00B47AE8" w:rsidRPr="00E359BF" w:rsidRDefault="00B47AE8">
            <w:pPr>
              <w:pStyle w:val="TableTextCentered"/>
              <w:rPr>
                <w:rFonts w:eastAsia="Times New Roman"/>
              </w:rPr>
            </w:pPr>
            <w:r>
              <w:rPr>
                <w:rFonts w:eastAsia="Times New Roman"/>
              </w:rPr>
              <w:t>0</w:t>
            </w:r>
          </w:p>
        </w:tc>
        <w:tc>
          <w:tcPr>
            <w:tcW w:w="678" w:type="dxa"/>
          </w:tcPr>
          <w:p w14:paraId="52296FA2" w14:textId="77777777" w:rsidR="00B47AE8" w:rsidRPr="00E359BF" w:rsidRDefault="00B47AE8">
            <w:pPr>
              <w:pStyle w:val="TableTextCentered"/>
              <w:rPr>
                <w:rFonts w:eastAsia="Times New Roman"/>
              </w:rPr>
            </w:pPr>
            <w:r>
              <w:rPr>
                <w:rFonts w:eastAsia="Times New Roman"/>
              </w:rPr>
              <w:t>0</w:t>
            </w:r>
          </w:p>
        </w:tc>
        <w:tc>
          <w:tcPr>
            <w:tcW w:w="688" w:type="dxa"/>
          </w:tcPr>
          <w:p w14:paraId="1AAC8394" w14:textId="77777777" w:rsidR="00B47AE8" w:rsidRPr="00E359BF" w:rsidRDefault="00B47AE8">
            <w:pPr>
              <w:pStyle w:val="TableTextCentered"/>
              <w:rPr>
                <w:rFonts w:eastAsia="Times New Roman"/>
              </w:rPr>
            </w:pPr>
            <w:r>
              <w:rPr>
                <w:rFonts w:eastAsia="Times New Roman"/>
              </w:rPr>
              <w:t>4</w:t>
            </w:r>
          </w:p>
        </w:tc>
        <w:tc>
          <w:tcPr>
            <w:tcW w:w="684" w:type="dxa"/>
          </w:tcPr>
          <w:p w14:paraId="6740838E" w14:textId="77777777" w:rsidR="00B47AE8" w:rsidRPr="00E359BF" w:rsidRDefault="00B47AE8">
            <w:pPr>
              <w:pStyle w:val="TableTextCentered"/>
              <w:rPr>
                <w:rFonts w:eastAsia="Times New Roman"/>
              </w:rPr>
            </w:pPr>
            <w:r>
              <w:rPr>
                <w:rFonts w:eastAsia="Times New Roman"/>
              </w:rPr>
              <w:t>11</w:t>
            </w:r>
          </w:p>
        </w:tc>
        <w:tc>
          <w:tcPr>
            <w:tcW w:w="653" w:type="dxa"/>
          </w:tcPr>
          <w:p w14:paraId="3103C0AB" w14:textId="77777777" w:rsidR="00B47AE8" w:rsidRPr="00E359BF" w:rsidRDefault="00B47AE8">
            <w:pPr>
              <w:pStyle w:val="TableTextCentered"/>
              <w:rPr>
                <w:rFonts w:eastAsia="Times New Roman"/>
              </w:rPr>
            </w:pPr>
            <w:r>
              <w:rPr>
                <w:rFonts w:eastAsia="Times New Roman"/>
              </w:rPr>
              <w:t>11</w:t>
            </w:r>
          </w:p>
        </w:tc>
        <w:tc>
          <w:tcPr>
            <w:tcW w:w="712" w:type="dxa"/>
            <w:vAlign w:val="center"/>
          </w:tcPr>
          <w:p w14:paraId="7803310A" w14:textId="77777777" w:rsidR="00B47AE8" w:rsidRPr="00E359BF" w:rsidRDefault="00B47AE8">
            <w:pPr>
              <w:pStyle w:val="TableTextCentered"/>
              <w:rPr>
                <w:rFonts w:eastAsia="Times New Roman"/>
              </w:rPr>
            </w:pPr>
            <w:r>
              <w:rPr>
                <w:rFonts w:eastAsia="Times New Roman"/>
              </w:rPr>
              <w:t>4</w:t>
            </w:r>
          </w:p>
        </w:tc>
        <w:tc>
          <w:tcPr>
            <w:tcW w:w="684" w:type="dxa"/>
            <w:vAlign w:val="center"/>
          </w:tcPr>
          <w:p w14:paraId="2D7D536E" w14:textId="77777777" w:rsidR="00B47AE8" w:rsidRPr="00E359BF" w:rsidRDefault="00B47AE8">
            <w:pPr>
              <w:pStyle w:val="TableTextCentered"/>
              <w:rPr>
                <w:rFonts w:eastAsia="Times New Roman"/>
              </w:rPr>
            </w:pPr>
            <w:r>
              <w:rPr>
                <w:rFonts w:eastAsia="Times New Roman"/>
              </w:rPr>
              <w:t>2</w:t>
            </w:r>
          </w:p>
        </w:tc>
        <w:tc>
          <w:tcPr>
            <w:tcW w:w="601" w:type="dxa"/>
          </w:tcPr>
          <w:p w14:paraId="3BF6741C" w14:textId="77777777" w:rsidR="00B47AE8" w:rsidRPr="00E359BF" w:rsidRDefault="00B47AE8">
            <w:pPr>
              <w:pStyle w:val="TableTextCentered"/>
              <w:rPr>
                <w:rFonts w:eastAsia="Times New Roman"/>
              </w:rPr>
            </w:pPr>
            <w:r>
              <w:rPr>
                <w:rFonts w:eastAsia="Times New Roman"/>
              </w:rPr>
              <w:t>32</w:t>
            </w:r>
          </w:p>
        </w:tc>
        <w:tc>
          <w:tcPr>
            <w:tcW w:w="866" w:type="dxa"/>
          </w:tcPr>
          <w:p w14:paraId="78D12525" w14:textId="77777777" w:rsidR="00B47AE8" w:rsidRPr="00E359BF" w:rsidRDefault="00B47AE8">
            <w:pPr>
              <w:pStyle w:val="TableTextCentered"/>
              <w:rPr>
                <w:rFonts w:eastAsia="Times New Roman"/>
              </w:rPr>
            </w:pPr>
            <w:r>
              <w:rPr>
                <w:rFonts w:eastAsia="Times New Roman"/>
              </w:rPr>
              <w:t>4.7</w:t>
            </w:r>
          </w:p>
        </w:tc>
      </w:tr>
      <w:tr w:rsidR="007A0CFB" w:rsidRPr="00E359BF" w14:paraId="6A41A3AA" w14:textId="77777777" w:rsidTr="007A0CFB">
        <w:trPr>
          <w:trHeight w:val="70"/>
        </w:trPr>
        <w:tc>
          <w:tcPr>
            <w:tcW w:w="3095" w:type="dxa"/>
            <w:vAlign w:val="center"/>
          </w:tcPr>
          <w:p w14:paraId="0DE07C29" w14:textId="77777777" w:rsidR="00B47AE8" w:rsidRPr="00E359BF" w:rsidRDefault="00B47AE8">
            <w:pPr>
              <w:pStyle w:val="TableText"/>
              <w:ind w:left="204"/>
              <w:rPr>
                <w:b/>
                <w:bCs/>
              </w:rPr>
            </w:pPr>
            <w:r w:rsidRPr="00D931E1">
              <w:t>Content Understanding</w:t>
            </w:r>
          </w:p>
        </w:tc>
        <w:tc>
          <w:tcPr>
            <w:tcW w:w="683" w:type="dxa"/>
          </w:tcPr>
          <w:p w14:paraId="7807F620" w14:textId="77777777" w:rsidR="00B47AE8" w:rsidRPr="00E359BF" w:rsidRDefault="00B47AE8">
            <w:pPr>
              <w:pStyle w:val="TableTextCentered"/>
              <w:rPr>
                <w:rFonts w:eastAsia="Times New Roman"/>
              </w:rPr>
            </w:pPr>
            <w:r>
              <w:rPr>
                <w:rFonts w:eastAsia="Times New Roman"/>
              </w:rPr>
              <w:t>0</w:t>
            </w:r>
          </w:p>
        </w:tc>
        <w:tc>
          <w:tcPr>
            <w:tcW w:w="678" w:type="dxa"/>
          </w:tcPr>
          <w:p w14:paraId="647A2388" w14:textId="77777777" w:rsidR="00B47AE8" w:rsidRPr="00E359BF" w:rsidRDefault="00B47AE8">
            <w:pPr>
              <w:pStyle w:val="TableTextCentered"/>
              <w:rPr>
                <w:rFonts w:eastAsia="Times New Roman"/>
              </w:rPr>
            </w:pPr>
            <w:r>
              <w:rPr>
                <w:rFonts w:eastAsia="Times New Roman"/>
              </w:rPr>
              <w:t>0</w:t>
            </w:r>
          </w:p>
        </w:tc>
        <w:tc>
          <w:tcPr>
            <w:tcW w:w="688" w:type="dxa"/>
          </w:tcPr>
          <w:p w14:paraId="3CB206A0" w14:textId="77777777" w:rsidR="00B47AE8" w:rsidRPr="00E359BF" w:rsidRDefault="00B47AE8">
            <w:pPr>
              <w:pStyle w:val="TableTextCentered"/>
              <w:rPr>
                <w:rFonts w:eastAsia="Times New Roman"/>
              </w:rPr>
            </w:pPr>
            <w:r>
              <w:rPr>
                <w:rFonts w:eastAsia="Times New Roman"/>
              </w:rPr>
              <w:t>5</w:t>
            </w:r>
          </w:p>
        </w:tc>
        <w:tc>
          <w:tcPr>
            <w:tcW w:w="684" w:type="dxa"/>
          </w:tcPr>
          <w:p w14:paraId="14B50963" w14:textId="77777777" w:rsidR="00B47AE8" w:rsidRPr="00E359BF" w:rsidRDefault="00B47AE8">
            <w:pPr>
              <w:pStyle w:val="TableTextCentered"/>
              <w:rPr>
                <w:rFonts w:eastAsia="Times New Roman"/>
              </w:rPr>
            </w:pPr>
            <w:r>
              <w:rPr>
                <w:rFonts w:eastAsia="Times New Roman"/>
              </w:rPr>
              <w:t>2</w:t>
            </w:r>
          </w:p>
        </w:tc>
        <w:tc>
          <w:tcPr>
            <w:tcW w:w="653" w:type="dxa"/>
          </w:tcPr>
          <w:p w14:paraId="0035C59A" w14:textId="77777777" w:rsidR="00B47AE8" w:rsidRPr="00E359BF" w:rsidRDefault="00B47AE8">
            <w:pPr>
              <w:pStyle w:val="TableTextCentered"/>
              <w:rPr>
                <w:rFonts w:eastAsia="Times New Roman"/>
              </w:rPr>
            </w:pPr>
            <w:r>
              <w:rPr>
                <w:rFonts w:eastAsia="Times New Roman"/>
              </w:rPr>
              <w:t>14</w:t>
            </w:r>
          </w:p>
        </w:tc>
        <w:tc>
          <w:tcPr>
            <w:tcW w:w="712" w:type="dxa"/>
            <w:vAlign w:val="center"/>
          </w:tcPr>
          <w:p w14:paraId="29EA65FC" w14:textId="77777777" w:rsidR="00B47AE8" w:rsidRPr="00E359BF" w:rsidRDefault="00B47AE8">
            <w:pPr>
              <w:pStyle w:val="TableTextCentered"/>
              <w:rPr>
                <w:rFonts w:eastAsia="Times New Roman"/>
              </w:rPr>
            </w:pPr>
            <w:r>
              <w:rPr>
                <w:rFonts w:eastAsia="Times New Roman"/>
              </w:rPr>
              <w:t>11</w:t>
            </w:r>
          </w:p>
        </w:tc>
        <w:tc>
          <w:tcPr>
            <w:tcW w:w="684" w:type="dxa"/>
            <w:vAlign w:val="center"/>
          </w:tcPr>
          <w:p w14:paraId="20574181" w14:textId="77777777" w:rsidR="00B47AE8" w:rsidRPr="00E359BF" w:rsidRDefault="00B47AE8">
            <w:pPr>
              <w:pStyle w:val="TableTextCentered"/>
              <w:rPr>
                <w:rFonts w:eastAsia="Times New Roman"/>
              </w:rPr>
            </w:pPr>
            <w:r>
              <w:rPr>
                <w:rFonts w:eastAsia="Times New Roman"/>
              </w:rPr>
              <w:t>0</w:t>
            </w:r>
          </w:p>
        </w:tc>
        <w:tc>
          <w:tcPr>
            <w:tcW w:w="601" w:type="dxa"/>
          </w:tcPr>
          <w:p w14:paraId="4E78A244" w14:textId="77777777" w:rsidR="00B47AE8" w:rsidRPr="00E359BF" w:rsidRDefault="00B47AE8">
            <w:pPr>
              <w:pStyle w:val="TableTextCentered"/>
              <w:rPr>
                <w:rFonts w:eastAsia="Times New Roman"/>
              </w:rPr>
            </w:pPr>
            <w:r>
              <w:rPr>
                <w:rFonts w:eastAsia="Times New Roman"/>
              </w:rPr>
              <w:t>32</w:t>
            </w:r>
          </w:p>
        </w:tc>
        <w:tc>
          <w:tcPr>
            <w:tcW w:w="866" w:type="dxa"/>
          </w:tcPr>
          <w:p w14:paraId="04F5F195" w14:textId="77777777" w:rsidR="00B47AE8" w:rsidRPr="00E359BF" w:rsidRDefault="00B47AE8">
            <w:pPr>
              <w:pStyle w:val="TableTextCentered"/>
              <w:rPr>
                <w:rFonts w:eastAsia="Times New Roman"/>
              </w:rPr>
            </w:pPr>
            <w:r>
              <w:rPr>
                <w:rFonts w:eastAsia="Times New Roman"/>
              </w:rPr>
              <w:t>5.0</w:t>
            </w:r>
          </w:p>
        </w:tc>
      </w:tr>
      <w:tr w:rsidR="00B47AE8" w:rsidRPr="00E359BF" w14:paraId="5395322A" w14:textId="77777777" w:rsidTr="007A0CFB">
        <w:tc>
          <w:tcPr>
            <w:tcW w:w="3095" w:type="dxa"/>
            <w:vAlign w:val="center"/>
          </w:tcPr>
          <w:p w14:paraId="733095FC" w14:textId="77777777" w:rsidR="00B47AE8" w:rsidRPr="00E359BF" w:rsidRDefault="00B47AE8">
            <w:pPr>
              <w:pStyle w:val="TableText"/>
              <w:ind w:left="204"/>
              <w:rPr>
                <w:b/>
                <w:bCs/>
              </w:rPr>
            </w:pPr>
            <w:r w:rsidRPr="00D931E1">
              <w:t>Analysis and Inquiry</w:t>
            </w:r>
          </w:p>
        </w:tc>
        <w:tc>
          <w:tcPr>
            <w:tcW w:w="683" w:type="dxa"/>
          </w:tcPr>
          <w:p w14:paraId="29F6CD99" w14:textId="77777777" w:rsidR="00B47AE8" w:rsidRPr="00E359BF" w:rsidRDefault="00B47AE8">
            <w:pPr>
              <w:pStyle w:val="TableTextCentered"/>
              <w:rPr>
                <w:rFonts w:eastAsia="Times New Roman"/>
              </w:rPr>
            </w:pPr>
            <w:r>
              <w:rPr>
                <w:rFonts w:eastAsia="Times New Roman"/>
              </w:rPr>
              <w:t>8</w:t>
            </w:r>
          </w:p>
        </w:tc>
        <w:tc>
          <w:tcPr>
            <w:tcW w:w="678" w:type="dxa"/>
          </w:tcPr>
          <w:p w14:paraId="7C3A3388" w14:textId="77777777" w:rsidR="00B47AE8" w:rsidRPr="00E359BF" w:rsidRDefault="00B47AE8">
            <w:pPr>
              <w:pStyle w:val="TableTextCentered"/>
              <w:rPr>
                <w:rFonts w:eastAsia="Times New Roman"/>
              </w:rPr>
            </w:pPr>
            <w:r>
              <w:rPr>
                <w:rFonts w:eastAsia="Times New Roman"/>
              </w:rPr>
              <w:t>10</w:t>
            </w:r>
          </w:p>
        </w:tc>
        <w:tc>
          <w:tcPr>
            <w:tcW w:w="688" w:type="dxa"/>
          </w:tcPr>
          <w:p w14:paraId="5FD7D726" w14:textId="77777777" w:rsidR="00B47AE8" w:rsidRPr="00E359BF" w:rsidRDefault="00B47AE8">
            <w:pPr>
              <w:pStyle w:val="TableTextCentered"/>
              <w:rPr>
                <w:rFonts w:eastAsia="Times New Roman"/>
              </w:rPr>
            </w:pPr>
            <w:r>
              <w:rPr>
                <w:rFonts w:eastAsia="Times New Roman"/>
              </w:rPr>
              <w:t>8</w:t>
            </w:r>
          </w:p>
        </w:tc>
        <w:tc>
          <w:tcPr>
            <w:tcW w:w="684" w:type="dxa"/>
          </w:tcPr>
          <w:p w14:paraId="7665B8A0" w14:textId="77777777" w:rsidR="00B47AE8" w:rsidRPr="00E359BF" w:rsidRDefault="00B47AE8">
            <w:pPr>
              <w:pStyle w:val="TableTextCentered"/>
              <w:rPr>
                <w:rFonts w:eastAsia="Times New Roman"/>
              </w:rPr>
            </w:pPr>
            <w:r>
              <w:rPr>
                <w:rFonts w:eastAsia="Times New Roman"/>
              </w:rPr>
              <w:t>2</w:t>
            </w:r>
          </w:p>
        </w:tc>
        <w:tc>
          <w:tcPr>
            <w:tcW w:w="653" w:type="dxa"/>
          </w:tcPr>
          <w:p w14:paraId="3768BA93" w14:textId="77777777" w:rsidR="00B47AE8" w:rsidRPr="00E359BF" w:rsidRDefault="00B47AE8">
            <w:pPr>
              <w:pStyle w:val="TableTextCentered"/>
              <w:rPr>
                <w:rFonts w:eastAsia="Times New Roman"/>
              </w:rPr>
            </w:pPr>
            <w:r>
              <w:rPr>
                <w:rFonts w:eastAsia="Times New Roman"/>
              </w:rPr>
              <w:t>0</w:t>
            </w:r>
          </w:p>
        </w:tc>
        <w:tc>
          <w:tcPr>
            <w:tcW w:w="712" w:type="dxa"/>
            <w:vAlign w:val="center"/>
          </w:tcPr>
          <w:p w14:paraId="47CA7B55" w14:textId="77777777" w:rsidR="00B47AE8" w:rsidRPr="00E359BF" w:rsidRDefault="00B47AE8">
            <w:pPr>
              <w:pStyle w:val="TableTextCentered"/>
              <w:rPr>
                <w:rFonts w:eastAsia="Times New Roman"/>
              </w:rPr>
            </w:pPr>
            <w:r>
              <w:rPr>
                <w:rFonts w:eastAsia="Times New Roman"/>
              </w:rPr>
              <w:t>4</w:t>
            </w:r>
          </w:p>
        </w:tc>
        <w:tc>
          <w:tcPr>
            <w:tcW w:w="684" w:type="dxa"/>
            <w:vAlign w:val="center"/>
          </w:tcPr>
          <w:p w14:paraId="3DEA553B" w14:textId="77777777" w:rsidR="00B47AE8" w:rsidRPr="00E359BF" w:rsidRDefault="00B47AE8">
            <w:pPr>
              <w:pStyle w:val="TableTextCentered"/>
              <w:rPr>
                <w:rFonts w:eastAsia="Times New Roman"/>
              </w:rPr>
            </w:pPr>
            <w:r>
              <w:rPr>
                <w:rFonts w:eastAsia="Times New Roman"/>
              </w:rPr>
              <w:t>0</w:t>
            </w:r>
          </w:p>
        </w:tc>
        <w:tc>
          <w:tcPr>
            <w:tcW w:w="601" w:type="dxa"/>
          </w:tcPr>
          <w:p w14:paraId="61D47ABE" w14:textId="77777777" w:rsidR="00B47AE8" w:rsidRPr="00E359BF" w:rsidRDefault="00B47AE8">
            <w:pPr>
              <w:pStyle w:val="TableTextCentered"/>
              <w:rPr>
                <w:rFonts w:eastAsia="Times New Roman"/>
              </w:rPr>
            </w:pPr>
            <w:r>
              <w:rPr>
                <w:rFonts w:eastAsia="Times New Roman"/>
              </w:rPr>
              <w:t>32</w:t>
            </w:r>
          </w:p>
        </w:tc>
        <w:tc>
          <w:tcPr>
            <w:tcW w:w="866" w:type="dxa"/>
          </w:tcPr>
          <w:p w14:paraId="2F75C1B6" w14:textId="77777777" w:rsidR="00B47AE8" w:rsidRPr="00E359BF" w:rsidRDefault="00B47AE8">
            <w:pPr>
              <w:pStyle w:val="TableTextCentered"/>
              <w:rPr>
                <w:rFonts w:eastAsia="Times New Roman"/>
              </w:rPr>
            </w:pPr>
            <w:r>
              <w:rPr>
                <w:rFonts w:eastAsia="Times New Roman"/>
              </w:rPr>
              <w:t>2.6</w:t>
            </w:r>
          </w:p>
        </w:tc>
      </w:tr>
      <w:tr w:rsidR="007A0CFB" w:rsidRPr="00E359BF" w14:paraId="1290843B" w14:textId="77777777" w:rsidTr="007A0CFB">
        <w:tc>
          <w:tcPr>
            <w:tcW w:w="3095" w:type="dxa"/>
            <w:vAlign w:val="center"/>
          </w:tcPr>
          <w:p w14:paraId="1DB2674D" w14:textId="77777777" w:rsidR="00B47AE8" w:rsidRPr="00D931E1" w:rsidRDefault="00B47AE8">
            <w:pPr>
              <w:pStyle w:val="TableText"/>
              <w:ind w:left="204"/>
              <w:rPr>
                <w:b/>
                <w:bCs/>
              </w:rPr>
            </w:pPr>
            <w:r w:rsidRPr="00D931E1">
              <w:t>Quality of Feedback</w:t>
            </w:r>
          </w:p>
        </w:tc>
        <w:tc>
          <w:tcPr>
            <w:tcW w:w="683" w:type="dxa"/>
          </w:tcPr>
          <w:p w14:paraId="6031B9FB" w14:textId="77777777" w:rsidR="00B47AE8" w:rsidRPr="00E359BF" w:rsidRDefault="00B47AE8">
            <w:pPr>
              <w:pStyle w:val="TableTextCentered"/>
              <w:rPr>
                <w:rFonts w:eastAsia="Times New Roman"/>
              </w:rPr>
            </w:pPr>
            <w:r>
              <w:rPr>
                <w:rFonts w:eastAsia="Times New Roman"/>
              </w:rPr>
              <w:t>3</w:t>
            </w:r>
          </w:p>
        </w:tc>
        <w:tc>
          <w:tcPr>
            <w:tcW w:w="678" w:type="dxa"/>
          </w:tcPr>
          <w:p w14:paraId="6EB8B72F" w14:textId="77777777" w:rsidR="00B47AE8" w:rsidRPr="00E359BF" w:rsidRDefault="00B47AE8">
            <w:pPr>
              <w:pStyle w:val="TableTextCentered"/>
              <w:rPr>
                <w:rFonts w:eastAsia="Times New Roman"/>
              </w:rPr>
            </w:pPr>
            <w:r>
              <w:rPr>
                <w:rFonts w:eastAsia="Times New Roman"/>
              </w:rPr>
              <w:t>10</w:t>
            </w:r>
          </w:p>
        </w:tc>
        <w:tc>
          <w:tcPr>
            <w:tcW w:w="688" w:type="dxa"/>
          </w:tcPr>
          <w:p w14:paraId="3F588095" w14:textId="77777777" w:rsidR="00B47AE8" w:rsidRPr="00E359BF" w:rsidRDefault="00B47AE8">
            <w:pPr>
              <w:pStyle w:val="TableTextCentered"/>
              <w:rPr>
                <w:rFonts w:eastAsia="Times New Roman"/>
              </w:rPr>
            </w:pPr>
            <w:r>
              <w:rPr>
                <w:rFonts w:eastAsia="Times New Roman"/>
              </w:rPr>
              <w:t>8</w:t>
            </w:r>
          </w:p>
        </w:tc>
        <w:tc>
          <w:tcPr>
            <w:tcW w:w="684" w:type="dxa"/>
          </w:tcPr>
          <w:p w14:paraId="4149AD5E" w14:textId="77777777" w:rsidR="00B47AE8" w:rsidRPr="00E359BF" w:rsidRDefault="00B47AE8">
            <w:pPr>
              <w:pStyle w:val="TableTextCentered"/>
              <w:rPr>
                <w:rFonts w:eastAsia="Times New Roman"/>
              </w:rPr>
            </w:pPr>
            <w:r>
              <w:rPr>
                <w:rFonts w:eastAsia="Times New Roman"/>
              </w:rPr>
              <w:t>3</w:t>
            </w:r>
          </w:p>
        </w:tc>
        <w:tc>
          <w:tcPr>
            <w:tcW w:w="653" w:type="dxa"/>
          </w:tcPr>
          <w:p w14:paraId="428CD5CD" w14:textId="77777777" w:rsidR="00B47AE8" w:rsidRPr="00E359BF" w:rsidRDefault="00B47AE8">
            <w:pPr>
              <w:pStyle w:val="TableTextCentered"/>
              <w:rPr>
                <w:rFonts w:eastAsia="Times New Roman"/>
              </w:rPr>
            </w:pPr>
            <w:r>
              <w:rPr>
                <w:rFonts w:eastAsia="Times New Roman"/>
              </w:rPr>
              <w:t>5</w:t>
            </w:r>
          </w:p>
        </w:tc>
        <w:tc>
          <w:tcPr>
            <w:tcW w:w="712" w:type="dxa"/>
            <w:vAlign w:val="center"/>
          </w:tcPr>
          <w:p w14:paraId="2FF2ED78" w14:textId="77777777" w:rsidR="00B47AE8" w:rsidRPr="00E359BF" w:rsidRDefault="00B47AE8">
            <w:pPr>
              <w:pStyle w:val="TableTextCentered"/>
              <w:rPr>
                <w:rFonts w:eastAsia="Times New Roman"/>
              </w:rPr>
            </w:pPr>
            <w:r>
              <w:rPr>
                <w:rFonts w:eastAsia="Times New Roman"/>
              </w:rPr>
              <w:t>2</w:t>
            </w:r>
          </w:p>
        </w:tc>
        <w:tc>
          <w:tcPr>
            <w:tcW w:w="684" w:type="dxa"/>
            <w:vAlign w:val="center"/>
          </w:tcPr>
          <w:p w14:paraId="158CDFD3" w14:textId="77777777" w:rsidR="00B47AE8" w:rsidRPr="00E359BF" w:rsidRDefault="00B47AE8">
            <w:pPr>
              <w:pStyle w:val="TableTextCentered"/>
              <w:rPr>
                <w:rFonts w:eastAsia="Times New Roman"/>
              </w:rPr>
            </w:pPr>
            <w:r>
              <w:rPr>
                <w:rFonts w:eastAsia="Times New Roman"/>
              </w:rPr>
              <w:t>1</w:t>
            </w:r>
          </w:p>
        </w:tc>
        <w:tc>
          <w:tcPr>
            <w:tcW w:w="601" w:type="dxa"/>
          </w:tcPr>
          <w:p w14:paraId="58736337" w14:textId="77777777" w:rsidR="00B47AE8" w:rsidRPr="00E359BF" w:rsidRDefault="00B47AE8">
            <w:pPr>
              <w:pStyle w:val="TableTextCentered"/>
              <w:rPr>
                <w:rFonts w:eastAsia="Times New Roman"/>
              </w:rPr>
            </w:pPr>
            <w:r>
              <w:rPr>
                <w:rFonts w:eastAsia="Times New Roman"/>
              </w:rPr>
              <w:t>32</w:t>
            </w:r>
          </w:p>
        </w:tc>
        <w:tc>
          <w:tcPr>
            <w:tcW w:w="866" w:type="dxa"/>
          </w:tcPr>
          <w:p w14:paraId="5DB20C58" w14:textId="77777777" w:rsidR="00B47AE8" w:rsidRPr="00E359BF" w:rsidRDefault="00B47AE8">
            <w:pPr>
              <w:pStyle w:val="TableTextCentered"/>
              <w:rPr>
                <w:rFonts w:eastAsia="Times New Roman"/>
              </w:rPr>
            </w:pPr>
            <w:r>
              <w:rPr>
                <w:rFonts w:eastAsia="Times New Roman"/>
              </w:rPr>
              <w:t>3.2</w:t>
            </w:r>
          </w:p>
        </w:tc>
      </w:tr>
      <w:tr w:rsidR="00B47AE8" w:rsidRPr="00E359BF" w14:paraId="6ADD6E14" w14:textId="77777777" w:rsidTr="007A0CFB">
        <w:tc>
          <w:tcPr>
            <w:tcW w:w="3095" w:type="dxa"/>
            <w:vAlign w:val="center"/>
          </w:tcPr>
          <w:p w14:paraId="4D2D935D" w14:textId="77777777" w:rsidR="00B47AE8" w:rsidRPr="00D931E1" w:rsidRDefault="00B47AE8">
            <w:pPr>
              <w:pStyle w:val="TableText"/>
              <w:ind w:left="204"/>
              <w:rPr>
                <w:b/>
                <w:bCs/>
              </w:rPr>
            </w:pPr>
            <w:r w:rsidRPr="00D931E1">
              <w:t>Instructional Dialogue</w:t>
            </w:r>
          </w:p>
        </w:tc>
        <w:tc>
          <w:tcPr>
            <w:tcW w:w="683" w:type="dxa"/>
          </w:tcPr>
          <w:p w14:paraId="687B3F02" w14:textId="77777777" w:rsidR="00B47AE8" w:rsidRPr="00E359BF" w:rsidRDefault="00B47AE8">
            <w:pPr>
              <w:pStyle w:val="TableTextCentered"/>
              <w:rPr>
                <w:rFonts w:eastAsia="Times New Roman"/>
              </w:rPr>
            </w:pPr>
            <w:r>
              <w:rPr>
                <w:rFonts w:eastAsia="Times New Roman"/>
              </w:rPr>
              <w:t>9</w:t>
            </w:r>
          </w:p>
        </w:tc>
        <w:tc>
          <w:tcPr>
            <w:tcW w:w="678" w:type="dxa"/>
          </w:tcPr>
          <w:p w14:paraId="5B2D22F7" w14:textId="77777777" w:rsidR="00B47AE8" w:rsidRPr="00E359BF" w:rsidRDefault="00B47AE8">
            <w:pPr>
              <w:pStyle w:val="TableTextCentered"/>
              <w:rPr>
                <w:rFonts w:eastAsia="Times New Roman"/>
              </w:rPr>
            </w:pPr>
            <w:r>
              <w:rPr>
                <w:rFonts w:eastAsia="Times New Roman"/>
              </w:rPr>
              <w:t>8</w:t>
            </w:r>
          </w:p>
        </w:tc>
        <w:tc>
          <w:tcPr>
            <w:tcW w:w="688" w:type="dxa"/>
          </w:tcPr>
          <w:p w14:paraId="6DA34581" w14:textId="77777777" w:rsidR="00B47AE8" w:rsidRPr="00E359BF" w:rsidRDefault="00B47AE8">
            <w:pPr>
              <w:pStyle w:val="TableTextCentered"/>
              <w:rPr>
                <w:rFonts w:eastAsia="Times New Roman"/>
              </w:rPr>
            </w:pPr>
            <w:r>
              <w:rPr>
                <w:rFonts w:eastAsia="Times New Roman"/>
              </w:rPr>
              <w:t>4</w:t>
            </w:r>
          </w:p>
        </w:tc>
        <w:tc>
          <w:tcPr>
            <w:tcW w:w="684" w:type="dxa"/>
          </w:tcPr>
          <w:p w14:paraId="2BAE55A8" w14:textId="77777777" w:rsidR="00B47AE8" w:rsidRPr="00E359BF" w:rsidRDefault="00B47AE8">
            <w:pPr>
              <w:pStyle w:val="TableTextCentered"/>
              <w:rPr>
                <w:rFonts w:eastAsia="Times New Roman"/>
              </w:rPr>
            </w:pPr>
            <w:r>
              <w:rPr>
                <w:rFonts w:eastAsia="Times New Roman"/>
              </w:rPr>
              <w:t>4</w:t>
            </w:r>
          </w:p>
        </w:tc>
        <w:tc>
          <w:tcPr>
            <w:tcW w:w="653" w:type="dxa"/>
          </w:tcPr>
          <w:p w14:paraId="5A18E82B" w14:textId="77777777" w:rsidR="00B47AE8" w:rsidRPr="00E359BF" w:rsidRDefault="00B47AE8">
            <w:pPr>
              <w:pStyle w:val="TableTextCentered"/>
              <w:rPr>
                <w:rFonts w:eastAsia="Times New Roman"/>
              </w:rPr>
            </w:pPr>
            <w:r>
              <w:rPr>
                <w:rFonts w:eastAsia="Times New Roman"/>
              </w:rPr>
              <w:t>4</w:t>
            </w:r>
          </w:p>
        </w:tc>
        <w:tc>
          <w:tcPr>
            <w:tcW w:w="712" w:type="dxa"/>
            <w:vAlign w:val="center"/>
          </w:tcPr>
          <w:p w14:paraId="088FA72C" w14:textId="77777777" w:rsidR="00B47AE8" w:rsidRPr="00E359BF" w:rsidRDefault="00B47AE8">
            <w:pPr>
              <w:pStyle w:val="TableTextCentered"/>
              <w:rPr>
                <w:rFonts w:eastAsia="Times New Roman"/>
              </w:rPr>
            </w:pPr>
            <w:r>
              <w:rPr>
                <w:rFonts w:eastAsia="Times New Roman"/>
              </w:rPr>
              <w:t>2</w:t>
            </w:r>
          </w:p>
        </w:tc>
        <w:tc>
          <w:tcPr>
            <w:tcW w:w="684" w:type="dxa"/>
            <w:vAlign w:val="center"/>
          </w:tcPr>
          <w:p w14:paraId="0A0CE588" w14:textId="77777777" w:rsidR="00B47AE8" w:rsidRPr="00E359BF" w:rsidRDefault="00B47AE8">
            <w:pPr>
              <w:pStyle w:val="TableTextCentered"/>
              <w:rPr>
                <w:rFonts w:eastAsia="Times New Roman"/>
              </w:rPr>
            </w:pPr>
            <w:r>
              <w:rPr>
                <w:rFonts w:eastAsia="Times New Roman"/>
              </w:rPr>
              <w:t>1</w:t>
            </w:r>
          </w:p>
        </w:tc>
        <w:tc>
          <w:tcPr>
            <w:tcW w:w="601" w:type="dxa"/>
          </w:tcPr>
          <w:p w14:paraId="2BCE3BC5" w14:textId="77777777" w:rsidR="00B47AE8" w:rsidRPr="00E359BF" w:rsidRDefault="00B47AE8">
            <w:pPr>
              <w:pStyle w:val="TableTextCentered"/>
              <w:rPr>
                <w:rFonts w:eastAsia="Times New Roman"/>
              </w:rPr>
            </w:pPr>
            <w:r>
              <w:rPr>
                <w:rFonts w:eastAsia="Times New Roman"/>
              </w:rPr>
              <w:t>32</w:t>
            </w:r>
          </w:p>
        </w:tc>
        <w:tc>
          <w:tcPr>
            <w:tcW w:w="866" w:type="dxa"/>
          </w:tcPr>
          <w:p w14:paraId="21D7B23C" w14:textId="77777777" w:rsidR="00B47AE8" w:rsidRPr="00E359BF" w:rsidRDefault="00B47AE8">
            <w:pPr>
              <w:pStyle w:val="TableTextCentered"/>
              <w:rPr>
                <w:rFonts w:eastAsia="Times New Roman"/>
              </w:rPr>
            </w:pPr>
            <w:r>
              <w:rPr>
                <w:rFonts w:eastAsia="Times New Roman"/>
              </w:rPr>
              <w:t>2.9</w:t>
            </w:r>
          </w:p>
        </w:tc>
      </w:tr>
      <w:tr w:rsidR="00B47AE8" w:rsidRPr="009A0F07" w14:paraId="261CA364" w14:textId="77777777" w:rsidTr="007A0CFB">
        <w:tc>
          <w:tcPr>
            <w:tcW w:w="3095" w:type="dxa"/>
            <w:shd w:val="clear" w:color="auto" w:fill="D9E2F3" w:themeFill="accent5" w:themeFillTint="33"/>
            <w:vAlign w:val="center"/>
          </w:tcPr>
          <w:p w14:paraId="4BD4DDA4" w14:textId="77777777" w:rsidR="00B47AE8" w:rsidRPr="00A34856" w:rsidRDefault="00B47AE8">
            <w:pPr>
              <w:pStyle w:val="TableSubheading"/>
            </w:pPr>
            <w:r w:rsidRPr="00A34856">
              <w:t>Student Engagement</w:t>
            </w:r>
          </w:p>
        </w:tc>
        <w:tc>
          <w:tcPr>
            <w:tcW w:w="683" w:type="dxa"/>
            <w:shd w:val="clear" w:color="auto" w:fill="D9E2F3" w:themeFill="accent5" w:themeFillTint="33"/>
          </w:tcPr>
          <w:p w14:paraId="4047B777" w14:textId="77777777" w:rsidR="00B47AE8" w:rsidRPr="009A0F07" w:rsidRDefault="00B47AE8">
            <w:pPr>
              <w:pStyle w:val="TableTextCenteredDemi"/>
              <w:rPr>
                <w:rFonts w:eastAsia="Times New Roman"/>
                <w:bCs/>
              </w:rPr>
            </w:pPr>
            <w:r>
              <w:rPr>
                <w:rFonts w:eastAsia="Times New Roman"/>
                <w:bCs/>
              </w:rPr>
              <w:t>0</w:t>
            </w:r>
          </w:p>
        </w:tc>
        <w:tc>
          <w:tcPr>
            <w:tcW w:w="678" w:type="dxa"/>
            <w:shd w:val="clear" w:color="auto" w:fill="D9E2F3" w:themeFill="accent5" w:themeFillTint="33"/>
          </w:tcPr>
          <w:p w14:paraId="1A5636BC" w14:textId="77777777" w:rsidR="00B47AE8" w:rsidRPr="009A0F07" w:rsidRDefault="00B47AE8">
            <w:pPr>
              <w:pStyle w:val="TableTextCenteredDemi"/>
              <w:rPr>
                <w:rFonts w:eastAsia="Times New Roman"/>
                <w:bCs/>
              </w:rPr>
            </w:pPr>
            <w:r>
              <w:rPr>
                <w:rFonts w:eastAsia="Times New Roman"/>
                <w:bCs/>
              </w:rPr>
              <w:t>0</w:t>
            </w:r>
          </w:p>
        </w:tc>
        <w:tc>
          <w:tcPr>
            <w:tcW w:w="688" w:type="dxa"/>
            <w:shd w:val="clear" w:color="auto" w:fill="D9E2F3" w:themeFill="accent5" w:themeFillTint="33"/>
          </w:tcPr>
          <w:p w14:paraId="787E905A" w14:textId="77777777" w:rsidR="00B47AE8" w:rsidRPr="009A0F07" w:rsidRDefault="00B47AE8">
            <w:pPr>
              <w:pStyle w:val="TableTextCenteredDemi"/>
              <w:rPr>
                <w:rFonts w:eastAsia="Times New Roman"/>
                <w:bCs/>
              </w:rPr>
            </w:pPr>
            <w:r>
              <w:rPr>
                <w:rFonts w:eastAsia="Times New Roman"/>
                <w:bCs/>
              </w:rPr>
              <w:t>1</w:t>
            </w:r>
          </w:p>
        </w:tc>
        <w:tc>
          <w:tcPr>
            <w:tcW w:w="684" w:type="dxa"/>
            <w:shd w:val="clear" w:color="auto" w:fill="D9E2F3" w:themeFill="accent5" w:themeFillTint="33"/>
          </w:tcPr>
          <w:p w14:paraId="2A74C688" w14:textId="77777777" w:rsidR="00B47AE8" w:rsidRPr="009A0F07" w:rsidRDefault="00B47AE8">
            <w:pPr>
              <w:pStyle w:val="TableTextCenteredDemi"/>
              <w:rPr>
                <w:rFonts w:eastAsia="Times New Roman"/>
                <w:bCs/>
              </w:rPr>
            </w:pPr>
            <w:r>
              <w:rPr>
                <w:rFonts w:eastAsia="Times New Roman"/>
                <w:bCs/>
              </w:rPr>
              <w:t>8</w:t>
            </w:r>
          </w:p>
        </w:tc>
        <w:tc>
          <w:tcPr>
            <w:tcW w:w="653" w:type="dxa"/>
            <w:shd w:val="clear" w:color="auto" w:fill="D9E2F3" w:themeFill="accent5" w:themeFillTint="33"/>
          </w:tcPr>
          <w:p w14:paraId="5CF1105E" w14:textId="77777777" w:rsidR="00B47AE8" w:rsidRPr="009A0F07" w:rsidRDefault="00B47AE8">
            <w:pPr>
              <w:pStyle w:val="TableTextCenteredDemi"/>
              <w:rPr>
                <w:rFonts w:eastAsia="Times New Roman"/>
                <w:bCs/>
              </w:rPr>
            </w:pPr>
            <w:r>
              <w:rPr>
                <w:rFonts w:eastAsia="Times New Roman"/>
                <w:bCs/>
              </w:rPr>
              <w:t>9</w:t>
            </w:r>
          </w:p>
        </w:tc>
        <w:tc>
          <w:tcPr>
            <w:tcW w:w="712" w:type="dxa"/>
            <w:shd w:val="clear" w:color="auto" w:fill="D9E2F3" w:themeFill="accent5" w:themeFillTint="33"/>
            <w:vAlign w:val="center"/>
          </w:tcPr>
          <w:p w14:paraId="270DD27F" w14:textId="77777777" w:rsidR="00B47AE8" w:rsidRPr="009A0F07" w:rsidRDefault="00B47AE8">
            <w:pPr>
              <w:pStyle w:val="TableTextCenteredDemi"/>
              <w:rPr>
                <w:rFonts w:eastAsia="Times New Roman"/>
                <w:bCs/>
              </w:rPr>
            </w:pPr>
            <w:r>
              <w:rPr>
                <w:rFonts w:eastAsia="Times New Roman"/>
                <w:bCs/>
              </w:rPr>
              <w:t>11</w:t>
            </w:r>
          </w:p>
        </w:tc>
        <w:tc>
          <w:tcPr>
            <w:tcW w:w="684" w:type="dxa"/>
            <w:shd w:val="clear" w:color="auto" w:fill="D9E2F3" w:themeFill="accent5" w:themeFillTint="33"/>
            <w:vAlign w:val="center"/>
          </w:tcPr>
          <w:p w14:paraId="58511EA3" w14:textId="77777777" w:rsidR="00B47AE8" w:rsidRPr="009A0F07" w:rsidRDefault="00B47AE8">
            <w:pPr>
              <w:pStyle w:val="TableTextCenteredDemi"/>
              <w:rPr>
                <w:rFonts w:eastAsia="Times New Roman"/>
                <w:bCs/>
              </w:rPr>
            </w:pPr>
            <w:r>
              <w:rPr>
                <w:rFonts w:eastAsia="Times New Roman"/>
                <w:bCs/>
              </w:rPr>
              <w:t>3</w:t>
            </w:r>
          </w:p>
        </w:tc>
        <w:tc>
          <w:tcPr>
            <w:tcW w:w="601" w:type="dxa"/>
            <w:shd w:val="clear" w:color="auto" w:fill="D9E2F3" w:themeFill="accent5" w:themeFillTint="33"/>
          </w:tcPr>
          <w:p w14:paraId="3B113E83" w14:textId="77777777" w:rsidR="00B47AE8" w:rsidRPr="009A0F07" w:rsidRDefault="00B47AE8">
            <w:pPr>
              <w:pStyle w:val="TableTextCenteredDemi"/>
              <w:rPr>
                <w:rFonts w:eastAsia="Times New Roman"/>
                <w:bCs/>
              </w:rPr>
            </w:pPr>
            <w:r>
              <w:rPr>
                <w:rFonts w:eastAsia="Times New Roman"/>
                <w:bCs/>
              </w:rPr>
              <w:t>32</w:t>
            </w:r>
          </w:p>
        </w:tc>
        <w:tc>
          <w:tcPr>
            <w:tcW w:w="866" w:type="dxa"/>
            <w:shd w:val="clear" w:color="auto" w:fill="D9E2F3" w:themeFill="accent5" w:themeFillTint="33"/>
          </w:tcPr>
          <w:p w14:paraId="1F9805A1" w14:textId="77777777" w:rsidR="00B47AE8" w:rsidRPr="009A0F07" w:rsidRDefault="00B47AE8">
            <w:pPr>
              <w:pStyle w:val="TableTextCenteredDemi"/>
              <w:rPr>
                <w:rFonts w:eastAsia="Times New Roman"/>
                <w:bCs/>
              </w:rPr>
            </w:pPr>
            <w:r>
              <w:rPr>
                <w:rFonts w:eastAsia="Times New Roman"/>
                <w:bCs/>
              </w:rPr>
              <w:t>5.2</w:t>
            </w:r>
          </w:p>
        </w:tc>
      </w:tr>
    </w:tbl>
    <w:bookmarkEnd w:id="178"/>
    <w:p w14:paraId="33B50C1F" w14:textId="77777777" w:rsidR="00B47AE8" w:rsidRDefault="00B47AE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79" w:name="High_PC_Calc"/>
      <w:r>
        <w:rPr>
          <w:szCs w:val="20"/>
        </w:rPr>
        <w:t>([2 x 2] + [3 x 4] + [4 x 7] + [5 x 7] + [6 x 6] + [7 x 6]) ÷ 32 observations = 4.9</w:t>
      </w:r>
      <w:bookmarkEnd w:id="179"/>
    </w:p>
    <w:p w14:paraId="439EBE1B" w14:textId="77777777" w:rsidR="00B47AE8" w:rsidRDefault="00B47AE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80" w:name="High_NC_Calc"/>
      <w:r>
        <w:t>([6 x 1] + [7 x 31]) ÷ 32 observations = 7.0</w:t>
      </w:r>
      <w:bookmarkEnd w:id="180"/>
    </w:p>
    <w:p w14:paraId="3BEFD82B" w14:textId="77777777" w:rsidR="00B47AE8" w:rsidRPr="00A71BD2" w:rsidRDefault="00B47AE8">
      <w:pPr>
        <w:spacing w:after="160" w:line="259" w:lineRule="auto"/>
        <w:rPr>
          <w:rFonts w:ascii="Times New Roman" w:eastAsia="MS Mincho" w:hAnsi="Times New Roman" w:cs="Times New Roman"/>
          <w:b/>
          <w:sz w:val="20"/>
        </w:rPr>
      </w:pPr>
    </w:p>
    <w:p w14:paraId="7B44B299" w14:textId="77777777" w:rsidR="00B47AE8" w:rsidRPr="00E359BF" w:rsidRDefault="00B47AE8">
      <w:pPr>
        <w:pStyle w:val="Heading2-SIOR"/>
      </w:pPr>
      <w:bookmarkStart w:id="181" w:name="_Toc430114891"/>
      <w:bookmarkStart w:id="182" w:name="_Toc496109993"/>
      <w:bookmarkStart w:id="183" w:name="_Toc92194271"/>
      <w:r w:rsidRPr="00E359BF">
        <w:lastRenderedPageBreak/>
        <w:t>References</w:t>
      </w:r>
      <w:bookmarkEnd w:id="181"/>
      <w:bookmarkEnd w:id="182"/>
      <w:bookmarkEnd w:id="183"/>
    </w:p>
    <w:p w14:paraId="158494A4" w14:textId="77777777" w:rsidR="00B47AE8" w:rsidRPr="00BC09E0" w:rsidRDefault="00B47AE8">
      <w:pPr>
        <w:pStyle w:val="Reference"/>
        <w:rPr>
          <w:rStyle w:val="Hyperlink"/>
          <w:rFonts w:eastAsiaTheme="minorEastAsia"/>
        </w:rPr>
      </w:pPr>
      <w:r w:rsidRPr="00031A8B">
        <w:t xml:space="preserve">Center </w:t>
      </w:r>
      <w:r w:rsidRPr="00BC09E0">
        <w:t xml:space="preserve">for Advanced Study of Teaching and Learning. (n.d.). </w:t>
      </w:r>
      <w:r w:rsidRPr="00BC09E0">
        <w:rPr>
          <w:i/>
        </w:rPr>
        <w:t>Measuring and improving teacher-student interactions in PK−12 settings to enhance students’ learning</w:t>
      </w:r>
      <w:r w:rsidRPr="00BC09E0">
        <w:t xml:space="preserve">. Charlottesville, VA: University of Virginia. Retrieved from </w:t>
      </w:r>
      <w:hyperlink r:id="rId34" w:history="1">
        <w:r w:rsidRPr="00BC09E0">
          <w:rPr>
            <w:rStyle w:val="Hyperlink"/>
            <w:rFonts w:eastAsiaTheme="minorEastAsia"/>
          </w:rPr>
          <w:t>http://www.teachstone.com/wp-content/uploads/2011/05/class-mtp-pk-12-brief.pdf</w:t>
        </w:r>
      </w:hyperlink>
    </w:p>
    <w:p w14:paraId="1A471133" w14:textId="77777777" w:rsidR="00B47AE8" w:rsidRPr="00BC09E0" w:rsidRDefault="00B47AE8">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35" w:history="1">
        <w:r w:rsidRPr="00BC09E0">
          <w:rPr>
            <w:rStyle w:val="Hyperlink"/>
            <w:rFonts w:eastAsiaTheme="minorEastAsia"/>
          </w:rPr>
          <w:t>http://metproject.org/resources/CLASS_10_29_10.pdf</w:t>
        </w:r>
      </w:hyperlink>
    </w:p>
    <w:p w14:paraId="336B9F27" w14:textId="77777777" w:rsidR="00B47AE8" w:rsidRPr="009A5AC2" w:rsidRDefault="00B47AE8">
      <w:pPr>
        <w:pStyle w:val="Reference"/>
      </w:pPr>
      <w:r w:rsidRPr="007B0DF4">
        <w:rPr>
          <w:lang w:val="es-MX"/>
        </w:rPr>
        <w:t xml:space="preserve">Pianta, R. C., Hamre, B. K., &amp; Mintz, S. (2012). </w:t>
      </w:r>
      <w:r w:rsidRPr="00BC09E0">
        <w:rPr>
          <w:i/>
        </w:rPr>
        <w:t xml:space="preserve">Classroom Assessment Scoring System (CLASS) Manual, </w:t>
      </w:r>
      <w:r>
        <w:rPr>
          <w:i/>
        </w:rPr>
        <w:t>Secondary</w:t>
      </w:r>
      <w:r w:rsidRPr="00BC09E0">
        <w:rPr>
          <w:i/>
        </w:rPr>
        <w:t>.</w:t>
      </w:r>
      <w:r w:rsidRPr="00BC09E0">
        <w:t xml:space="preserve"> </w:t>
      </w:r>
      <w:r w:rsidRPr="009A5AC2">
        <w:t>Charlottesville, VA:</w:t>
      </w:r>
      <w:r w:rsidRPr="009A5AC2">
        <w:rPr>
          <w:i/>
        </w:rPr>
        <w:t xml:space="preserve"> </w:t>
      </w:r>
      <w:r w:rsidRPr="009A5AC2">
        <w:t>Teachstone.</w:t>
      </w:r>
    </w:p>
    <w:p w14:paraId="42C57BE7" w14:textId="77777777" w:rsidR="00B47AE8" w:rsidRPr="007B0DF4" w:rsidRDefault="00B47AE8">
      <w:pPr>
        <w:pStyle w:val="Reference"/>
        <w:rPr>
          <w:lang w:val="es-MX"/>
        </w:rPr>
      </w:pPr>
      <w:r w:rsidRPr="009A5AC2">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r w:rsidRPr="007B0DF4">
        <w:rPr>
          <w:lang w:val="es-MX"/>
        </w:rPr>
        <w:t>Teachstone.</w:t>
      </w:r>
    </w:p>
    <w:p w14:paraId="2D2F1380" w14:textId="77777777" w:rsidR="00B47AE8" w:rsidRPr="008461FE" w:rsidRDefault="00B47AE8">
      <w:pPr>
        <w:pStyle w:val="Reference"/>
      </w:pPr>
      <w:r w:rsidRPr="00BC09E0">
        <w:rPr>
          <w:lang w:val="es-MX"/>
        </w:rPr>
        <w:t xml:space="preserve">Pianta, R. C., La Paro, K. M., &amp; Hamre, B. K. (2008). </w:t>
      </w:r>
      <w:r w:rsidRPr="00BC09E0">
        <w:rPr>
          <w:i/>
        </w:rPr>
        <w:t xml:space="preserve">Classroom Assessment Scoring System (CLASS) Manual, K–3. </w:t>
      </w:r>
      <w:r w:rsidRPr="00BC09E0">
        <w:t>Baltimore, MD: Paul H. Brookes Publishing Co.</w:t>
      </w:r>
    </w:p>
    <w:p w14:paraId="304C07E7" w14:textId="77777777" w:rsidR="00B47AE8" w:rsidRPr="00CB0607" w:rsidRDefault="00B47AE8" w:rsidP="00486B55">
      <w:pPr>
        <w:spacing w:line="240" w:lineRule="auto"/>
        <w:sectPr w:rsidR="00B47AE8" w:rsidRPr="00CB0607" w:rsidSect="00B47AE8">
          <w:footnotePr>
            <w:numRestart w:val="eachSect"/>
          </w:footnotePr>
          <w:pgSz w:w="12240" w:h="15840" w:code="1"/>
          <w:pgMar w:top="1080" w:right="1440" w:bottom="1080" w:left="1440" w:header="720" w:footer="720" w:gutter="0"/>
          <w:pgNumType w:start="1"/>
          <w:cols w:space="720"/>
          <w:docGrid w:linePitch="360"/>
        </w:sectPr>
      </w:pPr>
    </w:p>
    <w:p w14:paraId="24DC4234" w14:textId="77777777" w:rsidR="00486B55" w:rsidRPr="00CB0607" w:rsidRDefault="00486B55" w:rsidP="00486B55">
      <w:pPr>
        <w:pStyle w:val="Heading2"/>
      </w:pPr>
      <w:bookmarkStart w:id="184" w:name="_Toc170157282"/>
      <w:r w:rsidRPr="00CB0607">
        <w:lastRenderedPageBreak/>
        <w:t xml:space="preserve">Appendix </w:t>
      </w:r>
      <w:r>
        <w:t>C</w:t>
      </w:r>
      <w:r w:rsidRPr="00CB0607">
        <w:t>. Resources to Support Implementation of DESE’s District Standards and Indicators</w:t>
      </w:r>
      <w:bookmarkEnd w:id="65"/>
      <w:bookmarkEnd w:id="66"/>
      <w:bookmarkEnd w:id="184"/>
    </w:p>
    <w:p w14:paraId="069089D0" w14:textId="77777777" w:rsidR="004939EC" w:rsidRDefault="004939EC" w:rsidP="007A0CFB">
      <w:pPr>
        <w:pStyle w:val="TableTitle0"/>
      </w:pPr>
      <w:r>
        <w:t>Table C1. Resources to Support Leadership and Governance</w:t>
      </w:r>
    </w:p>
    <w:tbl>
      <w:tblPr>
        <w:tblStyle w:val="MSVTable1"/>
        <w:tblW w:w="5000" w:type="pct"/>
        <w:tblLayout w:type="fixed"/>
        <w:tblLook w:val="0620" w:firstRow="1" w:lastRow="0" w:firstColumn="0" w:lastColumn="0" w:noHBand="1" w:noVBand="1"/>
      </w:tblPr>
      <w:tblGrid>
        <w:gridCol w:w="2692"/>
        <w:gridCol w:w="6652"/>
      </w:tblGrid>
      <w:tr w:rsidR="004939EC" w14:paraId="4D375B43" w14:textId="77777777" w:rsidTr="008D3BF1">
        <w:trPr>
          <w:cnfStyle w:val="100000000000" w:firstRow="1" w:lastRow="0" w:firstColumn="0" w:lastColumn="0" w:oddVBand="0" w:evenVBand="0" w:oddHBand="0" w:evenHBand="0" w:firstRowFirstColumn="0" w:firstRowLastColumn="0" w:lastRowFirstColumn="0" w:lastRowLastColumn="0"/>
        </w:trPr>
        <w:tc>
          <w:tcPr>
            <w:tcW w:w="2692" w:type="dxa"/>
            <w:tcBorders>
              <w:top w:val="single" w:sz="6" w:space="0" w:color="2F5496"/>
              <w:left w:val="single" w:sz="6" w:space="0" w:color="2F5496"/>
              <w:bottom w:val="single" w:sz="6" w:space="0" w:color="2F5496"/>
            </w:tcBorders>
            <w:hideMark/>
          </w:tcPr>
          <w:p w14:paraId="7203B15F" w14:textId="77777777" w:rsidR="004939EC" w:rsidRDefault="004939EC" w:rsidP="007A0CFB">
            <w:pPr>
              <w:pStyle w:val="TableColHeadingLeft"/>
            </w:pPr>
            <w:r>
              <w:t>Resource</w:t>
            </w:r>
          </w:p>
        </w:tc>
        <w:tc>
          <w:tcPr>
            <w:tcW w:w="6652" w:type="dxa"/>
            <w:tcBorders>
              <w:top w:val="single" w:sz="6" w:space="0" w:color="2F5496"/>
              <w:bottom w:val="single" w:sz="6" w:space="0" w:color="2F5496"/>
              <w:right w:val="single" w:sz="6" w:space="0" w:color="2F5496"/>
            </w:tcBorders>
            <w:hideMark/>
          </w:tcPr>
          <w:p w14:paraId="12B88E4A" w14:textId="77777777" w:rsidR="004939EC" w:rsidRDefault="004939EC" w:rsidP="007A0CFB">
            <w:pPr>
              <w:pStyle w:val="TableColHeadingLeft"/>
            </w:pPr>
            <w:r>
              <w:t>Description</w:t>
            </w:r>
          </w:p>
        </w:tc>
      </w:tr>
      <w:tr w:rsidR="004939EC" w14:paraId="7718AF9B"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5FB503E3" w14:textId="77777777" w:rsidR="004939EC" w:rsidRDefault="00000000" w:rsidP="007A0CFB">
            <w:pPr>
              <w:pStyle w:val="TableText"/>
              <w:rPr>
                <w:rFonts w:ascii="Franklin Gothic Demi" w:eastAsia="HGGothicE" w:hAnsi="Franklin Gothic Demi" w:cs="Franklin Gothic Book"/>
                <w:bCs/>
              </w:rPr>
            </w:pPr>
            <w:hyperlink r:id="rId36" w:history="1">
              <w:r w:rsidR="004939EC">
                <w:rPr>
                  <w:rStyle w:val="Hyperlink"/>
                  <w:rFonts w:ascii="Franklin Gothic Book" w:hAnsi="Franklin Gothic Book" w:cs="Calibri"/>
                  <w:color w:val="0070C0"/>
                </w:rPr>
                <w:t>Coherence Guidebook</w:t>
              </w:r>
            </w:hyperlink>
          </w:p>
        </w:tc>
        <w:tc>
          <w:tcPr>
            <w:tcW w:w="6652" w:type="dxa"/>
            <w:tcBorders>
              <w:top w:val="single" w:sz="6" w:space="0" w:color="2F5496"/>
              <w:left w:val="single" w:sz="6" w:space="0" w:color="2F5496"/>
              <w:bottom w:val="single" w:sz="6" w:space="0" w:color="2F5496"/>
              <w:right w:val="single" w:sz="6" w:space="0" w:color="2F5496"/>
            </w:tcBorders>
            <w:hideMark/>
          </w:tcPr>
          <w:p w14:paraId="3E63008B" w14:textId="77777777" w:rsidR="004939EC" w:rsidRDefault="004939EC" w:rsidP="007A0CFB">
            <w:pPr>
              <w:pStyle w:val="TableText"/>
              <w:rPr>
                <w:rFonts w:ascii="Franklin Gothic Demi" w:eastAsia="HGGothicE" w:hAnsi="Franklin Gothic Demi" w:cs="Franklin Gothic Book"/>
                <w:bCs/>
              </w:rPr>
            </w:pPr>
            <w:r>
              <w:rPr>
                <w:rFonts w:ascii="Franklin Gothic Book" w:hAnsi="Franklin Gothic Book" w:cs="Calibri"/>
                <w:color w:val="000000" w:themeColor="text1"/>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4939EC" w14:paraId="62D20699"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0915C8B8" w14:textId="77777777" w:rsidR="004939EC" w:rsidRDefault="00000000" w:rsidP="007A0CFB">
            <w:pPr>
              <w:pStyle w:val="TableText"/>
              <w:rPr>
                <w:rFonts w:ascii="Franklin Gothic Book" w:eastAsia="Times New Roman" w:hAnsi="Franklin Gothic Book" w:cs="Times New Roman"/>
                <w:bCs/>
                <w:szCs w:val="20"/>
              </w:rPr>
            </w:pPr>
            <w:hyperlink r:id="rId37" w:history="1">
              <w:r w:rsidR="004939EC">
                <w:rPr>
                  <w:rStyle w:val="Hyperlink"/>
                  <w:rFonts w:ascii="Franklin Gothic Book" w:hAnsi="Franklin Gothic Book" w:cs="Calibri"/>
                  <w:color w:val="0070C0"/>
                  <w:szCs w:val="20"/>
                </w:rPr>
                <w:t>Principal Induction and Mentoring Handbook</w:t>
              </w:r>
            </w:hyperlink>
          </w:p>
        </w:tc>
        <w:tc>
          <w:tcPr>
            <w:tcW w:w="6652" w:type="dxa"/>
            <w:tcBorders>
              <w:top w:val="single" w:sz="6" w:space="0" w:color="2F5496"/>
              <w:left w:val="single" w:sz="6" w:space="0" w:color="2F5496"/>
              <w:bottom w:val="single" w:sz="6" w:space="0" w:color="2F5496"/>
              <w:right w:val="single" w:sz="6" w:space="0" w:color="2F5496"/>
            </w:tcBorders>
            <w:hideMark/>
          </w:tcPr>
          <w:p w14:paraId="23C1F49E" w14:textId="77777777" w:rsidR="004939EC" w:rsidRDefault="004939EC" w:rsidP="007A0CFB">
            <w:pPr>
              <w:pStyle w:val="TableText"/>
              <w:rPr>
                <w:rFonts w:ascii="Franklin Gothic Book" w:eastAsia="Times New Roman" w:hAnsi="Franklin Gothic Book" w:cs="Times New Roman"/>
                <w:bCs/>
                <w:szCs w:val="20"/>
              </w:rPr>
            </w:pPr>
            <w:r>
              <w:rPr>
                <w:rFonts w:ascii="Franklin Gothic Book" w:hAnsi="Franklin Gothic Book" w:cs="Calibri"/>
                <w:color w:val="000000"/>
                <w:szCs w:val="20"/>
              </w:rPr>
              <w:t>A series of modules designed to support novice principals and their mentors in the development of antiracist leadership competencies aligned to the Professional Standards for Administrative Leadership.</w:t>
            </w:r>
          </w:p>
        </w:tc>
      </w:tr>
      <w:tr w:rsidR="004939EC" w14:paraId="289188A4"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2E53F413" w14:textId="77777777" w:rsidR="004939EC" w:rsidRDefault="00000000" w:rsidP="007A0CFB">
            <w:pPr>
              <w:pStyle w:val="TableText"/>
              <w:rPr>
                <w:rFonts w:ascii="Franklin Gothic Book" w:eastAsia="Franklin Gothic Book" w:hAnsi="Franklin Gothic Book" w:cs="Tahoma"/>
                <w:szCs w:val="20"/>
              </w:rPr>
            </w:pPr>
            <w:hyperlink r:id="rId38" w:history="1">
              <w:r w:rsidR="004939EC">
                <w:rPr>
                  <w:rStyle w:val="Hyperlink"/>
                  <w:rFonts w:ascii="Franklin Gothic Book" w:hAnsi="Franklin Gothic Book" w:cs="Calibri"/>
                  <w:szCs w:val="20"/>
                </w:rPr>
                <w:t>Planning for Success In Massachusetts</w:t>
              </w:r>
            </w:hyperlink>
          </w:p>
        </w:tc>
        <w:tc>
          <w:tcPr>
            <w:tcW w:w="6652" w:type="dxa"/>
            <w:tcBorders>
              <w:top w:val="single" w:sz="6" w:space="0" w:color="2F5496"/>
              <w:left w:val="single" w:sz="6" w:space="0" w:color="2F5496"/>
              <w:bottom w:val="single" w:sz="6" w:space="0" w:color="2F5496"/>
              <w:right w:val="single" w:sz="6" w:space="0" w:color="2F5496"/>
            </w:tcBorders>
            <w:hideMark/>
          </w:tcPr>
          <w:p w14:paraId="65C7443B" w14:textId="69FC3422" w:rsidR="004939EC" w:rsidRDefault="008D3BF1" w:rsidP="007A0CFB">
            <w:pPr>
              <w:pStyle w:val="TableText"/>
              <w:rPr>
                <w:rFonts w:ascii="Franklin Gothic Book" w:eastAsia="Calibri" w:hAnsi="Franklin Gothic Book" w:cs="Calibri"/>
                <w:color w:val="222222"/>
                <w:szCs w:val="20"/>
              </w:rPr>
            </w:pPr>
            <w:r>
              <w:rPr>
                <w:rFonts w:ascii="Franklin Gothic Book" w:hAnsi="Franklin Gothic Book" w:cs="Calibri"/>
                <w:color w:val="000000"/>
                <w:szCs w:val="20"/>
              </w:rPr>
              <w:t>An</w:t>
            </w:r>
            <w:r w:rsidR="004939EC">
              <w:rPr>
                <w:rFonts w:ascii="Franklin Gothic Book" w:hAnsi="Franklin Gothic Book" w:cs="Calibri"/>
                <w:color w:val="000000"/>
                <w:szCs w:val="20"/>
              </w:rPr>
              <w:t xml:space="preserve"> inclusive, hands-on planning process designed to build district and school capacity and coherence while also building community understanding and support.</w:t>
            </w:r>
          </w:p>
        </w:tc>
      </w:tr>
    </w:tbl>
    <w:p w14:paraId="7233C30F" w14:textId="77777777" w:rsidR="004939EC" w:rsidRDefault="004939EC" w:rsidP="007A0CFB">
      <w:pPr>
        <w:pStyle w:val="TableTitle0"/>
      </w:pPr>
      <w:r>
        <w:t>Table C2. Resources to Support Curriculum and Instruction</w:t>
      </w:r>
    </w:p>
    <w:tbl>
      <w:tblPr>
        <w:tblStyle w:val="MSVTable1"/>
        <w:tblW w:w="4950" w:type="pct"/>
        <w:tblLook w:val="0620" w:firstRow="1" w:lastRow="0" w:firstColumn="0" w:lastColumn="0" w:noHBand="1" w:noVBand="1"/>
      </w:tblPr>
      <w:tblGrid>
        <w:gridCol w:w="2692"/>
        <w:gridCol w:w="6559"/>
      </w:tblGrid>
      <w:tr w:rsidR="004939EC" w14:paraId="53171CE2" w14:textId="77777777" w:rsidTr="008D3BF1">
        <w:trPr>
          <w:cnfStyle w:val="100000000000" w:firstRow="1" w:lastRow="0" w:firstColumn="0" w:lastColumn="0" w:oddVBand="0" w:evenVBand="0" w:oddHBand="0" w:evenHBand="0" w:firstRowFirstColumn="0" w:firstRowLastColumn="0" w:lastRowFirstColumn="0" w:lastRowLastColumn="0"/>
          <w:tblHeader/>
        </w:trPr>
        <w:tc>
          <w:tcPr>
            <w:tcW w:w="1455" w:type="pct"/>
            <w:tcBorders>
              <w:top w:val="single" w:sz="6" w:space="0" w:color="2F5496"/>
              <w:left w:val="single" w:sz="6" w:space="0" w:color="2F5496"/>
              <w:bottom w:val="single" w:sz="6" w:space="0" w:color="2F5496"/>
            </w:tcBorders>
            <w:hideMark/>
          </w:tcPr>
          <w:p w14:paraId="46CEFB3A" w14:textId="77777777" w:rsidR="004939EC" w:rsidRDefault="004939EC" w:rsidP="007A0CFB">
            <w:pPr>
              <w:pStyle w:val="TableColHeadingLeft"/>
            </w:pPr>
            <w:r>
              <w:t>Resource</w:t>
            </w:r>
          </w:p>
        </w:tc>
        <w:tc>
          <w:tcPr>
            <w:tcW w:w="3545" w:type="pct"/>
            <w:tcBorders>
              <w:top w:val="single" w:sz="6" w:space="0" w:color="2F5496"/>
              <w:bottom w:val="single" w:sz="6" w:space="0" w:color="2F5496"/>
              <w:right w:val="single" w:sz="6" w:space="0" w:color="2F5496"/>
            </w:tcBorders>
            <w:hideMark/>
          </w:tcPr>
          <w:p w14:paraId="0D88C5C0" w14:textId="77777777" w:rsidR="004939EC" w:rsidRDefault="004939EC" w:rsidP="007A0CFB">
            <w:pPr>
              <w:pStyle w:val="TableColHeadingLeft"/>
            </w:pPr>
            <w:r>
              <w:t>Description</w:t>
            </w:r>
          </w:p>
        </w:tc>
      </w:tr>
      <w:tr w:rsidR="004939EC" w14:paraId="50A5C139"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38BBE48A" w14:textId="77777777" w:rsidR="004939EC" w:rsidRDefault="00000000" w:rsidP="007A0CFB">
            <w:pPr>
              <w:pStyle w:val="TableText"/>
              <w:rPr>
                <w:rFonts w:ascii="Franklin Gothic Book" w:eastAsia="Franklin Gothic Book" w:hAnsi="Franklin Gothic Book" w:cs="Tahoma"/>
                <w:szCs w:val="20"/>
              </w:rPr>
            </w:pPr>
            <w:hyperlink r:id="rId39" w:history="1">
              <w:r w:rsidR="004939EC">
                <w:rPr>
                  <w:rStyle w:val="Hyperlink"/>
                  <w:rFonts w:ascii="Franklin Gothic Book" w:hAnsi="Franklin Gothic Book" w:cs="Calibri"/>
                  <w:szCs w:val="20"/>
                </w:rPr>
                <w:t>Coherence Guidebook</w:t>
              </w:r>
            </w:hyperlink>
          </w:p>
        </w:tc>
        <w:tc>
          <w:tcPr>
            <w:tcW w:w="3545" w:type="pct"/>
            <w:tcBorders>
              <w:top w:val="single" w:sz="6" w:space="0" w:color="2F5496"/>
              <w:left w:val="single" w:sz="6" w:space="0" w:color="2F5496"/>
              <w:bottom w:val="single" w:sz="6" w:space="0" w:color="2F5496"/>
              <w:right w:val="single" w:sz="6" w:space="0" w:color="2F5496"/>
            </w:tcBorders>
            <w:hideMark/>
          </w:tcPr>
          <w:p w14:paraId="1B3B6531" w14:textId="77777777" w:rsidR="004939EC" w:rsidRDefault="004939EC" w:rsidP="007A0CFB">
            <w:pPr>
              <w:pStyle w:val="TableText"/>
              <w:rPr>
                <w:rFonts w:ascii="Franklin Gothic Book" w:eastAsia="Times New Roman" w:hAnsi="Franklin Gothic Book" w:cs="Times New Roman"/>
                <w:szCs w:val="20"/>
              </w:rPr>
            </w:pPr>
            <w:r>
              <w:rPr>
                <w:rFonts w:ascii="Franklin Gothic Book" w:hAnsi="Franklin Gothic Book" w:cs="Calibri"/>
                <w:color w:val="00000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4939EC" w14:paraId="40B30E5F"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01F278EF" w14:textId="77777777" w:rsidR="004939EC" w:rsidRDefault="00000000" w:rsidP="007A0CFB">
            <w:pPr>
              <w:pStyle w:val="TableText"/>
              <w:rPr>
                <w:rFonts w:ascii="Franklin Gothic Book" w:eastAsia="Franklin Gothic Book" w:hAnsi="Franklin Gothic Book" w:cs="Franklin Gothic Book"/>
                <w:szCs w:val="20"/>
                <w14:ligatures w14:val="standardContextual"/>
              </w:rPr>
            </w:pPr>
            <w:hyperlink r:id="rId40" w:history="1">
              <w:r w:rsidR="004939EC">
                <w:rPr>
                  <w:rStyle w:val="Hyperlink"/>
                  <w:rFonts w:ascii="Franklin Gothic Book" w:eastAsia="Franklin Gothic Book" w:hAnsi="Franklin Gothic Book" w:cs="Franklin Gothic Book"/>
                </w:rPr>
                <w:t>Curriculum Frameworks Resources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4E161867" w14:textId="6EABD06B" w:rsidR="004939EC" w:rsidRDefault="004939EC" w:rsidP="007A0CFB">
            <w:pPr>
              <w:pStyle w:val="TableText"/>
              <w:rPr>
                <w:rFonts w:ascii="Franklin Gothic Book" w:hAnsi="Franklin Gothic Book" w:cs="Calibri"/>
                <w:color w:val="000000"/>
              </w:rPr>
            </w:pPr>
            <w:r>
              <w:rPr>
                <w:rFonts w:ascii="Franklin Gothic Book" w:hAnsi="Franklin Gothic Book" w:cs="Calibri"/>
                <w:color w:val="000000" w:themeColor="text1"/>
              </w:rPr>
              <w:t xml:space="preserve">Some of the most frequently used resources include “What to Look For” classroom observation guides; the Family Guides to help families understand what students are expected to know and do by the end of each grade; and the Standards Navigator tool and app, which can be used to explore the standards, see how they are connected to other standards and related student work samples, </w:t>
            </w:r>
            <w:r w:rsidR="008D3BF1">
              <w:rPr>
                <w:rFonts w:ascii="Franklin Gothic Book" w:hAnsi="Franklin Gothic Book" w:cs="Calibri"/>
                <w:color w:val="000000" w:themeColor="text1"/>
              </w:rPr>
              <w:t xml:space="preserve">and access </w:t>
            </w:r>
            <w:r>
              <w:rPr>
                <w:rFonts w:ascii="Franklin Gothic Book" w:hAnsi="Franklin Gothic Book" w:cs="Calibri"/>
                <w:color w:val="000000" w:themeColor="text1"/>
              </w:rPr>
              <w:t>reference guides and definitions.</w:t>
            </w:r>
          </w:p>
        </w:tc>
      </w:tr>
      <w:tr w:rsidR="004939EC" w14:paraId="13A9A1CF"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303B3305" w14:textId="77777777" w:rsidR="004939EC" w:rsidRDefault="00000000" w:rsidP="007A0CFB">
            <w:pPr>
              <w:pStyle w:val="TableText"/>
            </w:pPr>
            <w:hyperlink r:id="rId41" w:history="1">
              <w:r w:rsidR="004939EC">
                <w:rPr>
                  <w:rStyle w:val="Hyperlink"/>
                  <w:rFonts w:ascii="Franklin Gothic Book" w:hAnsi="Franklin Gothic Book" w:cs="Calibri"/>
                  <w:szCs w:val="20"/>
                </w:rPr>
                <w:t>Curriculum Matters Webpage</w:t>
              </w:r>
            </w:hyperlink>
          </w:p>
        </w:tc>
        <w:tc>
          <w:tcPr>
            <w:tcW w:w="3545" w:type="pct"/>
            <w:tcBorders>
              <w:top w:val="single" w:sz="6" w:space="0" w:color="2F5496"/>
              <w:left w:val="single" w:sz="6" w:space="0" w:color="2F5496"/>
              <w:bottom w:val="single" w:sz="6" w:space="0" w:color="2F5496"/>
              <w:right w:val="single" w:sz="6" w:space="0" w:color="2F5496"/>
            </w:tcBorders>
            <w:hideMark/>
          </w:tcPr>
          <w:p w14:paraId="6A211EDB" w14:textId="77777777" w:rsidR="004939EC" w:rsidRDefault="004939EC" w:rsidP="007A0CFB">
            <w:pPr>
              <w:pStyle w:val="TableText"/>
              <w:rPr>
                <w:rFonts w:ascii="Franklin Gothic Book" w:hAnsi="Franklin Gothic Book" w:cs="Calibri"/>
                <w:color w:val="000000"/>
                <w:szCs w:val="20"/>
              </w:rPr>
            </w:pPr>
            <w:r>
              <w:rPr>
                <w:rFonts w:ascii="Franklin Gothic Book" w:hAnsi="Franklin Gothic Book" w:cs="Calibri"/>
                <w:color w:val="000000"/>
                <w:szCs w:val="20"/>
              </w:rPr>
              <w:t xml:space="preserve">A suite of resources to support the use of high-quality curriculum, including </w:t>
            </w:r>
            <w:hyperlink r:id="rId42" w:history="1">
              <w:r>
                <w:rPr>
                  <w:rStyle w:val="Hyperlink"/>
                  <w:rFonts w:ascii="Franklin Gothic Book" w:hAnsi="Franklin Gothic Book" w:cs="Calibri"/>
                  <w:szCs w:val="20"/>
                </w:rPr>
                <w:t>IMplement MA</w:t>
              </w:r>
            </w:hyperlink>
            <w:r>
              <w:rPr>
                <w:rFonts w:ascii="Franklin Gothic Book" w:hAnsi="Franklin Gothic Book" w:cs="Calibri"/>
                <w:color w:val="000000"/>
                <w:szCs w:val="20"/>
              </w:rPr>
              <w:t xml:space="preserve">, our recommended four-phase process to prepare for, select, launch, and implement new high-quality instructional materials with key tasks and action steps. Also includes </w:t>
            </w:r>
            <w:hyperlink r:id="rId43" w:history="1">
              <w:r>
                <w:rPr>
                  <w:rStyle w:val="Hyperlink"/>
                  <w:rFonts w:ascii="Franklin Gothic Book" w:hAnsi="Franklin Gothic Book" w:cs="Calibri"/>
                  <w:szCs w:val="20"/>
                </w:rPr>
                <w:t>CURATE</w:t>
              </w:r>
            </w:hyperlink>
            <w:r>
              <w:rPr>
                <w:rFonts w:ascii="Franklin Gothic Book" w:hAnsi="Franklin Gothic Book" w:cs="Calibri"/>
                <w:color w:val="000000"/>
                <w:szCs w:val="20"/>
              </w:rPr>
              <w:t>, which convenes panels of Massachusetts teachers to review and rate evidence on the quality and alignment of specific curricular materials and then publish their findings for educators across the Commonwealth to consult.</w:t>
            </w:r>
          </w:p>
        </w:tc>
      </w:tr>
      <w:tr w:rsidR="004939EC" w14:paraId="236F5F00"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6DB14B67" w14:textId="77777777" w:rsidR="004939EC" w:rsidRDefault="00000000" w:rsidP="007A0CFB">
            <w:pPr>
              <w:pStyle w:val="TableText"/>
            </w:pPr>
            <w:hyperlink r:id="rId44" w:history="1">
              <w:r w:rsidR="004939EC">
                <w:rPr>
                  <w:rStyle w:val="Hyperlink"/>
                  <w:rFonts w:ascii="Franklin Gothic Book" w:hAnsi="Franklin Gothic Book" w:cs="Calibri"/>
                  <w:szCs w:val="20"/>
                </w:rPr>
                <w:t>Digital Literacy and Computer Science (DLCS) Curriculum Guide</w:t>
              </w:r>
            </w:hyperlink>
          </w:p>
        </w:tc>
        <w:tc>
          <w:tcPr>
            <w:tcW w:w="3545" w:type="pct"/>
            <w:tcBorders>
              <w:top w:val="single" w:sz="6" w:space="0" w:color="2F5496"/>
              <w:left w:val="single" w:sz="6" w:space="0" w:color="2F5496"/>
              <w:bottom w:val="single" w:sz="6" w:space="0" w:color="2F5496"/>
              <w:right w:val="single" w:sz="6" w:space="0" w:color="2F5496"/>
            </w:tcBorders>
            <w:hideMark/>
          </w:tcPr>
          <w:p w14:paraId="45A69A04" w14:textId="209DB91C" w:rsidR="004939EC" w:rsidRDefault="008D3BF1" w:rsidP="007A0CFB">
            <w:pPr>
              <w:pStyle w:val="TableText"/>
              <w:rPr>
                <w:rFonts w:ascii="Franklin Gothic Book" w:hAnsi="Franklin Gothic Book" w:cs="Calibri"/>
                <w:color w:val="000000"/>
                <w:szCs w:val="20"/>
              </w:rPr>
            </w:pPr>
            <w:r>
              <w:rPr>
                <w:rFonts w:ascii="Franklin Gothic Book" w:hAnsi="Franklin Gothic Book" w:cs="Calibri"/>
                <w:color w:val="000000"/>
                <w:szCs w:val="20"/>
              </w:rPr>
              <w:t>This</w:t>
            </w:r>
            <w:r w:rsidR="004939EC">
              <w:rPr>
                <w:rFonts w:ascii="Franklin Gothic Book" w:hAnsi="Franklin Gothic Book" w:cs="Calibri"/>
                <w:color w:val="000000"/>
                <w:szCs w:val="20"/>
              </w:rPr>
              <w:t xml:space="preserve"> </w:t>
            </w:r>
            <w:r>
              <w:rPr>
                <w:rFonts w:ascii="Franklin Gothic Book" w:hAnsi="Franklin Gothic Book" w:cs="Calibri"/>
                <w:color w:val="000000"/>
                <w:szCs w:val="20"/>
              </w:rPr>
              <w:t>c</w:t>
            </w:r>
            <w:r w:rsidR="004939EC">
              <w:rPr>
                <w:rFonts w:ascii="Franklin Gothic Book" w:hAnsi="Franklin Gothic Book" w:cs="Calibri"/>
                <w:color w:val="000000"/>
                <w:szCs w:val="20"/>
              </w:rPr>
              <w:t xml:space="preserve">urriculum </w:t>
            </w:r>
            <w:r>
              <w:rPr>
                <w:rFonts w:ascii="Franklin Gothic Book" w:hAnsi="Franklin Gothic Book" w:cs="Calibri"/>
                <w:color w:val="000000"/>
                <w:szCs w:val="20"/>
              </w:rPr>
              <w:t>g</w:t>
            </w:r>
            <w:r w:rsidR="004939EC">
              <w:rPr>
                <w:rFonts w:ascii="Franklin Gothic Book" w:hAnsi="Franklin Gothic Book" w:cs="Calibri"/>
                <w:color w:val="000000"/>
                <w:szCs w:val="20"/>
              </w:rPr>
              <w:t>uide provides curricular overviews for schools to engage students in learning DLCS concepts and skills aligned to the standards found in the 2016 Massachusetts DLCS Framework.</w:t>
            </w:r>
          </w:p>
        </w:tc>
      </w:tr>
      <w:tr w:rsidR="004939EC" w14:paraId="7A437D08"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029C4AC9" w14:textId="77777777" w:rsidR="004939EC" w:rsidRDefault="00000000" w:rsidP="007A0CFB">
            <w:pPr>
              <w:pStyle w:val="TableText"/>
            </w:pPr>
            <w:hyperlink r:id="rId45" w:history="1">
              <w:r w:rsidR="004939EC">
                <w:rPr>
                  <w:rStyle w:val="Hyperlink"/>
                  <w:rFonts w:ascii="Franklin Gothic Book" w:hAnsi="Franklin Gothic Book" w:cs="Calibri"/>
                  <w:szCs w:val="20"/>
                </w:rPr>
                <w:t>Early Warning Indicator System (EWIS)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40EDB4F2" w14:textId="77777777" w:rsidR="004939EC" w:rsidRDefault="004939EC" w:rsidP="007A0CFB">
            <w:pPr>
              <w:pStyle w:val="TableText"/>
              <w:rPr>
                <w:rFonts w:ascii="Franklin Gothic Book" w:hAnsi="Franklin Gothic Book" w:cs="Calibri"/>
                <w:color w:val="000000"/>
                <w:szCs w:val="20"/>
              </w:rPr>
            </w:pPr>
            <w:r>
              <w:rPr>
                <w:rFonts w:ascii="Franklin Gothic Book" w:hAnsi="Franklin Gothic Book" w:cs="Calibri"/>
                <w:color w:val="000000"/>
                <w:szCs w:val="20"/>
              </w:rPr>
              <w:t>Tools for districts to identify students who are at risk of not meeting important academic goals to help students get back on track. This comprehensive system spans first grade through high school graduation and beyond.</w:t>
            </w:r>
          </w:p>
        </w:tc>
      </w:tr>
      <w:tr w:rsidR="004939EC" w14:paraId="639F8BC5"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0A2099F0" w14:textId="77777777" w:rsidR="004939EC" w:rsidRDefault="00000000" w:rsidP="007A0CFB">
            <w:pPr>
              <w:pStyle w:val="TableText"/>
            </w:pPr>
            <w:hyperlink r:id="rId46" w:history="1">
              <w:r w:rsidR="004939EC">
                <w:rPr>
                  <w:rStyle w:val="Hyperlink"/>
                  <w:rFonts w:ascii="Franklin Gothic Book" w:hAnsi="Franklin Gothic Book" w:cs="Calibri"/>
                  <w:szCs w:val="20"/>
                </w:rPr>
                <w:t>Foundations for Inclusive Practices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1FBE53BF" w14:textId="39E20DED" w:rsidR="004939EC" w:rsidRDefault="004939EC" w:rsidP="007A0CFB">
            <w:pPr>
              <w:pStyle w:val="TableText"/>
              <w:rPr>
                <w:rFonts w:ascii="Franklin Gothic Book" w:hAnsi="Franklin Gothic Book" w:cs="Calibri"/>
                <w:color w:val="000000"/>
                <w:szCs w:val="20"/>
              </w:rPr>
            </w:pPr>
            <w:r>
              <w:rPr>
                <w:rFonts w:ascii="Franklin Gothic Book" w:hAnsi="Franklin Gothic Book" w:cs="Calibri"/>
                <w:color w:val="000000"/>
                <w:szCs w:val="20"/>
              </w:rPr>
              <w:t xml:space="preserve">This </w:t>
            </w:r>
            <w:r w:rsidR="008D3BF1">
              <w:rPr>
                <w:rFonts w:ascii="Franklin Gothic Book" w:hAnsi="Franklin Gothic Book" w:cs="Calibri"/>
                <w:color w:val="000000"/>
                <w:szCs w:val="20"/>
              </w:rPr>
              <w:t>g</w:t>
            </w:r>
            <w:r>
              <w:rPr>
                <w:rFonts w:ascii="Franklin Gothic Book" w:hAnsi="Franklin Gothic Book" w:cs="Calibri"/>
                <w:color w:val="000000"/>
                <w:szCs w:val="20"/>
              </w:rPr>
              <w:t>uidebook includes tools for districts, schools, and educators that are aligned to the MA Educator Evaluation Framework and promote evidence-based best practices for inclusion.</w:t>
            </w:r>
          </w:p>
        </w:tc>
      </w:tr>
      <w:tr w:rsidR="004939EC" w14:paraId="40E52561"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7AC1E60B" w14:textId="77777777" w:rsidR="004939EC" w:rsidRDefault="00000000" w:rsidP="007A0CFB">
            <w:pPr>
              <w:pStyle w:val="TableText"/>
            </w:pPr>
            <w:hyperlink r:id="rId47" w:history="1">
              <w:r w:rsidR="004939EC">
                <w:rPr>
                  <w:rStyle w:val="Hyperlink"/>
                  <w:rFonts w:ascii="Franklin Gothic Book" w:hAnsi="Franklin Gothic Book" w:cs="Calibri"/>
                  <w:szCs w:val="20"/>
                </w:rPr>
                <w:t>Guidebook of Culturally Diverse Artists and Artworks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7BA34042" w14:textId="30C89C54" w:rsidR="004939EC" w:rsidRDefault="004939EC" w:rsidP="007A0CFB">
            <w:pPr>
              <w:pStyle w:val="TableText"/>
              <w:rPr>
                <w:rFonts w:ascii="Franklin Gothic Book" w:hAnsi="Franklin Gothic Book" w:cs="Calibri"/>
                <w:color w:val="000000"/>
                <w:szCs w:val="20"/>
              </w:rPr>
            </w:pPr>
            <w:r>
              <w:rPr>
                <w:rFonts w:ascii="Franklin Gothic Book" w:hAnsi="Franklin Gothic Book" w:cs="Calibri"/>
                <w:color w:val="000000"/>
                <w:szCs w:val="20"/>
              </w:rPr>
              <w:t>This resource promote</w:t>
            </w:r>
            <w:r w:rsidR="008D3BF1">
              <w:rPr>
                <w:rFonts w:ascii="Franklin Gothic Book" w:hAnsi="Franklin Gothic Book" w:cs="Calibri"/>
                <w:color w:val="000000"/>
                <w:szCs w:val="20"/>
              </w:rPr>
              <w:t>s</w:t>
            </w:r>
            <w:r>
              <w:rPr>
                <w:rFonts w:ascii="Franklin Gothic Book" w:hAnsi="Franklin Gothic Book" w:cs="Calibri"/>
                <w:color w:val="000000"/>
                <w:szCs w:val="20"/>
              </w:rPr>
              <w:t xml:space="preserve"> culturally responsive teaching in the arts through the study of culturally diverse artists and their artworks. This guidebook highlights art made by people with racial identities that historically have been and continue to be marginalized.</w:t>
            </w:r>
          </w:p>
        </w:tc>
      </w:tr>
      <w:tr w:rsidR="004939EC" w14:paraId="3BE04DA2"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31D7C864" w14:textId="77777777" w:rsidR="004939EC" w:rsidRDefault="00000000" w:rsidP="007A0CFB">
            <w:pPr>
              <w:pStyle w:val="TableText"/>
            </w:pPr>
            <w:hyperlink r:id="rId48" w:history="1">
              <w:r w:rsidR="004939EC">
                <w:rPr>
                  <w:rStyle w:val="Hyperlink"/>
                  <w:rFonts w:ascii="Franklin Gothic Book" w:hAnsi="Franklin Gothic Book" w:cs="Calibri"/>
                  <w:szCs w:val="20"/>
                </w:rPr>
                <w:t>Mass Literacy Guide</w:t>
              </w:r>
            </w:hyperlink>
          </w:p>
        </w:tc>
        <w:tc>
          <w:tcPr>
            <w:tcW w:w="3545" w:type="pct"/>
            <w:tcBorders>
              <w:top w:val="single" w:sz="6" w:space="0" w:color="2F5496"/>
              <w:left w:val="single" w:sz="6" w:space="0" w:color="2F5496"/>
              <w:bottom w:val="single" w:sz="6" w:space="0" w:color="2F5496"/>
              <w:right w:val="single" w:sz="6" w:space="0" w:color="2F5496"/>
            </w:tcBorders>
            <w:hideMark/>
          </w:tcPr>
          <w:p w14:paraId="3E2F691D" w14:textId="0B72FEAC" w:rsidR="004939EC" w:rsidRDefault="004939EC" w:rsidP="007A0CFB">
            <w:pPr>
              <w:pStyle w:val="TableText"/>
              <w:rPr>
                <w:rFonts w:ascii="Franklin Gothic Book" w:hAnsi="Franklin Gothic Book" w:cs="Calibri"/>
                <w:color w:val="000000"/>
                <w:szCs w:val="20"/>
              </w:rPr>
            </w:pPr>
            <w:r>
              <w:rPr>
                <w:rFonts w:ascii="Franklin Gothic Book" w:hAnsi="Franklin Gothic Book" w:cs="Calibri"/>
                <w:color w:val="000000"/>
                <w:szCs w:val="20"/>
              </w:rPr>
              <w:t>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w:t>
            </w:r>
            <w:r w:rsidR="008D3BF1">
              <w:rPr>
                <w:rFonts w:ascii="Franklin Gothic Book" w:hAnsi="Franklin Gothic Book" w:cs="Calibri"/>
                <w:color w:val="000000"/>
                <w:szCs w:val="20"/>
              </w:rPr>
              <w:t>n MTSS</w:t>
            </w:r>
            <w:r>
              <w:rPr>
                <w:rFonts w:ascii="Franklin Gothic Book" w:hAnsi="Franklin Gothic Book" w:cs="Calibri"/>
                <w:color w:val="000000"/>
                <w:szCs w:val="20"/>
              </w:rPr>
              <w:t xml:space="preserve"> for ELA/literacy, and much more. </w:t>
            </w:r>
          </w:p>
        </w:tc>
      </w:tr>
      <w:tr w:rsidR="004939EC" w14:paraId="1D31361E"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270F205C" w14:textId="77777777" w:rsidR="004939EC" w:rsidRDefault="00000000" w:rsidP="007A0CFB">
            <w:pPr>
              <w:pStyle w:val="TableText"/>
            </w:pPr>
            <w:hyperlink r:id="rId49" w:history="1">
              <w:r w:rsidR="004939EC">
                <w:rPr>
                  <w:rStyle w:val="Hyperlink"/>
                  <w:rFonts w:ascii="Franklin Gothic Book" w:hAnsi="Franklin Gothic Book" w:cs="Calibri"/>
                  <w:szCs w:val="20"/>
                </w:rPr>
                <w:t>Massachusetts Blueprint for English Learner Success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0A594177" w14:textId="3BF69C34" w:rsidR="004939EC" w:rsidRDefault="008D3BF1" w:rsidP="007A0CFB">
            <w:pPr>
              <w:pStyle w:val="TableText"/>
              <w:rPr>
                <w:rFonts w:ascii="Franklin Gothic Book" w:hAnsi="Franklin Gothic Book" w:cs="Calibri"/>
                <w:color w:val="000000"/>
                <w:szCs w:val="20"/>
              </w:rPr>
            </w:pPr>
            <w:r>
              <w:rPr>
                <w:rFonts w:ascii="Franklin Gothic Book" w:hAnsi="Franklin Gothic Book" w:cs="Calibri"/>
                <w:color w:val="000000"/>
                <w:szCs w:val="20"/>
              </w:rPr>
              <w:t>A f</w:t>
            </w:r>
            <w:r w:rsidR="004939EC">
              <w:rPr>
                <w:rFonts w:ascii="Franklin Gothic Book" w:hAnsi="Franklin Gothic Book" w:cs="Calibri"/>
                <w:color w:val="000000"/>
                <w:szCs w:val="20"/>
              </w:rPr>
              <w:t xml:space="preserve">ramework for </w:t>
            </w:r>
            <w:r>
              <w:rPr>
                <w:rFonts w:ascii="Franklin Gothic Book" w:hAnsi="Franklin Gothic Book" w:cs="Calibri"/>
                <w:color w:val="000000"/>
                <w:szCs w:val="20"/>
              </w:rPr>
              <w:t>EL</w:t>
            </w:r>
            <w:r w:rsidR="004939EC">
              <w:rPr>
                <w:rFonts w:ascii="Franklin Gothic Book" w:hAnsi="Franklin Gothic Book" w:cs="Calibri"/>
                <w:color w:val="000000"/>
                <w:szCs w:val="20"/>
              </w:rPr>
              <w:t xml:space="preserve"> education in </w:t>
            </w:r>
            <w:r>
              <w:rPr>
                <w:rFonts w:ascii="Franklin Gothic Book" w:hAnsi="Franklin Gothic Book" w:cs="Calibri"/>
                <w:color w:val="000000"/>
                <w:szCs w:val="20"/>
              </w:rPr>
              <w:t>Massachusetts</w:t>
            </w:r>
            <w:r w:rsidR="004939EC">
              <w:rPr>
                <w:rFonts w:ascii="Franklin Gothic Book" w:hAnsi="Franklin Gothic Book" w:cs="Calibri"/>
                <w:color w:val="000000"/>
                <w:szCs w:val="20"/>
              </w:rPr>
              <w:t>, with embedded Quick Reference Guides and other resources to support implementation.</w:t>
            </w:r>
          </w:p>
        </w:tc>
      </w:tr>
      <w:tr w:rsidR="004939EC" w14:paraId="120C28D3"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03F5E61B" w14:textId="77777777" w:rsidR="004939EC" w:rsidRDefault="004939EC" w:rsidP="007A0CFB">
            <w:pPr>
              <w:pStyle w:val="TableText"/>
            </w:pPr>
            <w:r>
              <w:t xml:space="preserve">Massachusetts Curricular Resources: </w:t>
            </w:r>
          </w:p>
          <w:p w14:paraId="0B895F0C" w14:textId="77777777" w:rsidR="004939EC" w:rsidRDefault="00000000" w:rsidP="007A0CFB">
            <w:pPr>
              <w:pStyle w:val="TableBullet1"/>
              <w:rPr>
                <w:rFonts w:ascii="Franklin Gothic Book" w:hAnsi="Franklin Gothic Book"/>
                <w:szCs w:val="20"/>
              </w:rPr>
            </w:pPr>
            <w:hyperlink r:id="rId50" w:history="1">
              <w:r w:rsidR="004939EC">
                <w:rPr>
                  <w:rStyle w:val="Hyperlink"/>
                  <w:rFonts w:ascii="Franklin Gothic Book" w:hAnsi="Franklin Gothic Book"/>
                  <w:szCs w:val="20"/>
                </w:rPr>
                <w:t>Appleseeds</w:t>
              </w:r>
            </w:hyperlink>
          </w:p>
          <w:p w14:paraId="300FFC8B" w14:textId="77777777" w:rsidR="004939EC" w:rsidRDefault="00000000" w:rsidP="007A0CFB">
            <w:pPr>
              <w:pStyle w:val="TableBullet1"/>
              <w:rPr>
                <w:rFonts w:ascii="Franklin Gothic Book" w:hAnsi="Franklin Gothic Book"/>
                <w:szCs w:val="20"/>
              </w:rPr>
            </w:pPr>
            <w:hyperlink r:id="rId51" w:history="1">
              <w:r w:rsidR="004939EC">
                <w:rPr>
                  <w:rStyle w:val="Hyperlink"/>
                  <w:rFonts w:ascii="Franklin Gothic Book" w:hAnsi="Franklin Gothic Book"/>
                  <w:szCs w:val="20"/>
                </w:rPr>
                <w:t>Investigating History</w:t>
              </w:r>
            </w:hyperlink>
          </w:p>
          <w:p w14:paraId="70582846" w14:textId="77777777" w:rsidR="004939EC" w:rsidRDefault="00000000" w:rsidP="007A0CFB">
            <w:pPr>
              <w:pStyle w:val="TableBullet1"/>
            </w:pPr>
            <w:hyperlink r:id="rId52" w:history="1">
              <w:r w:rsidR="004939EC">
                <w:rPr>
                  <w:rStyle w:val="Hyperlink"/>
                  <w:rFonts w:ascii="Franklin Gothic Book" w:hAnsi="Franklin Gothic Book"/>
                  <w:szCs w:val="20"/>
                </w:rPr>
                <w:t>OpenSciEd</w:t>
              </w:r>
            </w:hyperlink>
          </w:p>
        </w:tc>
        <w:tc>
          <w:tcPr>
            <w:tcW w:w="3545" w:type="pct"/>
            <w:tcBorders>
              <w:top w:val="single" w:sz="6" w:space="0" w:color="2F5496"/>
              <w:left w:val="single" w:sz="6" w:space="0" w:color="2F5496"/>
              <w:bottom w:val="single" w:sz="6" w:space="0" w:color="2F5496"/>
              <w:right w:val="single" w:sz="6" w:space="0" w:color="2F5496"/>
            </w:tcBorders>
            <w:hideMark/>
          </w:tcPr>
          <w:p w14:paraId="010E0616" w14:textId="77777777" w:rsidR="004939EC" w:rsidRDefault="004939EC" w:rsidP="007A0CFB">
            <w:pPr>
              <w:pStyle w:val="TableText"/>
            </w:pPr>
            <w:r>
              <w:t>Free, open-source curricular resources aligned to the Massachusetts Curriculum Frameworks.</w:t>
            </w:r>
          </w:p>
        </w:tc>
      </w:tr>
      <w:tr w:rsidR="004939EC" w14:paraId="0315AEA3"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7786EE48" w14:textId="77777777" w:rsidR="004939EC" w:rsidRDefault="00000000" w:rsidP="007A0CFB">
            <w:pPr>
              <w:pStyle w:val="TableText"/>
            </w:pPr>
            <w:hyperlink r:id="rId53" w:history="1">
              <w:r w:rsidR="004939EC">
                <w:rPr>
                  <w:rStyle w:val="Hyperlink"/>
                  <w:rFonts w:ascii="Franklin Gothic Book" w:hAnsi="Franklin Gothic Book" w:cs="Calibri"/>
                  <w:szCs w:val="20"/>
                </w:rPr>
                <w:t>Planning for Deeper Learning</w:t>
              </w:r>
            </w:hyperlink>
          </w:p>
        </w:tc>
        <w:tc>
          <w:tcPr>
            <w:tcW w:w="3545" w:type="pct"/>
            <w:tcBorders>
              <w:top w:val="single" w:sz="6" w:space="0" w:color="2F5496"/>
              <w:left w:val="single" w:sz="6" w:space="0" w:color="2F5496"/>
              <w:bottom w:val="single" w:sz="6" w:space="0" w:color="2F5496"/>
              <w:right w:val="single" w:sz="6" w:space="0" w:color="2F5496"/>
            </w:tcBorders>
            <w:hideMark/>
          </w:tcPr>
          <w:p w14:paraId="0E703E60" w14:textId="77777777" w:rsidR="004939EC" w:rsidRDefault="004939EC" w:rsidP="007A0CFB">
            <w:pPr>
              <w:pStyle w:val="TableText"/>
              <w:rPr>
                <w:rFonts w:ascii="Franklin Gothic Book" w:hAnsi="Franklin Gothic Book" w:cs="Calibri"/>
                <w:color w:val="000000"/>
                <w:szCs w:val="20"/>
              </w:rPr>
            </w:pPr>
            <w:r>
              <w:rPr>
                <w:rFonts w:ascii="Franklin Gothic Book" w:hAnsi="Franklin Gothic Book" w:cs="Calibri"/>
                <w:color w:val="000000"/>
                <w:szCs w:val="20"/>
              </w:rPr>
              <w:t>KCL worked with educators and leaders across the Commonwealth to develop tools, protocols, examples, and professional learning experiences.</w:t>
            </w:r>
          </w:p>
        </w:tc>
      </w:tr>
      <w:tr w:rsidR="004939EC" w14:paraId="02AA21D7"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71D95ACF" w14:textId="77777777" w:rsidR="004939EC" w:rsidRDefault="00000000" w:rsidP="007A0CFB">
            <w:pPr>
              <w:pStyle w:val="TableText"/>
            </w:pPr>
            <w:hyperlink r:id="rId54" w:history="1">
              <w:r w:rsidR="004939EC">
                <w:rPr>
                  <w:rStyle w:val="Hyperlink"/>
                  <w:rFonts w:ascii="Franklin Gothic Book" w:hAnsi="Franklin Gothic Book" w:cs="Calibri"/>
                  <w:szCs w:val="20"/>
                </w:rPr>
                <w:t>Supporting Culturally and Linguistically Sustaining Practices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3A7DAEDD" w14:textId="77777777" w:rsidR="004939EC" w:rsidRDefault="004939EC" w:rsidP="007A0CFB">
            <w:pPr>
              <w:pStyle w:val="TableText"/>
              <w:rPr>
                <w:rFonts w:ascii="Franklin Gothic Book" w:hAnsi="Franklin Gothic Book" w:cs="Calibri"/>
                <w:color w:val="000000"/>
                <w:szCs w:val="20"/>
              </w:rPr>
            </w:pPr>
            <w:r>
              <w:rPr>
                <w:rFonts w:ascii="Franklin Gothic Book" w:hAnsi="Franklin Gothic Book" w:cs="Calibri"/>
                <w:color w:val="000000"/>
                <w:szCs w:val="20"/>
              </w:rPr>
              <w:t>Culturally and linguistically sustaining practices are essential for all students in the classroom, regardless of their background, culture, or identity.</w:t>
            </w:r>
          </w:p>
        </w:tc>
      </w:tr>
      <w:tr w:rsidR="004939EC" w14:paraId="3F05D7FA" w14:textId="77777777" w:rsidTr="008D3BF1">
        <w:tc>
          <w:tcPr>
            <w:tcW w:w="1455" w:type="pct"/>
            <w:tcBorders>
              <w:top w:val="single" w:sz="6" w:space="0" w:color="2F5496"/>
              <w:left w:val="single" w:sz="6" w:space="0" w:color="2F5496"/>
              <w:bottom w:val="single" w:sz="6" w:space="0" w:color="2F5496"/>
              <w:right w:val="single" w:sz="6" w:space="0" w:color="2F5496"/>
            </w:tcBorders>
            <w:hideMark/>
          </w:tcPr>
          <w:p w14:paraId="53E0E881" w14:textId="77777777" w:rsidR="004939EC" w:rsidRDefault="00000000" w:rsidP="007A0CFB">
            <w:pPr>
              <w:pStyle w:val="TableText"/>
              <w:rPr>
                <w:rFonts w:ascii="Franklin Gothic Book" w:eastAsia="Franklin Gothic Book" w:hAnsi="Franklin Gothic Book" w:cs="Tahoma"/>
                <w:szCs w:val="20"/>
              </w:rPr>
            </w:pPr>
            <w:hyperlink r:id="rId55" w:history="1">
              <w:r w:rsidR="004939EC">
                <w:rPr>
                  <w:rStyle w:val="Hyperlink"/>
                  <w:rFonts w:ascii="Franklin Gothic Book" w:hAnsi="Franklin Gothic Book" w:cs="Calibri"/>
                  <w:szCs w:val="20"/>
                </w:rPr>
                <w:t>Synthesized ILT Framework</w:t>
              </w:r>
            </w:hyperlink>
          </w:p>
        </w:tc>
        <w:tc>
          <w:tcPr>
            <w:tcW w:w="3545" w:type="pct"/>
            <w:tcBorders>
              <w:top w:val="single" w:sz="6" w:space="0" w:color="2F5496"/>
              <w:left w:val="single" w:sz="6" w:space="0" w:color="2F5496"/>
              <w:bottom w:val="single" w:sz="6" w:space="0" w:color="2F5496"/>
              <w:right w:val="single" w:sz="6" w:space="0" w:color="2F5496"/>
            </w:tcBorders>
            <w:hideMark/>
          </w:tcPr>
          <w:p w14:paraId="76448DEE" w14:textId="77777777" w:rsidR="004939EC" w:rsidRDefault="004939EC" w:rsidP="007A0CFB">
            <w:pPr>
              <w:pStyle w:val="TableText"/>
              <w:rPr>
                <w:rFonts w:ascii="Franklin Gothic Book" w:eastAsia="Times New Roman" w:hAnsi="Franklin Gothic Book" w:cs="Times New Roman"/>
                <w:szCs w:val="20"/>
              </w:rPr>
            </w:pPr>
            <w:r>
              <w:rPr>
                <w:rFonts w:ascii="Franklin Gothic Book" w:hAnsi="Franklin Gothic Book" w:cs="Calibri"/>
                <w:color w:val="000000"/>
                <w:szCs w:val="20"/>
              </w:rPr>
              <w:t>District and school teams can use this resource to reflect and identify specific actions they could take to establish or improve their instructional leadership teams (ILTs).</w:t>
            </w:r>
          </w:p>
        </w:tc>
      </w:tr>
    </w:tbl>
    <w:p w14:paraId="340B082E" w14:textId="77777777" w:rsidR="004939EC" w:rsidRDefault="004939EC" w:rsidP="007A0CFB">
      <w:pPr>
        <w:pStyle w:val="TableTitle0"/>
      </w:pPr>
      <w:r>
        <w:t>Table C3. Resources to Support Assessment</w:t>
      </w:r>
    </w:p>
    <w:tbl>
      <w:tblPr>
        <w:tblStyle w:val="MSVTable1"/>
        <w:tblW w:w="5004" w:type="pct"/>
        <w:tblLook w:val="0620" w:firstRow="1" w:lastRow="0" w:firstColumn="0" w:lastColumn="0" w:noHBand="1" w:noVBand="1"/>
      </w:tblPr>
      <w:tblGrid>
        <w:gridCol w:w="2691"/>
        <w:gridCol w:w="6660"/>
      </w:tblGrid>
      <w:tr w:rsidR="004939EC" w14:paraId="23738EA9" w14:textId="77777777" w:rsidTr="008D3BF1">
        <w:trPr>
          <w:cnfStyle w:val="100000000000" w:firstRow="1" w:lastRow="0" w:firstColumn="0" w:lastColumn="0" w:oddVBand="0" w:evenVBand="0" w:oddHBand="0" w:evenHBand="0" w:firstRowFirstColumn="0" w:firstRowLastColumn="0" w:lastRowFirstColumn="0" w:lastRowLastColumn="0"/>
          <w:tblHeader/>
        </w:trPr>
        <w:tc>
          <w:tcPr>
            <w:tcW w:w="1439" w:type="pct"/>
            <w:tcBorders>
              <w:top w:val="single" w:sz="6" w:space="0" w:color="2F5496"/>
              <w:left w:val="single" w:sz="6" w:space="0" w:color="2F5496"/>
              <w:bottom w:val="single" w:sz="6" w:space="0" w:color="2F5496"/>
            </w:tcBorders>
            <w:hideMark/>
          </w:tcPr>
          <w:p w14:paraId="2645A521" w14:textId="77777777" w:rsidR="004939EC" w:rsidRDefault="004939EC" w:rsidP="007A0CFB">
            <w:pPr>
              <w:pStyle w:val="TableColHeadingLeft"/>
            </w:pPr>
            <w:r>
              <w:t>Resource</w:t>
            </w:r>
          </w:p>
        </w:tc>
        <w:tc>
          <w:tcPr>
            <w:tcW w:w="3561" w:type="pct"/>
            <w:tcBorders>
              <w:top w:val="single" w:sz="6" w:space="0" w:color="2F5496"/>
              <w:bottom w:val="single" w:sz="6" w:space="0" w:color="2F5496"/>
              <w:right w:val="single" w:sz="6" w:space="0" w:color="2F5496"/>
            </w:tcBorders>
            <w:hideMark/>
          </w:tcPr>
          <w:p w14:paraId="58DCA35A" w14:textId="77777777" w:rsidR="004939EC" w:rsidRDefault="004939EC" w:rsidP="007A0CFB">
            <w:pPr>
              <w:pStyle w:val="TableColHeadingLeft"/>
            </w:pPr>
            <w:r>
              <w:t>Description</w:t>
            </w:r>
          </w:p>
        </w:tc>
      </w:tr>
      <w:tr w:rsidR="004939EC" w14:paraId="1365BA52" w14:textId="77777777" w:rsidTr="008D3BF1">
        <w:tc>
          <w:tcPr>
            <w:tcW w:w="1439" w:type="pct"/>
            <w:tcBorders>
              <w:top w:val="single" w:sz="6" w:space="0" w:color="2F5496"/>
              <w:left w:val="single" w:sz="6" w:space="0" w:color="2F5496"/>
              <w:bottom w:val="single" w:sz="6" w:space="0" w:color="2F5496"/>
              <w:right w:val="single" w:sz="6" w:space="0" w:color="2F5496"/>
            </w:tcBorders>
            <w:hideMark/>
          </w:tcPr>
          <w:p w14:paraId="2334B081" w14:textId="77777777" w:rsidR="004939EC" w:rsidRDefault="00000000" w:rsidP="007A0CFB">
            <w:pPr>
              <w:pStyle w:val="TableText"/>
              <w:rPr>
                <w:rFonts w:ascii="Franklin Gothic Demi" w:eastAsia="HGGothicE" w:hAnsi="Franklin Gothic Demi" w:cs="Franklin Gothic Book"/>
                <w:bCs/>
              </w:rPr>
            </w:pPr>
            <w:hyperlink r:id="rId56" w:history="1">
              <w:r w:rsidR="004939EC">
                <w:rPr>
                  <w:rStyle w:val="Hyperlink"/>
                  <w:rFonts w:ascii="Franklin Gothic Book" w:hAnsi="Franklin Gothic Book" w:cs="Calibri"/>
                  <w:szCs w:val="20"/>
                </w:rPr>
                <w:t>Approved Early Language and Literacy Assessments for Preschool</w:t>
              </w:r>
            </w:hyperlink>
          </w:p>
        </w:tc>
        <w:tc>
          <w:tcPr>
            <w:tcW w:w="3561" w:type="pct"/>
            <w:tcBorders>
              <w:top w:val="single" w:sz="6" w:space="0" w:color="2F5496"/>
              <w:left w:val="single" w:sz="6" w:space="0" w:color="2F5496"/>
              <w:bottom w:val="single" w:sz="6" w:space="0" w:color="2F5496"/>
              <w:right w:val="single" w:sz="6" w:space="0" w:color="2F5496"/>
            </w:tcBorders>
            <w:hideMark/>
          </w:tcPr>
          <w:p w14:paraId="376406CD" w14:textId="0A343FE0" w:rsidR="004939EC" w:rsidRDefault="004939EC" w:rsidP="007A0CFB">
            <w:pPr>
              <w:pStyle w:val="TableText"/>
              <w:rPr>
                <w:rFonts w:ascii="Franklin Gothic Demi" w:eastAsia="HGGothicE" w:hAnsi="Franklin Gothic Demi" w:cs="Franklin Gothic Book"/>
                <w:bCs/>
              </w:rPr>
            </w:pPr>
            <w:r>
              <w:rPr>
                <w:rFonts w:ascii="Franklin Gothic Book" w:hAnsi="Franklin Gothic Book" w:cs="Calibri"/>
                <w:color w:val="000000"/>
                <w:szCs w:val="20"/>
              </w:rPr>
              <w:t>DESE</w:t>
            </w:r>
            <w:r w:rsidR="008D3BF1">
              <w:rPr>
                <w:rFonts w:ascii="Franklin Gothic Book" w:hAnsi="Franklin Gothic Book" w:cs="Calibri"/>
                <w:color w:val="000000"/>
                <w:szCs w:val="20"/>
              </w:rPr>
              <w:t>’</w:t>
            </w:r>
            <w:r>
              <w:rPr>
                <w:rFonts w:ascii="Franklin Gothic Book" w:hAnsi="Franklin Gothic Book" w:cs="Calibri"/>
                <w:color w:val="000000"/>
                <w:szCs w:val="20"/>
              </w:rPr>
              <w:t xml:space="preserve">s Early Learning Team in collaboration with </w:t>
            </w:r>
            <w:r w:rsidR="008D3BF1">
              <w:rPr>
                <w:rFonts w:ascii="Franklin Gothic Book" w:hAnsi="Franklin Gothic Book" w:cs="Calibri"/>
                <w:color w:val="000000"/>
                <w:szCs w:val="20"/>
              </w:rPr>
              <w:t xml:space="preserve">the Department of Early Education and Care </w:t>
            </w:r>
            <w:r>
              <w:rPr>
                <w:rFonts w:ascii="Franklin Gothic Book" w:hAnsi="Franklin Gothic Book" w:cs="Calibri"/>
                <w:color w:val="000000"/>
                <w:szCs w:val="20"/>
              </w:rPr>
              <w:t>is working with a vendor to approve preschool language and literacy assessments to support classroom instruction.</w:t>
            </w:r>
          </w:p>
        </w:tc>
      </w:tr>
      <w:tr w:rsidR="004939EC" w14:paraId="6F7F6CF0" w14:textId="77777777" w:rsidTr="008D3BF1">
        <w:tc>
          <w:tcPr>
            <w:tcW w:w="1439" w:type="pct"/>
            <w:tcBorders>
              <w:top w:val="single" w:sz="6" w:space="0" w:color="2F5496"/>
              <w:left w:val="single" w:sz="6" w:space="0" w:color="2F5496"/>
              <w:bottom w:val="single" w:sz="6" w:space="0" w:color="2F5496"/>
              <w:right w:val="single" w:sz="6" w:space="0" w:color="2F5496"/>
            </w:tcBorders>
            <w:hideMark/>
          </w:tcPr>
          <w:p w14:paraId="40A99915" w14:textId="77777777" w:rsidR="004939EC" w:rsidRDefault="00000000" w:rsidP="007A0CFB">
            <w:pPr>
              <w:pStyle w:val="TableText"/>
              <w:rPr>
                <w:rFonts w:ascii="Franklin Gothic Demi" w:eastAsia="HGGothicE" w:hAnsi="Franklin Gothic Demi" w:cs="Franklin Gothic Book"/>
                <w:bCs/>
              </w:rPr>
            </w:pPr>
            <w:hyperlink r:id="rId57" w:history="1">
              <w:r w:rsidR="004939EC">
                <w:rPr>
                  <w:rStyle w:val="Hyperlink"/>
                  <w:rFonts w:ascii="Franklin Gothic Book" w:hAnsi="Franklin Gothic Book" w:cs="Calibri"/>
                  <w:szCs w:val="20"/>
                </w:rPr>
                <w:t>Assessment Literacy Continuum</w:t>
              </w:r>
            </w:hyperlink>
          </w:p>
        </w:tc>
        <w:tc>
          <w:tcPr>
            <w:tcW w:w="3561" w:type="pct"/>
            <w:tcBorders>
              <w:top w:val="single" w:sz="6" w:space="0" w:color="2F5496"/>
              <w:left w:val="single" w:sz="6" w:space="0" w:color="2F5496"/>
              <w:bottom w:val="single" w:sz="6" w:space="0" w:color="2F5496"/>
              <w:right w:val="single" w:sz="6" w:space="0" w:color="2F5496"/>
            </w:tcBorders>
            <w:hideMark/>
          </w:tcPr>
          <w:p w14:paraId="4562846F" w14:textId="77777777" w:rsidR="004939EC" w:rsidRDefault="004939EC" w:rsidP="007A0CFB">
            <w:pPr>
              <w:pStyle w:val="TableText"/>
              <w:rPr>
                <w:rFonts w:ascii="Franklin Gothic Demi" w:eastAsia="HGGothicE" w:hAnsi="Franklin Gothic Demi" w:cs="Franklin Gothic Book"/>
                <w:bCs/>
              </w:rPr>
            </w:pPr>
            <w:r>
              <w:rPr>
                <w:rFonts w:ascii="Franklin Gothic Book" w:hAnsi="Franklin Gothic Book" w:cs="Calibri"/>
                <w:color w:val="000000"/>
                <w:szCs w:val="20"/>
              </w:rPr>
              <w:t>Tool to help teachers identify what aspects of assessment literacy they should focus on for their own goal setting.</w:t>
            </w:r>
          </w:p>
        </w:tc>
      </w:tr>
      <w:tr w:rsidR="004939EC" w14:paraId="701AA392" w14:textId="77777777" w:rsidTr="008D3BF1">
        <w:tc>
          <w:tcPr>
            <w:tcW w:w="1439" w:type="pct"/>
            <w:tcBorders>
              <w:top w:val="single" w:sz="6" w:space="0" w:color="2F5496"/>
              <w:left w:val="single" w:sz="6" w:space="0" w:color="2F5496"/>
              <w:bottom w:val="single" w:sz="6" w:space="0" w:color="2F5496"/>
              <w:right w:val="single" w:sz="6" w:space="0" w:color="2F5496"/>
            </w:tcBorders>
            <w:hideMark/>
          </w:tcPr>
          <w:p w14:paraId="0683327F" w14:textId="77777777" w:rsidR="004939EC" w:rsidRDefault="00000000" w:rsidP="007A0CFB">
            <w:pPr>
              <w:pStyle w:val="TableText"/>
              <w:rPr>
                <w:rFonts w:ascii="Franklin Gothic Book" w:eastAsia="Times New Roman" w:hAnsi="Franklin Gothic Book" w:cs="Calibri"/>
              </w:rPr>
            </w:pPr>
            <w:hyperlink r:id="rId58" w:history="1">
              <w:r w:rsidR="004939EC">
                <w:rPr>
                  <w:rStyle w:val="Hyperlink"/>
                  <w:rFonts w:ascii="Franklin Gothic Book" w:eastAsia="Times New Roman" w:hAnsi="Franklin Gothic Book" w:cs="Calibri"/>
                </w:rPr>
                <w:t>District Data Team Toolkit</w:t>
              </w:r>
            </w:hyperlink>
          </w:p>
        </w:tc>
        <w:tc>
          <w:tcPr>
            <w:tcW w:w="3561" w:type="pct"/>
            <w:tcBorders>
              <w:top w:val="single" w:sz="6" w:space="0" w:color="2F5496"/>
              <w:left w:val="single" w:sz="6" w:space="0" w:color="2F5496"/>
              <w:bottom w:val="single" w:sz="6" w:space="0" w:color="2F5496"/>
              <w:right w:val="single" w:sz="6" w:space="0" w:color="2F5496"/>
            </w:tcBorders>
            <w:hideMark/>
          </w:tcPr>
          <w:p w14:paraId="7234D6A0" w14:textId="77777777" w:rsidR="004939EC" w:rsidRDefault="004939EC" w:rsidP="007A0CFB">
            <w:pPr>
              <w:pStyle w:val="TableText"/>
              <w:rPr>
                <w:rFonts w:ascii="Franklin Gothic Book" w:eastAsia="Times New Roman" w:hAnsi="Franklin Gothic Book" w:cs="Times New Roman"/>
                <w:bCs/>
                <w:szCs w:val="20"/>
              </w:rPr>
            </w:pPr>
            <w:r>
              <w:rPr>
                <w:rFonts w:ascii="Franklin Gothic Book" w:eastAsia="Times New Roman" w:hAnsi="Franklin Gothic Book" w:cs="Calibri"/>
                <w:szCs w:val="20"/>
              </w:rPr>
              <w:t>A set of r</w:t>
            </w:r>
            <w:r>
              <w:rPr>
                <w:rFonts w:ascii="Franklin Gothic Book" w:eastAsia="Times New Roman" w:hAnsi="Franklin Gothic Book" w:cs="Calibri"/>
                <w:bCs/>
                <w:szCs w:val="20"/>
              </w:rPr>
              <w:t>esources to help a district establish, grow, and maintain a culture of inquiry and data use through a district data team.</w:t>
            </w:r>
          </w:p>
        </w:tc>
      </w:tr>
      <w:tr w:rsidR="004939EC" w14:paraId="0EED60BB" w14:textId="77777777" w:rsidTr="008D3BF1">
        <w:tc>
          <w:tcPr>
            <w:tcW w:w="1439" w:type="pct"/>
            <w:tcBorders>
              <w:top w:val="single" w:sz="6" w:space="0" w:color="2F5496"/>
              <w:left w:val="single" w:sz="6" w:space="0" w:color="2F5496"/>
              <w:bottom w:val="single" w:sz="6" w:space="0" w:color="2F5496"/>
              <w:right w:val="single" w:sz="6" w:space="0" w:color="2F5496"/>
            </w:tcBorders>
            <w:hideMark/>
          </w:tcPr>
          <w:p w14:paraId="49020429" w14:textId="77777777" w:rsidR="004939EC" w:rsidRDefault="00000000" w:rsidP="007A0CFB">
            <w:pPr>
              <w:pStyle w:val="TableText"/>
              <w:rPr>
                <w14:ligatures w14:val="standardContextual"/>
              </w:rPr>
            </w:pPr>
            <w:hyperlink r:id="rId59" w:history="1">
              <w:r w:rsidR="004939EC">
                <w:rPr>
                  <w:rStyle w:val="Hyperlink"/>
                  <w:rFonts w:ascii="Franklin Gothic Book" w:hAnsi="Franklin Gothic Book" w:cs="Calibri"/>
                  <w:szCs w:val="20"/>
                </w:rPr>
                <w:t>Early Literacy Universal Screening Assessments</w:t>
              </w:r>
            </w:hyperlink>
          </w:p>
        </w:tc>
        <w:tc>
          <w:tcPr>
            <w:tcW w:w="3561" w:type="pct"/>
            <w:tcBorders>
              <w:top w:val="single" w:sz="6" w:space="0" w:color="2F5496"/>
              <w:left w:val="single" w:sz="6" w:space="0" w:color="2F5496"/>
              <w:bottom w:val="single" w:sz="6" w:space="0" w:color="2F5496"/>
              <w:right w:val="single" w:sz="6" w:space="0" w:color="2F5496"/>
            </w:tcBorders>
            <w:hideMark/>
          </w:tcPr>
          <w:p w14:paraId="6D6676ED" w14:textId="77777777" w:rsidR="004939EC" w:rsidRDefault="004939EC" w:rsidP="007A0CFB">
            <w:pPr>
              <w:pStyle w:val="TableText"/>
              <w:rPr>
                <w:rFonts w:ascii="Franklin Gothic Book" w:eastAsia="Times New Roman" w:hAnsi="Franklin Gothic Book" w:cs="Calibri"/>
                <w:szCs w:val="20"/>
              </w:rPr>
            </w:pPr>
            <w:r>
              <w:rPr>
                <w:rFonts w:ascii="Franklin Gothic Book" w:hAnsi="Franklin Gothic Book" w:cs="Calibri"/>
                <w:color w:val="000000"/>
                <w:szCs w:val="20"/>
              </w:rPr>
              <w:t>Guidance and support for schools and districts to select and use an early literacy universal screening assessment. Grant funding may be available.</w:t>
            </w:r>
          </w:p>
        </w:tc>
      </w:tr>
      <w:tr w:rsidR="004939EC" w14:paraId="4E5D8EA0" w14:textId="77777777" w:rsidTr="008D3BF1">
        <w:tc>
          <w:tcPr>
            <w:tcW w:w="1439" w:type="pct"/>
            <w:tcBorders>
              <w:top w:val="single" w:sz="6" w:space="0" w:color="2F5496"/>
              <w:left w:val="single" w:sz="6" w:space="0" w:color="2F5496"/>
              <w:bottom w:val="single" w:sz="6" w:space="0" w:color="2F5496"/>
              <w:right w:val="single" w:sz="6" w:space="0" w:color="2F5496"/>
            </w:tcBorders>
            <w:hideMark/>
          </w:tcPr>
          <w:p w14:paraId="43A49883" w14:textId="77777777" w:rsidR="004939EC" w:rsidRDefault="00000000" w:rsidP="007A0CFB">
            <w:pPr>
              <w:pStyle w:val="TableText"/>
              <w:rPr>
                <w:rFonts w:ascii="Franklin Gothic Book" w:eastAsia="Times New Roman" w:hAnsi="Franklin Gothic Book" w:cs="Calibri"/>
                <w:szCs w:val="20"/>
              </w:rPr>
            </w:pPr>
            <w:hyperlink r:id="rId60" w:history="1">
              <w:r w:rsidR="004939EC">
                <w:rPr>
                  <w:rStyle w:val="Hyperlink"/>
                  <w:rFonts w:ascii="Franklin Gothic Book" w:hAnsi="Franklin Gothic Book" w:cs="Calibri"/>
                  <w:szCs w:val="20"/>
                </w:rPr>
                <w:t>Student Assessment</w:t>
              </w:r>
            </w:hyperlink>
          </w:p>
        </w:tc>
        <w:tc>
          <w:tcPr>
            <w:tcW w:w="3561" w:type="pct"/>
            <w:tcBorders>
              <w:top w:val="single" w:sz="6" w:space="0" w:color="2F5496"/>
              <w:left w:val="single" w:sz="6" w:space="0" w:color="2F5496"/>
              <w:bottom w:val="single" w:sz="6" w:space="0" w:color="2F5496"/>
              <w:right w:val="single" w:sz="6" w:space="0" w:color="2F5496"/>
            </w:tcBorders>
            <w:hideMark/>
          </w:tcPr>
          <w:p w14:paraId="1C7BA45F" w14:textId="77777777" w:rsidR="004939EC" w:rsidRDefault="004939EC" w:rsidP="007A0CFB">
            <w:pPr>
              <w:pStyle w:val="TableText"/>
              <w:rPr>
                <w:rFonts w:ascii="Franklin Gothic Book" w:eastAsia="Times New Roman" w:hAnsi="Franklin Gothic Book" w:cs="Calibri"/>
                <w:szCs w:val="20"/>
              </w:rPr>
            </w:pPr>
            <w:r>
              <w:rPr>
                <w:rFonts w:ascii="Franklin Gothic Book" w:hAnsi="Franklin Gothic Book" w:cs="Calibri"/>
                <w:color w:val="000000"/>
                <w:szCs w:val="20"/>
              </w:rPr>
              <w:t>Statewide assessments help parents, students, educators, and policymakers determine where districts, schools, and students are meeting expectations and where they need additional support.</w:t>
            </w:r>
          </w:p>
        </w:tc>
      </w:tr>
    </w:tbl>
    <w:p w14:paraId="76358037" w14:textId="77777777" w:rsidR="004939EC" w:rsidRDefault="004939EC" w:rsidP="007A0CFB">
      <w:pPr>
        <w:pStyle w:val="TableTitle0"/>
      </w:pPr>
      <w:r>
        <w:lastRenderedPageBreak/>
        <w:t>Table C4. Resources to Support Human Resources and Professional Development</w:t>
      </w:r>
    </w:p>
    <w:tbl>
      <w:tblPr>
        <w:tblStyle w:val="MSVTable1"/>
        <w:tblW w:w="5004" w:type="pct"/>
        <w:tblLook w:val="0620" w:firstRow="1" w:lastRow="0" w:firstColumn="0" w:lastColumn="0" w:noHBand="1" w:noVBand="1"/>
      </w:tblPr>
      <w:tblGrid>
        <w:gridCol w:w="2692"/>
        <w:gridCol w:w="6659"/>
      </w:tblGrid>
      <w:tr w:rsidR="004939EC" w14:paraId="1E223198" w14:textId="77777777" w:rsidTr="008D3BF1">
        <w:trPr>
          <w:cnfStyle w:val="100000000000" w:firstRow="1" w:lastRow="0" w:firstColumn="0" w:lastColumn="0" w:oddVBand="0" w:evenVBand="0" w:oddHBand="0" w:evenHBand="0" w:firstRowFirstColumn="0" w:firstRowLastColumn="0" w:lastRowFirstColumn="0" w:lastRowLastColumn="0"/>
          <w:tblHeader/>
        </w:trPr>
        <w:tc>
          <w:tcPr>
            <w:tcW w:w="2692" w:type="dxa"/>
            <w:tcBorders>
              <w:top w:val="single" w:sz="6" w:space="0" w:color="2F5496"/>
              <w:left w:val="single" w:sz="6" w:space="0" w:color="2F5496"/>
              <w:bottom w:val="single" w:sz="6" w:space="0" w:color="2F5496"/>
            </w:tcBorders>
            <w:hideMark/>
          </w:tcPr>
          <w:p w14:paraId="7D84B3FD" w14:textId="77777777" w:rsidR="004939EC" w:rsidRDefault="004939EC" w:rsidP="007A0CFB">
            <w:pPr>
              <w:pStyle w:val="TableColHeadingLeft"/>
            </w:pPr>
            <w:r>
              <w:t>Resource</w:t>
            </w:r>
          </w:p>
        </w:tc>
        <w:tc>
          <w:tcPr>
            <w:tcW w:w="6659" w:type="dxa"/>
            <w:tcBorders>
              <w:top w:val="single" w:sz="6" w:space="0" w:color="2F5496"/>
              <w:bottom w:val="single" w:sz="6" w:space="0" w:color="2F5496"/>
              <w:right w:val="single" w:sz="6" w:space="0" w:color="2F5496"/>
            </w:tcBorders>
            <w:hideMark/>
          </w:tcPr>
          <w:p w14:paraId="66F9F468" w14:textId="77777777" w:rsidR="004939EC" w:rsidRDefault="004939EC" w:rsidP="007A0CFB">
            <w:pPr>
              <w:pStyle w:val="TableColHeadingLeft"/>
            </w:pPr>
            <w:r>
              <w:t>Description</w:t>
            </w:r>
          </w:p>
        </w:tc>
      </w:tr>
      <w:tr w:rsidR="004939EC" w14:paraId="537626D0"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20D558B5" w14:textId="77777777" w:rsidR="004939EC" w:rsidRDefault="00000000" w:rsidP="007A0CFB">
            <w:pPr>
              <w:pStyle w:val="TableText"/>
              <w:rPr>
                <w:rFonts w:ascii="Franklin Gothic Demi" w:eastAsia="HGGothicE" w:hAnsi="Franklin Gothic Demi" w:cs="Franklin Gothic Book"/>
                <w:bCs/>
              </w:rPr>
            </w:pPr>
            <w:hyperlink r:id="rId61" w:history="1">
              <w:r w:rsidR="004939EC">
                <w:rPr>
                  <w:rStyle w:val="Hyperlink"/>
                  <w:rFonts w:ascii="Franklin Gothic Book" w:hAnsi="Franklin Gothic Book" w:cs="Calibri"/>
                  <w:szCs w:val="20"/>
                </w:rPr>
                <w:t>Early Literacy Observation Form</w:t>
              </w:r>
            </w:hyperlink>
          </w:p>
        </w:tc>
        <w:tc>
          <w:tcPr>
            <w:tcW w:w="6659" w:type="dxa"/>
            <w:tcBorders>
              <w:top w:val="single" w:sz="6" w:space="0" w:color="2F5496"/>
              <w:left w:val="single" w:sz="6" w:space="0" w:color="2F5496"/>
              <w:bottom w:val="single" w:sz="6" w:space="0" w:color="2F5496"/>
              <w:right w:val="single" w:sz="6" w:space="0" w:color="2F5496"/>
            </w:tcBorders>
            <w:hideMark/>
          </w:tcPr>
          <w:p w14:paraId="33B8CBFB" w14:textId="77777777" w:rsidR="004939EC" w:rsidRDefault="004939EC" w:rsidP="007A0CFB">
            <w:pPr>
              <w:pStyle w:val="TableText"/>
              <w:rPr>
                <w:rFonts w:ascii="Franklin Gothic Demi" w:eastAsia="HGGothicE" w:hAnsi="Franklin Gothic Demi" w:cs="Franklin Gothic Book"/>
                <w:bCs/>
              </w:rPr>
            </w:pPr>
            <w:r>
              <w:rPr>
                <w:rFonts w:ascii="Franklin Gothic Book" w:hAnsi="Franklin Gothic Book" w:cs="Calibri"/>
                <w:color w:val="000000"/>
                <w:szCs w:val="20"/>
              </w:rPr>
              <w:t>This tool supports the observation and provision of high-quality feedback to teacher candidates on their practice in evidence-based early literacy.</w:t>
            </w:r>
          </w:p>
        </w:tc>
      </w:tr>
      <w:tr w:rsidR="004939EC" w14:paraId="031F60B6"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76BBD01A" w14:textId="77777777" w:rsidR="004939EC" w:rsidRDefault="00000000" w:rsidP="007A0CFB">
            <w:pPr>
              <w:pStyle w:val="TableText"/>
              <w:rPr>
                <w:rFonts w:ascii="Franklin Gothic Demi" w:eastAsia="HGGothicE" w:hAnsi="Franklin Gothic Demi" w:cs="Franklin Gothic Book"/>
                <w:bCs/>
              </w:rPr>
            </w:pPr>
            <w:hyperlink r:id="rId62" w:history="1">
              <w:r w:rsidR="004939EC">
                <w:rPr>
                  <w:rStyle w:val="Hyperlink"/>
                  <w:rFonts w:ascii="Franklin Gothic Book" w:hAnsi="Franklin Gothic Book" w:cs="Calibri"/>
                  <w:szCs w:val="20"/>
                </w:rPr>
                <w:t>Educator Evaluation Implementation Resources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1E2B6DC8" w14:textId="77777777" w:rsidR="004939EC" w:rsidRDefault="004939EC" w:rsidP="007A0CFB">
            <w:pPr>
              <w:pStyle w:val="TableText"/>
              <w:rPr>
                <w:rFonts w:ascii="Franklin Gothic Demi" w:eastAsia="HGGothicE" w:hAnsi="Franklin Gothic Demi" w:cs="Franklin Gothic Book"/>
                <w:bCs/>
              </w:rPr>
            </w:pPr>
            <w:r>
              <w:rPr>
                <w:rFonts w:ascii="Franklin Gothic Book" w:hAnsi="Franklin Gothic Book"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4939EC" w14:paraId="28A1177D"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65CDCB6E" w14:textId="77777777" w:rsidR="004939EC" w:rsidRDefault="004939EC" w:rsidP="007A0CFB">
            <w:pPr>
              <w:pStyle w:val="TableText"/>
              <w:rPr>
                <w14:ligatures w14:val="standardContextual"/>
              </w:rPr>
            </w:pPr>
            <w:r>
              <w:t>Induction and Mentoring:</w:t>
            </w:r>
          </w:p>
          <w:p w14:paraId="23022656" w14:textId="77777777" w:rsidR="004939EC" w:rsidRDefault="00000000" w:rsidP="007A0CFB">
            <w:pPr>
              <w:pStyle w:val="TableBullet1"/>
              <w:rPr>
                <w:rStyle w:val="Hyperlink"/>
              </w:rPr>
            </w:pPr>
            <w:hyperlink r:id="rId63" w:history="1">
              <w:r w:rsidR="004939EC">
                <w:rPr>
                  <w:rStyle w:val="Hyperlink"/>
                  <w:rFonts w:ascii="Franklin Gothic Book" w:hAnsi="Franklin Gothic Book" w:cs="Calibri"/>
                  <w:szCs w:val="20"/>
                </w:rPr>
                <w:t>Teacher Induction and Mentoring</w:t>
              </w:r>
            </w:hyperlink>
          </w:p>
          <w:p w14:paraId="248586E3" w14:textId="77777777" w:rsidR="004939EC" w:rsidRDefault="00000000" w:rsidP="007A0CFB">
            <w:pPr>
              <w:pStyle w:val="TableBullet1"/>
              <w:rPr>
                <w:rFonts w:ascii="Franklin Gothic Book" w:eastAsia="Franklin Gothic Book" w:hAnsi="Franklin Gothic Book" w:cs="Tahoma"/>
                <w:szCs w:val="20"/>
              </w:rPr>
            </w:pPr>
            <w:hyperlink r:id="rId64" w:history="1">
              <w:r w:rsidR="004939EC">
                <w:rPr>
                  <w:rStyle w:val="Hyperlink"/>
                  <w:rFonts w:ascii="Franklin Gothic Book" w:hAnsi="Franklin Gothic Book" w:cs="Calibri"/>
                  <w:szCs w:val="20"/>
                </w:rPr>
                <w:t>Principal Induction and Mentoring</w:t>
              </w:r>
            </w:hyperlink>
          </w:p>
        </w:tc>
        <w:tc>
          <w:tcPr>
            <w:tcW w:w="6659" w:type="dxa"/>
            <w:tcBorders>
              <w:top w:val="single" w:sz="6" w:space="0" w:color="2F5496"/>
              <w:left w:val="single" w:sz="6" w:space="0" w:color="2F5496"/>
              <w:bottom w:val="single" w:sz="6" w:space="0" w:color="2F5496"/>
              <w:right w:val="single" w:sz="6" w:space="0" w:color="2F5496"/>
            </w:tcBorders>
            <w:hideMark/>
          </w:tcPr>
          <w:p w14:paraId="31947D8B" w14:textId="3C12232D" w:rsidR="004939EC" w:rsidRDefault="004939EC" w:rsidP="007A0CFB">
            <w:pPr>
              <w:pStyle w:val="TableText"/>
              <w:rPr>
                <w:rFonts w:eastAsia="Franklin Gothic Book" w:cs="Tahoma"/>
              </w:rPr>
            </w:pPr>
            <w:r>
              <w:t>Resources that highlight best practices and reinforce the recently updated guidelines and standards for induction and mentoring.</w:t>
            </w:r>
          </w:p>
        </w:tc>
      </w:tr>
      <w:tr w:rsidR="004939EC" w14:paraId="4F3DA4A5" w14:textId="77777777" w:rsidTr="008D3BF1">
        <w:tc>
          <w:tcPr>
            <w:tcW w:w="2692" w:type="dxa"/>
            <w:tcBorders>
              <w:top w:val="single" w:sz="6" w:space="0" w:color="2F5496"/>
              <w:left w:val="single" w:sz="6" w:space="0" w:color="2F5496"/>
              <w:bottom w:val="single" w:sz="6" w:space="0" w:color="2F5496"/>
              <w:right w:val="single" w:sz="6" w:space="0" w:color="2F5496"/>
            </w:tcBorders>
          </w:tcPr>
          <w:p w14:paraId="1E41312E" w14:textId="7734D24B" w:rsidR="004939EC" w:rsidRDefault="00000000" w:rsidP="007A0CFB">
            <w:pPr>
              <w:pStyle w:val="TableText"/>
              <w:rPr>
                <w:rFonts w:eastAsia="Franklin Gothic Book" w:cs="Tahoma"/>
              </w:rPr>
            </w:pPr>
            <w:hyperlink r:id="rId65" w:history="1">
              <w:r w:rsidR="004939EC">
                <w:rPr>
                  <w:rStyle w:val="Hyperlink"/>
                  <w:rFonts w:ascii="Franklin Gothic Book" w:hAnsi="Franklin Gothic Book" w:cs="Calibri"/>
                  <w:szCs w:val="20"/>
                </w:rPr>
                <w:t>Massachusetts Tests for Educator Licensure (MTEL)</w:t>
              </w:r>
            </w:hyperlink>
          </w:p>
        </w:tc>
        <w:tc>
          <w:tcPr>
            <w:tcW w:w="6659" w:type="dxa"/>
            <w:tcBorders>
              <w:top w:val="single" w:sz="6" w:space="0" w:color="2F5496"/>
              <w:left w:val="single" w:sz="6" w:space="0" w:color="2F5496"/>
              <w:bottom w:val="single" w:sz="6" w:space="0" w:color="2F5496"/>
              <w:right w:val="single" w:sz="6" w:space="0" w:color="2F5496"/>
            </w:tcBorders>
            <w:hideMark/>
          </w:tcPr>
          <w:p w14:paraId="460880AF" w14:textId="77777777" w:rsidR="004939EC" w:rsidRDefault="004939EC" w:rsidP="007A0CFB">
            <w:pPr>
              <w:pStyle w:val="TableText"/>
              <w:rPr>
                <w:rFonts w:eastAsia="Franklin Gothic Book" w:cs="Tahoma"/>
              </w:rPr>
            </w:pPr>
            <w:r>
              <w:rPr>
                <w:color w:val="000000"/>
              </w:rPr>
              <w:t xml:space="preserve">Information on MTEL exams, MTEL alternatives, and licensure requirements for educators. </w:t>
            </w:r>
          </w:p>
        </w:tc>
      </w:tr>
      <w:tr w:rsidR="004939EC" w14:paraId="6C79FB4E"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0AE23D70" w14:textId="77777777" w:rsidR="004939EC" w:rsidRDefault="00000000" w:rsidP="007A0CFB">
            <w:pPr>
              <w:pStyle w:val="TableText"/>
              <w:rPr>
                <w14:ligatures w14:val="standardContextual"/>
              </w:rPr>
            </w:pPr>
            <w:hyperlink r:id="rId66" w:history="1">
              <w:r w:rsidR="004939EC">
                <w:rPr>
                  <w:rStyle w:val="Hyperlink"/>
                  <w:rFonts w:ascii="Franklin Gothic Book" w:hAnsi="Franklin Gothic Book" w:cs="Calibri"/>
                  <w:szCs w:val="20"/>
                </w:rPr>
                <w:t>OPTIC</w:t>
              </w:r>
            </w:hyperlink>
          </w:p>
        </w:tc>
        <w:tc>
          <w:tcPr>
            <w:tcW w:w="6659" w:type="dxa"/>
            <w:tcBorders>
              <w:top w:val="single" w:sz="6" w:space="0" w:color="2F5496"/>
              <w:left w:val="single" w:sz="6" w:space="0" w:color="2F5496"/>
              <w:bottom w:val="single" w:sz="6" w:space="0" w:color="2F5496"/>
              <w:right w:val="single" w:sz="6" w:space="0" w:color="2F5496"/>
            </w:tcBorders>
            <w:hideMark/>
          </w:tcPr>
          <w:p w14:paraId="245BAFF4" w14:textId="77777777" w:rsidR="004939EC" w:rsidRDefault="004939EC" w:rsidP="007A0CFB">
            <w:pPr>
              <w:pStyle w:val="TableText"/>
              <w:rPr>
                <w:rFonts w:eastAsia="Franklin Gothic Book" w:cs="Tahoma"/>
              </w:rPr>
            </w:pPr>
            <w:r>
              <w:rPr>
                <w:color w:val="000000"/>
              </w:rPr>
              <w:t>A professional development tool that supports Massachusetts educators to build a shared understanding of high-quality instruction and improve the feedback that teachers receive.</w:t>
            </w:r>
          </w:p>
        </w:tc>
      </w:tr>
      <w:tr w:rsidR="004939EC" w14:paraId="135610FF"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1EAACD1C" w14:textId="77777777" w:rsidR="004939EC" w:rsidRDefault="00000000" w:rsidP="007A0CFB">
            <w:pPr>
              <w:pStyle w:val="TableText"/>
              <w:rPr>
                <w14:ligatures w14:val="standardContextual"/>
              </w:rPr>
            </w:pPr>
            <w:hyperlink r:id="rId67" w:history="1">
              <w:r w:rsidR="004939EC">
                <w:rPr>
                  <w:rStyle w:val="Hyperlink"/>
                  <w:rFonts w:ascii="Franklin Gothic Book" w:hAnsi="Franklin Gothic Book" w:cs="Calibri"/>
                </w:rPr>
                <w:t>Professional Learning Partner Guide</w:t>
              </w:r>
            </w:hyperlink>
          </w:p>
        </w:tc>
        <w:tc>
          <w:tcPr>
            <w:tcW w:w="6659" w:type="dxa"/>
            <w:tcBorders>
              <w:top w:val="single" w:sz="6" w:space="0" w:color="2F5496"/>
              <w:left w:val="single" w:sz="6" w:space="0" w:color="2F5496"/>
              <w:bottom w:val="single" w:sz="6" w:space="0" w:color="2F5496"/>
              <w:right w:val="single" w:sz="6" w:space="0" w:color="2F5496"/>
            </w:tcBorders>
            <w:hideMark/>
          </w:tcPr>
          <w:p w14:paraId="198B62B2" w14:textId="40747278" w:rsidR="004939EC" w:rsidRDefault="004939EC" w:rsidP="007A0CFB">
            <w:pPr>
              <w:pStyle w:val="TableText"/>
              <w:rPr>
                <w:color w:val="000000"/>
              </w:rPr>
            </w:pPr>
            <w:r>
              <w:rPr>
                <w:color w:val="000000" w:themeColor="text1"/>
              </w:rPr>
              <w:t xml:space="preserve">A free, online, searchable list of vetted professional development providers who have expertise in specific sets of high-quality instructional materials. Schools and districts can use this guide to easily find </w:t>
            </w:r>
            <w:r w:rsidR="008D3BF1">
              <w:rPr>
                <w:color w:val="000000" w:themeColor="text1"/>
              </w:rPr>
              <w:t xml:space="preserve">professional development </w:t>
            </w:r>
            <w:r>
              <w:rPr>
                <w:color w:val="000000" w:themeColor="text1"/>
              </w:rPr>
              <w:t>providers to support the launch or implementation of high-quality instructional materials.</w:t>
            </w:r>
          </w:p>
        </w:tc>
      </w:tr>
      <w:tr w:rsidR="004939EC" w14:paraId="2BDECC26"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67D6C14E" w14:textId="77777777" w:rsidR="004939EC" w:rsidRDefault="00000000" w:rsidP="007A0CFB">
            <w:pPr>
              <w:pStyle w:val="TableText"/>
              <w:rPr>
                <w:rFonts w:eastAsia="Franklin Gothic Book" w:cs="Tahoma"/>
              </w:rPr>
            </w:pPr>
            <w:hyperlink r:id="rId68" w:history="1">
              <w:r w:rsidR="004939EC">
                <w:rPr>
                  <w:rStyle w:val="Hyperlink"/>
                  <w:rFonts w:ascii="Franklin Gothic Book" w:hAnsi="Franklin Gothic Book" w:cs="Calibri"/>
                  <w:szCs w:val="20"/>
                </w:rPr>
                <w:t>“What to Look For” Observation Guides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34C2AFCB" w14:textId="77777777" w:rsidR="004939EC" w:rsidRDefault="004939EC" w:rsidP="007A0CFB">
            <w:pPr>
              <w:pStyle w:val="TableText"/>
              <w:rPr>
                <w:rFonts w:eastAsia="Franklin Gothic Book" w:cs="Tahoma"/>
              </w:rPr>
            </w:pPr>
            <w:r>
              <w:rPr>
                <w:color w:val="000000"/>
              </w:rPr>
              <w:t>Observation tools to help district staff observe instruction.</w:t>
            </w:r>
          </w:p>
        </w:tc>
      </w:tr>
      <w:tr w:rsidR="004939EC" w14:paraId="32E2A4DF"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1D4A99A2" w14:textId="77777777" w:rsidR="004939EC" w:rsidRDefault="00000000" w:rsidP="007A0CFB">
            <w:pPr>
              <w:pStyle w:val="TableText"/>
              <w:rPr>
                <w:rFonts w:eastAsia="Franklin Gothic Book" w:cs="Tahoma"/>
              </w:rPr>
            </w:pPr>
            <w:hyperlink r:id="rId69" w:history="1">
              <w:r w:rsidR="004939EC">
                <w:rPr>
                  <w:rStyle w:val="Hyperlink"/>
                  <w:rFonts w:ascii="Franklin Gothic Book" w:hAnsi="Franklin Gothic Book" w:cs="Calibri"/>
                  <w:szCs w:val="20"/>
                </w:rPr>
                <w:t>Talent Guide</w:t>
              </w:r>
            </w:hyperlink>
          </w:p>
        </w:tc>
        <w:tc>
          <w:tcPr>
            <w:tcW w:w="6659" w:type="dxa"/>
            <w:tcBorders>
              <w:top w:val="single" w:sz="6" w:space="0" w:color="2F5496"/>
              <w:left w:val="single" w:sz="6" w:space="0" w:color="2F5496"/>
              <w:bottom w:val="single" w:sz="6" w:space="0" w:color="2F5496"/>
              <w:right w:val="single" w:sz="6" w:space="0" w:color="2F5496"/>
            </w:tcBorders>
            <w:hideMark/>
          </w:tcPr>
          <w:p w14:paraId="51F4AECC" w14:textId="77777777" w:rsidR="004939EC" w:rsidRDefault="004939EC" w:rsidP="007A0CFB">
            <w:pPr>
              <w:pStyle w:val="TableText"/>
              <w:rPr>
                <w:rFonts w:eastAsia="Franklin Gothic Book" w:cs="Tahoma"/>
              </w:rPr>
            </w:pPr>
            <w:r>
              <w:rPr>
                <w:color w:val="000000"/>
              </w:rPr>
              <w:t>An online hub of resources, considerations, and updates for recruiting, hiring, evaluating, and supporting educators and school staff, with a focus on equity.</w:t>
            </w:r>
          </w:p>
        </w:tc>
      </w:tr>
      <w:tr w:rsidR="004939EC" w14:paraId="43097541"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3BDBD3E8" w14:textId="77777777" w:rsidR="004939EC" w:rsidRDefault="00000000" w:rsidP="007A0CFB">
            <w:pPr>
              <w:pStyle w:val="TableText"/>
              <w:rPr>
                <w:rFonts w:ascii="Franklin Gothic Book" w:eastAsia="Franklin Gothic Book" w:hAnsi="Franklin Gothic Book" w:cs="Tahoma"/>
                <w:szCs w:val="20"/>
              </w:rPr>
            </w:pPr>
            <w:hyperlink r:id="rId70" w:history="1">
              <w:r w:rsidR="004939EC">
                <w:rPr>
                  <w:rStyle w:val="Hyperlink"/>
                  <w:rFonts w:ascii="Franklin Gothic Book" w:hAnsi="Franklin Gothic Book" w:cs="Calibri"/>
                  <w:szCs w:val="20"/>
                </w:rPr>
                <w:t>WIDA Professional Development</w:t>
              </w:r>
            </w:hyperlink>
          </w:p>
        </w:tc>
        <w:tc>
          <w:tcPr>
            <w:tcW w:w="6659" w:type="dxa"/>
            <w:tcBorders>
              <w:top w:val="single" w:sz="6" w:space="0" w:color="2F5496"/>
              <w:left w:val="single" w:sz="6" w:space="0" w:color="2F5496"/>
              <w:bottom w:val="single" w:sz="6" w:space="0" w:color="2F5496"/>
              <w:right w:val="single" w:sz="6" w:space="0" w:color="2F5496"/>
            </w:tcBorders>
            <w:hideMark/>
          </w:tcPr>
          <w:p w14:paraId="7B5D3D66" w14:textId="64101B91" w:rsidR="004939EC" w:rsidRDefault="008D3BF1" w:rsidP="007A0CFB">
            <w:pPr>
              <w:pStyle w:val="TableText"/>
              <w:rPr>
                <w:rFonts w:ascii="Franklin Gothic Book" w:eastAsia="Franklin Gothic Book" w:hAnsi="Franklin Gothic Book" w:cs="Tahoma"/>
                <w:szCs w:val="20"/>
              </w:rPr>
            </w:pPr>
            <w:r>
              <w:rPr>
                <w:rFonts w:ascii="Franklin Gothic Book" w:hAnsi="Franklin Gothic Book" w:cs="Calibri"/>
                <w:color w:val="000000"/>
                <w:szCs w:val="20"/>
              </w:rPr>
              <w:t>P</w:t>
            </w:r>
            <w:r w:rsidR="004939EC">
              <w:rPr>
                <w:rFonts w:ascii="Franklin Gothic Book" w:hAnsi="Franklin Gothic Book" w:cs="Calibri"/>
                <w:color w:val="000000"/>
                <w:szCs w:val="20"/>
              </w:rPr>
              <w:t>rovides great information and strategies to support multilingual learners in Massachusetts public schools, and WIDA PDPs satisfy educator licensure renewal requirements. These DESE</w:t>
            </w:r>
            <w:r>
              <w:rPr>
                <w:rFonts w:ascii="Franklin Gothic Book" w:hAnsi="Franklin Gothic Book" w:cs="Calibri"/>
                <w:color w:val="000000"/>
                <w:szCs w:val="20"/>
              </w:rPr>
              <w:t>-s</w:t>
            </w:r>
            <w:r w:rsidR="004939EC">
              <w:rPr>
                <w:rFonts w:ascii="Franklin Gothic Book" w:hAnsi="Franklin Gothic Book" w:cs="Calibri"/>
                <w:color w:val="000000"/>
                <w:szCs w:val="20"/>
              </w:rPr>
              <w:t>ponsored courses are available at no cost to participants and are perfect for teams of teachers seeking impactful collaboration to support students' access to rigorous course content.</w:t>
            </w:r>
          </w:p>
        </w:tc>
      </w:tr>
    </w:tbl>
    <w:p w14:paraId="5CE41A8D" w14:textId="77777777" w:rsidR="004939EC" w:rsidRDefault="004939EC" w:rsidP="007A0CFB">
      <w:pPr>
        <w:pStyle w:val="TableTitle0"/>
      </w:pPr>
      <w:r>
        <w:t>Table C5. Resources to Support Student Support</w:t>
      </w:r>
    </w:p>
    <w:tbl>
      <w:tblPr>
        <w:tblStyle w:val="MSVTable1"/>
        <w:tblW w:w="5000" w:type="pct"/>
        <w:tblLook w:val="0620" w:firstRow="1" w:lastRow="0" w:firstColumn="0" w:lastColumn="0" w:noHBand="1" w:noVBand="1"/>
      </w:tblPr>
      <w:tblGrid>
        <w:gridCol w:w="2692"/>
        <w:gridCol w:w="6652"/>
      </w:tblGrid>
      <w:tr w:rsidR="004939EC" w14:paraId="4DB11B8B" w14:textId="77777777" w:rsidTr="008D3BF1">
        <w:trPr>
          <w:cnfStyle w:val="100000000000" w:firstRow="1" w:lastRow="0" w:firstColumn="0" w:lastColumn="0" w:oddVBand="0" w:evenVBand="0" w:oddHBand="0" w:evenHBand="0" w:firstRowFirstColumn="0" w:firstRowLastColumn="0" w:lastRowFirstColumn="0" w:lastRowLastColumn="0"/>
          <w:tblHeader/>
        </w:trPr>
        <w:tc>
          <w:tcPr>
            <w:tcW w:w="2692" w:type="dxa"/>
            <w:tcBorders>
              <w:top w:val="single" w:sz="6" w:space="0" w:color="2F5496"/>
              <w:left w:val="single" w:sz="6" w:space="0" w:color="2F5496"/>
              <w:bottom w:val="single" w:sz="6" w:space="0" w:color="2F5496"/>
            </w:tcBorders>
            <w:hideMark/>
          </w:tcPr>
          <w:p w14:paraId="35DB6831" w14:textId="77777777" w:rsidR="004939EC" w:rsidRDefault="004939EC">
            <w:pPr>
              <w:rPr>
                <w:rFonts w:ascii="Franklin Gothic Demi" w:eastAsia="HGGothicE" w:hAnsi="Franklin Gothic Demi" w:cs="Franklin Gothic Book"/>
                <w:bCs/>
                <w:sz w:val="20"/>
              </w:rPr>
            </w:pPr>
            <w:r>
              <w:rPr>
                <w:rFonts w:ascii="Franklin Gothic Demi" w:eastAsia="HGGothicE" w:hAnsi="Franklin Gothic Demi" w:cs="Franklin Gothic Book"/>
                <w:bCs/>
                <w:sz w:val="20"/>
              </w:rPr>
              <w:t xml:space="preserve">Resource </w:t>
            </w:r>
          </w:p>
        </w:tc>
        <w:tc>
          <w:tcPr>
            <w:tcW w:w="6652" w:type="dxa"/>
            <w:tcBorders>
              <w:top w:val="single" w:sz="6" w:space="0" w:color="2F5496"/>
              <w:bottom w:val="single" w:sz="6" w:space="0" w:color="2F5496"/>
              <w:right w:val="single" w:sz="6" w:space="0" w:color="2F5496"/>
            </w:tcBorders>
            <w:hideMark/>
          </w:tcPr>
          <w:p w14:paraId="3D38F8E4" w14:textId="77777777" w:rsidR="004939EC" w:rsidRDefault="004939EC">
            <w:pPr>
              <w:rPr>
                <w:rFonts w:ascii="Franklin Gothic Demi" w:eastAsia="HGGothicE" w:hAnsi="Franklin Gothic Demi" w:cs="Franklin Gothic Book"/>
                <w:bCs/>
                <w:sz w:val="20"/>
              </w:rPr>
            </w:pPr>
            <w:r>
              <w:rPr>
                <w:rFonts w:ascii="Franklin Gothic Demi" w:eastAsia="HGGothicE" w:hAnsi="Franklin Gothic Demi" w:cs="Franklin Gothic Book"/>
                <w:bCs/>
                <w:sz w:val="20"/>
              </w:rPr>
              <w:t>Description</w:t>
            </w:r>
          </w:p>
        </w:tc>
      </w:tr>
      <w:tr w:rsidR="004939EC" w14:paraId="2C80AFE6"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1E7A7FBC" w14:textId="77777777" w:rsidR="004939EC" w:rsidRPr="007A0CFB" w:rsidRDefault="00000000" w:rsidP="007A0CFB">
            <w:pPr>
              <w:pStyle w:val="TableText"/>
              <w:rPr>
                <w:rStyle w:val="Hyperlink"/>
              </w:rPr>
            </w:pPr>
            <w:hyperlink r:id="rId71" w:history="1">
              <w:r w:rsidR="004939EC" w:rsidRPr="007A0CFB">
                <w:rPr>
                  <w:rStyle w:val="Hyperlink"/>
                </w:rPr>
                <w:t>Bullying Prevention and Intervention</w:t>
              </w:r>
            </w:hyperlink>
          </w:p>
        </w:tc>
        <w:tc>
          <w:tcPr>
            <w:tcW w:w="6652" w:type="dxa"/>
            <w:tcBorders>
              <w:top w:val="single" w:sz="6" w:space="0" w:color="2F5496"/>
              <w:left w:val="single" w:sz="6" w:space="0" w:color="2F5496"/>
              <w:bottom w:val="single" w:sz="6" w:space="0" w:color="2F5496"/>
              <w:right w:val="single" w:sz="6" w:space="0" w:color="2F5496"/>
            </w:tcBorders>
            <w:hideMark/>
          </w:tcPr>
          <w:p w14:paraId="5C8319C6" w14:textId="1DB1CADF" w:rsidR="004939EC" w:rsidRDefault="004939EC" w:rsidP="007A0CFB">
            <w:pPr>
              <w:pStyle w:val="TableText"/>
              <w:rPr>
                <w:rFonts w:ascii="Franklin Gothic Demi" w:eastAsia="HGGothicE" w:hAnsi="Franklin Gothic Demi" w:cs="Franklin Gothic Book"/>
                <w:bCs/>
              </w:rPr>
            </w:pPr>
            <w:r>
              <w:rPr>
                <w:rFonts w:ascii="Franklin Gothic Book" w:hAnsi="Franklin Gothic Book" w:cs="Calibri"/>
                <w:color w:val="000000" w:themeColor="text1"/>
              </w:rPr>
              <w:t xml:space="preserve">DESE’s Guidance and Technical Assistance for districts/schools related to state requirements </w:t>
            </w:r>
            <w:r w:rsidR="008D3BF1">
              <w:rPr>
                <w:rFonts w:ascii="Franklin Gothic Book" w:hAnsi="Franklin Gothic Book" w:cs="Calibri"/>
                <w:color w:val="000000" w:themeColor="text1"/>
              </w:rPr>
              <w:t xml:space="preserve">for </w:t>
            </w:r>
            <w:r>
              <w:rPr>
                <w:rFonts w:ascii="Franklin Gothic Book" w:hAnsi="Franklin Gothic Book" w:cs="Calibri"/>
                <w:color w:val="000000" w:themeColor="text1"/>
              </w:rPr>
              <w:t xml:space="preserve">bullying prevention and intervention. </w:t>
            </w:r>
          </w:p>
        </w:tc>
      </w:tr>
      <w:tr w:rsidR="004939EC" w14:paraId="799F9CFF"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5FE8E4C4" w14:textId="77777777" w:rsidR="004939EC" w:rsidRDefault="004939EC" w:rsidP="007A0CFB">
            <w:pPr>
              <w:pStyle w:val="TableText"/>
              <w:rPr>
                <w14:ligatures w14:val="standardContextual"/>
              </w:rPr>
            </w:pPr>
            <w:r>
              <w:t>Emergency Management</w:t>
            </w:r>
          </w:p>
          <w:p w14:paraId="049D27B8" w14:textId="77777777" w:rsidR="004939EC" w:rsidRDefault="00000000" w:rsidP="007A0CFB">
            <w:pPr>
              <w:pStyle w:val="TableBullet1"/>
              <w:rPr>
                <w:rStyle w:val="Hyperlink"/>
                <w:color w:val="5B9BD5" w:themeColor="accent1"/>
              </w:rPr>
            </w:pPr>
            <w:hyperlink r:id="rId72" w:history="1">
              <w:r w:rsidR="004939EC">
                <w:rPr>
                  <w:rStyle w:val="Hyperlink"/>
                  <w:rFonts w:ascii="Franklin Gothic Book" w:hAnsi="Franklin Gothic Book" w:cs="Calibri"/>
                </w:rPr>
                <w:t>Readiness and Emergency Management for Schools</w:t>
              </w:r>
            </w:hyperlink>
            <w:r w:rsidR="004939EC">
              <w:rPr>
                <w:rStyle w:val="Hyperlink"/>
                <w:rFonts w:ascii="Franklin Gothic Book" w:hAnsi="Franklin Gothic Book" w:cs="Calibri"/>
              </w:rPr>
              <w:t xml:space="preserve"> (Federal Guidance) </w:t>
            </w:r>
          </w:p>
          <w:p w14:paraId="1C0982A1" w14:textId="77777777" w:rsidR="004939EC" w:rsidRDefault="00000000" w:rsidP="007A0CFB">
            <w:pPr>
              <w:pStyle w:val="TableBullet1"/>
              <w:rPr>
                <w:rFonts w:ascii="Franklin Gothic Demi" w:eastAsia="HGGothicE" w:hAnsi="Franklin Gothic Demi" w:cs="Franklin Gothic Book"/>
                <w:bCs/>
              </w:rPr>
            </w:pPr>
            <w:hyperlink r:id="rId73" w:history="1">
              <w:r w:rsidR="004939EC">
                <w:rPr>
                  <w:rStyle w:val="Hyperlink"/>
                  <w:rFonts w:ascii="Franklin Gothic Book" w:hAnsi="Franklin Gothic Book" w:cs="Calibri"/>
                  <w:color w:val="4472C4"/>
                  <w:szCs w:val="20"/>
                </w:rPr>
                <w:t>Emergency Management Planning</w:t>
              </w:r>
            </w:hyperlink>
            <w:r w:rsidR="004939EC">
              <w:rPr>
                <w:rStyle w:val="Hyperlink"/>
                <w:rFonts w:ascii="Franklin Gothic Book" w:hAnsi="Franklin Gothic Book" w:cs="Calibri"/>
                <w:color w:val="4472C4"/>
                <w:szCs w:val="20"/>
              </w:rPr>
              <w:t xml:space="preserve"> (State Guidance) </w:t>
            </w:r>
          </w:p>
        </w:tc>
        <w:tc>
          <w:tcPr>
            <w:tcW w:w="6652" w:type="dxa"/>
            <w:tcBorders>
              <w:top w:val="single" w:sz="6" w:space="0" w:color="2F5496"/>
              <w:left w:val="single" w:sz="6" w:space="0" w:color="2F5496"/>
              <w:bottom w:val="single" w:sz="6" w:space="0" w:color="2F5496"/>
              <w:right w:val="single" w:sz="6" w:space="0" w:color="2F5496"/>
            </w:tcBorders>
            <w:hideMark/>
          </w:tcPr>
          <w:p w14:paraId="33E52A96" w14:textId="77777777" w:rsidR="004939EC" w:rsidRDefault="004939EC" w:rsidP="007A0CFB">
            <w:pPr>
              <w:pStyle w:val="TableText"/>
              <w:rPr>
                <w:rFonts w:ascii="Franklin Gothic Demi" w:eastAsia="HGGothicE" w:hAnsi="Franklin Gothic Demi" w:cs="Franklin Gothic Book"/>
                <w:bCs/>
              </w:rPr>
            </w:pPr>
            <w:r>
              <w:t xml:space="preserve">Guidance and Technical Assistance for districts/schools related to emergency management planning and implementation. </w:t>
            </w:r>
          </w:p>
        </w:tc>
      </w:tr>
      <w:tr w:rsidR="004939EC" w14:paraId="60E07B9B" w14:textId="77777777" w:rsidTr="008D3BF1">
        <w:trPr>
          <w:cantSplit/>
        </w:trPr>
        <w:tc>
          <w:tcPr>
            <w:tcW w:w="2692" w:type="dxa"/>
            <w:tcBorders>
              <w:top w:val="single" w:sz="6" w:space="0" w:color="2F5496"/>
              <w:left w:val="single" w:sz="6" w:space="0" w:color="2F5496"/>
              <w:bottom w:val="single" w:sz="6" w:space="0" w:color="2F5496"/>
              <w:right w:val="single" w:sz="6" w:space="0" w:color="2F5496"/>
            </w:tcBorders>
            <w:hideMark/>
          </w:tcPr>
          <w:p w14:paraId="7B56E10A" w14:textId="77777777" w:rsidR="004939EC" w:rsidRDefault="004939EC" w:rsidP="007A0CFB">
            <w:pPr>
              <w:pStyle w:val="TableText"/>
              <w:rPr>
                <w:shd w:val="clear" w:color="auto" w:fill="FFFFFF"/>
              </w:rPr>
            </w:pPr>
            <w:r>
              <w:rPr>
                <w:shd w:val="clear" w:color="auto" w:fill="FFFFFF"/>
              </w:rPr>
              <w:lastRenderedPageBreak/>
              <w:t>Family Partnerships</w:t>
            </w:r>
          </w:p>
          <w:p w14:paraId="4F0426F5" w14:textId="77777777" w:rsidR="004939EC" w:rsidRDefault="00000000" w:rsidP="007A0CFB">
            <w:pPr>
              <w:pStyle w:val="TableBullet1"/>
              <w:rPr>
                <w:rFonts w:ascii="Franklin Gothic Book" w:eastAsia="Franklin Gothic Book" w:hAnsi="Franklin Gothic Book" w:cs="Tahoma"/>
                <w:szCs w:val="20"/>
                <w:shd w:val="clear" w:color="auto" w:fill="FFFFFF"/>
              </w:rPr>
            </w:pPr>
            <w:hyperlink r:id="rId74" w:history="1">
              <w:r w:rsidR="004939EC">
                <w:rPr>
                  <w:rStyle w:val="Hyperlink"/>
                  <w:rFonts w:ascii="Franklin Gothic Book" w:hAnsi="Franklin Gothic Book" w:cs="Calibri"/>
                  <w:szCs w:val="20"/>
                </w:rPr>
                <w:t>DESE Family Portal</w:t>
              </w:r>
            </w:hyperlink>
          </w:p>
          <w:p w14:paraId="6D575540" w14:textId="77777777" w:rsidR="004939EC" w:rsidRDefault="00000000" w:rsidP="007A0CFB">
            <w:pPr>
              <w:pStyle w:val="TableBullet1"/>
              <w:rPr>
                <w:rStyle w:val="Hyperlink"/>
              </w:rPr>
            </w:pPr>
            <w:hyperlink r:id="rId75" w:history="1">
              <w:r w:rsidR="004939EC">
                <w:rPr>
                  <w:rStyle w:val="Hyperlink"/>
                  <w:rFonts w:ascii="Franklin Gothic Book" w:hAnsi="Franklin Gothic Book" w:cs="Calibri"/>
                  <w:szCs w:val="20"/>
                </w:rPr>
                <w:t>Strengthening Partnerships: A Framework for Prenatal through Young Adulthood Family Engagement in Massachusetts</w:t>
              </w:r>
            </w:hyperlink>
          </w:p>
          <w:p w14:paraId="4A6E66B2" w14:textId="77777777" w:rsidR="004939EC" w:rsidRDefault="00000000" w:rsidP="007A0CFB">
            <w:pPr>
              <w:pStyle w:val="TableBullet1"/>
              <w:rPr>
                <w:rFonts w:cs="Calibri"/>
                <w:color w:val="000000" w:themeColor="text1"/>
                <w14:ligatures w14:val="standardContextual"/>
              </w:rPr>
            </w:pPr>
            <w:hyperlink r:id="rId76" w:history="1">
              <w:r w:rsidR="004939EC">
                <w:rPr>
                  <w:rStyle w:val="Hyperlink"/>
                  <w:rFonts w:ascii="Franklin Gothic Book" w:hAnsi="Franklin Gothic Book" w:cs="Calibri"/>
                  <w:szCs w:val="20"/>
                </w:rPr>
                <w:t>Learning Standards For Families</w:t>
              </w:r>
            </w:hyperlink>
          </w:p>
        </w:tc>
        <w:tc>
          <w:tcPr>
            <w:tcW w:w="6652" w:type="dxa"/>
            <w:tcBorders>
              <w:top w:val="single" w:sz="6" w:space="0" w:color="2F5496"/>
              <w:left w:val="single" w:sz="6" w:space="0" w:color="2F5496"/>
              <w:bottom w:val="single" w:sz="6" w:space="0" w:color="2F5496"/>
              <w:right w:val="single" w:sz="6" w:space="0" w:color="2F5496"/>
            </w:tcBorders>
            <w:hideMark/>
          </w:tcPr>
          <w:p w14:paraId="08668A9E" w14:textId="5E26689E" w:rsidR="004939EC" w:rsidRDefault="004939EC" w:rsidP="007A0CFB">
            <w:pPr>
              <w:pStyle w:val="TableText"/>
            </w:pPr>
            <w:r>
              <w:rPr>
                <w:rFonts w:eastAsia="Franklin Gothic Book" w:cs="Tahoma"/>
                <w:szCs w:val="20"/>
                <w:shd w:val="clear" w:color="auto" w:fill="FFFFFF"/>
              </w:rPr>
              <w:t>Resources for authentically engaging families in their child’s education and centering families voices in school and district decision</w:t>
            </w:r>
            <w:r w:rsidR="008E5BF5">
              <w:rPr>
                <w:rFonts w:eastAsia="Franklin Gothic Book" w:cs="Tahoma"/>
                <w:szCs w:val="20"/>
                <w:shd w:val="clear" w:color="auto" w:fill="FFFFFF"/>
              </w:rPr>
              <w:t xml:space="preserve"> </w:t>
            </w:r>
            <w:r>
              <w:rPr>
                <w:rFonts w:eastAsia="Franklin Gothic Book" w:cs="Tahoma"/>
                <w:szCs w:val="20"/>
                <w:shd w:val="clear" w:color="auto" w:fill="FFFFFF"/>
              </w:rPr>
              <w:t>making.</w:t>
            </w:r>
          </w:p>
        </w:tc>
      </w:tr>
      <w:tr w:rsidR="004939EC" w14:paraId="3F84664F"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1EF2C998" w14:textId="77777777" w:rsidR="004939EC" w:rsidRDefault="00000000" w:rsidP="007A0CFB">
            <w:pPr>
              <w:pStyle w:val="TableText"/>
              <w:rPr>
                <w:rFonts w:eastAsia="Franklin Gothic Book" w:cs="Tahoma"/>
                <w:shd w:val="clear" w:color="auto" w:fill="FFFFFF"/>
              </w:rPr>
            </w:pPr>
            <w:hyperlink r:id="rId77" w:history="1">
              <w:r w:rsidR="004939EC">
                <w:rPr>
                  <w:rStyle w:val="Hyperlink"/>
                  <w:rFonts w:ascii="Franklin Gothic Book" w:hAnsi="Franklin Gothic Book" w:cs="Calibri"/>
                  <w:color w:val="4472C4"/>
                  <w:szCs w:val="20"/>
                </w:rPr>
                <w:t>Guidance on Updated Expectations for School and District Leaders Related to Student Discipline</w:t>
              </w:r>
            </w:hyperlink>
          </w:p>
        </w:tc>
        <w:tc>
          <w:tcPr>
            <w:tcW w:w="6652" w:type="dxa"/>
            <w:tcBorders>
              <w:top w:val="single" w:sz="6" w:space="0" w:color="2F5496"/>
              <w:left w:val="single" w:sz="6" w:space="0" w:color="2F5496"/>
              <w:bottom w:val="single" w:sz="6" w:space="0" w:color="2F5496"/>
              <w:right w:val="single" w:sz="6" w:space="0" w:color="2F5496"/>
            </w:tcBorders>
            <w:hideMark/>
          </w:tcPr>
          <w:p w14:paraId="632C8F5A" w14:textId="77777777" w:rsidR="004939EC" w:rsidRDefault="004939EC" w:rsidP="007A0CFB">
            <w:pPr>
              <w:pStyle w:val="TableText"/>
              <w:rPr>
                <w:rFonts w:eastAsia="Franklin Gothic Book" w:cs="Tahoma"/>
                <w:szCs w:val="20"/>
                <w:shd w:val="clear" w:color="auto" w:fill="FFFFFF"/>
              </w:rPr>
            </w:pPr>
            <w:r>
              <w:rPr>
                <w:color w:val="000000"/>
                <w:szCs w:val="20"/>
              </w:rPr>
              <w:t>Guidance on updated expectations for school and district leaders related to student discipline associated with the 2022 mental health law (G.L. c. 71, §37H¾).</w:t>
            </w:r>
          </w:p>
        </w:tc>
      </w:tr>
      <w:tr w:rsidR="004939EC" w14:paraId="2E5700E9"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5555ACC7" w14:textId="77777777" w:rsidR="004939EC" w:rsidRDefault="004939EC">
            <w:pPr>
              <w:rPr>
                <w:rFonts w:ascii="Franklin Gothic Book" w:hAnsi="Franklin Gothic Book" w:cs="Calibri"/>
                <w:color w:val="000000"/>
                <w:sz w:val="20"/>
                <w:szCs w:val="20"/>
                <w14:ligatures w14:val="standardContextual"/>
              </w:rPr>
            </w:pPr>
            <w:r>
              <w:rPr>
                <w:rFonts w:ascii="Franklin Gothic Book" w:hAnsi="Franklin Gothic Book" w:cs="Calibri"/>
                <w:color w:val="000000"/>
                <w:sz w:val="20"/>
                <w:szCs w:val="20"/>
              </w:rPr>
              <w:t xml:space="preserve">MTSS Resources: </w:t>
            </w:r>
          </w:p>
          <w:p w14:paraId="52D24474" w14:textId="77777777" w:rsidR="004939EC" w:rsidRPr="008E5BF5" w:rsidRDefault="00000000" w:rsidP="007A0CFB">
            <w:pPr>
              <w:pStyle w:val="TableBullet1"/>
              <w:rPr>
                <w:rStyle w:val="Hyperlink"/>
                <w:rFonts w:eastAsia="Franklin Gothic Book" w:cs="Tahoma"/>
                <w:spacing w:val="-4"/>
                <w:shd w:val="clear" w:color="auto" w:fill="FFFFFF"/>
              </w:rPr>
            </w:pPr>
            <w:hyperlink r:id="rId78" w:history="1">
              <w:r w:rsidR="004939EC" w:rsidRPr="008E5BF5">
                <w:rPr>
                  <w:rStyle w:val="Hyperlink"/>
                  <w:rFonts w:cs="Calibri"/>
                  <w:spacing w:val="-4"/>
                  <w:szCs w:val="20"/>
                </w:rPr>
                <w:t>MTSS Blueprint, Self-Assessment, and Resources</w:t>
              </w:r>
            </w:hyperlink>
          </w:p>
          <w:p w14:paraId="67990123" w14:textId="77777777" w:rsidR="004939EC" w:rsidRDefault="00000000" w:rsidP="007A0CFB">
            <w:pPr>
              <w:pStyle w:val="TableBullet1"/>
            </w:pPr>
            <w:hyperlink r:id="rId79" w:history="1">
              <w:r w:rsidR="004939EC">
                <w:rPr>
                  <w:rStyle w:val="Hyperlink"/>
                  <w:rFonts w:ascii="Franklin Gothic Book" w:hAnsi="Franklin Gothic Book" w:cs="Calibri"/>
                  <w:szCs w:val="20"/>
                </w:rPr>
                <w:t>Massachusetts Tools for Schools</w:t>
              </w:r>
            </w:hyperlink>
          </w:p>
        </w:tc>
        <w:tc>
          <w:tcPr>
            <w:tcW w:w="6652" w:type="dxa"/>
            <w:tcBorders>
              <w:top w:val="single" w:sz="6" w:space="0" w:color="2F5496"/>
              <w:left w:val="single" w:sz="6" w:space="0" w:color="2F5496"/>
              <w:bottom w:val="single" w:sz="6" w:space="0" w:color="2F5496"/>
              <w:right w:val="single" w:sz="6" w:space="0" w:color="2F5496"/>
            </w:tcBorders>
            <w:hideMark/>
          </w:tcPr>
          <w:p w14:paraId="73CD843D" w14:textId="02885AC8" w:rsidR="004939EC" w:rsidRDefault="004939EC" w:rsidP="007A0CFB">
            <w:pPr>
              <w:pStyle w:val="TableText"/>
              <w:rPr>
                <w:rFonts w:eastAsia="Franklin Gothic Book" w:cs="Tahoma"/>
                <w:szCs w:val="20"/>
                <w:shd w:val="clear" w:color="auto" w:fill="FFFFFF"/>
              </w:rPr>
            </w:pPr>
            <w:r>
              <w:rPr>
                <w:color w:val="000000"/>
                <w:szCs w:val="20"/>
              </w:rPr>
              <w:t>MTSS is a framework for how districts can build the necessary systems to ensure that every student receives a high-quality educational experience.</w:t>
            </w:r>
          </w:p>
        </w:tc>
      </w:tr>
      <w:tr w:rsidR="004939EC" w14:paraId="0DCF21BC"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5ACAC216" w14:textId="77777777" w:rsidR="004939EC" w:rsidRDefault="00000000" w:rsidP="007A0CFB">
            <w:pPr>
              <w:pStyle w:val="TableText"/>
              <w:rPr>
                <w:rFonts w:ascii="Franklin Gothic Book" w:hAnsi="Franklin Gothic Book" w:cs="Calibri"/>
                <w:color w:val="000000"/>
                <w:szCs w:val="20"/>
                <w14:ligatures w14:val="standardContextual"/>
              </w:rPr>
            </w:pPr>
            <w:hyperlink r:id="rId80" w:history="1">
              <w:r w:rsidR="004939EC">
                <w:rPr>
                  <w:rStyle w:val="Hyperlink"/>
                  <w:rFonts w:ascii="Franklin Gothic Book" w:hAnsi="Franklin Gothic Book" w:cs="Calibri"/>
                  <w:szCs w:val="20"/>
                </w:rPr>
                <w:t>Resources for Supporting Immigrant and Refugee Students</w:t>
              </w:r>
            </w:hyperlink>
          </w:p>
        </w:tc>
        <w:tc>
          <w:tcPr>
            <w:tcW w:w="6652" w:type="dxa"/>
            <w:tcBorders>
              <w:top w:val="single" w:sz="6" w:space="0" w:color="2F5496"/>
              <w:left w:val="single" w:sz="6" w:space="0" w:color="2F5496"/>
              <w:bottom w:val="single" w:sz="6" w:space="0" w:color="2F5496"/>
              <w:right w:val="single" w:sz="6" w:space="0" w:color="2F5496"/>
            </w:tcBorders>
            <w:hideMark/>
          </w:tcPr>
          <w:p w14:paraId="2F849EDC" w14:textId="77777777" w:rsidR="004939EC" w:rsidRDefault="004939EC" w:rsidP="007A0CFB">
            <w:pPr>
              <w:pStyle w:val="TableText"/>
              <w:rPr>
                <w:color w:val="000000"/>
                <w:szCs w:val="20"/>
              </w:rPr>
            </w:pPr>
            <w:r>
              <w:rPr>
                <w:color w:val="000000"/>
                <w:szCs w:val="20"/>
              </w:rPr>
              <w:t>An evolving compilation of resources that can support districts in meeting the needs of immigrant and refugee students.</w:t>
            </w:r>
          </w:p>
        </w:tc>
      </w:tr>
      <w:tr w:rsidR="004939EC" w14:paraId="4EDE8ECB"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5E4DEB88" w14:textId="77777777" w:rsidR="004939EC" w:rsidRDefault="00000000" w:rsidP="007A0CFB">
            <w:pPr>
              <w:pStyle w:val="TableText"/>
              <w:rPr>
                <w:rFonts w:ascii="Franklin Gothic Book" w:eastAsia="Franklin Gothic Book" w:hAnsi="Franklin Gothic Book" w:cs="Tahoma"/>
                <w:szCs w:val="20"/>
              </w:rPr>
            </w:pPr>
            <w:hyperlink r:id="rId81" w:history="1">
              <w:r w:rsidR="004939EC">
                <w:rPr>
                  <w:rStyle w:val="Hyperlink"/>
                  <w:rFonts w:ascii="Franklin Gothic Book" w:hAnsi="Franklin Gothic Book" w:cs="Calibri"/>
                  <w:szCs w:val="20"/>
                </w:rPr>
                <w:t>Safe and Supportive Schools Framework and Self-Reflection Tool</w:t>
              </w:r>
            </w:hyperlink>
          </w:p>
        </w:tc>
        <w:tc>
          <w:tcPr>
            <w:tcW w:w="6652" w:type="dxa"/>
            <w:tcBorders>
              <w:top w:val="single" w:sz="6" w:space="0" w:color="2F5496"/>
              <w:left w:val="single" w:sz="6" w:space="0" w:color="2F5496"/>
              <w:bottom w:val="single" w:sz="6" w:space="0" w:color="2F5496"/>
              <w:right w:val="single" w:sz="6" w:space="0" w:color="2F5496"/>
            </w:tcBorders>
            <w:hideMark/>
          </w:tcPr>
          <w:p w14:paraId="6E51B01F" w14:textId="77777777" w:rsidR="004939EC" w:rsidRDefault="004939EC" w:rsidP="007A0CFB">
            <w:pPr>
              <w:pStyle w:val="TableText"/>
              <w:rPr>
                <w:rFonts w:eastAsia="Franklin Gothic Book" w:cs="Tahoma"/>
                <w:szCs w:val="20"/>
              </w:rPr>
            </w:pPr>
            <w:r>
              <w:rPr>
                <w:color w:val="000000"/>
                <w:szCs w:val="20"/>
              </w:rPr>
              <w:t xml:space="preserve">These resources can help guide school- and district-based teams to create safer and more supportive school climates and cultures. Through a phased process (with preliminary and deeper dive self-reflection options) teams can create plans based on local context and data, and through examination of six areas of school operation. </w:t>
            </w:r>
          </w:p>
        </w:tc>
      </w:tr>
      <w:tr w:rsidR="004939EC" w14:paraId="416510A9"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4B18F390" w14:textId="77777777" w:rsidR="004939EC" w:rsidRDefault="00000000" w:rsidP="007A0CFB">
            <w:pPr>
              <w:pStyle w:val="TableText"/>
              <w:rPr>
                <w14:ligatures w14:val="standardContextual"/>
              </w:rPr>
            </w:pPr>
            <w:hyperlink r:id="rId82" w:history="1">
              <w:r w:rsidR="004939EC">
                <w:rPr>
                  <w:rStyle w:val="Hyperlink"/>
                  <w:rFonts w:ascii="Franklin Gothic Book" w:hAnsi="Franklin Gothic Book" w:cs="Calibri"/>
                  <w:szCs w:val="20"/>
                </w:rPr>
                <w:t>School Breakfast: Breakfast After the Bell Resources</w:t>
              </w:r>
            </w:hyperlink>
          </w:p>
        </w:tc>
        <w:tc>
          <w:tcPr>
            <w:tcW w:w="6652" w:type="dxa"/>
            <w:tcBorders>
              <w:top w:val="single" w:sz="6" w:space="0" w:color="2F5496"/>
              <w:left w:val="single" w:sz="6" w:space="0" w:color="2F5496"/>
              <w:bottom w:val="single" w:sz="6" w:space="0" w:color="2F5496"/>
              <w:right w:val="single" w:sz="6" w:space="0" w:color="2F5496"/>
            </w:tcBorders>
            <w:hideMark/>
          </w:tcPr>
          <w:p w14:paraId="1744B1C8" w14:textId="1B397FEF" w:rsidR="004939EC" w:rsidRDefault="004939EC" w:rsidP="007A0CFB">
            <w:pPr>
              <w:pStyle w:val="TableText"/>
              <w:rPr>
                <w:color w:val="000000"/>
                <w:szCs w:val="20"/>
              </w:rPr>
            </w:pPr>
            <w:r>
              <w:rPr>
                <w:color w:val="000000"/>
                <w:szCs w:val="20"/>
              </w:rPr>
              <w:t xml:space="preserve">The </w:t>
            </w:r>
            <w:r w:rsidR="008E5BF5">
              <w:rPr>
                <w:color w:val="000000"/>
                <w:szCs w:val="20"/>
              </w:rPr>
              <w:t xml:space="preserve">goal of the </w:t>
            </w:r>
            <w:r>
              <w:rPr>
                <w:color w:val="000000"/>
                <w:szCs w:val="20"/>
              </w:rPr>
              <w:t xml:space="preserve">Breakfast After the Bell Toolkit Series is to help with the launch and implementation of alternative breakfast models. </w:t>
            </w:r>
          </w:p>
        </w:tc>
      </w:tr>
      <w:tr w:rsidR="004939EC" w14:paraId="7A6908EE"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5D3CF66A" w14:textId="77777777" w:rsidR="004939EC" w:rsidRDefault="00000000" w:rsidP="007A0CFB">
            <w:pPr>
              <w:pStyle w:val="TableText"/>
              <w:rPr>
                <w:rFonts w:ascii="Franklin Gothic Book" w:eastAsia="Franklin Gothic Book" w:hAnsi="Franklin Gothic Book" w:cs="Tahoma"/>
                <w:szCs w:val="20"/>
              </w:rPr>
            </w:pPr>
            <w:hyperlink r:id="rId83" w:history="1">
              <w:r w:rsidR="004939EC">
                <w:rPr>
                  <w:rStyle w:val="Hyperlink"/>
                  <w:rFonts w:ascii="Franklin Gothic Book" w:hAnsi="Franklin Gothic Book" w:cs="Calibri"/>
                  <w:szCs w:val="20"/>
                </w:rPr>
                <w:t>School Wellness Initiative for Thriving Community Health</w:t>
              </w:r>
            </w:hyperlink>
            <w:r w:rsidR="004939EC">
              <w:rPr>
                <w:rStyle w:val="Hyperlink"/>
                <w:rFonts w:ascii="Franklin Gothic Book" w:hAnsi="Franklin Gothic Book" w:cs="Calibri"/>
                <w:szCs w:val="20"/>
              </w:rPr>
              <w:t xml:space="preserve"> (SWITCH)</w:t>
            </w:r>
          </w:p>
        </w:tc>
        <w:tc>
          <w:tcPr>
            <w:tcW w:w="6652" w:type="dxa"/>
            <w:tcBorders>
              <w:top w:val="single" w:sz="6" w:space="0" w:color="2F5496"/>
              <w:left w:val="single" w:sz="6" w:space="0" w:color="2F5496"/>
              <w:bottom w:val="single" w:sz="6" w:space="0" w:color="2F5496"/>
              <w:right w:val="single" w:sz="6" w:space="0" w:color="2F5496"/>
            </w:tcBorders>
            <w:hideMark/>
          </w:tcPr>
          <w:p w14:paraId="06C6243E" w14:textId="77777777" w:rsidR="004939EC" w:rsidRDefault="004939EC" w:rsidP="007A0CFB">
            <w:pPr>
              <w:pStyle w:val="TableText"/>
              <w:rPr>
                <w:rFonts w:eastAsia="Franklin Gothic Book" w:cs="Tahoma"/>
                <w:color w:val="333333"/>
                <w:szCs w:val="20"/>
                <w:shd w:val="clear" w:color="auto" w:fill="FFFFFF"/>
              </w:rPr>
            </w:pPr>
            <w:r>
              <w:rPr>
                <w:color w:val="000000"/>
                <w:szCs w:val="20"/>
              </w:rPr>
              <w:t>SWITCH provides resources that support and advance wellness efforts for Massachusetts students, schools, and communities.</w:t>
            </w:r>
          </w:p>
        </w:tc>
      </w:tr>
      <w:tr w:rsidR="004939EC" w14:paraId="4A7B390B"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2A888B52" w14:textId="4CC361BE" w:rsidR="004939EC" w:rsidRDefault="004939EC" w:rsidP="007A0CFB">
            <w:pPr>
              <w:pStyle w:val="TableText"/>
              <w:rPr>
                <w14:ligatures w14:val="standardContextual"/>
              </w:rPr>
            </w:pPr>
            <w:r>
              <w:t>Social</w:t>
            </w:r>
            <w:r w:rsidR="00FA5863">
              <w:t>-</w:t>
            </w:r>
            <w:r>
              <w:t>Emotional Learning:</w:t>
            </w:r>
          </w:p>
          <w:p w14:paraId="5355A22D" w14:textId="77777777" w:rsidR="004939EC" w:rsidRDefault="00000000" w:rsidP="007A0CFB">
            <w:pPr>
              <w:pStyle w:val="TableBullet1"/>
              <w:rPr>
                <w:rStyle w:val="Hyperlink"/>
                <w:rFonts w:eastAsia="Franklin Gothic Book" w:cs="Tahoma"/>
                <w:shd w:val="clear" w:color="auto" w:fill="FFFFFF"/>
              </w:rPr>
            </w:pPr>
            <w:hyperlink r:id="rId84" w:history="1">
              <w:r w:rsidR="004939EC">
                <w:rPr>
                  <w:rStyle w:val="Hyperlink"/>
                  <w:rFonts w:ascii="Franklin Gothic Book" w:hAnsi="Franklin Gothic Book" w:cs="Calibri"/>
                  <w:color w:val="4472C4"/>
                  <w:szCs w:val="20"/>
                </w:rPr>
                <w:t>SEL Resources Grades 1-3</w:t>
              </w:r>
            </w:hyperlink>
          </w:p>
          <w:p w14:paraId="173B8CF0" w14:textId="77777777" w:rsidR="004939EC" w:rsidRDefault="00000000" w:rsidP="007A0CFB">
            <w:pPr>
              <w:pStyle w:val="TableBullet1"/>
              <w:rPr>
                <w:rStyle w:val="Hyperlink"/>
                <w:rFonts w:ascii="Franklin Gothic Book" w:eastAsia="Franklin Gothic Book" w:hAnsi="Franklin Gothic Book" w:cs="Tahoma"/>
                <w:szCs w:val="20"/>
                <w:shd w:val="clear" w:color="auto" w:fill="FFFFFF"/>
              </w:rPr>
            </w:pPr>
            <w:hyperlink r:id="rId85" w:history="1">
              <w:r w:rsidR="004939EC">
                <w:rPr>
                  <w:rStyle w:val="Hyperlink"/>
                  <w:rFonts w:ascii="Franklin Gothic Book" w:hAnsi="Franklin Gothic Book" w:cs="Calibri"/>
                  <w:color w:val="4472C4"/>
                  <w:szCs w:val="20"/>
                </w:rPr>
                <w:t>SEL Guide</w:t>
              </w:r>
            </w:hyperlink>
            <w:r w:rsidR="004939EC">
              <w:rPr>
                <w:rStyle w:val="Hyperlink"/>
                <w:rFonts w:ascii="Franklin Gothic Book" w:hAnsi="Franklin Gothic Book" w:cs="Calibri"/>
                <w:color w:val="4472C4"/>
                <w:szCs w:val="20"/>
              </w:rPr>
              <w:t xml:space="preserve"> (K-12)</w:t>
            </w:r>
          </w:p>
          <w:p w14:paraId="629A9EF0" w14:textId="77777777" w:rsidR="004939EC" w:rsidRDefault="00000000" w:rsidP="007A0CFB">
            <w:pPr>
              <w:pStyle w:val="TableBullet1"/>
              <w:rPr>
                <w:rStyle w:val="Hyperlink"/>
                <w:rFonts w:ascii="Franklin Gothic Book" w:eastAsia="Franklin Gothic Book" w:hAnsi="Franklin Gothic Book" w:cs="Tahoma"/>
                <w:szCs w:val="20"/>
                <w:shd w:val="clear" w:color="auto" w:fill="FFFFFF"/>
              </w:rPr>
            </w:pPr>
            <w:hyperlink r:id="rId86" w:anchor="standards" w:history="1">
              <w:r w:rsidR="004939EC">
                <w:rPr>
                  <w:rStyle w:val="Hyperlink"/>
                  <w:rFonts w:ascii="Franklin Gothic Book" w:hAnsi="Franklin Gothic Book" w:cs="Calibri"/>
                  <w:color w:val="4472C4"/>
                  <w:szCs w:val="20"/>
                </w:rPr>
                <w:t>SEL/APL Standards</w:t>
              </w:r>
            </w:hyperlink>
            <w:r w:rsidR="004939EC">
              <w:rPr>
                <w:rStyle w:val="Hyperlink"/>
                <w:rFonts w:ascii="Franklin Gothic Book" w:hAnsi="Franklin Gothic Book" w:cs="Calibri"/>
                <w:color w:val="4472C4"/>
                <w:szCs w:val="20"/>
              </w:rPr>
              <w:t xml:space="preserve"> (PK/K)</w:t>
            </w:r>
          </w:p>
          <w:p w14:paraId="60D04F87" w14:textId="77777777" w:rsidR="004939EC" w:rsidRDefault="00000000" w:rsidP="007A0CFB">
            <w:pPr>
              <w:pStyle w:val="TableBullet1"/>
              <w:rPr>
                <w:rStyle w:val="Hyperlink"/>
                <w:rFonts w:ascii="Franklin Gothic Book" w:eastAsia="Franklin Gothic Book" w:hAnsi="Franklin Gothic Book" w:cs="Tahoma"/>
                <w:szCs w:val="20"/>
                <w:shd w:val="clear" w:color="auto" w:fill="FFFFFF"/>
              </w:rPr>
            </w:pPr>
            <w:hyperlink r:id="rId87" w:history="1">
              <w:r w:rsidR="004939EC">
                <w:rPr>
                  <w:rStyle w:val="Hyperlink"/>
                  <w:rFonts w:ascii="Franklin Gothic Book" w:hAnsi="Franklin Gothic Book" w:cs="Calibri"/>
                  <w:szCs w:val="20"/>
                </w:rPr>
                <w:t>Playful Learning Institute, Preschool through 3rd Grade</w:t>
              </w:r>
            </w:hyperlink>
          </w:p>
          <w:p w14:paraId="3287CEED" w14:textId="77777777" w:rsidR="004939EC" w:rsidRDefault="00000000" w:rsidP="007A0CFB">
            <w:pPr>
              <w:pStyle w:val="TableBullet1"/>
            </w:pPr>
            <w:hyperlink r:id="rId88" w:history="1">
              <w:r w:rsidR="004939EC">
                <w:rPr>
                  <w:rStyle w:val="Hyperlink"/>
                  <w:rFonts w:ascii="Franklin Gothic Book" w:hAnsi="Franklin Gothic Book" w:cs="Calibri"/>
                  <w:color w:val="4472C4"/>
                  <w:szCs w:val="20"/>
                </w:rPr>
                <w:t>Culturally Responsive Social-Emotional Competency Development</w:t>
              </w:r>
            </w:hyperlink>
          </w:p>
        </w:tc>
        <w:tc>
          <w:tcPr>
            <w:tcW w:w="6652" w:type="dxa"/>
            <w:tcBorders>
              <w:top w:val="single" w:sz="6" w:space="0" w:color="2F5496"/>
              <w:left w:val="single" w:sz="6" w:space="0" w:color="2F5496"/>
              <w:bottom w:val="single" w:sz="6" w:space="0" w:color="2F5496"/>
              <w:right w:val="single" w:sz="6" w:space="0" w:color="2F5496"/>
            </w:tcBorders>
            <w:hideMark/>
          </w:tcPr>
          <w:p w14:paraId="1F1A2E9E" w14:textId="77777777" w:rsidR="004939EC" w:rsidRDefault="004939EC" w:rsidP="007A0CFB">
            <w:pPr>
              <w:pStyle w:val="TableText"/>
              <w:rPr>
                <w:rFonts w:eastAsia="Franklin Gothic Book" w:cs="Tahoma"/>
                <w:shd w:val="clear" w:color="auto" w:fill="FFFFFF"/>
              </w:rPr>
            </w:pPr>
            <w:r>
              <w:t>These resources provide evidence-based and developmentally appropriate guidance around supporting social emotional learning in schools.</w:t>
            </w:r>
          </w:p>
        </w:tc>
      </w:tr>
      <w:tr w:rsidR="004939EC" w14:paraId="2F028A83" w14:textId="77777777" w:rsidTr="008D3BF1">
        <w:tc>
          <w:tcPr>
            <w:tcW w:w="2692" w:type="dxa"/>
            <w:tcBorders>
              <w:top w:val="single" w:sz="6" w:space="0" w:color="2F5496"/>
              <w:left w:val="single" w:sz="6" w:space="0" w:color="2F5496"/>
              <w:bottom w:val="single" w:sz="6" w:space="0" w:color="2F5496"/>
              <w:right w:val="single" w:sz="6" w:space="0" w:color="2F5496"/>
            </w:tcBorders>
            <w:hideMark/>
          </w:tcPr>
          <w:p w14:paraId="74482612" w14:textId="77777777" w:rsidR="004939EC" w:rsidRDefault="00000000" w:rsidP="007A0CFB">
            <w:pPr>
              <w:pStyle w:val="TableText"/>
              <w:rPr>
                <w:rFonts w:ascii="Franklin Gothic Book" w:eastAsia="Franklin Gothic Book" w:hAnsi="Franklin Gothic Book" w:cs="Tahoma"/>
                <w:szCs w:val="20"/>
                <w:shd w:val="clear" w:color="auto" w:fill="FFFFFF"/>
              </w:rPr>
            </w:pPr>
            <w:hyperlink r:id="rId89" w:history="1">
              <w:r w:rsidR="004939EC">
                <w:rPr>
                  <w:rStyle w:val="Hyperlink"/>
                  <w:rFonts w:ascii="Franklin Gothic Book" w:hAnsi="Franklin Gothic Book" w:cs="Calibri"/>
                  <w:szCs w:val="20"/>
                </w:rPr>
                <w:t>Students with Limited or Interrupted Formal Education</w:t>
              </w:r>
            </w:hyperlink>
          </w:p>
        </w:tc>
        <w:tc>
          <w:tcPr>
            <w:tcW w:w="6652" w:type="dxa"/>
            <w:tcBorders>
              <w:top w:val="single" w:sz="6" w:space="0" w:color="2F5496"/>
              <w:left w:val="single" w:sz="6" w:space="0" w:color="2F5496"/>
              <w:bottom w:val="single" w:sz="6" w:space="0" w:color="2F5496"/>
              <w:right w:val="single" w:sz="6" w:space="0" w:color="2F5496"/>
            </w:tcBorders>
            <w:hideMark/>
          </w:tcPr>
          <w:p w14:paraId="0EE980E5" w14:textId="7E89A6A3" w:rsidR="004939EC" w:rsidRDefault="004939EC" w:rsidP="007A0CFB">
            <w:pPr>
              <w:pStyle w:val="TableText"/>
              <w:rPr>
                <w:rFonts w:eastAsia="Franklin Gothic Book" w:cs="Tahoma"/>
                <w:shd w:val="clear" w:color="auto" w:fill="FFFFFF"/>
              </w:rPr>
            </w:pPr>
            <w:r>
              <w:rPr>
                <w:color w:val="000000" w:themeColor="text1"/>
              </w:rPr>
              <w:t>Guidance and resources to support districts in meeting the needs of Students with Limited or Interrupted Formal Education.</w:t>
            </w:r>
          </w:p>
        </w:tc>
      </w:tr>
    </w:tbl>
    <w:p w14:paraId="0F889BB5" w14:textId="77777777" w:rsidR="004939EC" w:rsidRDefault="004939EC" w:rsidP="007A0CFB">
      <w:pPr>
        <w:pStyle w:val="TableTitle0"/>
      </w:pPr>
      <w:r>
        <w:lastRenderedPageBreak/>
        <w:t>Table C6. Resources to Support Financial and Asset Management</w:t>
      </w:r>
    </w:p>
    <w:tbl>
      <w:tblPr>
        <w:tblStyle w:val="MSVTable1"/>
        <w:tblW w:w="5004" w:type="pct"/>
        <w:tblLook w:val="0620" w:firstRow="1" w:lastRow="0" w:firstColumn="0" w:lastColumn="0" w:noHBand="1" w:noVBand="1"/>
      </w:tblPr>
      <w:tblGrid>
        <w:gridCol w:w="2692"/>
        <w:gridCol w:w="6659"/>
      </w:tblGrid>
      <w:tr w:rsidR="004939EC" w14:paraId="7CA50A15" w14:textId="77777777" w:rsidTr="008E5BF5">
        <w:trPr>
          <w:cnfStyle w:val="100000000000" w:firstRow="1" w:lastRow="0" w:firstColumn="0" w:lastColumn="0" w:oddVBand="0" w:evenVBand="0" w:oddHBand="0" w:evenHBand="0" w:firstRowFirstColumn="0" w:firstRowLastColumn="0" w:lastRowFirstColumn="0" w:lastRowLastColumn="0"/>
        </w:trPr>
        <w:tc>
          <w:tcPr>
            <w:tcW w:w="2692" w:type="dxa"/>
            <w:tcBorders>
              <w:top w:val="single" w:sz="6" w:space="0" w:color="2F5496"/>
              <w:left w:val="single" w:sz="6" w:space="0" w:color="2F5496"/>
              <w:bottom w:val="single" w:sz="6" w:space="0" w:color="2F5496"/>
            </w:tcBorders>
            <w:hideMark/>
          </w:tcPr>
          <w:p w14:paraId="06CA399C" w14:textId="77777777" w:rsidR="004939EC" w:rsidRDefault="004939EC">
            <w:pPr>
              <w:rPr>
                <w:rFonts w:ascii="Franklin Gothic Demi" w:eastAsia="HGGothicE" w:hAnsi="Franklin Gothic Demi" w:cs="Franklin Gothic Book"/>
                <w:bCs/>
                <w:sz w:val="20"/>
              </w:rPr>
            </w:pPr>
            <w:r>
              <w:rPr>
                <w:rFonts w:ascii="Franklin Gothic Demi" w:eastAsia="HGGothicE" w:hAnsi="Franklin Gothic Demi" w:cs="Franklin Gothic Book"/>
                <w:bCs/>
                <w:sz w:val="20"/>
              </w:rPr>
              <w:t xml:space="preserve">Resource </w:t>
            </w:r>
          </w:p>
        </w:tc>
        <w:tc>
          <w:tcPr>
            <w:tcW w:w="6659" w:type="dxa"/>
            <w:tcBorders>
              <w:top w:val="single" w:sz="6" w:space="0" w:color="2F5496"/>
              <w:bottom w:val="single" w:sz="6" w:space="0" w:color="2F5496"/>
              <w:right w:val="single" w:sz="6" w:space="0" w:color="2F5496"/>
            </w:tcBorders>
            <w:hideMark/>
          </w:tcPr>
          <w:p w14:paraId="1710DAC2" w14:textId="77777777" w:rsidR="004939EC" w:rsidRDefault="004939EC">
            <w:pPr>
              <w:rPr>
                <w:rFonts w:ascii="Franklin Gothic Demi" w:eastAsia="HGGothicE" w:hAnsi="Franklin Gothic Demi" w:cs="Franklin Gothic Book"/>
                <w:bCs/>
                <w:sz w:val="20"/>
              </w:rPr>
            </w:pPr>
            <w:r>
              <w:rPr>
                <w:rFonts w:ascii="Franklin Gothic Demi" w:eastAsia="HGGothicE" w:hAnsi="Franklin Gothic Demi" w:cs="Franklin Gothic Book"/>
                <w:bCs/>
                <w:sz w:val="20"/>
              </w:rPr>
              <w:t>Description</w:t>
            </w:r>
          </w:p>
        </w:tc>
      </w:tr>
      <w:tr w:rsidR="004939EC" w14:paraId="135C8470" w14:textId="77777777" w:rsidTr="008E5BF5">
        <w:tc>
          <w:tcPr>
            <w:tcW w:w="2692" w:type="dxa"/>
            <w:tcBorders>
              <w:top w:val="single" w:sz="6" w:space="0" w:color="2F5496"/>
              <w:left w:val="single" w:sz="6" w:space="0" w:color="2F5496"/>
              <w:bottom w:val="single" w:sz="6" w:space="0" w:color="2F5496"/>
              <w:right w:val="single" w:sz="6" w:space="0" w:color="2F5496"/>
            </w:tcBorders>
            <w:hideMark/>
          </w:tcPr>
          <w:p w14:paraId="6280BE04" w14:textId="77777777" w:rsidR="004939EC" w:rsidRDefault="00000000" w:rsidP="007A0CFB">
            <w:pPr>
              <w:pStyle w:val="TableText"/>
              <w:rPr>
                <w:rFonts w:ascii="Franklin Gothic Demi" w:eastAsia="HGGothicE" w:hAnsi="Franklin Gothic Demi" w:cs="Franklin Gothic Book"/>
                <w:bCs/>
              </w:rPr>
            </w:pPr>
            <w:hyperlink r:id="rId90" w:history="1">
              <w:r w:rsidR="004939EC">
                <w:rPr>
                  <w:rStyle w:val="Hyperlink"/>
                  <w:rFonts w:ascii="Franklin Gothic Book" w:hAnsi="Franklin Gothic Book" w:cs="Calibri"/>
                  <w:szCs w:val="20"/>
                </w:rPr>
                <w:t>DESE Spending Comparisons Website</w:t>
              </w:r>
            </w:hyperlink>
          </w:p>
        </w:tc>
        <w:tc>
          <w:tcPr>
            <w:tcW w:w="6659" w:type="dxa"/>
            <w:tcBorders>
              <w:top w:val="single" w:sz="6" w:space="0" w:color="2F5496"/>
              <w:left w:val="single" w:sz="6" w:space="0" w:color="2F5496"/>
              <w:bottom w:val="single" w:sz="6" w:space="0" w:color="2F5496"/>
              <w:right w:val="single" w:sz="6" w:space="0" w:color="2F5496"/>
            </w:tcBorders>
            <w:hideMark/>
          </w:tcPr>
          <w:p w14:paraId="000678FF" w14:textId="77777777" w:rsidR="004939EC" w:rsidRDefault="004939EC" w:rsidP="007A0CFB">
            <w:pPr>
              <w:pStyle w:val="TableText"/>
              <w:rPr>
                <w:rFonts w:ascii="Franklin Gothic Demi" w:eastAsia="HGGothicE" w:hAnsi="Franklin Gothic Demi" w:cs="Franklin Gothic Book"/>
                <w:bCs/>
              </w:rPr>
            </w:pPr>
            <w:r>
              <w:rPr>
                <w:rFonts w:ascii="Franklin Gothic Book" w:hAnsi="Franklin Gothic Book" w:cs="Calibri"/>
                <w:color w:val="000000"/>
                <w:szCs w:val="20"/>
              </w:rPr>
              <w:t>A clearinghouse of school finance data reports and other resources available to district users and the public.</w:t>
            </w:r>
          </w:p>
        </w:tc>
      </w:tr>
      <w:tr w:rsidR="004939EC" w14:paraId="7ED304DC" w14:textId="77777777" w:rsidTr="008E5BF5">
        <w:tc>
          <w:tcPr>
            <w:tcW w:w="2692" w:type="dxa"/>
            <w:tcBorders>
              <w:top w:val="single" w:sz="6" w:space="0" w:color="2F5496"/>
              <w:left w:val="single" w:sz="6" w:space="0" w:color="2F5496"/>
              <w:bottom w:val="single" w:sz="6" w:space="0" w:color="2F5496"/>
              <w:right w:val="single" w:sz="6" w:space="0" w:color="2F5496"/>
            </w:tcBorders>
            <w:hideMark/>
          </w:tcPr>
          <w:p w14:paraId="5F518033" w14:textId="77777777" w:rsidR="004939EC" w:rsidRDefault="00000000" w:rsidP="007A0CFB">
            <w:pPr>
              <w:pStyle w:val="TableText"/>
              <w:rPr>
                <w14:ligatures w14:val="standardContextual"/>
              </w:rPr>
            </w:pPr>
            <w:hyperlink r:id="rId91" w:history="1">
              <w:r w:rsidR="004939EC">
                <w:rPr>
                  <w:rStyle w:val="Hyperlink"/>
                  <w:rFonts w:ascii="Franklin Gothic Book" w:hAnsi="Franklin Gothic Book" w:cs="Calibri"/>
                  <w:szCs w:val="20"/>
                </w:rPr>
                <w:t>General Resources for Federal Grant Programs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54AFFEE9" w14:textId="77777777" w:rsidR="004939EC" w:rsidRDefault="004939EC" w:rsidP="007A0CFB">
            <w:pPr>
              <w:pStyle w:val="TableText"/>
              <w:rPr>
                <w:rFonts w:ascii="Franklin Gothic Book" w:hAnsi="Franklin Gothic Book" w:cs="Calibri"/>
                <w:color w:val="000000"/>
              </w:rPr>
            </w:pPr>
            <w:r>
              <w:rPr>
                <w:rFonts w:ascii="Franklin Gothic Book" w:hAnsi="Franklin Gothic Book" w:cs="Calibri"/>
                <w:color w:val="000000" w:themeColor="text1"/>
              </w:rPr>
              <w:t xml:space="preserve">General federal grants resources. </w:t>
            </w:r>
          </w:p>
        </w:tc>
      </w:tr>
      <w:tr w:rsidR="004939EC" w14:paraId="2D58B0B0" w14:textId="77777777" w:rsidTr="008E5BF5">
        <w:tc>
          <w:tcPr>
            <w:tcW w:w="2692" w:type="dxa"/>
            <w:tcBorders>
              <w:top w:val="single" w:sz="6" w:space="0" w:color="2F5496"/>
              <w:left w:val="single" w:sz="6" w:space="0" w:color="2F5496"/>
              <w:bottom w:val="single" w:sz="6" w:space="0" w:color="2F5496"/>
              <w:right w:val="single" w:sz="6" w:space="0" w:color="2F5496"/>
            </w:tcBorders>
            <w:hideMark/>
          </w:tcPr>
          <w:p w14:paraId="006E726C" w14:textId="77777777" w:rsidR="004939EC" w:rsidRDefault="00000000" w:rsidP="007A0CFB">
            <w:pPr>
              <w:pStyle w:val="TableText"/>
            </w:pPr>
            <w:hyperlink r:id="rId92" w:history="1">
              <w:r w:rsidR="004939EC">
                <w:rPr>
                  <w:rStyle w:val="Hyperlink"/>
                  <w:rFonts w:ascii="Franklin Gothic Book" w:eastAsia="Franklin Gothic Book" w:hAnsi="Franklin Gothic Book" w:cs="Franklin Gothic Book"/>
                </w:rPr>
                <w:t>Massachusetts Farm to School Grant Opportunities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28284E83" w14:textId="096BC6FE" w:rsidR="004939EC" w:rsidRDefault="004939EC" w:rsidP="007A0CFB">
            <w:pPr>
              <w:pStyle w:val="TableText"/>
              <w:rPr>
                <w:rFonts w:ascii="Franklin Gothic Book" w:hAnsi="Franklin Gothic Book" w:cs="Calibri"/>
                <w:color w:val="000000"/>
                <w:szCs w:val="20"/>
              </w:rPr>
            </w:pPr>
            <w:r>
              <w:rPr>
                <w:rFonts w:ascii="Franklin Gothic Book" w:eastAsia="Franklin Gothic Book" w:hAnsi="Franklin Gothic Book" w:cs="Franklin Gothic Book"/>
                <w:color w:val="000000" w:themeColor="text1"/>
              </w:rPr>
              <w:t>A summary of state, regional</w:t>
            </w:r>
            <w:r w:rsidR="008E5BF5">
              <w:rPr>
                <w:rFonts w:ascii="Franklin Gothic Book" w:eastAsia="Franklin Gothic Book" w:hAnsi="Franklin Gothic Book" w:cs="Franklin Gothic Book"/>
                <w:color w:val="000000" w:themeColor="text1"/>
              </w:rPr>
              <w:t>,</w:t>
            </w:r>
            <w:r>
              <w:rPr>
                <w:rFonts w:ascii="Franklin Gothic Book" w:eastAsia="Franklin Gothic Book" w:hAnsi="Franklin Gothic Book" w:cs="Franklin Gothic Book"/>
                <w:color w:val="000000" w:themeColor="text1"/>
              </w:rPr>
              <w:t xml:space="preserve"> and national grant opportunities related to farm to school, school gardens, hydroponics, school food and more.</w:t>
            </w:r>
          </w:p>
        </w:tc>
      </w:tr>
      <w:tr w:rsidR="004939EC" w14:paraId="6024D851" w14:textId="77777777" w:rsidTr="008E5BF5">
        <w:tc>
          <w:tcPr>
            <w:tcW w:w="2692" w:type="dxa"/>
            <w:tcBorders>
              <w:top w:val="single" w:sz="6" w:space="0" w:color="2F5496"/>
              <w:left w:val="single" w:sz="6" w:space="0" w:color="2F5496"/>
              <w:bottom w:val="single" w:sz="6" w:space="0" w:color="2F5496"/>
              <w:right w:val="single" w:sz="6" w:space="0" w:color="2F5496"/>
            </w:tcBorders>
            <w:hideMark/>
          </w:tcPr>
          <w:p w14:paraId="3E7F1EA6" w14:textId="77777777" w:rsidR="004939EC" w:rsidRDefault="00000000" w:rsidP="007A0CFB">
            <w:pPr>
              <w:pStyle w:val="TableText"/>
            </w:pPr>
            <w:hyperlink r:id="rId93" w:history="1">
              <w:r w:rsidR="004939EC">
                <w:rPr>
                  <w:rStyle w:val="Hyperlink"/>
                  <w:rFonts w:ascii="Franklin Gothic Book" w:eastAsia="Franklin Gothic Book" w:hAnsi="Franklin Gothic Book" w:cs="Franklin Gothic Book"/>
                </w:rPr>
                <w:t>Office for Food and Nutrition Programs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2DC7AC2C" w14:textId="77777777" w:rsidR="004939EC" w:rsidRDefault="004939EC" w:rsidP="007A0CFB">
            <w:pPr>
              <w:pStyle w:val="TableText"/>
              <w:rPr>
                <w:rFonts w:ascii="Franklin Gothic Book" w:hAnsi="Franklin Gothic Book" w:cs="Calibri"/>
                <w:color w:val="000000"/>
                <w:szCs w:val="20"/>
              </w:rPr>
            </w:pPr>
            <w:r>
              <w:rPr>
                <w:rFonts w:ascii="Franklin Gothic Book" w:eastAsia="Franklin Gothic Book" w:hAnsi="Franklin Gothic Book" w:cs="Franklin Gothic Book"/>
                <w:color w:val="000000" w:themeColor="text1"/>
              </w:rPr>
              <w:t>Resources for school districts, childcare centers, family day care homes, adult day health programs, Summer Eats community organizations, USDA Foods storage and distribution vendors, food banks, and anti-hunger organizations across the Commonwealth.</w:t>
            </w:r>
          </w:p>
        </w:tc>
      </w:tr>
      <w:tr w:rsidR="004939EC" w14:paraId="470DCE87" w14:textId="77777777" w:rsidTr="008E5BF5">
        <w:tc>
          <w:tcPr>
            <w:tcW w:w="2692" w:type="dxa"/>
            <w:tcBorders>
              <w:top w:val="single" w:sz="6" w:space="0" w:color="2F5496"/>
              <w:left w:val="single" w:sz="6" w:space="0" w:color="2F5496"/>
              <w:bottom w:val="single" w:sz="6" w:space="0" w:color="2F5496"/>
              <w:right w:val="single" w:sz="6" w:space="0" w:color="2F5496"/>
            </w:tcBorders>
            <w:hideMark/>
          </w:tcPr>
          <w:p w14:paraId="008B8E72" w14:textId="01CABBA5" w:rsidR="004939EC" w:rsidRDefault="00000000" w:rsidP="007A0CFB">
            <w:pPr>
              <w:pStyle w:val="TableText"/>
            </w:pPr>
            <w:hyperlink r:id="rId94" w:history="1">
              <w:r w:rsidR="004939EC">
                <w:rPr>
                  <w:rStyle w:val="Hyperlink"/>
                  <w:rFonts w:ascii="Franklin Gothic Book" w:hAnsi="Franklin Gothic Book" w:cs="Calibri"/>
                </w:rPr>
                <w:t>Planning for Success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04E457ED" w14:textId="77777777" w:rsidR="004939EC" w:rsidRDefault="004939EC" w:rsidP="007A0CFB">
            <w:pPr>
              <w:pStyle w:val="TableText"/>
              <w:rPr>
                <w:rFonts w:ascii="Franklin Gothic Book" w:eastAsia="Franklin Gothic Book" w:hAnsi="Franklin Gothic Book" w:cs="Franklin Gothic Book"/>
                <w:color w:val="000000" w:themeColor="text1"/>
              </w:rPr>
            </w:pPr>
            <w:r>
              <w:rPr>
                <w:rFonts w:ascii="Franklin Gothic Book" w:hAnsi="Franklin Gothic Book" w:cs="Calibri"/>
                <w:color w:val="000000"/>
                <w:szCs w:val="20"/>
              </w:rPr>
              <w:t>An inclusive, hands-on planning process designed to build district and school capacity and coherence while also building community understanding and support.</w:t>
            </w:r>
          </w:p>
        </w:tc>
      </w:tr>
      <w:tr w:rsidR="004939EC" w14:paraId="5F5A4327" w14:textId="77777777" w:rsidTr="008E5BF5">
        <w:tc>
          <w:tcPr>
            <w:tcW w:w="2692" w:type="dxa"/>
            <w:tcBorders>
              <w:top w:val="single" w:sz="6" w:space="0" w:color="2F5496"/>
              <w:left w:val="single" w:sz="6" w:space="0" w:color="2F5496"/>
              <w:bottom w:val="single" w:sz="6" w:space="0" w:color="2F5496"/>
              <w:right w:val="single" w:sz="6" w:space="0" w:color="2F5496"/>
            </w:tcBorders>
            <w:hideMark/>
          </w:tcPr>
          <w:p w14:paraId="77B8F58D" w14:textId="77777777" w:rsidR="004939EC" w:rsidRDefault="00000000" w:rsidP="007A0CFB">
            <w:pPr>
              <w:pStyle w:val="TableText"/>
            </w:pPr>
            <w:hyperlink r:id="rId95" w:history="1">
              <w:r w:rsidR="004939EC">
                <w:rPr>
                  <w:rStyle w:val="Hyperlink"/>
                  <w:rFonts w:ascii="Franklin Gothic Book" w:hAnsi="Franklin Gothic Book" w:cs="Calibri"/>
                  <w:szCs w:val="20"/>
                </w:rPr>
                <w:t>Resource Allocation and District Action Reports (RADAR)</w:t>
              </w:r>
            </w:hyperlink>
          </w:p>
        </w:tc>
        <w:tc>
          <w:tcPr>
            <w:tcW w:w="6659" w:type="dxa"/>
            <w:tcBorders>
              <w:top w:val="single" w:sz="6" w:space="0" w:color="2F5496"/>
              <w:left w:val="single" w:sz="6" w:space="0" w:color="2F5496"/>
              <w:bottom w:val="single" w:sz="6" w:space="0" w:color="2F5496"/>
              <w:right w:val="single" w:sz="6" w:space="0" w:color="2F5496"/>
            </w:tcBorders>
            <w:hideMark/>
          </w:tcPr>
          <w:p w14:paraId="0DB12161" w14:textId="77777777" w:rsidR="004939EC" w:rsidRDefault="004939EC" w:rsidP="007A0CFB">
            <w:pPr>
              <w:pStyle w:val="TableText"/>
              <w:rPr>
                <w:rFonts w:ascii="Franklin Gothic Book" w:hAnsi="Franklin Gothic Book" w:cs="Calibri"/>
                <w:color w:val="000000"/>
                <w:szCs w:val="20"/>
              </w:rPr>
            </w:pPr>
            <w:r>
              <w:rPr>
                <w:rFonts w:ascii="Franklin Gothic Book" w:hAnsi="Franklin Gothic Book" w:cs="Calibri"/>
                <w:color w:val="000000"/>
                <w:szCs w:val="20"/>
              </w:rPr>
              <w:t>RADAR is a suite of innovative data reports, case studies, and other resources that provide a new approach to resource decisions.</w:t>
            </w:r>
          </w:p>
        </w:tc>
      </w:tr>
      <w:tr w:rsidR="004939EC" w14:paraId="756BCDB8" w14:textId="77777777" w:rsidTr="008E5BF5">
        <w:tc>
          <w:tcPr>
            <w:tcW w:w="2692" w:type="dxa"/>
            <w:tcBorders>
              <w:top w:val="single" w:sz="6" w:space="0" w:color="2F5496"/>
              <w:left w:val="single" w:sz="6" w:space="0" w:color="2F5496"/>
              <w:bottom w:val="single" w:sz="6" w:space="0" w:color="2F5496"/>
              <w:right w:val="single" w:sz="6" w:space="0" w:color="2F5496"/>
            </w:tcBorders>
            <w:hideMark/>
          </w:tcPr>
          <w:p w14:paraId="24CF22DC" w14:textId="29C9586C" w:rsidR="004939EC" w:rsidRDefault="00000000" w:rsidP="007A0CFB">
            <w:pPr>
              <w:pStyle w:val="TableText"/>
              <w:rPr>
                <w:rStyle w:val="Hyperlink"/>
              </w:rPr>
            </w:pPr>
            <w:hyperlink r:id="rId96" w:history="1">
              <w:r w:rsidR="008E5BF5">
                <w:rPr>
                  <w:rStyle w:val="Hyperlink"/>
                  <w:rFonts w:ascii="Franklin Gothic Book" w:hAnsi="Franklin Gothic Book" w:cs="Calibri"/>
                  <w:szCs w:val="20"/>
                </w:rPr>
                <w:t>Spending Money Wisely: Getting the Most From School District Budgets</w:t>
              </w:r>
            </w:hyperlink>
            <w:r w:rsidR="008E5BF5" w:rsidRPr="008E5BF5">
              <w:rPr>
                <w:rStyle w:val="Hyperlink"/>
                <w:rFonts w:ascii="Franklin Gothic Book" w:hAnsi="Franklin Gothic Book" w:cs="Calibri"/>
                <w:color w:val="auto"/>
                <w:u w:val="none"/>
              </w:rPr>
              <w:t xml:space="preserve"> </w:t>
            </w:r>
            <w:r w:rsidR="008E5BF5" w:rsidRPr="008E5BF5">
              <w:rPr>
                <w:rStyle w:val="Hyperlink"/>
                <w:color w:val="auto"/>
                <w:u w:val="none"/>
              </w:rPr>
              <w:t>(scroll down to the Research section)</w:t>
            </w:r>
          </w:p>
        </w:tc>
        <w:tc>
          <w:tcPr>
            <w:tcW w:w="6659" w:type="dxa"/>
            <w:tcBorders>
              <w:top w:val="single" w:sz="6" w:space="0" w:color="2F5496"/>
              <w:left w:val="single" w:sz="6" w:space="0" w:color="2F5496"/>
              <w:bottom w:val="single" w:sz="6" w:space="0" w:color="2F5496"/>
              <w:right w:val="single" w:sz="6" w:space="0" w:color="2F5496"/>
            </w:tcBorders>
            <w:hideMark/>
          </w:tcPr>
          <w:p w14:paraId="397916C8" w14:textId="77777777" w:rsidR="004939EC" w:rsidRDefault="004939EC" w:rsidP="007A0CFB">
            <w:pPr>
              <w:pStyle w:val="TableText"/>
              <w:rPr>
                <w:color w:val="000000"/>
              </w:rPr>
            </w:pPr>
            <w:r>
              <w:rPr>
                <w:rFonts w:ascii="Franklin Gothic Book" w:hAnsi="Franklin Gothic Book" w:cs="Calibri"/>
                <w:color w:val="000000"/>
                <w:szCs w:val="20"/>
              </w:rPr>
              <w:t xml:space="preserve">A discussion of the top 10 opportunities for districts to realign resources and free up funds to support strategic priorities. </w:t>
            </w:r>
          </w:p>
        </w:tc>
      </w:tr>
      <w:tr w:rsidR="004939EC" w14:paraId="2ED3CE73" w14:textId="77777777" w:rsidTr="008E5BF5">
        <w:tc>
          <w:tcPr>
            <w:tcW w:w="2692" w:type="dxa"/>
            <w:tcBorders>
              <w:top w:val="single" w:sz="6" w:space="0" w:color="2F5496"/>
              <w:left w:val="single" w:sz="6" w:space="0" w:color="2F5496"/>
              <w:bottom w:val="single" w:sz="6" w:space="0" w:color="2F5496"/>
              <w:right w:val="single" w:sz="6" w:space="0" w:color="2F5496"/>
            </w:tcBorders>
            <w:hideMark/>
          </w:tcPr>
          <w:p w14:paraId="43C00E98" w14:textId="77777777" w:rsidR="004939EC" w:rsidRDefault="00000000" w:rsidP="007A0CFB">
            <w:pPr>
              <w:pStyle w:val="TableText"/>
              <w:rPr>
                <w:rStyle w:val="Hyperlink"/>
              </w:rPr>
            </w:pPr>
            <w:hyperlink r:id="rId97" w:history="1">
              <w:r w:rsidR="004939EC">
                <w:rPr>
                  <w:rStyle w:val="Hyperlink"/>
                  <w:rFonts w:ascii="Franklin Gothic Book" w:hAnsi="Franklin Gothic Book" w:cs="Calibri"/>
                  <w:szCs w:val="20"/>
                </w:rPr>
                <w:t>Summer Eats | Free Meals for Kids and Teens in MA</w:t>
              </w:r>
            </w:hyperlink>
          </w:p>
        </w:tc>
        <w:tc>
          <w:tcPr>
            <w:tcW w:w="6659" w:type="dxa"/>
            <w:tcBorders>
              <w:top w:val="single" w:sz="6" w:space="0" w:color="2F5496"/>
              <w:left w:val="single" w:sz="6" w:space="0" w:color="2F5496"/>
              <w:bottom w:val="single" w:sz="6" w:space="0" w:color="2F5496"/>
              <w:right w:val="single" w:sz="6" w:space="0" w:color="2F5496"/>
            </w:tcBorders>
            <w:hideMark/>
          </w:tcPr>
          <w:p w14:paraId="39FCB5B6" w14:textId="77777777" w:rsidR="004939EC" w:rsidRDefault="004939EC" w:rsidP="007A0CFB">
            <w:pPr>
              <w:pStyle w:val="TableText"/>
              <w:rPr>
                <w:color w:val="000000"/>
              </w:rPr>
            </w:pPr>
            <w:r>
              <w:rPr>
                <w:rFonts w:ascii="Franklin Gothic Book" w:eastAsia="Franklin Gothic Book" w:hAnsi="Franklin Gothic Book" w:cs="Franklin Gothic Book"/>
                <w:color w:val="000000" w:themeColor="text1"/>
              </w:rPr>
              <w:t>Summer Eats is a free-of-charge program that provides free meals to all kids and teens, ages 18 and under, at locations all across Massachusetts during the summer months.</w:t>
            </w:r>
          </w:p>
        </w:tc>
      </w:tr>
      <w:tr w:rsidR="004939EC" w14:paraId="7F5DA64C" w14:textId="77777777" w:rsidTr="008E5BF5">
        <w:trPr>
          <w:trHeight w:val="58"/>
        </w:trPr>
        <w:tc>
          <w:tcPr>
            <w:tcW w:w="2692" w:type="dxa"/>
            <w:tcBorders>
              <w:top w:val="single" w:sz="6" w:space="0" w:color="2F5496"/>
              <w:left w:val="single" w:sz="6" w:space="0" w:color="2F5496"/>
              <w:bottom w:val="single" w:sz="6" w:space="0" w:color="2F5496"/>
              <w:right w:val="single" w:sz="6" w:space="0" w:color="2F5496"/>
            </w:tcBorders>
            <w:hideMark/>
          </w:tcPr>
          <w:p w14:paraId="0EA3E89F" w14:textId="77777777" w:rsidR="004939EC" w:rsidRDefault="00000000" w:rsidP="007A0CFB">
            <w:pPr>
              <w:pStyle w:val="TableText"/>
              <w:rPr>
                <w:rStyle w:val="Hyperlink"/>
              </w:rPr>
            </w:pPr>
            <w:hyperlink r:id="rId98" w:history="1">
              <w:r w:rsidR="004939EC">
                <w:rPr>
                  <w:rStyle w:val="Hyperlink"/>
                  <w:rFonts w:ascii="Franklin Gothic Book" w:hAnsi="Franklin Gothic Book" w:cs="Calibri"/>
                  <w:szCs w:val="20"/>
                </w:rPr>
                <w:t>Transforming School Funding: A Guide to Implementing Student-Based Budgeting (SBB) from Education Resource Strategies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411FE33E" w14:textId="77777777" w:rsidR="004939EC" w:rsidRDefault="004939EC" w:rsidP="007A0CFB">
            <w:pPr>
              <w:pStyle w:val="TableText"/>
              <w:rPr>
                <w:rFonts w:ascii="Franklin Gothic Book" w:eastAsia="Franklin Gothic Book" w:hAnsi="Franklin Gothic Book" w:cs="Tahoma"/>
                <w:szCs w:val="20"/>
              </w:rPr>
            </w:pPr>
            <w:r>
              <w:rPr>
                <w:rFonts w:ascii="Franklin Gothic Book" w:hAnsi="Franklin Gothic Book" w:cs="Calibri"/>
                <w:color w:val="000000"/>
                <w:szCs w:val="20"/>
              </w:rPr>
              <w:t>This guide describes a process to help districts tie funding to specific student needs.</w:t>
            </w:r>
          </w:p>
        </w:tc>
      </w:tr>
    </w:tbl>
    <w:p w14:paraId="74EAB7C2" w14:textId="77777777" w:rsidR="00486B55" w:rsidRPr="00CB0607"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CB0607" w:rsidRDefault="00486B55" w:rsidP="00486B55">
      <w:pPr>
        <w:spacing w:line="240" w:lineRule="auto"/>
        <w:sectPr w:rsidR="00486B55" w:rsidRPr="00CB0607" w:rsidSect="00D67AD2">
          <w:footerReference w:type="default" r:id="rId99"/>
          <w:footerReference w:type="first" r:id="rId100"/>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CB0607" w:rsidRDefault="002F1EBE" w:rsidP="009E578A">
      <w:pPr>
        <w:pStyle w:val="Heading2"/>
      </w:pPr>
      <w:bookmarkStart w:id="185" w:name="_Toc170157283"/>
      <w:r w:rsidRPr="00CB0607">
        <w:lastRenderedPageBreak/>
        <w:t xml:space="preserve">Appendix </w:t>
      </w:r>
      <w:r w:rsidR="00486B55">
        <w:t>D</w:t>
      </w:r>
      <w:r w:rsidR="006A3A0E" w:rsidRPr="00CB0607">
        <w:t>.</w:t>
      </w:r>
      <w:r w:rsidRPr="00CB0607">
        <w:t xml:space="preserve"> Enrollment, </w:t>
      </w:r>
      <w:r w:rsidR="00FE2534" w:rsidRPr="00CB0607">
        <w:t>Attendance</w:t>
      </w:r>
      <w:r w:rsidRPr="00CB0607">
        <w:t>, Expenditures</w:t>
      </w:r>
      <w:bookmarkStart w:id="186" w:name="_Toc337817151"/>
      <w:bookmarkEnd w:id="67"/>
      <w:bookmarkEnd w:id="185"/>
    </w:p>
    <w:p w14:paraId="70F336AE" w14:textId="77777777" w:rsidR="00B75ACA" w:rsidRPr="00CB0607" w:rsidRDefault="00B75ACA" w:rsidP="00B75ACA">
      <w:pPr>
        <w:pStyle w:val="TableTitle0"/>
      </w:pPr>
      <w:r w:rsidRPr="00CB0607">
        <w:t xml:space="preserve">Table </w:t>
      </w:r>
      <w:r>
        <w:t>D</w:t>
      </w:r>
      <w:r w:rsidRPr="00CB0607">
        <w:t xml:space="preserve">1. </w:t>
      </w:r>
      <w:bookmarkStart w:id="187" w:name="_Hlk96949958"/>
      <w:r>
        <w:t>Hingham</w:t>
      </w:r>
      <w:r w:rsidRPr="00CB0607">
        <w:t xml:space="preserve"> Public Schools</w:t>
      </w:r>
      <w:bookmarkEnd w:id="187"/>
      <w:r w:rsidRPr="00CB0607">
        <w:t>: Student Enrollment by Race/Ethnicity, 202</w:t>
      </w:r>
      <w:r>
        <w:t>3-</w:t>
      </w:r>
      <w:r w:rsidRPr="00CB0607">
        <w:t>202</w:t>
      </w:r>
      <w:r>
        <w:t>4</w:t>
      </w:r>
    </w:p>
    <w:tbl>
      <w:tblPr>
        <w:tblStyle w:val="MSVTable1"/>
        <w:tblW w:w="5000" w:type="pct"/>
        <w:tblLook w:val="06A0" w:firstRow="1" w:lastRow="0" w:firstColumn="1" w:lastColumn="0" w:noHBand="1" w:noVBand="1"/>
      </w:tblPr>
      <w:tblGrid>
        <w:gridCol w:w="2922"/>
        <w:gridCol w:w="1604"/>
        <w:gridCol w:w="1606"/>
        <w:gridCol w:w="1606"/>
        <w:gridCol w:w="1606"/>
      </w:tblGrid>
      <w:tr w:rsidR="00B75ACA" w:rsidRPr="00CB0607" w14:paraId="077BB8D8"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3D859338" w14:textId="77777777" w:rsidR="00B75ACA" w:rsidRPr="00CB0607" w:rsidRDefault="00B75ACA">
            <w:pPr>
              <w:pStyle w:val="TableColHeadingLeft"/>
              <w:rPr>
                <w:rFonts w:eastAsia="Calibri" w:cs="Calibri"/>
              </w:rPr>
            </w:pPr>
            <w:r w:rsidRPr="00CB0607">
              <w:t>Group</w:t>
            </w:r>
          </w:p>
        </w:tc>
        <w:tc>
          <w:tcPr>
            <w:tcW w:w="1604" w:type="dxa"/>
            <w:vAlign w:val="bottom"/>
          </w:tcPr>
          <w:p w14:paraId="486D954C" w14:textId="77777777" w:rsidR="00B75ACA" w:rsidRPr="00CB0607" w:rsidRDefault="00B75ACA">
            <w:pPr>
              <w:pStyle w:val="TableColHeadingCenter"/>
            </w:pPr>
            <w:r w:rsidRPr="00CB0607">
              <w:t>District</w:t>
            </w:r>
          </w:p>
        </w:tc>
        <w:tc>
          <w:tcPr>
            <w:tcW w:w="1606" w:type="dxa"/>
            <w:vAlign w:val="bottom"/>
          </w:tcPr>
          <w:p w14:paraId="2F05692A" w14:textId="77777777" w:rsidR="00B75ACA" w:rsidRPr="00CB0607" w:rsidRDefault="00B75ACA">
            <w:pPr>
              <w:pStyle w:val="TableColHeadingCenter"/>
            </w:pPr>
            <w:r w:rsidRPr="00CB0607">
              <w:t>Percentage of total</w:t>
            </w:r>
          </w:p>
        </w:tc>
        <w:tc>
          <w:tcPr>
            <w:tcW w:w="1606" w:type="dxa"/>
            <w:vAlign w:val="bottom"/>
          </w:tcPr>
          <w:p w14:paraId="7DA040F4" w14:textId="77777777" w:rsidR="00B75ACA" w:rsidRPr="00CB0607" w:rsidRDefault="00B75ACA">
            <w:pPr>
              <w:pStyle w:val="TableColHeadingCenter"/>
            </w:pPr>
            <w:r w:rsidRPr="00CB0607">
              <w:t>State</w:t>
            </w:r>
          </w:p>
        </w:tc>
        <w:tc>
          <w:tcPr>
            <w:tcW w:w="1606" w:type="dxa"/>
            <w:vAlign w:val="bottom"/>
          </w:tcPr>
          <w:p w14:paraId="07E8C289" w14:textId="77777777" w:rsidR="00B75ACA" w:rsidRPr="00CB0607" w:rsidRDefault="00B75ACA">
            <w:pPr>
              <w:pStyle w:val="TableColHeadingCenter"/>
            </w:pPr>
            <w:r w:rsidRPr="00CB0607">
              <w:t>Percentage of total</w:t>
            </w:r>
          </w:p>
        </w:tc>
      </w:tr>
      <w:tr w:rsidR="00B75ACA" w:rsidRPr="00CB0607" w14:paraId="5BC9F2F6" w14:textId="77777777">
        <w:tc>
          <w:tcPr>
            <w:tcW w:w="2922" w:type="dxa"/>
          </w:tcPr>
          <w:p w14:paraId="306EFD5A" w14:textId="77777777" w:rsidR="00B75ACA" w:rsidRPr="00CB0607" w:rsidRDefault="00B75ACA">
            <w:pPr>
              <w:pStyle w:val="TableText"/>
            </w:pPr>
            <w:r w:rsidRPr="00CB0607">
              <w:t>All</w:t>
            </w:r>
          </w:p>
        </w:tc>
        <w:tc>
          <w:tcPr>
            <w:tcW w:w="1604" w:type="dxa"/>
          </w:tcPr>
          <w:p w14:paraId="2CFA3918" w14:textId="77777777" w:rsidR="00B75ACA" w:rsidRPr="00CB0607" w:rsidRDefault="00B75ACA">
            <w:pPr>
              <w:pStyle w:val="TableTextCentered"/>
            </w:pPr>
            <w:r w:rsidRPr="006E305A">
              <w:t>3,707</w:t>
            </w:r>
          </w:p>
        </w:tc>
        <w:tc>
          <w:tcPr>
            <w:tcW w:w="1606" w:type="dxa"/>
            <w:shd w:val="clear" w:color="auto" w:fill="D9E2F3" w:themeFill="accent5" w:themeFillTint="33"/>
          </w:tcPr>
          <w:p w14:paraId="166D0791" w14:textId="77777777" w:rsidR="00B75ACA" w:rsidRPr="00CB0607" w:rsidRDefault="00B75ACA">
            <w:pPr>
              <w:pStyle w:val="TableText"/>
              <w:tabs>
                <w:tab w:val="decimal" w:pos="0"/>
              </w:tabs>
              <w:jc w:val="center"/>
            </w:pPr>
            <w:r w:rsidRPr="006E305A">
              <w:t>100.0%</w:t>
            </w:r>
          </w:p>
        </w:tc>
        <w:tc>
          <w:tcPr>
            <w:tcW w:w="1606" w:type="dxa"/>
          </w:tcPr>
          <w:p w14:paraId="6FC801D7" w14:textId="77777777" w:rsidR="00B75ACA" w:rsidRPr="00CB0607" w:rsidRDefault="00B75ACA">
            <w:pPr>
              <w:pStyle w:val="TableTextCentered"/>
            </w:pPr>
            <w:r w:rsidRPr="006E305A">
              <w:t>914,959</w:t>
            </w:r>
          </w:p>
        </w:tc>
        <w:tc>
          <w:tcPr>
            <w:tcW w:w="1606" w:type="dxa"/>
            <w:shd w:val="clear" w:color="auto" w:fill="D9E2F3" w:themeFill="accent5" w:themeFillTint="33"/>
          </w:tcPr>
          <w:p w14:paraId="66FB8FD6" w14:textId="77777777" w:rsidR="00B75ACA" w:rsidRPr="00CB0607" w:rsidRDefault="00B75ACA">
            <w:pPr>
              <w:pStyle w:val="TableText"/>
              <w:jc w:val="center"/>
            </w:pPr>
            <w:r w:rsidRPr="006E305A">
              <w:t>100.0%</w:t>
            </w:r>
          </w:p>
        </w:tc>
      </w:tr>
      <w:tr w:rsidR="00B75ACA" w:rsidRPr="00CB0607" w14:paraId="50244F03" w14:textId="77777777">
        <w:tc>
          <w:tcPr>
            <w:tcW w:w="2922" w:type="dxa"/>
          </w:tcPr>
          <w:p w14:paraId="6D7AA89F" w14:textId="77777777" w:rsidR="00B75ACA" w:rsidRPr="00CB0607" w:rsidRDefault="00B75ACA">
            <w:pPr>
              <w:pStyle w:val="TableText"/>
            </w:pPr>
            <w:r w:rsidRPr="00CB0607">
              <w:t>African American</w:t>
            </w:r>
          </w:p>
        </w:tc>
        <w:tc>
          <w:tcPr>
            <w:tcW w:w="1604" w:type="dxa"/>
          </w:tcPr>
          <w:p w14:paraId="15A3D320" w14:textId="77777777" w:rsidR="00B75ACA" w:rsidRPr="00CB0607" w:rsidRDefault="00B75ACA">
            <w:pPr>
              <w:pStyle w:val="TableTextCentered"/>
            </w:pPr>
            <w:r w:rsidRPr="006E305A">
              <w:t>72</w:t>
            </w:r>
          </w:p>
        </w:tc>
        <w:tc>
          <w:tcPr>
            <w:tcW w:w="1606" w:type="dxa"/>
            <w:shd w:val="clear" w:color="auto" w:fill="D9E2F3" w:themeFill="accent5" w:themeFillTint="33"/>
          </w:tcPr>
          <w:p w14:paraId="48E733BD" w14:textId="77777777" w:rsidR="00B75ACA" w:rsidRPr="00CB0607" w:rsidRDefault="00B75ACA">
            <w:pPr>
              <w:pStyle w:val="TableText"/>
              <w:tabs>
                <w:tab w:val="decimal" w:pos="0"/>
              </w:tabs>
              <w:jc w:val="center"/>
            </w:pPr>
            <w:r w:rsidRPr="006E305A">
              <w:t>1.9%</w:t>
            </w:r>
          </w:p>
        </w:tc>
        <w:tc>
          <w:tcPr>
            <w:tcW w:w="1606" w:type="dxa"/>
          </w:tcPr>
          <w:p w14:paraId="68B8AD94" w14:textId="77777777" w:rsidR="00B75ACA" w:rsidRPr="00CB0607" w:rsidRDefault="00B75ACA">
            <w:pPr>
              <w:pStyle w:val="TableTextCentered"/>
            </w:pPr>
            <w:r w:rsidRPr="006E305A">
              <w:t>88,104</w:t>
            </w:r>
          </w:p>
        </w:tc>
        <w:tc>
          <w:tcPr>
            <w:tcW w:w="1606" w:type="dxa"/>
            <w:shd w:val="clear" w:color="auto" w:fill="D9E2F3" w:themeFill="accent5" w:themeFillTint="33"/>
          </w:tcPr>
          <w:p w14:paraId="0FE7F164" w14:textId="77777777" w:rsidR="00B75ACA" w:rsidRPr="00CB0607" w:rsidRDefault="00B75ACA">
            <w:pPr>
              <w:pStyle w:val="TableText"/>
              <w:jc w:val="center"/>
            </w:pPr>
            <w:r w:rsidRPr="006E305A">
              <w:t>9.6%</w:t>
            </w:r>
          </w:p>
        </w:tc>
      </w:tr>
      <w:tr w:rsidR="00B75ACA" w:rsidRPr="00CB0607" w14:paraId="047CBDE6" w14:textId="77777777">
        <w:tc>
          <w:tcPr>
            <w:tcW w:w="2922" w:type="dxa"/>
          </w:tcPr>
          <w:p w14:paraId="1BF7FD16" w14:textId="77777777" w:rsidR="00B75ACA" w:rsidRPr="00CB0607" w:rsidRDefault="00B75ACA">
            <w:pPr>
              <w:pStyle w:val="TableText"/>
            </w:pPr>
            <w:r w:rsidRPr="00CB0607">
              <w:t>Asian</w:t>
            </w:r>
          </w:p>
        </w:tc>
        <w:tc>
          <w:tcPr>
            <w:tcW w:w="1604" w:type="dxa"/>
          </w:tcPr>
          <w:p w14:paraId="13B4E40D" w14:textId="77777777" w:rsidR="00B75ACA" w:rsidRPr="00CB0607" w:rsidRDefault="00B75ACA">
            <w:pPr>
              <w:pStyle w:val="TableTextCentered"/>
            </w:pPr>
            <w:r w:rsidRPr="006E305A">
              <w:t>107</w:t>
            </w:r>
          </w:p>
        </w:tc>
        <w:tc>
          <w:tcPr>
            <w:tcW w:w="1606" w:type="dxa"/>
            <w:shd w:val="clear" w:color="auto" w:fill="D9E2F3" w:themeFill="accent5" w:themeFillTint="33"/>
          </w:tcPr>
          <w:p w14:paraId="1D9D7CE6" w14:textId="77777777" w:rsidR="00B75ACA" w:rsidRPr="00CB0607" w:rsidRDefault="00B75ACA">
            <w:pPr>
              <w:pStyle w:val="TableText"/>
              <w:tabs>
                <w:tab w:val="decimal" w:pos="0"/>
              </w:tabs>
              <w:jc w:val="center"/>
            </w:pPr>
            <w:r w:rsidRPr="006E305A">
              <w:t>2.9%</w:t>
            </w:r>
          </w:p>
        </w:tc>
        <w:tc>
          <w:tcPr>
            <w:tcW w:w="1606" w:type="dxa"/>
          </w:tcPr>
          <w:p w14:paraId="3DCD438B" w14:textId="77777777" w:rsidR="00B75ACA" w:rsidRPr="00CB0607" w:rsidRDefault="00B75ACA">
            <w:pPr>
              <w:pStyle w:val="TableTextCentered"/>
            </w:pPr>
            <w:r w:rsidRPr="006E305A">
              <w:t>67,847</w:t>
            </w:r>
          </w:p>
        </w:tc>
        <w:tc>
          <w:tcPr>
            <w:tcW w:w="1606" w:type="dxa"/>
            <w:shd w:val="clear" w:color="auto" w:fill="D9E2F3" w:themeFill="accent5" w:themeFillTint="33"/>
          </w:tcPr>
          <w:p w14:paraId="06A509FC" w14:textId="77777777" w:rsidR="00B75ACA" w:rsidRPr="00CB0607" w:rsidRDefault="00B75ACA">
            <w:pPr>
              <w:pStyle w:val="TableText"/>
              <w:jc w:val="center"/>
            </w:pPr>
            <w:r w:rsidRPr="006E305A">
              <w:t>7.4%</w:t>
            </w:r>
          </w:p>
        </w:tc>
      </w:tr>
      <w:tr w:rsidR="00B75ACA" w:rsidRPr="00CB0607" w14:paraId="70EB08B1" w14:textId="77777777">
        <w:tc>
          <w:tcPr>
            <w:tcW w:w="2922" w:type="dxa"/>
          </w:tcPr>
          <w:p w14:paraId="408DE09E" w14:textId="77777777" w:rsidR="00B75ACA" w:rsidRPr="00CB0607" w:rsidRDefault="00B75ACA">
            <w:pPr>
              <w:pStyle w:val="TableText"/>
            </w:pPr>
            <w:r w:rsidRPr="00CB0607">
              <w:t>Hispanic</w:t>
            </w:r>
          </w:p>
        </w:tc>
        <w:tc>
          <w:tcPr>
            <w:tcW w:w="1604" w:type="dxa"/>
          </w:tcPr>
          <w:p w14:paraId="1DEEF2DB" w14:textId="77777777" w:rsidR="00B75ACA" w:rsidRPr="00CB0607" w:rsidRDefault="00B75ACA">
            <w:pPr>
              <w:pStyle w:val="TableTextCentered"/>
            </w:pPr>
            <w:r w:rsidRPr="006E305A">
              <w:t>142</w:t>
            </w:r>
          </w:p>
        </w:tc>
        <w:tc>
          <w:tcPr>
            <w:tcW w:w="1606" w:type="dxa"/>
            <w:shd w:val="clear" w:color="auto" w:fill="D9E2F3" w:themeFill="accent5" w:themeFillTint="33"/>
          </w:tcPr>
          <w:p w14:paraId="72E76CC9" w14:textId="77777777" w:rsidR="00B75ACA" w:rsidRPr="00CB0607" w:rsidRDefault="00B75ACA">
            <w:pPr>
              <w:pStyle w:val="TableText"/>
              <w:tabs>
                <w:tab w:val="decimal" w:pos="0"/>
              </w:tabs>
              <w:jc w:val="center"/>
            </w:pPr>
            <w:r w:rsidRPr="006E305A">
              <w:t>3.8%</w:t>
            </w:r>
          </w:p>
        </w:tc>
        <w:tc>
          <w:tcPr>
            <w:tcW w:w="1606" w:type="dxa"/>
          </w:tcPr>
          <w:p w14:paraId="334541D2" w14:textId="77777777" w:rsidR="00B75ACA" w:rsidRPr="00CB0607" w:rsidRDefault="00B75ACA">
            <w:pPr>
              <w:pStyle w:val="TableTextCentered"/>
            </w:pPr>
            <w:r w:rsidRPr="006E305A">
              <w:t>229,930</w:t>
            </w:r>
          </w:p>
        </w:tc>
        <w:tc>
          <w:tcPr>
            <w:tcW w:w="1606" w:type="dxa"/>
            <w:shd w:val="clear" w:color="auto" w:fill="D9E2F3" w:themeFill="accent5" w:themeFillTint="33"/>
          </w:tcPr>
          <w:p w14:paraId="02FAF739" w14:textId="77777777" w:rsidR="00B75ACA" w:rsidRPr="00CB0607" w:rsidRDefault="00B75ACA">
            <w:pPr>
              <w:pStyle w:val="TableText"/>
              <w:jc w:val="center"/>
            </w:pPr>
            <w:r w:rsidRPr="006E305A">
              <w:t>25.1%</w:t>
            </w:r>
          </w:p>
        </w:tc>
      </w:tr>
      <w:tr w:rsidR="00B75ACA" w:rsidRPr="00CB0607" w14:paraId="5BDD07DF" w14:textId="77777777">
        <w:tc>
          <w:tcPr>
            <w:tcW w:w="2922" w:type="dxa"/>
          </w:tcPr>
          <w:p w14:paraId="03B956FB" w14:textId="77777777" w:rsidR="00B75ACA" w:rsidRPr="00CB0607" w:rsidRDefault="00B75ACA">
            <w:pPr>
              <w:pStyle w:val="TableText"/>
            </w:pPr>
            <w:r w:rsidRPr="00CB0607">
              <w:t>Native American</w:t>
            </w:r>
          </w:p>
        </w:tc>
        <w:tc>
          <w:tcPr>
            <w:tcW w:w="1604" w:type="dxa"/>
          </w:tcPr>
          <w:p w14:paraId="784A9C25" w14:textId="77777777" w:rsidR="00B75ACA" w:rsidRPr="00CB0607" w:rsidRDefault="00B75ACA">
            <w:pPr>
              <w:pStyle w:val="TableTextCentered"/>
            </w:pPr>
            <w:r w:rsidRPr="006E305A">
              <w:t>2</w:t>
            </w:r>
          </w:p>
        </w:tc>
        <w:tc>
          <w:tcPr>
            <w:tcW w:w="1606" w:type="dxa"/>
            <w:shd w:val="clear" w:color="auto" w:fill="D9E2F3" w:themeFill="accent5" w:themeFillTint="33"/>
          </w:tcPr>
          <w:p w14:paraId="615523C9" w14:textId="77777777" w:rsidR="00B75ACA" w:rsidRPr="00CB0607" w:rsidRDefault="00B75ACA">
            <w:pPr>
              <w:pStyle w:val="TableText"/>
              <w:tabs>
                <w:tab w:val="decimal" w:pos="0"/>
              </w:tabs>
              <w:jc w:val="center"/>
            </w:pPr>
            <w:r w:rsidRPr="006E305A">
              <w:t>0.1%</w:t>
            </w:r>
          </w:p>
        </w:tc>
        <w:tc>
          <w:tcPr>
            <w:tcW w:w="1606" w:type="dxa"/>
          </w:tcPr>
          <w:p w14:paraId="1A4AC909" w14:textId="77777777" w:rsidR="00B75ACA" w:rsidRPr="00CB0607" w:rsidRDefault="00B75ACA">
            <w:pPr>
              <w:pStyle w:val="TableTextCentered"/>
            </w:pPr>
            <w:r w:rsidRPr="006E305A">
              <w:t>2,178</w:t>
            </w:r>
          </w:p>
        </w:tc>
        <w:tc>
          <w:tcPr>
            <w:tcW w:w="1606" w:type="dxa"/>
            <w:shd w:val="clear" w:color="auto" w:fill="D9E2F3" w:themeFill="accent5" w:themeFillTint="33"/>
          </w:tcPr>
          <w:p w14:paraId="420F3124" w14:textId="77777777" w:rsidR="00B75ACA" w:rsidRPr="00CB0607" w:rsidRDefault="00B75ACA">
            <w:pPr>
              <w:pStyle w:val="TableText"/>
              <w:jc w:val="center"/>
            </w:pPr>
            <w:r w:rsidRPr="006E305A">
              <w:t>0.2%</w:t>
            </w:r>
          </w:p>
        </w:tc>
      </w:tr>
      <w:tr w:rsidR="00B75ACA" w:rsidRPr="00CB0607" w14:paraId="3CD179BA" w14:textId="77777777">
        <w:tc>
          <w:tcPr>
            <w:tcW w:w="2922" w:type="dxa"/>
          </w:tcPr>
          <w:p w14:paraId="4983CF07" w14:textId="77777777" w:rsidR="00B75ACA" w:rsidRPr="00CB0607" w:rsidRDefault="00B75ACA">
            <w:pPr>
              <w:pStyle w:val="TableText"/>
            </w:pPr>
            <w:r w:rsidRPr="00CB0607">
              <w:t>White</w:t>
            </w:r>
          </w:p>
        </w:tc>
        <w:tc>
          <w:tcPr>
            <w:tcW w:w="1604" w:type="dxa"/>
          </w:tcPr>
          <w:p w14:paraId="60AA114A" w14:textId="77777777" w:rsidR="00B75ACA" w:rsidRPr="00CB0607" w:rsidRDefault="00B75ACA">
            <w:pPr>
              <w:pStyle w:val="TableTextCentered"/>
            </w:pPr>
            <w:r w:rsidRPr="006E305A">
              <w:t>3,254</w:t>
            </w:r>
          </w:p>
        </w:tc>
        <w:tc>
          <w:tcPr>
            <w:tcW w:w="1606" w:type="dxa"/>
            <w:shd w:val="clear" w:color="auto" w:fill="D9E2F3" w:themeFill="accent5" w:themeFillTint="33"/>
          </w:tcPr>
          <w:p w14:paraId="7766243D" w14:textId="77777777" w:rsidR="00B75ACA" w:rsidRPr="00CB0607" w:rsidRDefault="00B75ACA">
            <w:pPr>
              <w:pStyle w:val="TableText"/>
              <w:tabs>
                <w:tab w:val="decimal" w:pos="0"/>
              </w:tabs>
              <w:jc w:val="center"/>
            </w:pPr>
            <w:r w:rsidRPr="006E305A">
              <w:t>87.8%</w:t>
            </w:r>
          </w:p>
        </w:tc>
        <w:tc>
          <w:tcPr>
            <w:tcW w:w="1606" w:type="dxa"/>
          </w:tcPr>
          <w:p w14:paraId="248928A1" w14:textId="77777777" w:rsidR="00B75ACA" w:rsidRPr="00CB0607" w:rsidRDefault="00B75ACA">
            <w:pPr>
              <w:pStyle w:val="TableTextCentered"/>
            </w:pPr>
            <w:r w:rsidRPr="006E305A">
              <w:t>484,692</w:t>
            </w:r>
          </w:p>
        </w:tc>
        <w:tc>
          <w:tcPr>
            <w:tcW w:w="1606" w:type="dxa"/>
            <w:shd w:val="clear" w:color="auto" w:fill="D9E2F3" w:themeFill="accent5" w:themeFillTint="33"/>
          </w:tcPr>
          <w:p w14:paraId="3CE874B1" w14:textId="77777777" w:rsidR="00B75ACA" w:rsidRPr="00CB0607" w:rsidRDefault="00B75ACA">
            <w:pPr>
              <w:pStyle w:val="TableText"/>
              <w:jc w:val="center"/>
            </w:pPr>
            <w:r w:rsidRPr="006E305A">
              <w:t>53.0%</w:t>
            </w:r>
          </w:p>
        </w:tc>
      </w:tr>
      <w:tr w:rsidR="00B75ACA" w:rsidRPr="00CB0607" w14:paraId="5A15DA5E" w14:textId="77777777">
        <w:tc>
          <w:tcPr>
            <w:tcW w:w="2922" w:type="dxa"/>
          </w:tcPr>
          <w:p w14:paraId="4B379CBA" w14:textId="77777777" w:rsidR="00B75ACA" w:rsidRPr="00CB0607" w:rsidRDefault="00B75ACA">
            <w:pPr>
              <w:pStyle w:val="TableText"/>
            </w:pPr>
            <w:r w:rsidRPr="00CB0607">
              <w:t>Native Hawaiian</w:t>
            </w:r>
          </w:p>
        </w:tc>
        <w:tc>
          <w:tcPr>
            <w:tcW w:w="1604" w:type="dxa"/>
          </w:tcPr>
          <w:p w14:paraId="2F846257" w14:textId="77777777" w:rsidR="00B75ACA" w:rsidRPr="00CB0607" w:rsidRDefault="00B75ACA">
            <w:pPr>
              <w:pStyle w:val="TableTextCentered"/>
            </w:pPr>
            <w:r w:rsidRPr="006E305A">
              <w:t>1</w:t>
            </w:r>
          </w:p>
        </w:tc>
        <w:tc>
          <w:tcPr>
            <w:tcW w:w="1606" w:type="dxa"/>
            <w:shd w:val="clear" w:color="auto" w:fill="D9E2F3" w:themeFill="accent5" w:themeFillTint="33"/>
          </w:tcPr>
          <w:p w14:paraId="04BD641F" w14:textId="77777777" w:rsidR="00B75ACA" w:rsidRPr="00CB0607" w:rsidRDefault="00B75ACA">
            <w:pPr>
              <w:pStyle w:val="TableText"/>
              <w:tabs>
                <w:tab w:val="decimal" w:pos="0"/>
              </w:tabs>
              <w:jc w:val="center"/>
            </w:pPr>
            <w:r w:rsidRPr="006E305A">
              <w:t>0.0%</w:t>
            </w:r>
          </w:p>
        </w:tc>
        <w:tc>
          <w:tcPr>
            <w:tcW w:w="1606" w:type="dxa"/>
          </w:tcPr>
          <w:p w14:paraId="70B6BBCC" w14:textId="77777777" w:rsidR="00B75ACA" w:rsidRPr="00CB0607" w:rsidRDefault="00B75ACA">
            <w:pPr>
              <w:pStyle w:val="TableTextCentered"/>
            </w:pPr>
            <w:r w:rsidRPr="006E305A">
              <w:t>790</w:t>
            </w:r>
          </w:p>
        </w:tc>
        <w:tc>
          <w:tcPr>
            <w:tcW w:w="1606" w:type="dxa"/>
            <w:shd w:val="clear" w:color="auto" w:fill="D9E2F3" w:themeFill="accent5" w:themeFillTint="33"/>
          </w:tcPr>
          <w:p w14:paraId="2D4F6657" w14:textId="77777777" w:rsidR="00B75ACA" w:rsidRPr="00CB0607" w:rsidRDefault="00B75ACA">
            <w:pPr>
              <w:pStyle w:val="TableText"/>
              <w:jc w:val="center"/>
            </w:pPr>
            <w:r w:rsidRPr="006E305A">
              <w:t>0.1%</w:t>
            </w:r>
          </w:p>
        </w:tc>
      </w:tr>
      <w:tr w:rsidR="00B75ACA" w:rsidRPr="00CB0607" w14:paraId="7F670CCD" w14:textId="77777777">
        <w:tc>
          <w:tcPr>
            <w:tcW w:w="2922" w:type="dxa"/>
          </w:tcPr>
          <w:p w14:paraId="13671BEC" w14:textId="29B8C643" w:rsidR="00B75ACA" w:rsidRPr="00CB0607" w:rsidRDefault="00B75ACA">
            <w:pPr>
              <w:pStyle w:val="TableText"/>
            </w:pPr>
            <w:r w:rsidRPr="00CB0607">
              <w:t>Multi</w:t>
            </w:r>
            <w:r w:rsidR="008E5BF5">
              <w:t>-R</w:t>
            </w:r>
            <w:r w:rsidRPr="00CB0607">
              <w:t xml:space="preserve">ace, Non-Hispanic </w:t>
            </w:r>
          </w:p>
        </w:tc>
        <w:tc>
          <w:tcPr>
            <w:tcW w:w="1604" w:type="dxa"/>
          </w:tcPr>
          <w:p w14:paraId="75A6E30E" w14:textId="77777777" w:rsidR="00B75ACA" w:rsidRPr="00CB0607" w:rsidRDefault="00B75ACA">
            <w:pPr>
              <w:pStyle w:val="TableTextCentered"/>
            </w:pPr>
            <w:r w:rsidRPr="006E305A">
              <w:t>129</w:t>
            </w:r>
          </w:p>
        </w:tc>
        <w:tc>
          <w:tcPr>
            <w:tcW w:w="1606" w:type="dxa"/>
            <w:shd w:val="clear" w:color="auto" w:fill="D9E2F3" w:themeFill="accent5" w:themeFillTint="33"/>
          </w:tcPr>
          <w:p w14:paraId="1E618461" w14:textId="77777777" w:rsidR="00B75ACA" w:rsidRPr="00CB0607" w:rsidRDefault="00B75ACA">
            <w:pPr>
              <w:pStyle w:val="TableText"/>
              <w:tabs>
                <w:tab w:val="decimal" w:pos="0"/>
              </w:tabs>
              <w:jc w:val="center"/>
            </w:pPr>
            <w:r w:rsidRPr="006E305A">
              <w:t>3.5%</w:t>
            </w:r>
          </w:p>
        </w:tc>
        <w:tc>
          <w:tcPr>
            <w:tcW w:w="1606" w:type="dxa"/>
          </w:tcPr>
          <w:p w14:paraId="1E202D1F" w14:textId="77777777" w:rsidR="00B75ACA" w:rsidRPr="00CB0607" w:rsidRDefault="00B75ACA">
            <w:pPr>
              <w:pStyle w:val="TableTextCentered"/>
            </w:pPr>
            <w:r w:rsidRPr="006E305A">
              <w:t>41,418</w:t>
            </w:r>
          </w:p>
        </w:tc>
        <w:tc>
          <w:tcPr>
            <w:tcW w:w="1606" w:type="dxa"/>
            <w:shd w:val="clear" w:color="auto" w:fill="D9E2F3" w:themeFill="accent5" w:themeFillTint="33"/>
          </w:tcPr>
          <w:p w14:paraId="536FB45C" w14:textId="77777777" w:rsidR="00B75ACA" w:rsidRPr="00CB0607" w:rsidRDefault="00B75ACA">
            <w:pPr>
              <w:pStyle w:val="TableText"/>
              <w:jc w:val="center"/>
            </w:pPr>
            <w:r w:rsidRPr="006E305A">
              <w:t>4.5%</w:t>
            </w:r>
          </w:p>
        </w:tc>
      </w:tr>
    </w:tbl>
    <w:p w14:paraId="2F631D71" w14:textId="77777777" w:rsidR="00B75ACA" w:rsidRPr="00CB0607" w:rsidRDefault="00B75ACA" w:rsidP="00B75ACA">
      <w:pPr>
        <w:pStyle w:val="TableNote"/>
      </w:pPr>
      <w:r w:rsidRPr="00CB0607">
        <w:rPr>
          <w:i/>
          <w:iCs/>
        </w:rPr>
        <w:t>Note</w:t>
      </w:r>
      <w:r w:rsidRPr="00CB0607">
        <w:t>. As of October 1, 202</w:t>
      </w:r>
      <w:r>
        <w:t>3</w:t>
      </w:r>
      <w:r w:rsidRPr="00CB0607">
        <w:t>.</w:t>
      </w:r>
    </w:p>
    <w:p w14:paraId="086D5364" w14:textId="7E2B9F5B" w:rsidR="00B75ACA" w:rsidRPr="00CB0607" w:rsidRDefault="00B75ACA" w:rsidP="00B75ACA">
      <w:pPr>
        <w:pStyle w:val="TableTitle0"/>
        <w:spacing w:before="180"/>
      </w:pPr>
      <w:r w:rsidRPr="00CB0607">
        <w:t xml:space="preserve">Table </w:t>
      </w:r>
      <w:r>
        <w:t>D</w:t>
      </w:r>
      <w:r w:rsidRPr="00CB0607">
        <w:t xml:space="preserve">2. </w:t>
      </w:r>
      <w:r>
        <w:t>Hingham</w:t>
      </w:r>
      <w:r w:rsidRPr="00CB0607">
        <w:t xml:space="preserve"> Public Schools: Student Enrollment by High-Need Populations</w:t>
      </w:r>
      <w:r w:rsidR="008E5BF5">
        <w:t>, 2023-2024</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B75ACA" w:rsidRPr="00CB0607" w14:paraId="1097B939"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6524E6E9" w14:textId="77777777" w:rsidR="00B75ACA" w:rsidRPr="00CB0607" w:rsidRDefault="00B75ACA">
            <w:pPr>
              <w:pStyle w:val="TableColHeadingCenter"/>
              <w:rPr>
                <w:rFonts w:cs="Calibri"/>
              </w:rPr>
            </w:pPr>
          </w:p>
        </w:tc>
        <w:tc>
          <w:tcPr>
            <w:tcW w:w="3528" w:type="dxa"/>
            <w:gridSpan w:val="3"/>
            <w:vAlign w:val="bottom"/>
          </w:tcPr>
          <w:p w14:paraId="53BB72B4" w14:textId="77777777" w:rsidR="00B75ACA" w:rsidRPr="00CB0607" w:rsidRDefault="00B75ACA">
            <w:pPr>
              <w:pStyle w:val="TableColHeadingCenter"/>
            </w:pPr>
            <w:r w:rsidRPr="00CB0607">
              <w:t>District</w:t>
            </w:r>
          </w:p>
        </w:tc>
        <w:tc>
          <w:tcPr>
            <w:tcW w:w="3529" w:type="dxa"/>
            <w:gridSpan w:val="3"/>
            <w:vAlign w:val="bottom"/>
          </w:tcPr>
          <w:p w14:paraId="592C391B" w14:textId="77777777" w:rsidR="00B75ACA" w:rsidRPr="00CB0607" w:rsidRDefault="00B75ACA">
            <w:pPr>
              <w:pStyle w:val="TableColHeadingCenter"/>
            </w:pPr>
            <w:r w:rsidRPr="00CB0607">
              <w:t>State</w:t>
            </w:r>
          </w:p>
        </w:tc>
      </w:tr>
      <w:tr w:rsidR="00B75ACA" w:rsidRPr="00CB0607" w14:paraId="5630281E"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27A96F37" w14:textId="77777777" w:rsidR="00B75ACA" w:rsidRPr="00CB0607" w:rsidRDefault="00B75ACA">
            <w:pPr>
              <w:pStyle w:val="TableColHeadingCenter"/>
              <w:jc w:val="left"/>
            </w:pPr>
            <w:r w:rsidRPr="00CB0607">
              <w:t>Group</w:t>
            </w:r>
          </w:p>
        </w:tc>
        <w:tc>
          <w:tcPr>
            <w:tcW w:w="1125" w:type="dxa"/>
            <w:vAlign w:val="bottom"/>
          </w:tcPr>
          <w:p w14:paraId="2A1C4A9A" w14:textId="77777777" w:rsidR="00B75ACA" w:rsidRPr="00CB0607" w:rsidRDefault="00B75ACA">
            <w:pPr>
              <w:pStyle w:val="TableColHeadingCenter"/>
              <w:rPr>
                <w:i/>
                <w:iCs/>
              </w:rPr>
            </w:pPr>
            <w:r w:rsidRPr="00CB0607">
              <w:rPr>
                <w:i/>
                <w:iCs/>
              </w:rPr>
              <w:t>N</w:t>
            </w:r>
          </w:p>
        </w:tc>
        <w:tc>
          <w:tcPr>
            <w:tcW w:w="1227" w:type="dxa"/>
            <w:vAlign w:val="bottom"/>
          </w:tcPr>
          <w:p w14:paraId="1A66C393" w14:textId="610127F6" w:rsidR="00B75ACA" w:rsidRPr="00CB0607" w:rsidRDefault="00B75ACA">
            <w:pPr>
              <w:pStyle w:val="TableColHeadingCenter"/>
            </w:pPr>
            <w:r w:rsidRPr="00CB0607">
              <w:t>Percentage of high need</w:t>
            </w:r>
            <w:r w:rsidR="008E5BF5">
              <w:t>s</w:t>
            </w:r>
          </w:p>
        </w:tc>
        <w:tc>
          <w:tcPr>
            <w:tcW w:w="1176" w:type="dxa"/>
            <w:vAlign w:val="bottom"/>
          </w:tcPr>
          <w:p w14:paraId="736998C5" w14:textId="77777777" w:rsidR="00B75ACA" w:rsidRPr="00CB0607" w:rsidRDefault="00B75ACA">
            <w:pPr>
              <w:pStyle w:val="TableColHeadingCenter"/>
            </w:pPr>
            <w:r w:rsidRPr="00CB0607">
              <w:t>Percentage of district</w:t>
            </w:r>
          </w:p>
        </w:tc>
        <w:tc>
          <w:tcPr>
            <w:tcW w:w="1017" w:type="dxa"/>
            <w:vAlign w:val="bottom"/>
          </w:tcPr>
          <w:p w14:paraId="3516AA83" w14:textId="77777777" w:rsidR="00B75ACA" w:rsidRPr="00CB0607" w:rsidRDefault="00B75ACA">
            <w:pPr>
              <w:pStyle w:val="TableColHeadingCenter"/>
              <w:rPr>
                <w:i/>
                <w:iCs/>
              </w:rPr>
            </w:pPr>
            <w:r w:rsidRPr="00CB0607">
              <w:rPr>
                <w:i/>
                <w:iCs/>
              </w:rPr>
              <w:t>N</w:t>
            </w:r>
          </w:p>
        </w:tc>
        <w:tc>
          <w:tcPr>
            <w:tcW w:w="1335" w:type="dxa"/>
            <w:vAlign w:val="bottom"/>
          </w:tcPr>
          <w:p w14:paraId="419841A0" w14:textId="0466E369" w:rsidR="00B75ACA" w:rsidRPr="00CB0607" w:rsidRDefault="00B75ACA">
            <w:pPr>
              <w:pStyle w:val="TableColHeadingCenter"/>
            </w:pPr>
            <w:r w:rsidRPr="00CB0607">
              <w:t>Percentage of high need</w:t>
            </w:r>
            <w:r w:rsidR="008E5BF5">
              <w:t>s</w:t>
            </w:r>
          </w:p>
        </w:tc>
        <w:tc>
          <w:tcPr>
            <w:tcW w:w="1177" w:type="dxa"/>
            <w:vAlign w:val="bottom"/>
          </w:tcPr>
          <w:p w14:paraId="091A6F65" w14:textId="77777777" w:rsidR="00B75ACA" w:rsidRPr="00CB0607" w:rsidRDefault="00B75ACA">
            <w:pPr>
              <w:pStyle w:val="TableColHeadingCenter"/>
            </w:pPr>
            <w:r w:rsidRPr="00CB0607">
              <w:t>Percentage of state</w:t>
            </w:r>
          </w:p>
        </w:tc>
      </w:tr>
      <w:tr w:rsidR="00B75ACA" w:rsidRPr="00CB0607" w14:paraId="74F23F2A" w14:textId="77777777">
        <w:tc>
          <w:tcPr>
            <w:tcW w:w="2287" w:type="dxa"/>
          </w:tcPr>
          <w:p w14:paraId="107FEA1B" w14:textId="77777777" w:rsidR="00B75ACA" w:rsidRPr="00CB0607" w:rsidRDefault="00B75ACA">
            <w:pPr>
              <w:pStyle w:val="TableText"/>
            </w:pPr>
            <w:r w:rsidRPr="00CB0607">
              <w:t>All students with high needs</w:t>
            </w:r>
          </w:p>
        </w:tc>
        <w:tc>
          <w:tcPr>
            <w:tcW w:w="1125" w:type="dxa"/>
            <w:vAlign w:val="center"/>
          </w:tcPr>
          <w:p w14:paraId="1644D42B" w14:textId="77777777" w:rsidR="00B75ACA" w:rsidRPr="00CB0607" w:rsidRDefault="00B75ACA">
            <w:pPr>
              <w:pStyle w:val="TableTextCentered"/>
            </w:pPr>
            <w:r w:rsidRPr="00D22409">
              <w:t>901</w:t>
            </w:r>
          </w:p>
        </w:tc>
        <w:tc>
          <w:tcPr>
            <w:tcW w:w="1227" w:type="dxa"/>
            <w:shd w:val="clear" w:color="auto" w:fill="D9E2F3" w:themeFill="accent5" w:themeFillTint="33"/>
            <w:vAlign w:val="center"/>
          </w:tcPr>
          <w:p w14:paraId="698C3E99" w14:textId="77777777" w:rsidR="00B75ACA" w:rsidRPr="00CB0607" w:rsidRDefault="00B75ACA">
            <w:pPr>
              <w:pStyle w:val="TableText"/>
              <w:tabs>
                <w:tab w:val="decimal" w:pos="0"/>
              </w:tabs>
              <w:jc w:val="center"/>
            </w:pPr>
            <w:r w:rsidRPr="00D22409">
              <w:t>100.0%</w:t>
            </w:r>
          </w:p>
        </w:tc>
        <w:tc>
          <w:tcPr>
            <w:tcW w:w="1176" w:type="dxa"/>
            <w:shd w:val="clear" w:color="auto" w:fill="D9E2F3" w:themeFill="accent5" w:themeFillTint="33"/>
            <w:vAlign w:val="center"/>
          </w:tcPr>
          <w:p w14:paraId="444A70A3" w14:textId="77777777" w:rsidR="00B75ACA" w:rsidRPr="00CB0607" w:rsidRDefault="00B75ACA">
            <w:pPr>
              <w:pStyle w:val="TableText"/>
              <w:tabs>
                <w:tab w:val="decimal" w:pos="0"/>
              </w:tabs>
              <w:jc w:val="center"/>
            </w:pPr>
            <w:r w:rsidRPr="00D22409">
              <w:t>24.1%</w:t>
            </w:r>
          </w:p>
        </w:tc>
        <w:tc>
          <w:tcPr>
            <w:tcW w:w="1017" w:type="dxa"/>
            <w:vAlign w:val="center"/>
          </w:tcPr>
          <w:p w14:paraId="76CFFD1F" w14:textId="77777777" w:rsidR="00B75ACA" w:rsidRPr="00CB0607" w:rsidRDefault="00B75ACA">
            <w:pPr>
              <w:pStyle w:val="TableTextCentered"/>
            </w:pPr>
            <w:r w:rsidRPr="00D22409">
              <w:t>515,939</w:t>
            </w:r>
          </w:p>
        </w:tc>
        <w:tc>
          <w:tcPr>
            <w:tcW w:w="1335" w:type="dxa"/>
            <w:shd w:val="clear" w:color="auto" w:fill="D9E2F3" w:themeFill="accent5" w:themeFillTint="33"/>
            <w:vAlign w:val="center"/>
          </w:tcPr>
          <w:p w14:paraId="242E7B49" w14:textId="77777777" w:rsidR="00B75ACA" w:rsidRPr="00CB0607" w:rsidRDefault="00B75ACA">
            <w:pPr>
              <w:pStyle w:val="TableText"/>
              <w:tabs>
                <w:tab w:val="decimal" w:pos="0"/>
              </w:tabs>
              <w:jc w:val="center"/>
            </w:pPr>
            <w:r w:rsidRPr="00D22409">
              <w:t>100.0%</w:t>
            </w:r>
          </w:p>
        </w:tc>
        <w:tc>
          <w:tcPr>
            <w:tcW w:w="1177" w:type="dxa"/>
            <w:shd w:val="clear" w:color="auto" w:fill="D9E2F3" w:themeFill="accent5" w:themeFillTint="33"/>
            <w:vAlign w:val="center"/>
          </w:tcPr>
          <w:p w14:paraId="263C5E16" w14:textId="77777777" w:rsidR="00B75ACA" w:rsidRPr="00CB0607" w:rsidRDefault="00B75ACA">
            <w:pPr>
              <w:pStyle w:val="TableText"/>
              <w:tabs>
                <w:tab w:val="decimal" w:pos="0"/>
              </w:tabs>
              <w:jc w:val="center"/>
            </w:pPr>
            <w:r w:rsidRPr="00D22409">
              <w:t>55.8%</w:t>
            </w:r>
          </w:p>
        </w:tc>
      </w:tr>
      <w:tr w:rsidR="00B75ACA" w:rsidRPr="00CB0607" w14:paraId="7BA8B1FF" w14:textId="77777777">
        <w:tc>
          <w:tcPr>
            <w:tcW w:w="2287" w:type="dxa"/>
          </w:tcPr>
          <w:p w14:paraId="0C6E31E9" w14:textId="77777777" w:rsidR="00B75ACA" w:rsidRPr="00CB0607" w:rsidRDefault="00B75ACA">
            <w:pPr>
              <w:pStyle w:val="TableText"/>
            </w:pPr>
            <w:r w:rsidRPr="00CB0607">
              <w:t>Students with disabilities</w:t>
            </w:r>
          </w:p>
        </w:tc>
        <w:tc>
          <w:tcPr>
            <w:tcW w:w="1125" w:type="dxa"/>
            <w:vAlign w:val="center"/>
          </w:tcPr>
          <w:p w14:paraId="7A7D70A9" w14:textId="77777777" w:rsidR="00B75ACA" w:rsidRPr="00CB0607" w:rsidRDefault="00B75ACA">
            <w:pPr>
              <w:pStyle w:val="TableTextCentered"/>
            </w:pPr>
            <w:r w:rsidRPr="00D22409">
              <w:t>686</w:t>
            </w:r>
          </w:p>
        </w:tc>
        <w:tc>
          <w:tcPr>
            <w:tcW w:w="1227" w:type="dxa"/>
            <w:shd w:val="clear" w:color="auto" w:fill="D9E2F3" w:themeFill="accent5" w:themeFillTint="33"/>
            <w:vAlign w:val="center"/>
          </w:tcPr>
          <w:p w14:paraId="39580C5D" w14:textId="77777777" w:rsidR="00B75ACA" w:rsidRPr="00CB0607" w:rsidRDefault="00B75ACA">
            <w:pPr>
              <w:pStyle w:val="TableText"/>
              <w:tabs>
                <w:tab w:val="decimal" w:pos="0"/>
              </w:tabs>
              <w:jc w:val="center"/>
            </w:pPr>
            <w:r w:rsidRPr="00D22409">
              <w:t>76.1%</w:t>
            </w:r>
          </w:p>
        </w:tc>
        <w:tc>
          <w:tcPr>
            <w:tcW w:w="1176" w:type="dxa"/>
            <w:shd w:val="clear" w:color="auto" w:fill="D9E2F3" w:themeFill="accent5" w:themeFillTint="33"/>
            <w:vAlign w:val="center"/>
          </w:tcPr>
          <w:p w14:paraId="01DF2720" w14:textId="77777777" w:rsidR="00B75ACA" w:rsidRPr="00CB0607" w:rsidRDefault="00B75ACA">
            <w:pPr>
              <w:pStyle w:val="TableText"/>
              <w:tabs>
                <w:tab w:val="decimal" w:pos="0"/>
              </w:tabs>
              <w:jc w:val="center"/>
            </w:pPr>
            <w:r w:rsidRPr="00D22409">
              <w:t>18.3%</w:t>
            </w:r>
          </w:p>
        </w:tc>
        <w:tc>
          <w:tcPr>
            <w:tcW w:w="1017" w:type="dxa"/>
            <w:vAlign w:val="center"/>
          </w:tcPr>
          <w:p w14:paraId="68ECBA35" w14:textId="77777777" w:rsidR="00B75ACA" w:rsidRPr="00CB0607" w:rsidRDefault="00B75ACA">
            <w:pPr>
              <w:pStyle w:val="TableTextCentered"/>
            </w:pPr>
            <w:r w:rsidRPr="00D22409">
              <w:t>187,160</w:t>
            </w:r>
          </w:p>
        </w:tc>
        <w:tc>
          <w:tcPr>
            <w:tcW w:w="1335" w:type="dxa"/>
            <w:shd w:val="clear" w:color="auto" w:fill="D9E2F3" w:themeFill="accent5" w:themeFillTint="33"/>
            <w:vAlign w:val="center"/>
          </w:tcPr>
          <w:p w14:paraId="5CB07D50" w14:textId="77777777" w:rsidR="00B75ACA" w:rsidRPr="00CB0607" w:rsidRDefault="00B75ACA">
            <w:pPr>
              <w:pStyle w:val="TableText"/>
              <w:tabs>
                <w:tab w:val="decimal" w:pos="0"/>
              </w:tabs>
              <w:jc w:val="center"/>
            </w:pPr>
            <w:r w:rsidRPr="00D22409">
              <w:t>36.3%</w:t>
            </w:r>
          </w:p>
        </w:tc>
        <w:tc>
          <w:tcPr>
            <w:tcW w:w="1177" w:type="dxa"/>
            <w:shd w:val="clear" w:color="auto" w:fill="D9E2F3" w:themeFill="accent5" w:themeFillTint="33"/>
            <w:vAlign w:val="center"/>
          </w:tcPr>
          <w:p w14:paraId="79C452C8" w14:textId="77777777" w:rsidR="00B75ACA" w:rsidRPr="00CB0607" w:rsidRDefault="00B75ACA">
            <w:pPr>
              <w:pStyle w:val="TableText"/>
              <w:tabs>
                <w:tab w:val="decimal" w:pos="0"/>
              </w:tabs>
              <w:jc w:val="center"/>
            </w:pPr>
            <w:r w:rsidRPr="00D22409">
              <w:t>20.2%</w:t>
            </w:r>
          </w:p>
        </w:tc>
      </w:tr>
      <w:tr w:rsidR="00B75ACA" w:rsidRPr="00CB0607" w14:paraId="24ED627A" w14:textId="77777777">
        <w:tc>
          <w:tcPr>
            <w:tcW w:w="2287" w:type="dxa"/>
          </w:tcPr>
          <w:p w14:paraId="11C180D8" w14:textId="4AA96633" w:rsidR="00B75ACA" w:rsidRPr="00CB0607" w:rsidRDefault="00B75ACA">
            <w:pPr>
              <w:pStyle w:val="TableText"/>
            </w:pPr>
            <w:r w:rsidRPr="00CB0607">
              <w:t xml:space="preserve">Low-income </w:t>
            </w:r>
          </w:p>
        </w:tc>
        <w:tc>
          <w:tcPr>
            <w:tcW w:w="1125" w:type="dxa"/>
            <w:vAlign w:val="center"/>
          </w:tcPr>
          <w:p w14:paraId="4778A606" w14:textId="77777777" w:rsidR="00B75ACA" w:rsidRPr="00CB0607" w:rsidRDefault="00B75ACA">
            <w:pPr>
              <w:pStyle w:val="TableTextCentered"/>
            </w:pPr>
            <w:r w:rsidRPr="00D22409">
              <w:t>288</w:t>
            </w:r>
          </w:p>
        </w:tc>
        <w:tc>
          <w:tcPr>
            <w:tcW w:w="1227" w:type="dxa"/>
            <w:shd w:val="clear" w:color="auto" w:fill="D9E2F3" w:themeFill="accent5" w:themeFillTint="33"/>
            <w:vAlign w:val="center"/>
          </w:tcPr>
          <w:p w14:paraId="7A861FEC" w14:textId="77777777" w:rsidR="00B75ACA" w:rsidRPr="00CB0607" w:rsidRDefault="00B75ACA">
            <w:pPr>
              <w:pStyle w:val="TableText"/>
              <w:tabs>
                <w:tab w:val="decimal" w:pos="0"/>
              </w:tabs>
              <w:jc w:val="center"/>
            </w:pPr>
            <w:r w:rsidRPr="00D22409">
              <w:t>32.0%</w:t>
            </w:r>
          </w:p>
        </w:tc>
        <w:tc>
          <w:tcPr>
            <w:tcW w:w="1176" w:type="dxa"/>
            <w:shd w:val="clear" w:color="auto" w:fill="D9E2F3" w:themeFill="accent5" w:themeFillTint="33"/>
            <w:vAlign w:val="center"/>
          </w:tcPr>
          <w:p w14:paraId="0683A895" w14:textId="77777777" w:rsidR="00B75ACA" w:rsidRPr="00CB0607" w:rsidRDefault="00B75ACA">
            <w:pPr>
              <w:pStyle w:val="TableText"/>
              <w:tabs>
                <w:tab w:val="decimal" w:pos="0"/>
              </w:tabs>
              <w:jc w:val="center"/>
            </w:pPr>
            <w:r w:rsidRPr="00D22409">
              <w:t>7.8%</w:t>
            </w:r>
          </w:p>
        </w:tc>
        <w:tc>
          <w:tcPr>
            <w:tcW w:w="1017" w:type="dxa"/>
            <w:vAlign w:val="center"/>
          </w:tcPr>
          <w:p w14:paraId="03E71BBF" w14:textId="77777777" w:rsidR="00B75ACA" w:rsidRPr="00CB0607" w:rsidRDefault="00B75ACA">
            <w:pPr>
              <w:pStyle w:val="TableTextCentered"/>
            </w:pPr>
            <w:r w:rsidRPr="00D22409">
              <w:t>385,697</w:t>
            </w:r>
          </w:p>
        </w:tc>
        <w:tc>
          <w:tcPr>
            <w:tcW w:w="1335" w:type="dxa"/>
            <w:shd w:val="clear" w:color="auto" w:fill="D9E2F3" w:themeFill="accent5" w:themeFillTint="33"/>
            <w:vAlign w:val="center"/>
          </w:tcPr>
          <w:p w14:paraId="54202A07" w14:textId="77777777" w:rsidR="00B75ACA" w:rsidRPr="00CB0607" w:rsidRDefault="00B75ACA">
            <w:pPr>
              <w:pStyle w:val="TableText"/>
              <w:tabs>
                <w:tab w:val="decimal" w:pos="0"/>
              </w:tabs>
              <w:jc w:val="center"/>
            </w:pPr>
            <w:r w:rsidRPr="00D22409">
              <w:t>74.8%</w:t>
            </w:r>
          </w:p>
        </w:tc>
        <w:tc>
          <w:tcPr>
            <w:tcW w:w="1177" w:type="dxa"/>
            <w:shd w:val="clear" w:color="auto" w:fill="D9E2F3" w:themeFill="accent5" w:themeFillTint="33"/>
            <w:vAlign w:val="center"/>
          </w:tcPr>
          <w:p w14:paraId="70F93EDC" w14:textId="77777777" w:rsidR="00B75ACA" w:rsidRPr="00CB0607" w:rsidRDefault="00B75ACA">
            <w:pPr>
              <w:pStyle w:val="TableText"/>
              <w:tabs>
                <w:tab w:val="decimal" w:pos="0"/>
              </w:tabs>
              <w:jc w:val="center"/>
            </w:pPr>
            <w:r w:rsidRPr="00D22409">
              <w:t>42.2%</w:t>
            </w:r>
          </w:p>
        </w:tc>
      </w:tr>
      <w:tr w:rsidR="00B75ACA" w:rsidRPr="00CB0607" w14:paraId="41CB17D4" w14:textId="77777777">
        <w:tc>
          <w:tcPr>
            <w:tcW w:w="2287" w:type="dxa"/>
          </w:tcPr>
          <w:p w14:paraId="41E7B32B" w14:textId="387475F3" w:rsidR="00B75ACA" w:rsidRPr="00CB0607" w:rsidRDefault="00644964">
            <w:pPr>
              <w:pStyle w:val="TableText"/>
            </w:pPr>
            <w:r>
              <w:t>English</w:t>
            </w:r>
            <w:r w:rsidR="004F00AF">
              <w:t xml:space="preserve"> learners</w:t>
            </w:r>
          </w:p>
        </w:tc>
        <w:tc>
          <w:tcPr>
            <w:tcW w:w="1125" w:type="dxa"/>
            <w:vAlign w:val="center"/>
          </w:tcPr>
          <w:p w14:paraId="70D15215" w14:textId="77777777" w:rsidR="00B75ACA" w:rsidRPr="00CB0607" w:rsidRDefault="00B75ACA">
            <w:pPr>
              <w:pStyle w:val="TableTextCentered"/>
            </w:pPr>
            <w:r w:rsidRPr="00D22409">
              <w:t>27</w:t>
            </w:r>
          </w:p>
        </w:tc>
        <w:tc>
          <w:tcPr>
            <w:tcW w:w="1227" w:type="dxa"/>
            <w:shd w:val="clear" w:color="auto" w:fill="D9E2F3" w:themeFill="accent5" w:themeFillTint="33"/>
            <w:vAlign w:val="center"/>
          </w:tcPr>
          <w:p w14:paraId="2946EB30" w14:textId="77777777" w:rsidR="00B75ACA" w:rsidRPr="00CB0607" w:rsidRDefault="00B75ACA">
            <w:pPr>
              <w:pStyle w:val="TableText"/>
              <w:tabs>
                <w:tab w:val="decimal" w:pos="0"/>
              </w:tabs>
              <w:jc w:val="center"/>
            </w:pPr>
            <w:r w:rsidRPr="00D22409">
              <w:t>3.0%</w:t>
            </w:r>
          </w:p>
        </w:tc>
        <w:tc>
          <w:tcPr>
            <w:tcW w:w="1176" w:type="dxa"/>
            <w:shd w:val="clear" w:color="auto" w:fill="D9E2F3" w:themeFill="accent5" w:themeFillTint="33"/>
            <w:vAlign w:val="center"/>
          </w:tcPr>
          <w:p w14:paraId="20B95825" w14:textId="77777777" w:rsidR="00B75ACA" w:rsidRPr="00CB0607" w:rsidRDefault="00B75ACA">
            <w:pPr>
              <w:pStyle w:val="TableText"/>
              <w:tabs>
                <w:tab w:val="decimal" w:pos="0"/>
              </w:tabs>
              <w:jc w:val="center"/>
            </w:pPr>
            <w:r w:rsidRPr="00D22409">
              <w:t>0.7%</w:t>
            </w:r>
          </w:p>
        </w:tc>
        <w:tc>
          <w:tcPr>
            <w:tcW w:w="1017" w:type="dxa"/>
            <w:vAlign w:val="center"/>
          </w:tcPr>
          <w:p w14:paraId="017756C4" w14:textId="77777777" w:rsidR="00B75ACA" w:rsidRPr="00CB0607" w:rsidRDefault="00B75ACA">
            <w:pPr>
              <w:pStyle w:val="TableTextCentered"/>
            </w:pPr>
            <w:r w:rsidRPr="00D22409">
              <w:t>119,749</w:t>
            </w:r>
          </w:p>
        </w:tc>
        <w:tc>
          <w:tcPr>
            <w:tcW w:w="1335" w:type="dxa"/>
            <w:shd w:val="clear" w:color="auto" w:fill="D9E2F3" w:themeFill="accent5" w:themeFillTint="33"/>
            <w:vAlign w:val="center"/>
          </w:tcPr>
          <w:p w14:paraId="5A485014" w14:textId="77777777" w:rsidR="00B75ACA" w:rsidRPr="00CB0607" w:rsidRDefault="00B75ACA">
            <w:pPr>
              <w:pStyle w:val="TableText"/>
              <w:tabs>
                <w:tab w:val="decimal" w:pos="0"/>
              </w:tabs>
              <w:jc w:val="center"/>
            </w:pPr>
            <w:r w:rsidRPr="00D22409">
              <w:t>23.2%</w:t>
            </w:r>
          </w:p>
        </w:tc>
        <w:tc>
          <w:tcPr>
            <w:tcW w:w="1177" w:type="dxa"/>
            <w:shd w:val="clear" w:color="auto" w:fill="D9E2F3" w:themeFill="accent5" w:themeFillTint="33"/>
            <w:vAlign w:val="center"/>
          </w:tcPr>
          <w:p w14:paraId="2334F5EC" w14:textId="77777777" w:rsidR="00B75ACA" w:rsidRPr="00CB0607" w:rsidRDefault="00B75ACA">
            <w:pPr>
              <w:pStyle w:val="TableText"/>
              <w:tabs>
                <w:tab w:val="decimal" w:pos="0"/>
              </w:tabs>
              <w:jc w:val="center"/>
            </w:pPr>
            <w:r w:rsidRPr="00D22409">
              <w:t>13.1%</w:t>
            </w:r>
          </w:p>
        </w:tc>
      </w:tr>
    </w:tbl>
    <w:p w14:paraId="275E0997" w14:textId="77777777" w:rsidR="00B75ACA" w:rsidRPr="00CB0607" w:rsidRDefault="00B75ACA" w:rsidP="00B75ACA">
      <w:pPr>
        <w:pStyle w:val="TableNote"/>
        <w:rPr>
          <w:rFonts w:eastAsia="Calibri"/>
        </w:rPr>
      </w:pPr>
      <w:r w:rsidRPr="00CB0607">
        <w:rPr>
          <w:rFonts w:eastAsia="Calibri"/>
          <w:i/>
          <w:iCs/>
        </w:rPr>
        <w:t>Note</w:t>
      </w:r>
      <w:r w:rsidRPr="00CB0607">
        <w:rPr>
          <w:rFonts w:eastAsia="Calibri"/>
        </w:rPr>
        <w:t>. As of October 1, 202</w:t>
      </w:r>
      <w:r>
        <w:rPr>
          <w:rFonts w:eastAsia="Calibri"/>
        </w:rPr>
        <w:t>3</w:t>
      </w:r>
      <w:r w:rsidRPr="00CB0607">
        <w:rPr>
          <w:rFonts w:eastAsia="Calibri"/>
        </w:rPr>
        <w:t xml:space="preserve">. District and state numbers and percentages for students with disabilities and high needs are calculated including students in out-of-district placements. Total district enrollment including students in out-of-district placement is </w:t>
      </w:r>
      <w:r w:rsidRPr="004C5DD5">
        <w:rPr>
          <w:rFonts w:eastAsia="Calibri"/>
        </w:rPr>
        <w:t>3,746;</w:t>
      </w:r>
      <w:r w:rsidRPr="00CB0607">
        <w:rPr>
          <w:rFonts w:eastAsia="Calibri"/>
        </w:rPr>
        <w:t xml:space="preserve"> total state enrollment including students in out-of-district placement is </w:t>
      </w:r>
      <w:r>
        <w:rPr>
          <w:rFonts w:eastAsia="Calibri"/>
        </w:rPr>
        <w:t>924,947.</w:t>
      </w:r>
    </w:p>
    <w:p w14:paraId="5DA2BD12" w14:textId="77777777" w:rsidR="00B75ACA" w:rsidRDefault="00B75ACA" w:rsidP="00B75ACA">
      <w:pPr>
        <w:spacing w:line="240" w:lineRule="auto"/>
        <w:rPr>
          <w:rFonts w:ascii="Franklin Gothic Demi" w:hAnsi="Franklin Gothic Demi"/>
        </w:rPr>
      </w:pPr>
      <w:r>
        <w:br w:type="page"/>
      </w:r>
    </w:p>
    <w:p w14:paraId="473C45DD" w14:textId="77777777" w:rsidR="00B75ACA" w:rsidRPr="005C4DC5" w:rsidRDefault="00B75ACA" w:rsidP="00B75ACA">
      <w:pPr>
        <w:pStyle w:val="TableTitle0"/>
        <w:rPr>
          <w:spacing w:val="-4"/>
        </w:rPr>
      </w:pPr>
      <w:r w:rsidRPr="00E71F2F">
        <w:lastRenderedPageBreak/>
        <w:t xml:space="preserve">Table D3. </w:t>
      </w:r>
      <w:r>
        <w:t>Hingham</w:t>
      </w:r>
      <w:r w:rsidRPr="00CB0607">
        <w:t xml:space="preserve"> Public Schools: Chronic Absence</w:t>
      </w:r>
      <w:r w:rsidRPr="00CB0607">
        <w:rPr>
          <w:vertAlign w:val="superscript"/>
        </w:rPr>
        <w:t>a</w:t>
      </w:r>
      <w:r w:rsidRPr="00CB0607">
        <w:t xml:space="preserve"> Rates by Student Group, 20</w:t>
      </w:r>
      <w:r>
        <w:t>21</w:t>
      </w:r>
      <w:r w:rsidRPr="00CB0607">
        <w:t>-202</w:t>
      </w:r>
      <w:r>
        <w:t>3</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B75ACA" w:rsidRPr="005C4DC5" w14:paraId="07F2EFD1"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6E50FF75" w14:textId="77777777" w:rsidR="00B75ACA" w:rsidRPr="005C4DC5" w:rsidRDefault="00B75ACA">
            <w:pPr>
              <w:pStyle w:val="TableColHeadingLeft"/>
              <w:spacing w:before="20" w:after="20"/>
            </w:pPr>
            <w:r w:rsidRPr="005C4DC5">
              <w:t>Group</w:t>
            </w:r>
          </w:p>
        </w:tc>
        <w:tc>
          <w:tcPr>
            <w:tcW w:w="1160" w:type="dxa"/>
          </w:tcPr>
          <w:p w14:paraId="346512FB" w14:textId="77777777" w:rsidR="00B75ACA" w:rsidRPr="005C4DC5" w:rsidRDefault="00B75ACA">
            <w:pPr>
              <w:pStyle w:val="TableColHeadingCenter"/>
              <w:spacing w:before="20" w:after="20"/>
            </w:pPr>
            <w:r w:rsidRPr="005C4DC5">
              <w:rPr>
                <w:i/>
                <w:iCs/>
              </w:rPr>
              <w:t>N</w:t>
            </w:r>
            <w:r w:rsidRPr="005C4DC5">
              <w:t xml:space="preserve"> (202</w:t>
            </w:r>
            <w:r>
              <w:t>3</w:t>
            </w:r>
            <w:r w:rsidRPr="005C4DC5">
              <w:t>)</w:t>
            </w:r>
          </w:p>
        </w:tc>
        <w:tc>
          <w:tcPr>
            <w:tcW w:w="1325" w:type="dxa"/>
          </w:tcPr>
          <w:p w14:paraId="2495FB2E" w14:textId="77777777" w:rsidR="00B75ACA" w:rsidRPr="005C4DC5" w:rsidRDefault="00B75ACA">
            <w:pPr>
              <w:pStyle w:val="TableColHeadingCenter"/>
              <w:spacing w:before="20" w:after="20"/>
            </w:pPr>
            <w:r w:rsidRPr="005C4DC5">
              <w:t>20</w:t>
            </w:r>
            <w:r>
              <w:t>21</w:t>
            </w:r>
          </w:p>
        </w:tc>
        <w:tc>
          <w:tcPr>
            <w:tcW w:w="1326" w:type="dxa"/>
          </w:tcPr>
          <w:p w14:paraId="28D1DEF1" w14:textId="77777777" w:rsidR="00B75ACA" w:rsidRPr="005C4DC5" w:rsidRDefault="00B75ACA">
            <w:pPr>
              <w:pStyle w:val="TableColHeadingCenter"/>
              <w:spacing w:before="20" w:after="20"/>
            </w:pPr>
            <w:r w:rsidRPr="005C4DC5">
              <w:t>202</w:t>
            </w:r>
            <w:r>
              <w:t>2</w:t>
            </w:r>
          </w:p>
        </w:tc>
        <w:tc>
          <w:tcPr>
            <w:tcW w:w="1325" w:type="dxa"/>
          </w:tcPr>
          <w:p w14:paraId="1662851E" w14:textId="77777777" w:rsidR="00B75ACA" w:rsidRPr="005C4DC5" w:rsidRDefault="00B75ACA">
            <w:pPr>
              <w:pStyle w:val="TableColHeadingCenter"/>
              <w:spacing w:before="20" w:after="20"/>
            </w:pPr>
            <w:r w:rsidRPr="005C4DC5">
              <w:t>202</w:t>
            </w:r>
            <w:r>
              <w:t>3</w:t>
            </w:r>
          </w:p>
        </w:tc>
        <w:tc>
          <w:tcPr>
            <w:tcW w:w="1336" w:type="dxa"/>
          </w:tcPr>
          <w:p w14:paraId="5C9980E6" w14:textId="77777777" w:rsidR="00B75ACA" w:rsidRPr="005C4DC5" w:rsidRDefault="00B75ACA">
            <w:pPr>
              <w:pStyle w:val="TableColHeadingCenter"/>
              <w:spacing w:before="20" w:after="20"/>
            </w:pPr>
            <w:r w:rsidRPr="005C4DC5">
              <w:t>State (202</w:t>
            </w:r>
            <w:r>
              <w:t>3</w:t>
            </w:r>
            <w:r w:rsidRPr="005C4DC5">
              <w:t>)</w:t>
            </w:r>
          </w:p>
        </w:tc>
      </w:tr>
      <w:tr w:rsidR="00B75ACA" w:rsidRPr="005C4DC5" w14:paraId="606E64E0"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DE6ECDC" w14:textId="77777777" w:rsidR="00B75ACA" w:rsidRPr="005C4DC5" w:rsidRDefault="00B75ACA">
            <w:pPr>
              <w:pStyle w:val="TableText"/>
              <w:spacing w:before="20" w:after="20"/>
            </w:pPr>
            <w:r w:rsidRPr="005C4DC5">
              <w:t>All students</w:t>
            </w:r>
          </w:p>
        </w:tc>
        <w:tc>
          <w:tcPr>
            <w:tcW w:w="1160" w:type="dxa"/>
            <w:vAlign w:val="center"/>
          </w:tcPr>
          <w:p w14:paraId="6F1975C8" w14:textId="77777777" w:rsidR="00B75ACA" w:rsidRPr="005C4DC5" w:rsidRDefault="00B75ACA">
            <w:pPr>
              <w:pStyle w:val="TableTextCentered"/>
              <w:spacing w:before="20" w:after="20"/>
              <w:rPr>
                <w:rFonts w:ascii="Calibri" w:eastAsia="Calibri" w:hAnsi="Calibri" w:cs="Times New Roman"/>
              </w:rPr>
            </w:pPr>
            <w:r w:rsidRPr="00BA7869">
              <w:t>3,887</w:t>
            </w:r>
          </w:p>
        </w:tc>
        <w:tc>
          <w:tcPr>
            <w:tcW w:w="1325" w:type="dxa"/>
            <w:vAlign w:val="center"/>
          </w:tcPr>
          <w:p w14:paraId="3EC86CE5" w14:textId="77777777" w:rsidR="00B75ACA" w:rsidRPr="005C4DC5" w:rsidRDefault="00B75ACA">
            <w:pPr>
              <w:pStyle w:val="TableTextCentered"/>
              <w:spacing w:before="20" w:after="20"/>
              <w:rPr>
                <w:rFonts w:ascii="Calibri" w:eastAsia="Calibri" w:hAnsi="Calibri" w:cs="Times New Roman"/>
              </w:rPr>
            </w:pPr>
            <w:r w:rsidRPr="00BA7869">
              <w:t>6.3</w:t>
            </w:r>
          </w:p>
        </w:tc>
        <w:tc>
          <w:tcPr>
            <w:tcW w:w="1326" w:type="dxa"/>
            <w:vAlign w:val="center"/>
          </w:tcPr>
          <w:p w14:paraId="2A06751E" w14:textId="77777777" w:rsidR="00B75ACA" w:rsidRPr="005C4DC5" w:rsidRDefault="00B75ACA">
            <w:pPr>
              <w:pStyle w:val="TableTextCentered"/>
              <w:spacing w:before="20" w:after="20"/>
              <w:rPr>
                <w:rFonts w:ascii="Calibri" w:eastAsia="Calibri" w:hAnsi="Calibri" w:cs="Times New Roman"/>
              </w:rPr>
            </w:pPr>
            <w:r w:rsidRPr="00BA7869">
              <w:t>13.3</w:t>
            </w:r>
          </w:p>
        </w:tc>
        <w:tc>
          <w:tcPr>
            <w:tcW w:w="1325" w:type="dxa"/>
            <w:vAlign w:val="center"/>
          </w:tcPr>
          <w:p w14:paraId="54C7D744" w14:textId="77777777" w:rsidR="00B75ACA" w:rsidRPr="005C4DC5" w:rsidRDefault="00B75ACA">
            <w:pPr>
              <w:pStyle w:val="TableTextCentered"/>
              <w:spacing w:before="20" w:after="20"/>
              <w:rPr>
                <w:rFonts w:ascii="Calibri" w:eastAsia="Calibri" w:hAnsi="Calibri" w:cs="Times New Roman"/>
              </w:rPr>
            </w:pPr>
            <w:r w:rsidRPr="00BA7869">
              <w:t>9.6</w:t>
            </w:r>
          </w:p>
        </w:tc>
        <w:tc>
          <w:tcPr>
            <w:tcW w:w="1336" w:type="dxa"/>
            <w:vAlign w:val="center"/>
          </w:tcPr>
          <w:p w14:paraId="119A1D9A" w14:textId="77777777" w:rsidR="00B75ACA" w:rsidRPr="005C4DC5" w:rsidRDefault="00B75ACA">
            <w:pPr>
              <w:pStyle w:val="TableTextCentered"/>
              <w:spacing w:before="20" w:after="20"/>
              <w:rPr>
                <w:rFonts w:ascii="Calibri" w:eastAsia="Calibri" w:hAnsi="Calibri" w:cs="Times New Roman"/>
              </w:rPr>
            </w:pPr>
            <w:r w:rsidRPr="00BA7869">
              <w:t>22.2</w:t>
            </w:r>
          </w:p>
        </w:tc>
      </w:tr>
      <w:tr w:rsidR="00B75ACA" w:rsidRPr="005C4DC5" w14:paraId="5B85826C" w14:textId="77777777">
        <w:tc>
          <w:tcPr>
            <w:tcW w:w="2872" w:type="dxa"/>
          </w:tcPr>
          <w:p w14:paraId="0620CD9B" w14:textId="77777777" w:rsidR="00B75ACA" w:rsidRPr="005C4DC5" w:rsidRDefault="00B75ACA">
            <w:pPr>
              <w:pStyle w:val="TableText"/>
              <w:spacing w:before="20" w:after="20"/>
            </w:pPr>
            <w:r w:rsidRPr="005C4DC5">
              <w:t>African American/Black</w:t>
            </w:r>
          </w:p>
        </w:tc>
        <w:tc>
          <w:tcPr>
            <w:tcW w:w="1160" w:type="dxa"/>
            <w:vAlign w:val="center"/>
          </w:tcPr>
          <w:p w14:paraId="337C59D3" w14:textId="77777777" w:rsidR="00B75ACA" w:rsidRPr="005C4DC5" w:rsidRDefault="00B75ACA">
            <w:pPr>
              <w:pStyle w:val="TableTextCentered"/>
              <w:spacing w:before="20" w:after="20"/>
              <w:rPr>
                <w:rFonts w:ascii="Calibri" w:eastAsia="Calibri" w:hAnsi="Calibri" w:cs="Times New Roman"/>
              </w:rPr>
            </w:pPr>
            <w:r w:rsidRPr="00BA7869">
              <w:t>68</w:t>
            </w:r>
          </w:p>
        </w:tc>
        <w:tc>
          <w:tcPr>
            <w:tcW w:w="1325" w:type="dxa"/>
            <w:vAlign w:val="center"/>
          </w:tcPr>
          <w:p w14:paraId="448EB511" w14:textId="77777777" w:rsidR="00B75ACA" w:rsidRPr="005C4DC5" w:rsidRDefault="00B75ACA">
            <w:pPr>
              <w:pStyle w:val="TableTextCentered"/>
              <w:spacing w:before="20" w:after="20"/>
              <w:rPr>
                <w:rFonts w:ascii="Calibri" w:eastAsia="Calibri" w:hAnsi="Calibri" w:cs="Times New Roman"/>
              </w:rPr>
            </w:pPr>
            <w:r w:rsidRPr="00BA7869">
              <w:t>28.0</w:t>
            </w:r>
          </w:p>
        </w:tc>
        <w:tc>
          <w:tcPr>
            <w:tcW w:w="1326" w:type="dxa"/>
            <w:vAlign w:val="center"/>
          </w:tcPr>
          <w:p w14:paraId="31C5169B" w14:textId="77777777" w:rsidR="00B75ACA" w:rsidRPr="005C4DC5" w:rsidRDefault="00B75ACA">
            <w:pPr>
              <w:pStyle w:val="TableTextCentered"/>
              <w:spacing w:before="20" w:after="20"/>
              <w:rPr>
                <w:rFonts w:ascii="Calibri" w:eastAsia="Calibri" w:hAnsi="Calibri" w:cs="Times New Roman"/>
              </w:rPr>
            </w:pPr>
            <w:r w:rsidRPr="00BA7869">
              <w:t>36.0</w:t>
            </w:r>
          </w:p>
        </w:tc>
        <w:tc>
          <w:tcPr>
            <w:tcW w:w="1325" w:type="dxa"/>
            <w:vAlign w:val="center"/>
          </w:tcPr>
          <w:p w14:paraId="71011272" w14:textId="77777777" w:rsidR="00B75ACA" w:rsidRPr="005C4DC5" w:rsidRDefault="00B75ACA">
            <w:pPr>
              <w:pStyle w:val="TableTextCentered"/>
              <w:spacing w:before="20" w:after="20"/>
              <w:rPr>
                <w:rFonts w:ascii="Calibri" w:eastAsia="Calibri" w:hAnsi="Calibri" w:cs="Times New Roman"/>
              </w:rPr>
            </w:pPr>
            <w:r w:rsidRPr="00BA7869">
              <w:t>20.6</w:t>
            </w:r>
          </w:p>
        </w:tc>
        <w:tc>
          <w:tcPr>
            <w:tcW w:w="1336" w:type="dxa"/>
            <w:vAlign w:val="center"/>
          </w:tcPr>
          <w:p w14:paraId="512D8CF5" w14:textId="77777777" w:rsidR="00B75ACA" w:rsidRPr="005C4DC5" w:rsidRDefault="00B75ACA">
            <w:pPr>
              <w:pStyle w:val="TableTextCentered"/>
              <w:spacing w:before="20" w:after="20"/>
              <w:rPr>
                <w:rFonts w:ascii="Calibri" w:eastAsia="Calibri" w:hAnsi="Calibri" w:cs="Times New Roman"/>
              </w:rPr>
            </w:pPr>
            <w:r w:rsidRPr="00BA7869">
              <w:t>25.3</w:t>
            </w:r>
          </w:p>
        </w:tc>
      </w:tr>
      <w:tr w:rsidR="00B75ACA" w:rsidRPr="005C4DC5" w14:paraId="7E1B4CFA"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BE946E5" w14:textId="77777777" w:rsidR="00B75ACA" w:rsidRPr="005C4DC5" w:rsidRDefault="00B75ACA">
            <w:pPr>
              <w:pStyle w:val="TableText"/>
              <w:spacing w:before="20" w:after="20"/>
            </w:pPr>
            <w:r w:rsidRPr="005C4DC5">
              <w:t>Asian</w:t>
            </w:r>
          </w:p>
        </w:tc>
        <w:tc>
          <w:tcPr>
            <w:tcW w:w="1160" w:type="dxa"/>
            <w:vAlign w:val="center"/>
          </w:tcPr>
          <w:p w14:paraId="2F519AFB" w14:textId="77777777" w:rsidR="00B75ACA" w:rsidRPr="005C4DC5" w:rsidRDefault="00B75ACA">
            <w:pPr>
              <w:pStyle w:val="TableTextCentered"/>
              <w:spacing w:before="20" w:after="20"/>
              <w:rPr>
                <w:rFonts w:ascii="Calibri" w:eastAsia="Calibri" w:hAnsi="Calibri" w:cs="Times New Roman"/>
              </w:rPr>
            </w:pPr>
            <w:r w:rsidRPr="00BA7869">
              <w:t>119</w:t>
            </w:r>
          </w:p>
        </w:tc>
        <w:tc>
          <w:tcPr>
            <w:tcW w:w="1325" w:type="dxa"/>
            <w:vAlign w:val="center"/>
          </w:tcPr>
          <w:p w14:paraId="68B35637" w14:textId="77777777" w:rsidR="00B75ACA" w:rsidRPr="005C4DC5" w:rsidRDefault="00B75ACA">
            <w:pPr>
              <w:pStyle w:val="TableTextCentered"/>
              <w:spacing w:before="20" w:after="20"/>
              <w:rPr>
                <w:rFonts w:ascii="Calibri" w:eastAsia="Calibri" w:hAnsi="Calibri" w:cs="Times New Roman"/>
              </w:rPr>
            </w:pPr>
            <w:r w:rsidRPr="00BA7869">
              <w:t>2.6</w:t>
            </w:r>
          </w:p>
        </w:tc>
        <w:tc>
          <w:tcPr>
            <w:tcW w:w="1326" w:type="dxa"/>
            <w:vAlign w:val="center"/>
          </w:tcPr>
          <w:p w14:paraId="42FF5D50" w14:textId="77777777" w:rsidR="00B75ACA" w:rsidRPr="005C4DC5" w:rsidRDefault="00B75ACA">
            <w:pPr>
              <w:pStyle w:val="TableTextCentered"/>
              <w:spacing w:before="20" w:after="20"/>
              <w:rPr>
                <w:rFonts w:ascii="Calibri" w:eastAsia="Calibri" w:hAnsi="Calibri" w:cs="Times New Roman"/>
              </w:rPr>
            </w:pPr>
            <w:r w:rsidRPr="00BA7869">
              <w:t>6.6</w:t>
            </w:r>
          </w:p>
        </w:tc>
        <w:tc>
          <w:tcPr>
            <w:tcW w:w="1325" w:type="dxa"/>
            <w:vAlign w:val="center"/>
          </w:tcPr>
          <w:p w14:paraId="59AB9E07" w14:textId="77777777" w:rsidR="00B75ACA" w:rsidRPr="005C4DC5" w:rsidRDefault="00B75ACA">
            <w:pPr>
              <w:pStyle w:val="TableTextCentered"/>
              <w:spacing w:before="20" w:after="20"/>
              <w:rPr>
                <w:rFonts w:ascii="Calibri" w:eastAsia="Calibri" w:hAnsi="Calibri" w:cs="Times New Roman"/>
              </w:rPr>
            </w:pPr>
            <w:r w:rsidRPr="00BA7869">
              <w:t>6.7</w:t>
            </w:r>
          </w:p>
        </w:tc>
        <w:tc>
          <w:tcPr>
            <w:tcW w:w="1336" w:type="dxa"/>
            <w:vAlign w:val="center"/>
          </w:tcPr>
          <w:p w14:paraId="27DA55D3" w14:textId="77777777" w:rsidR="00B75ACA" w:rsidRPr="005C4DC5" w:rsidRDefault="00B75ACA">
            <w:pPr>
              <w:pStyle w:val="TableTextCentered"/>
              <w:spacing w:before="20" w:after="20"/>
              <w:rPr>
                <w:rFonts w:ascii="Calibri" w:eastAsia="Calibri" w:hAnsi="Calibri" w:cs="Times New Roman"/>
              </w:rPr>
            </w:pPr>
            <w:r w:rsidRPr="00BA7869">
              <w:t>13.9</w:t>
            </w:r>
          </w:p>
        </w:tc>
      </w:tr>
      <w:tr w:rsidR="00B75ACA" w:rsidRPr="005C4DC5" w14:paraId="679C92BA" w14:textId="77777777">
        <w:tc>
          <w:tcPr>
            <w:tcW w:w="2872" w:type="dxa"/>
          </w:tcPr>
          <w:p w14:paraId="7864FE0A" w14:textId="77777777" w:rsidR="00B75ACA" w:rsidRPr="005C4DC5" w:rsidRDefault="00B75ACA">
            <w:pPr>
              <w:pStyle w:val="TableText"/>
              <w:spacing w:before="20" w:after="20"/>
            </w:pPr>
            <w:r w:rsidRPr="005C4DC5">
              <w:t>Hispanic/Latino</w:t>
            </w:r>
          </w:p>
        </w:tc>
        <w:tc>
          <w:tcPr>
            <w:tcW w:w="1160" w:type="dxa"/>
            <w:vAlign w:val="center"/>
          </w:tcPr>
          <w:p w14:paraId="5572C323" w14:textId="77777777" w:rsidR="00B75ACA" w:rsidRPr="005C4DC5" w:rsidRDefault="00B75ACA">
            <w:pPr>
              <w:pStyle w:val="TableTextCentered"/>
              <w:spacing w:before="20" w:after="20"/>
              <w:rPr>
                <w:rFonts w:ascii="Calibri" w:eastAsia="Calibri" w:hAnsi="Calibri" w:cs="Times New Roman"/>
              </w:rPr>
            </w:pPr>
            <w:r w:rsidRPr="00BA7869">
              <w:t>147</w:t>
            </w:r>
          </w:p>
        </w:tc>
        <w:tc>
          <w:tcPr>
            <w:tcW w:w="1325" w:type="dxa"/>
            <w:vAlign w:val="center"/>
          </w:tcPr>
          <w:p w14:paraId="2EB4F925" w14:textId="77777777" w:rsidR="00B75ACA" w:rsidRPr="005C4DC5" w:rsidRDefault="00B75ACA">
            <w:pPr>
              <w:pStyle w:val="TableTextCentered"/>
              <w:spacing w:before="20" w:after="20"/>
              <w:rPr>
                <w:rFonts w:ascii="Calibri" w:eastAsia="Calibri" w:hAnsi="Calibri" w:cs="Times New Roman"/>
              </w:rPr>
            </w:pPr>
            <w:r w:rsidRPr="00BA7869">
              <w:t>9.0</w:t>
            </w:r>
          </w:p>
        </w:tc>
        <w:tc>
          <w:tcPr>
            <w:tcW w:w="1326" w:type="dxa"/>
            <w:vAlign w:val="center"/>
          </w:tcPr>
          <w:p w14:paraId="6FC6DBB4" w14:textId="77777777" w:rsidR="00B75ACA" w:rsidRPr="005C4DC5" w:rsidRDefault="00B75ACA">
            <w:pPr>
              <w:pStyle w:val="TableTextCentered"/>
              <w:spacing w:before="20" w:after="20"/>
              <w:rPr>
                <w:rFonts w:ascii="Calibri" w:eastAsia="Calibri" w:hAnsi="Calibri" w:cs="Times New Roman"/>
              </w:rPr>
            </w:pPr>
            <w:r w:rsidRPr="00BA7869">
              <w:t>22.1</w:t>
            </w:r>
          </w:p>
        </w:tc>
        <w:tc>
          <w:tcPr>
            <w:tcW w:w="1325" w:type="dxa"/>
            <w:vAlign w:val="center"/>
          </w:tcPr>
          <w:p w14:paraId="3AE76B5F" w14:textId="77777777" w:rsidR="00B75ACA" w:rsidRPr="005C4DC5" w:rsidRDefault="00B75ACA">
            <w:pPr>
              <w:pStyle w:val="TableTextCentered"/>
              <w:spacing w:before="20" w:after="20"/>
              <w:rPr>
                <w:rFonts w:ascii="Calibri" w:eastAsia="Calibri" w:hAnsi="Calibri" w:cs="Times New Roman"/>
              </w:rPr>
            </w:pPr>
            <w:r w:rsidRPr="00BA7869">
              <w:t>17.0</w:t>
            </w:r>
          </w:p>
        </w:tc>
        <w:tc>
          <w:tcPr>
            <w:tcW w:w="1336" w:type="dxa"/>
            <w:vAlign w:val="center"/>
          </w:tcPr>
          <w:p w14:paraId="5B0EF367" w14:textId="77777777" w:rsidR="00B75ACA" w:rsidRPr="005C4DC5" w:rsidRDefault="00B75ACA">
            <w:pPr>
              <w:pStyle w:val="TableTextCentered"/>
              <w:spacing w:before="20" w:after="20"/>
              <w:rPr>
                <w:rFonts w:ascii="Calibri" w:eastAsia="Calibri" w:hAnsi="Calibri" w:cs="Times New Roman"/>
              </w:rPr>
            </w:pPr>
            <w:r w:rsidRPr="00BA7869">
              <w:t>34.5</w:t>
            </w:r>
          </w:p>
        </w:tc>
      </w:tr>
      <w:tr w:rsidR="00B75ACA" w:rsidRPr="005C4DC5" w14:paraId="17935A06"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CB5E161" w14:textId="77777777" w:rsidR="00B75ACA" w:rsidRPr="005C4DC5" w:rsidRDefault="00B75ACA">
            <w:pPr>
              <w:pStyle w:val="TableText"/>
              <w:spacing w:before="20" w:after="20"/>
            </w:pPr>
            <w:r w:rsidRPr="005C4DC5">
              <w:t>Multi-Race, non-Hispanic/Latino</w:t>
            </w:r>
          </w:p>
        </w:tc>
        <w:tc>
          <w:tcPr>
            <w:tcW w:w="1160" w:type="dxa"/>
            <w:vAlign w:val="center"/>
          </w:tcPr>
          <w:p w14:paraId="68943115" w14:textId="77777777" w:rsidR="00B75ACA" w:rsidRPr="005C4DC5" w:rsidRDefault="00B75ACA">
            <w:pPr>
              <w:pStyle w:val="TableTextCentered"/>
              <w:spacing w:before="20" w:after="20"/>
              <w:rPr>
                <w:rFonts w:ascii="Calibri" w:eastAsia="Calibri" w:hAnsi="Calibri" w:cs="Times New Roman"/>
              </w:rPr>
            </w:pPr>
            <w:r w:rsidRPr="00BA7869">
              <w:t>132</w:t>
            </w:r>
          </w:p>
        </w:tc>
        <w:tc>
          <w:tcPr>
            <w:tcW w:w="1325" w:type="dxa"/>
            <w:vAlign w:val="center"/>
          </w:tcPr>
          <w:p w14:paraId="182BF3BC" w14:textId="77777777" w:rsidR="00B75ACA" w:rsidRPr="005C4DC5" w:rsidRDefault="00B75ACA">
            <w:pPr>
              <w:pStyle w:val="TableTextCentered"/>
              <w:spacing w:before="20" w:after="20"/>
              <w:rPr>
                <w:rFonts w:ascii="Calibri" w:eastAsia="Calibri" w:hAnsi="Calibri" w:cs="Times New Roman"/>
              </w:rPr>
            </w:pPr>
            <w:r w:rsidRPr="00BA7869">
              <w:t>2.2</w:t>
            </w:r>
          </w:p>
        </w:tc>
        <w:tc>
          <w:tcPr>
            <w:tcW w:w="1326" w:type="dxa"/>
            <w:vAlign w:val="center"/>
          </w:tcPr>
          <w:p w14:paraId="6932257F" w14:textId="77777777" w:rsidR="00B75ACA" w:rsidRPr="005C4DC5" w:rsidRDefault="00B75ACA">
            <w:pPr>
              <w:pStyle w:val="TableTextCentered"/>
              <w:spacing w:before="20" w:after="20"/>
              <w:rPr>
                <w:rFonts w:ascii="Calibri" w:eastAsia="Calibri" w:hAnsi="Calibri" w:cs="Times New Roman"/>
              </w:rPr>
            </w:pPr>
            <w:r w:rsidRPr="00BA7869">
              <w:t>14.7</w:t>
            </w:r>
          </w:p>
        </w:tc>
        <w:tc>
          <w:tcPr>
            <w:tcW w:w="1325" w:type="dxa"/>
            <w:vAlign w:val="center"/>
          </w:tcPr>
          <w:p w14:paraId="43D56DCD" w14:textId="77777777" w:rsidR="00B75ACA" w:rsidRPr="005C4DC5" w:rsidRDefault="00B75ACA">
            <w:pPr>
              <w:pStyle w:val="TableTextCentered"/>
              <w:spacing w:before="20" w:after="20"/>
              <w:rPr>
                <w:rFonts w:ascii="Calibri" w:eastAsia="Calibri" w:hAnsi="Calibri" w:cs="Times New Roman"/>
              </w:rPr>
            </w:pPr>
            <w:r w:rsidRPr="00BA7869">
              <w:t>15.2</w:t>
            </w:r>
          </w:p>
        </w:tc>
        <w:tc>
          <w:tcPr>
            <w:tcW w:w="1336" w:type="dxa"/>
            <w:vAlign w:val="center"/>
          </w:tcPr>
          <w:p w14:paraId="6DE22431" w14:textId="77777777" w:rsidR="00B75ACA" w:rsidRPr="005C4DC5" w:rsidRDefault="00B75ACA">
            <w:pPr>
              <w:pStyle w:val="TableTextCentered"/>
              <w:spacing w:before="20" w:after="20"/>
              <w:rPr>
                <w:rFonts w:ascii="Calibri" w:eastAsia="Calibri" w:hAnsi="Calibri" w:cs="Times New Roman"/>
              </w:rPr>
            </w:pPr>
            <w:r w:rsidRPr="00BA7869">
              <w:t>23.3</w:t>
            </w:r>
          </w:p>
        </w:tc>
      </w:tr>
      <w:tr w:rsidR="00B75ACA" w:rsidRPr="005C4DC5" w14:paraId="0D3EFB1A" w14:textId="77777777">
        <w:tc>
          <w:tcPr>
            <w:tcW w:w="2872" w:type="dxa"/>
          </w:tcPr>
          <w:p w14:paraId="0AF15327" w14:textId="77777777" w:rsidR="00B75ACA" w:rsidRPr="005C4DC5" w:rsidRDefault="00B75ACA">
            <w:pPr>
              <w:pStyle w:val="TableText"/>
              <w:spacing w:before="20" w:after="20"/>
            </w:pPr>
            <w:r w:rsidRPr="005C4DC5">
              <w:t>Native American</w:t>
            </w:r>
          </w:p>
        </w:tc>
        <w:tc>
          <w:tcPr>
            <w:tcW w:w="1160" w:type="dxa"/>
            <w:vAlign w:val="center"/>
          </w:tcPr>
          <w:p w14:paraId="670FB0C5" w14:textId="77777777" w:rsidR="00B75ACA" w:rsidRPr="005C4DC5" w:rsidRDefault="00B75ACA">
            <w:pPr>
              <w:pStyle w:val="TableTextCentered"/>
              <w:spacing w:before="20" w:after="20"/>
              <w:rPr>
                <w:rFonts w:ascii="Calibri" w:eastAsia="Calibri" w:hAnsi="Calibri" w:cs="Times New Roman"/>
              </w:rPr>
            </w:pPr>
            <w:r w:rsidRPr="00BA7869">
              <w:t>2</w:t>
            </w:r>
          </w:p>
        </w:tc>
        <w:tc>
          <w:tcPr>
            <w:tcW w:w="1325" w:type="dxa"/>
            <w:vAlign w:val="center"/>
          </w:tcPr>
          <w:p w14:paraId="5FFD58D8" w14:textId="77777777" w:rsidR="00B75ACA" w:rsidRPr="005C4DC5" w:rsidRDefault="00B75ACA">
            <w:pPr>
              <w:pStyle w:val="TableTextCentered"/>
              <w:spacing w:before="20" w:after="20"/>
              <w:rPr>
                <w:rFonts w:ascii="Calibri" w:eastAsia="Calibri" w:hAnsi="Calibri" w:cs="Times New Roman"/>
              </w:rPr>
            </w:pPr>
          </w:p>
        </w:tc>
        <w:tc>
          <w:tcPr>
            <w:tcW w:w="1326" w:type="dxa"/>
            <w:vAlign w:val="center"/>
          </w:tcPr>
          <w:p w14:paraId="15464A29" w14:textId="77777777" w:rsidR="00B75ACA" w:rsidRPr="005C4DC5" w:rsidRDefault="00B75ACA">
            <w:pPr>
              <w:pStyle w:val="TableTextCentered"/>
              <w:spacing w:before="20" w:after="20"/>
              <w:rPr>
                <w:rFonts w:ascii="Calibri" w:eastAsia="Calibri" w:hAnsi="Calibri" w:cs="Times New Roman"/>
              </w:rPr>
            </w:pPr>
          </w:p>
        </w:tc>
        <w:tc>
          <w:tcPr>
            <w:tcW w:w="1325" w:type="dxa"/>
            <w:vAlign w:val="center"/>
          </w:tcPr>
          <w:p w14:paraId="4497CBC1" w14:textId="77777777" w:rsidR="00B75ACA" w:rsidRPr="005C4DC5" w:rsidRDefault="00B75ACA">
            <w:pPr>
              <w:pStyle w:val="TableTextCentered"/>
              <w:spacing w:before="20" w:after="20"/>
              <w:rPr>
                <w:rFonts w:ascii="Calibri" w:eastAsia="Calibri" w:hAnsi="Calibri" w:cs="Times New Roman"/>
              </w:rPr>
            </w:pPr>
          </w:p>
        </w:tc>
        <w:tc>
          <w:tcPr>
            <w:tcW w:w="1336" w:type="dxa"/>
            <w:vAlign w:val="center"/>
          </w:tcPr>
          <w:p w14:paraId="0E70822F" w14:textId="77777777" w:rsidR="00B75ACA" w:rsidRPr="005C4DC5" w:rsidRDefault="00B75ACA">
            <w:pPr>
              <w:pStyle w:val="TableTextCentered"/>
              <w:spacing w:before="20" w:after="20"/>
              <w:rPr>
                <w:rFonts w:ascii="Calibri" w:eastAsia="Calibri" w:hAnsi="Calibri" w:cs="Times New Roman"/>
              </w:rPr>
            </w:pPr>
            <w:r w:rsidRPr="00BA7869">
              <w:t>33.5</w:t>
            </w:r>
          </w:p>
        </w:tc>
      </w:tr>
      <w:tr w:rsidR="00B75ACA" w:rsidRPr="005C4DC5" w14:paraId="32630B5C"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433C67F" w14:textId="77777777" w:rsidR="00B75ACA" w:rsidRPr="005C4DC5" w:rsidRDefault="00B75ACA">
            <w:pPr>
              <w:pStyle w:val="TableText"/>
              <w:spacing w:before="20" w:after="20"/>
              <w:rPr>
                <w:spacing w:val="-4"/>
              </w:rPr>
            </w:pPr>
            <w:r w:rsidRPr="005C4DC5">
              <w:rPr>
                <w:spacing w:val="-4"/>
              </w:rPr>
              <w:t>Native Hawaiian, Pacific Islander</w:t>
            </w:r>
          </w:p>
        </w:tc>
        <w:tc>
          <w:tcPr>
            <w:tcW w:w="1160" w:type="dxa"/>
            <w:vAlign w:val="center"/>
          </w:tcPr>
          <w:p w14:paraId="1152DCDE" w14:textId="77777777" w:rsidR="00B75ACA" w:rsidRPr="005C4DC5" w:rsidRDefault="00B75ACA">
            <w:pPr>
              <w:pStyle w:val="TableTextCentered"/>
              <w:spacing w:before="20" w:after="20"/>
              <w:rPr>
                <w:rFonts w:ascii="Calibri" w:eastAsia="Calibri" w:hAnsi="Calibri" w:cs="Times New Roman"/>
              </w:rPr>
            </w:pPr>
            <w:r w:rsidRPr="00BA7869">
              <w:t>2</w:t>
            </w:r>
          </w:p>
        </w:tc>
        <w:tc>
          <w:tcPr>
            <w:tcW w:w="1325" w:type="dxa"/>
            <w:vAlign w:val="center"/>
          </w:tcPr>
          <w:p w14:paraId="32EFE540" w14:textId="77777777" w:rsidR="00B75ACA" w:rsidRPr="005C4DC5" w:rsidRDefault="00B75ACA">
            <w:pPr>
              <w:pStyle w:val="TableTextCentered"/>
              <w:spacing w:before="20" w:after="20"/>
              <w:rPr>
                <w:rFonts w:ascii="Calibri" w:eastAsia="Calibri" w:hAnsi="Calibri" w:cs="Times New Roman"/>
              </w:rPr>
            </w:pPr>
          </w:p>
        </w:tc>
        <w:tc>
          <w:tcPr>
            <w:tcW w:w="1326" w:type="dxa"/>
            <w:vAlign w:val="center"/>
          </w:tcPr>
          <w:p w14:paraId="383A8F5C" w14:textId="77777777" w:rsidR="00B75ACA" w:rsidRPr="005C4DC5" w:rsidRDefault="00B75ACA">
            <w:pPr>
              <w:pStyle w:val="TableTextCentered"/>
              <w:spacing w:before="20" w:after="20"/>
              <w:rPr>
                <w:rFonts w:ascii="Calibri" w:eastAsia="Calibri" w:hAnsi="Calibri" w:cs="Times New Roman"/>
              </w:rPr>
            </w:pPr>
          </w:p>
        </w:tc>
        <w:tc>
          <w:tcPr>
            <w:tcW w:w="1325" w:type="dxa"/>
            <w:vAlign w:val="center"/>
          </w:tcPr>
          <w:p w14:paraId="399A7E5C" w14:textId="77777777" w:rsidR="00B75ACA" w:rsidRPr="005C4DC5" w:rsidRDefault="00B75ACA">
            <w:pPr>
              <w:pStyle w:val="TableTextCentered"/>
              <w:spacing w:before="20" w:after="20"/>
              <w:rPr>
                <w:rFonts w:ascii="Calibri" w:eastAsia="Calibri" w:hAnsi="Calibri" w:cs="Times New Roman"/>
              </w:rPr>
            </w:pPr>
          </w:p>
        </w:tc>
        <w:tc>
          <w:tcPr>
            <w:tcW w:w="1336" w:type="dxa"/>
            <w:vAlign w:val="center"/>
          </w:tcPr>
          <w:p w14:paraId="76EE6343" w14:textId="77777777" w:rsidR="00B75ACA" w:rsidRPr="005C4DC5" w:rsidRDefault="00B75ACA">
            <w:pPr>
              <w:pStyle w:val="TableTextCentered"/>
              <w:spacing w:before="20" w:after="20"/>
              <w:rPr>
                <w:rFonts w:ascii="Calibri" w:eastAsia="Calibri" w:hAnsi="Calibri" w:cs="Times New Roman"/>
              </w:rPr>
            </w:pPr>
            <w:r w:rsidRPr="00BA7869">
              <w:t>28.3</w:t>
            </w:r>
          </w:p>
        </w:tc>
      </w:tr>
      <w:tr w:rsidR="00B75ACA" w:rsidRPr="005C4DC5" w14:paraId="72F15530" w14:textId="77777777">
        <w:tc>
          <w:tcPr>
            <w:tcW w:w="2872" w:type="dxa"/>
          </w:tcPr>
          <w:p w14:paraId="1CB79261" w14:textId="77777777" w:rsidR="00B75ACA" w:rsidRPr="005C4DC5" w:rsidRDefault="00B75ACA">
            <w:pPr>
              <w:pStyle w:val="TableText"/>
              <w:spacing w:before="20" w:after="20"/>
            </w:pPr>
            <w:r w:rsidRPr="005C4DC5">
              <w:t>White</w:t>
            </w:r>
          </w:p>
        </w:tc>
        <w:tc>
          <w:tcPr>
            <w:tcW w:w="1160" w:type="dxa"/>
            <w:vAlign w:val="center"/>
          </w:tcPr>
          <w:p w14:paraId="4977516E" w14:textId="77777777" w:rsidR="00B75ACA" w:rsidRPr="005C4DC5" w:rsidRDefault="00B75ACA">
            <w:pPr>
              <w:pStyle w:val="TableTextCentered"/>
              <w:spacing w:before="20" w:after="20"/>
              <w:rPr>
                <w:rFonts w:ascii="Calibri" w:eastAsia="Calibri" w:hAnsi="Calibri" w:cs="Times New Roman"/>
              </w:rPr>
            </w:pPr>
            <w:r w:rsidRPr="00BA7869">
              <w:t>3,417</w:t>
            </w:r>
          </w:p>
        </w:tc>
        <w:tc>
          <w:tcPr>
            <w:tcW w:w="1325" w:type="dxa"/>
            <w:vAlign w:val="center"/>
          </w:tcPr>
          <w:p w14:paraId="017BB9AA" w14:textId="77777777" w:rsidR="00B75ACA" w:rsidRPr="005C4DC5" w:rsidRDefault="00B75ACA">
            <w:pPr>
              <w:pStyle w:val="TableTextCentered"/>
              <w:spacing w:before="20" w:after="20"/>
              <w:rPr>
                <w:rFonts w:ascii="Calibri" w:eastAsia="Calibri" w:hAnsi="Calibri" w:cs="Times New Roman"/>
              </w:rPr>
            </w:pPr>
            <w:r w:rsidRPr="00BA7869">
              <w:t>6.0</w:t>
            </w:r>
          </w:p>
        </w:tc>
        <w:tc>
          <w:tcPr>
            <w:tcW w:w="1326" w:type="dxa"/>
            <w:vAlign w:val="center"/>
          </w:tcPr>
          <w:p w14:paraId="028E53ED" w14:textId="77777777" w:rsidR="00B75ACA" w:rsidRPr="005C4DC5" w:rsidRDefault="00B75ACA">
            <w:pPr>
              <w:pStyle w:val="TableTextCentered"/>
              <w:spacing w:before="20" w:after="20"/>
              <w:rPr>
                <w:rFonts w:ascii="Calibri" w:eastAsia="Calibri" w:hAnsi="Calibri" w:cs="Times New Roman"/>
              </w:rPr>
            </w:pPr>
            <w:r w:rsidRPr="00BA7869">
              <w:t>12.4</w:t>
            </w:r>
          </w:p>
        </w:tc>
        <w:tc>
          <w:tcPr>
            <w:tcW w:w="1325" w:type="dxa"/>
            <w:vAlign w:val="center"/>
          </w:tcPr>
          <w:p w14:paraId="2936622C" w14:textId="77777777" w:rsidR="00B75ACA" w:rsidRPr="005C4DC5" w:rsidRDefault="00B75ACA">
            <w:pPr>
              <w:pStyle w:val="TableTextCentered"/>
              <w:spacing w:before="20" w:after="20"/>
              <w:rPr>
                <w:rFonts w:ascii="Calibri" w:eastAsia="Calibri" w:hAnsi="Calibri" w:cs="Times New Roman"/>
              </w:rPr>
            </w:pPr>
            <w:r w:rsidRPr="00BA7869">
              <w:t>8.9</w:t>
            </w:r>
          </w:p>
        </w:tc>
        <w:tc>
          <w:tcPr>
            <w:tcW w:w="1336" w:type="dxa"/>
            <w:vAlign w:val="center"/>
          </w:tcPr>
          <w:p w14:paraId="2661045E" w14:textId="77777777" w:rsidR="00B75ACA" w:rsidRPr="005C4DC5" w:rsidRDefault="00B75ACA">
            <w:pPr>
              <w:pStyle w:val="TableTextCentered"/>
              <w:spacing w:before="20" w:after="20"/>
              <w:rPr>
                <w:rFonts w:ascii="Calibri" w:eastAsia="Calibri" w:hAnsi="Calibri" w:cs="Times New Roman"/>
              </w:rPr>
            </w:pPr>
            <w:r w:rsidRPr="00BA7869">
              <w:t>17.0</w:t>
            </w:r>
          </w:p>
        </w:tc>
      </w:tr>
      <w:tr w:rsidR="00B75ACA" w:rsidRPr="005C4DC5" w14:paraId="0D19F036"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F5DFC20" w14:textId="77777777" w:rsidR="00B75ACA" w:rsidRPr="005C4DC5" w:rsidRDefault="00B75ACA">
            <w:pPr>
              <w:pStyle w:val="TableText"/>
              <w:spacing w:before="20" w:after="20"/>
            </w:pPr>
            <w:r w:rsidRPr="005C4DC5">
              <w:t>High needs</w:t>
            </w:r>
          </w:p>
        </w:tc>
        <w:tc>
          <w:tcPr>
            <w:tcW w:w="1160" w:type="dxa"/>
            <w:vAlign w:val="center"/>
          </w:tcPr>
          <w:p w14:paraId="439E263A" w14:textId="77777777" w:rsidR="00B75ACA" w:rsidRPr="005C4DC5" w:rsidRDefault="00B75ACA">
            <w:pPr>
              <w:pStyle w:val="TableTextCentered"/>
              <w:spacing w:before="20" w:after="20"/>
              <w:rPr>
                <w:rFonts w:ascii="Calibri" w:eastAsia="Calibri" w:hAnsi="Calibri" w:cs="Times New Roman"/>
              </w:rPr>
            </w:pPr>
            <w:r w:rsidRPr="00BA7869">
              <w:t>927</w:t>
            </w:r>
          </w:p>
        </w:tc>
        <w:tc>
          <w:tcPr>
            <w:tcW w:w="1325" w:type="dxa"/>
            <w:vAlign w:val="center"/>
          </w:tcPr>
          <w:p w14:paraId="252D474E" w14:textId="77777777" w:rsidR="00B75ACA" w:rsidRPr="005C4DC5" w:rsidRDefault="00B75ACA">
            <w:pPr>
              <w:pStyle w:val="TableTextCentered"/>
              <w:spacing w:before="20" w:after="20"/>
              <w:rPr>
                <w:rFonts w:ascii="Calibri" w:eastAsia="Calibri" w:hAnsi="Calibri" w:cs="Times New Roman"/>
              </w:rPr>
            </w:pPr>
            <w:r w:rsidRPr="00BA7869">
              <w:t>13.6</w:t>
            </w:r>
          </w:p>
        </w:tc>
        <w:tc>
          <w:tcPr>
            <w:tcW w:w="1326" w:type="dxa"/>
            <w:vAlign w:val="center"/>
          </w:tcPr>
          <w:p w14:paraId="551532B5" w14:textId="77777777" w:rsidR="00B75ACA" w:rsidRPr="005C4DC5" w:rsidRDefault="00B75ACA">
            <w:pPr>
              <w:pStyle w:val="TableTextCentered"/>
              <w:spacing w:before="20" w:after="20"/>
              <w:rPr>
                <w:rFonts w:ascii="Calibri" w:eastAsia="Calibri" w:hAnsi="Calibri" w:cs="Times New Roman"/>
              </w:rPr>
            </w:pPr>
            <w:r w:rsidRPr="00BA7869">
              <w:t>22.0</w:t>
            </w:r>
          </w:p>
        </w:tc>
        <w:tc>
          <w:tcPr>
            <w:tcW w:w="1325" w:type="dxa"/>
            <w:vAlign w:val="center"/>
          </w:tcPr>
          <w:p w14:paraId="29472C83" w14:textId="77777777" w:rsidR="00B75ACA" w:rsidRPr="005C4DC5" w:rsidRDefault="00B75ACA">
            <w:pPr>
              <w:pStyle w:val="TableTextCentered"/>
              <w:spacing w:before="20" w:after="20"/>
              <w:rPr>
                <w:rFonts w:ascii="Calibri" w:eastAsia="Calibri" w:hAnsi="Calibri" w:cs="Times New Roman"/>
              </w:rPr>
            </w:pPr>
            <w:r w:rsidRPr="00BA7869">
              <w:t>16.3</w:t>
            </w:r>
          </w:p>
        </w:tc>
        <w:tc>
          <w:tcPr>
            <w:tcW w:w="1336" w:type="dxa"/>
            <w:vAlign w:val="center"/>
          </w:tcPr>
          <w:p w14:paraId="2A836081" w14:textId="77777777" w:rsidR="00B75ACA" w:rsidRPr="005C4DC5" w:rsidRDefault="00B75ACA">
            <w:pPr>
              <w:pStyle w:val="TableTextCentered"/>
              <w:spacing w:before="20" w:after="20"/>
              <w:rPr>
                <w:rFonts w:ascii="Calibri" w:eastAsia="Calibri" w:hAnsi="Calibri" w:cs="Times New Roman"/>
              </w:rPr>
            </w:pPr>
            <w:r w:rsidRPr="00BA7869">
              <w:t>30.3</w:t>
            </w:r>
          </w:p>
        </w:tc>
      </w:tr>
      <w:tr w:rsidR="00B75ACA" w:rsidRPr="005C4DC5" w14:paraId="4FB10278" w14:textId="77777777">
        <w:tc>
          <w:tcPr>
            <w:tcW w:w="2872" w:type="dxa"/>
          </w:tcPr>
          <w:p w14:paraId="3720F5B3" w14:textId="77777777" w:rsidR="00B75ACA" w:rsidRPr="005C4DC5" w:rsidRDefault="00B75ACA">
            <w:pPr>
              <w:pStyle w:val="TableText"/>
              <w:spacing w:before="20" w:after="20"/>
            </w:pPr>
            <w:r w:rsidRPr="005C4DC5">
              <w:t>Low income</w:t>
            </w:r>
          </w:p>
        </w:tc>
        <w:tc>
          <w:tcPr>
            <w:tcW w:w="1160" w:type="dxa"/>
            <w:vAlign w:val="center"/>
          </w:tcPr>
          <w:p w14:paraId="067EA2B5" w14:textId="77777777" w:rsidR="00B75ACA" w:rsidRPr="005C4DC5" w:rsidRDefault="00B75ACA">
            <w:pPr>
              <w:pStyle w:val="TableTextCentered"/>
              <w:spacing w:before="20" w:after="20"/>
              <w:rPr>
                <w:rFonts w:ascii="Calibri" w:eastAsia="Calibri" w:hAnsi="Calibri" w:cs="Times New Roman"/>
              </w:rPr>
            </w:pPr>
            <w:r w:rsidRPr="00BA7869">
              <w:t>348</w:t>
            </w:r>
          </w:p>
        </w:tc>
        <w:tc>
          <w:tcPr>
            <w:tcW w:w="1325" w:type="dxa"/>
            <w:vAlign w:val="center"/>
          </w:tcPr>
          <w:p w14:paraId="4334A297" w14:textId="6A8D6728" w:rsidR="00B75ACA" w:rsidRPr="005C4DC5" w:rsidRDefault="008E5BF5">
            <w:pPr>
              <w:pStyle w:val="TableTextCentered"/>
              <w:spacing w:before="20" w:after="20"/>
              <w:rPr>
                <w:rFonts w:ascii="Calibri" w:eastAsia="Calibri" w:hAnsi="Calibri" w:cs="Times New Roman"/>
              </w:rPr>
            </w:pPr>
            <w:r>
              <w:t>—</w:t>
            </w:r>
          </w:p>
        </w:tc>
        <w:tc>
          <w:tcPr>
            <w:tcW w:w="1326" w:type="dxa"/>
            <w:vAlign w:val="center"/>
          </w:tcPr>
          <w:p w14:paraId="554E5478" w14:textId="77777777" w:rsidR="00B75ACA" w:rsidRPr="005C4DC5" w:rsidRDefault="00B75ACA">
            <w:pPr>
              <w:pStyle w:val="TableTextCentered"/>
              <w:spacing w:before="20" w:after="20"/>
              <w:rPr>
                <w:rFonts w:ascii="Calibri" w:eastAsia="Calibri" w:hAnsi="Calibri" w:cs="Times New Roman"/>
              </w:rPr>
            </w:pPr>
            <w:r w:rsidRPr="00BA7869">
              <w:t>30.2</w:t>
            </w:r>
          </w:p>
        </w:tc>
        <w:tc>
          <w:tcPr>
            <w:tcW w:w="1325" w:type="dxa"/>
            <w:vAlign w:val="center"/>
          </w:tcPr>
          <w:p w14:paraId="390B62BA" w14:textId="77777777" w:rsidR="00B75ACA" w:rsidRPr="005C4DC5" w:rsidRDefault="00B75ACA">
            <w:pPr>
              <w:pStyle w:val="TableTextCentered"/>
              <w:spacing w:before="20" w:after="20"/>
              <w:rPr>
                <w:rFonts w:ascii="Calibri" w:eastAsia="Calibri" w:hAnsi="Calibri" w:cs="Times New Roman"/>
              </w:rPr>
            </w:pPr>
            <w:r w:rsidRPr="00BA7869">
              <w:t>27.0</w:t>
            </w:r>
          </w:p>
        </w:tc>
        <w:tc>
          <w:tcPr>
            <w:tcW w:w="1336" w:type="dxa"/>
            <w:vAlign w:val="center"/>
          </w:tcPr>
          <w:p w14:paraId="04D738F7" w14:textId="77777777" w:rsidR="00B75ACA" w:rsidRPr="005C4DC5" w:rsidRDefault="00B75ACA">
            <w:pPr>
              <w:pStyle w:val="TableTextCentered"/>
              <w:spacing w:before="20" w:after="20"/>
              <w:rPr>
                <w:rFonts w:ascii="Calibri" w:eastAsia="Calibri" w:hAnsi="Calibri" w:cs="Times New Roman"/>
              </w:rPr>
            </w:pPr>
            <w:r w:rsidRPr="00BA7869">
              <w:t>33.5</w:t>
            </w:r>
          </w:p>
        </w:tc>
      </w:tr>
      <w:tr w:rsidR="00B75ACA" w:rsidRPr="005C4DC5" w14:paraId="463EF2D3"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4B88BE9" w14:textId="0B14BBDB" w:rsidR="00B75ACA" w:rsidRPr="005C4DC5" w:rsidRDefault="005718C6">
            <w:pPr>
              <w:pStyle w:val="TableText"/>
              <w:spacing w:before="20" w:after="20"/>
            </w:pPr>
            <w:r>
              <w:t>English learners</w:t>
            </w:r>
          </w:p>
        </w:tc>
        <w:tc>
          <w:tcPr>
            <w:tcW w:w="1160" w:type="dxa"/>
            <w:vAlign w:val="center"/>
          </w:tcPr>
          <w:p w14:paraId="46DC4D13" w14:textId="77777777" w:rsidR="00B75ACA" w:rsidRPr="005C4DC5" w:rsidRDefault="00B75ACA">
            <w:pPr>
              <w:pStyle w:val="TableTextCentered"/>
              <w:spacing w:before="20" w:after="20"/>
              <w:rPr>
                <w:rFonts w:ascii="Calibri" w:eastAsia="Calibri" w:hAnsi="Calibri" w:cs="Times New Roman"/>
              </w:rPr>
            </w:pPr>
            <w:r w:rsidRPr="00BA7869">
              <w:t>31</w:t>
            </w:r>
          </w:p>
        </w:tc>
        <w:tc>
          <w:tcPr>
            <w:tcW w:w="1325" w:type="dxa"/>
            <w:vAlign w:val="center"/>
          </w:tcPr>
          <w:p w14:paraId="0C85AD2B" w14:textId="77777777" w:rsidR="00B75ACA" w:rsidRPr="005C4DC5" w:rsidRDefault="00B75ACA">
            <w:pPr>
              <w:pStyle w:val="TableTextCentered"/>
              <w:spacing w:before="20" w:after="20"/>
              <w:rPr>
                <w:rFonts w:ascii="Calibri" w:eastAsia="Calibri" w:hAnsi="Calibri" w:cs="Times New Roman"/>
              </w:rPr>
            </w:pPr>
            <w:r w:rsidRPr="00BA7869">
              <w:t>17.6</w:t>
            </w:r>
          </w:p>
        </w:tc>
        <w:tc>
          <w:tcPr>
            <w:tcW w:w="1326" w:type="dxa"/>
            <w:vAlign w:val="center"/>
          </w:tcPr>
          <w:p w14:paraId="7F51073C" w14:textId="77777777" w:rsidR="00B75ACA" w:rsidRPr="005C4DC5" w:rsidRDefault="00B75ACA">
            <w:pPr>
              <w:pStyle w:val="TableTextCentered"/>
              <w:spacing w:before="20" w:after="20"/>
              <w:rPr>
                <w:rFonts w:ascii="Calibri" w:eastAsia="Calibri" w:hAnsi="Calibri" w:cs="Times New Roman"/>
              </w:rPr>
            </w:pPr>
            <w:r w:rsidRPr="00BA7869">
              <w:t>26.3</w:t>
            </w:r>
          </w:p>
        </w:tc>
        <w:tc>
          <w:tcPr>
            <w:tcW w:w="1325" w:type="dxa"/>
            <w:vAlign w:val="center"/>
          </w:tcPr>
          <w:p w14:paraId="628F86F9" w14:textId="77777777" w:rsidR="00B75ACA" w:rsidRPr="005C4DC5" w:rsidRDefault="00B75ACA">
            <w:pPr>
              <w:pStyle w:val="TableTextCentered"/>
              <w:spacing w:before="20" w:after="20"/>
              <w:rPr>
                <w:rFonts w:ascii="Calibri" w:eastAsia="Calibri" w:hAnsi="Calibri" w:cs="Times New Roman"/>
              </w:rPr>
            </w:pPr>
            <w:r w:rsidRPr="00BA7869">
              <w:t>22.6</w:t>
            </w:r>
          </w:p>
        </w:tc>
        <w:tc>
          <w:tcPr>
            <w:tcW w:w="1336" w:type="dxa"/>
            <w:vAlign w:val="center"/>
          </w:tcPr>
          <w:p w14:paraId="3739FA2A" w14:textId="77777777" w:rsidR="00B75ACA" w:rsidRPr="005C4DC5" w:rsidRDefault="00B75ACA">
            <w:pPr>
              <w:pStyle w:val="TableTextCentered"/>
              <w:spacing w:before="20" w:after="20"/>
              <w:rPr>
                <w:rFonts w:ascii="Calibri" w:eastAsia="Calibri" w:hAnsi="Calibri" w:cs="Times New Roman"/>
              </w:rPr>
            </w:pPr>
            <w:r w:rsidRPr="00BA7869">
              <w:t>33.5</w:t>
            </w:r>
          </w:p>
        </w:tc>
      </w:tr>
      <w:tr w:rsidR="00B75ACA" w:rsidRPr="005C4DC5" w14:paraId="6468D14D" w14:textId="77777777">
        <w:tc>
          <w:tcPr>
            <w:tcW w:w="2872" w:type="dxa"/>
          </w:tcPr>
          <w:p w14:paraId="77F6731F" w14:textId="77777777" w:rsidR="00B75ACA" w:rsidRPr="005C4DC5" w:rsidRDefault="00B75ACA">
            <w:pPr>
              <w:pStyle w:val="TableText"/>
              <w:spacing w:before="20" w:after="20"/>
            </w:pPr>
            <w:r w:rsidRPr="005C4DC5">
              <w:t>Students w/disabilities</w:t>
            </w:r>
          </w:p>
        </w:tc>
        <w:tc>
          <w:tcPr>
            <w:tcW w:w="1160" w:type="dxa"/>
            <w:vAlign w:val="center"/>
          </w:tcPr>
          <w:p w14:paraId="44AB70BC" w14:textId="77777777" w:rsidR="00B75ACA" w:rsidRPr="005C4DC5" w:rsidRDefault="00B75ACA">
            <w:pPr>
              <w:pStyle w:val="TableTextCentered"/>
              <w:spacing w:before="20" w:after="20"/>
              <w:rPr>
                <w:rFonts w:ascii="Calibri" w:eastAsia="Calibri" w:hAnsi="Calibri" w:cs="Times New Roman"/>
              </w:rPr>
            </w:pPr>
            <w:r w:rsidRPr="00BA7869">
              <w:t>674</w:t>
            </w:r>
          </w:p>
        </w:tc>
        <w:tc>
          <w:tcPr>
            <w:tcW w:w="1325" w:type="dxa"/>
            <w:vAlign w:val="center"/>
          </w:tcPr>
          <w:p w14:paraId="0010BB89" w14:textId="77777777" w:rsidR="00B75ACA" w:rsidRPr="005C4DC5" w:rsidRDefault="00B75ACA">
            <w:pPr>
              <w:pStyle w:val="TableTextCentered"/>
              <w:spacing w:before="20" w:after="20"/>
              <w:rPr>
                <w:rFonts w:ascii="Calibri" w:eastAsia="Calibri" w:hAnsi="Calibri" w:cs="Times New Roman"/>
              </w:rPr>
            </w:pPr>
            <w:r w:rsidRPr="00BA7869">
              <w:t>11.2</w:t>
            </w:r>
          </w:p>
        </w:tc>
        <w:tc>
          <w:tcPr>
            <w:tcW w:w="1326" w:type="dxa"/>
            <w:vAlign w:val="center"/>
          </w:tcPr>
          <w:p w14:paraId="1CF72514" w14:textId="77777777" w:rsidR="00B75ACA" w:rsidRPr="005C4DC5" w:rsidRDefault="00B75ACA">
            <w:pPr>
              <w:pStyle w:val="TableTextCentered"/>
              <w:spacing w:before="20" w:after="20"/>
              <w:rPr>
                <w:rFonts w:ascii="Calibri" w:eastAsia="Calibri" w:hAnsi="Calibri" w:cs="Times New Roman"/>
              </w:rPr>
            </w:pPr>
            <w:r w:rsidRPr="00BA7869">
              <w:t>18.8</w:t>
            </w:r>
          </w:p>
        </w:tc>
        <w:tc>
          <w:tcPr>
            <w:tcW w:w="1325" w:type="dxa"/>
            <w:vAlign w:val="center"/>
          </w:tcPr>
          <w:p w14:paraId="50562D7C" w14:textId="77777777" w:rsidR="00B75ACA" w:rsidRPr="005C4DC5" w:rsidRDefault="00B75ACA">
            <w:pPr>
              <w:pStyle w:val="TableTextCentered"/>
              <w:spacing w:before="20" w:after="20"/>
              <w:rPr>
                <w:rFonts w:ascii="Calibri" w:eastAsia="Calibri" w:hAnsi="Calibri" w:cs="Times New Roman"/>
              </w:rPr>
            </w:pPr>
            <w:r w:rsidRPr="00BA7869">
              <w:t>12.8</w:t>
            </w:r>
          </w:p>
        </w:tc>
        <w:tc>
          <w:tcPr>
            <w:tcW w:w="1336" w:type="dxa"/>
            <w:vAlign w:val="center"/>
          </w:tcPr>
          <w:p w14:paraId="151BBE86" w14:textId="77777777" w:rsidR="00B75ACA" w:rsidRPr="005C4DC5" w:rsidRDefault="00B75ACA">
            <w:pPr>
              <w:pStyle w:val="TableTextCentered"/>
              <w:spacing w:before="20" w:after="20"/>
              <w:rPr>
                <w:rFonts w:ascii="Calibri" w:eastAsia="Calibri" w:hAnsi="Calibri" w:cs="Times New Roman"/>
              </w:rPr>
            </w:pPr>
            <w:r w:rsidRPr="00BA7869">
              <w:t>30.4</w:t>
            </w:r>
          </w:p>
        </w:tc>
      </w:tr>
    </w:tbl>
    <w:p w14:paraId="243260C6" w14:textId="77777777" w:rsidR="00B75ACA" w:rsidRPr="005C4DC5" w:rsidRDefault="00B75ACA" w:rsidP="00B75ACA">
      <w:pPr>
        <w:pStyle w:val="TableNote"/>
        <w:rPr>
          <w:rFonts w:ascii="Calibri" w:eastAsia="Calibri" w:hAnsi="Calibri"/>
          <w:szCs w:val="20"/>
        </w:rPr>
      </w:pPr>
      <w:r w:rsidRPr="005C4DC5">
        <w:rPr>
          <w:vertAlign w:val="superscript"/>
        </w:rPr>
        <w:t>a</w:t>
      </w:r>
      <w:r w:rsidRPr="005C4DC5" w:rsidDel="00305C73">
        <w:t xml:space="preserve"> </w:t>
      </w:r>
      <w:r w:rsidRPr="00CB0607">
        <w:rPr>
          <w:shd w:val="clear" w:color="auto" w:fill="FFFFFF" w:themeFill="background1"/>
        </w:rPr>
        <w:t>The percentage of students absent 10 percent or more of their total number of student days of membership in a school</w:t>
      </w:r>
      <w:r w:rsidRPr="005C4DC5">
        <w:t>.</w:t>
      </w:r>
    </w:p>
    <w:p w14:paraId="5B1A3B0F" w14:textId="54CAAB6A" w:rsidR="00B827DE" w:rsidRPr="00CB0607" w:rsidRDefault="00B827DE" w:rsidP="00D77209">
      <w:pPr>
        <w:pStyle w:val="TableTitle0"/>
        <w:sectPr w:rsidR="00B827DE" w:rsidRPr="00CB0607" w:rsidSect="00D67AD2">
          <w:footerReference w:type="default" r:id="rId101"/>
          <w:pgSz w:w="12240" w:h="15840" w:code="1"/>
          <w:pgMar w:top="1440" w:right="1440" w:bottom="1440" w:left="1440" w:header="720" w:footer="720" w:gutter="0"/>
          <w:pgNumType w:start="1"/>
          <w:cols w:space="720"/>
          <w:docGrid w:linePitch="360"/>
        </w:sectPr>
      </w:pPr>
    </w:p>
    <w:p w14:paraId="039F583F" w14:textId="77777777" w:rsidR="00B75ACA" w:rsidRPr="00CB0607" w:rsidRDefault="00B75ACA" w:rsidP="00B75ACA">
      <w:pPr>
        <w:pStyle w:val="TableTitle0"/>
        <w:spacing w:before="0"/>
        <w:rPr>
          <w:szCs w:val="20"/>
        </w:rPr>
      </w:pPr>
      <w:r w:rsidRPr="00CB0607">
        <w:lastRenderedPageBreak/>
        <w:t xml:space="preserve">Table </w:t>
      </w:r>
      <w:r>
        <w:t>D</w:t>
      </w:r>
      <w:r w:rsidRPr="00CB0607">
        <w:t xml:space="preserve">4. </w:t>
      </w:r>
      <w:r>
        <w:rPr>
          <w:rFonts w:eastAsia="Times New Roman" w:cs="Calibri"/>
          <w:bCs/>
          <w:szCs w:val="20"/>
        </w:rPr>
        <w:t>Hingham</w:t>
      </w:r>
      <w:r w:rsidRPr="00CB0607">
        <w:rPr>
          <w:rFonts w:eastAsia="Times New Roman" w:cs="Calibri"/>
          <w:bCs/>
          <w:szCs w:val="20"/>
        </w:rPr>
        <w:t xml:space="preserve"> </w:t>
      </w:r>
      <w:r w:rsidRPr="00CB0607">
        <w:t>Public Schools: Expenditures, Chapter 70 State Aid, and Net School Spending Fiscal Years, 20</w:t>
      </w:r>
      <w:r>
        <w:t>20</w:t>
      </w:r>
      <w:r w:rsidRPr="00CB0607">
        <w:t>-202</w:t>
      </w:r>
      <w:r>
        <w:t>2</w:t>
      </w:r>
      <w:r w:rsidRPr="00CB0607">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B75ACA" w:rsidRPr="00CB0607" w14:paraId="09964B51"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13091D1D" w14:textId="77777777" w:rsidR="00B75ACA" w:rsidRPr="00CB0607" w:rsidRDefault="00B75ACA">
            <w:pPr>
              <w:widowControl w:val="0"/>
              <w:overflowPunct w:val="0"/>
              <w:adjustRightInd w:val="0"/>
              <w:spacing w:line="240" w:lineRule="auto"/>
              <w:rPr>
                <w:rFonts w:eastAsia="Times New Roman" w:cs="Times New Roman"/>
                <w:kern w:val="28"/>
                <w:szCs w:val="20"/>
              </w:rPr>
            </w:pPr>
            <w:r w:rsidRPr="00CB0607">
              <w:rPr>
                <w:rFonts w:eastAsia="Times New Roman" w:cs="Times New Roman"/>
                <w:kern w:val="28"/>
                <w:szCs w:val="20"/>
              </w:rPr>
              <w:t> </w:t>
            </w:r>
          </w:p>
        </w:tc>
        <w:tc>
          <w:tcPr>
            <w:tcW w:w="3330" w:type="dxa"/>
            <w:gridSpan w:val="2"/>
            <w:noWrap/>
            <w:hideMark/>
          </w:tcPr>
          <w:p w14:paraId="5FAEAC2A" w14:textId="77777777" w:rsidR="00B75ACA" w:rsidRPr="00CB0607" w:rsidRDefault="00B75ACA">
            <w:pPr>
              <w:pStyle w:val="TableColHeadingCenter"/>
            </w:pPr>
            <w:r>
              <w:t xml:space="preserve">Fiscal year </w:t>
            </w:r>
            <w:r w:rsidRPr="00CB0607">
              <w:t>20</w:t>
            </w:r>
            <w:r>
              <w:t>20</w:t>
            </w:r>
          </w:p>
        </w:tc>
        <w:tc>
          <w:tcPr>
            <w:tcW w:w="2872" w:type="dxa"/>
            <w:gridSpan w:val="2"/>
            <w:noWrap/>
            <w:hideMark/>
          </w:tcPr>
          <w:p w14:paraId="4B0F9DCD" w14:textId="77777777" w:rsidR="00B75ACA" w:rsidRPr="00CB0607" w:rsidRDefault="00B75ACA">
            <w:pPr>
              <w:pStyle w:val="TableColHeadingCenter"/>
            </w:pPr>
            <w:r w:rsidRPr="00CB0607">
              <w:t>Fiscal year 202</w:t>
            </w:r>
            <w:r>
              <w:t>1</w:t>
            </w:r>
          </w:p>
        </w:tc>
        <w:tc>
          <w:tcPr>
            <w:tcW w:w="3060" w:type="dxa"/>
            <w:gridSpan w:val="2"/>
            <w:noWrap/>
            <w:hideMark/>
          </w:tcPr>
          <w:p w14:paraId="31259372" w14:textId="77777777" w:rsidR="00B75ACA" w:rsidRPr="00CB0607" w:rsidRDefault="00B75ACA">
            <w:pPr>
              <w:pStyle w:val="TableColHeadingCenter"/>
            </w:pPr>
            <w:r w:rsidRPr="00CB0607">
              <w:t>Fiscal year 202</w:t>
            </w:r>
            <w:r>
              <w:t>2</w:t>
            </w:r>
          </w:p>
        </w:tc>
      </w:tr>
      <w:tr w:rsidR="00B75ACA" w:rsidRPr="00CB0607" w14:paraId="44FEACB1"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65D4202A" w14:textId="77777777" w:rsidR="00B75ACA" w:rsidRPr="00CB0607" w:rsidRDefault="00B75ACA">
            <w:pPr>
              <w:widowControl w:val="0"/>
              <w:overflowPunct w:val="0"/>
              <w:adjustRightInd w:val="0"/>
              <w:spacing w:line="240" w:lineRule="auto"/>
              <w:rPr>
                <w:rFonts w:eastAsia="Times New Roman" w:cs="Times New Roman"/>
                <w:kern w:val="28"/>
                <w:szCs w:val="20"/>
              </w:rPr>
            </w:pPr>
            <w:r w:rsidRPr="00CB0607">
              <w:rPr>
                <w:rFonts w:eastAsia="Times New Roman" w:cs="Times New Roman"/>
                <w:kern w:val="28"/>
                <w:szCs w:val="20"/>
              </w:rPr>
              <w:t> </w:t>
            </w:r>
          </w:p>
        </w:tc>
        <w:tc>
          <w:tcPr>
            <w:tcW w:w="1612" w:type="dxa"/>
            <w:noWrap/>
            <w:hideMark/>
          </w:tcPr>
          <w:p w14:paraId="15E2DEE0" w14:textId="77777777" w:rsidR="00B75ACA" w:rsidRPr="00CB0607" w:rsidRDefault="00B75ACA">
            <w:pPr>
              <w:pStyle w:val="TableColHeadingCenter"/>
            </w:pPr>
            <w:r w:rsidRPr="00CB0607">
              <w:t>Estimated</w:t>
            </w:r>
          </w:p>
        </w:tc>
        <w:tc>
          <w:tcPr>
            <w:tcW w:w="1718" w:type="dxa"/>
            <w:noWrap/>
            <w:hideMark/>
          </w:tcPr>
          <w:p w14:paraId="3B8CF544" w14:textId="77777777" w:rsidR="00B75ACA" w:rsidRPr="00CB0607" w:rsidRDefault="00B75ACA">
            <w:pPr>
              <w:pStyle w:val="TableColHeadingCenter"/>
            </w:pPr>
            <w:r w:rsidRPr="00CB0607">
              <w:t>Actual</w:t>
            </w:r>
          </w:p>
        </w:tc>
        <w:tc>
          <w:tcPr>
            <w:tcW w:w="1350" w:type="dxa"/>
            <w:noWrap/>
            <w:hideMark/>
          </w:tcPr>
          <w:p w14:paraId="29AA0CE4" w14:textId="77777777" w:rsidR="00B75ACA" w:rsidRPr="00CB0607" w:rsidRDefault="00B75ACA">
            <w:pPr>
              <w:pStyle w:val="TableColHeadingCenter"/>
            </w:pPr>
            <w:r w:rsidRPr="00CB0607">
              <w:t>Estimated</w:t>
            </w:r>
          </w:p>
        </w:tc>
        <w:tc>
          <w:tcPr>
            <w:tcW w:w="1522" w:type="dxa"/>
            <w:noWrap/>
            <w:hideMark/>
          </w:tcPr>
          <w:p w14:paraId="7BBD62D6" w14:textId="77777777" w:rsidR="00B75ACA" w:rsidRPr="00CB0607" w:rsidRDefault="00B75ACA">
            <w:pPr>
              <w:pStyle w:val="TableColHeadingCenter"/>
            </w:pPr>
            <w:r w:rsidRPr="00CB0607">
              <w:t>Actual</w:t>
            </w:r>
          </w:p>
        </w:tc>
        <w:tc>
          <w:tcPr>
            <w:tcW w:w="1538" w:type="dxa"/>
            <w:noWrap/>
            <w:hideMark/>
          </w:tcPr>
          <w:p w14:paraId="2B85AE0B" w14:textId="77777777" w:rsidR="00B75ACA" w:rsidRPr="00CB0607" w:rsidRDefault="00B75ACA">
            <w:pPr>
              <w:pStyle w:val="TableColHeadingCenter"/>
            </w:pPr>
            <w:r w:rsidRPr="00CB0607">
              <w:t>Estimated</w:t>
            </w:r>
          </w:p>
        </w:tc>
        <w:tc>
          <w:tcPr>
            <w:tcW w:w="1522" w:type="dxa"/>
            <w:hideMark/>
          </w:tcPr>
          <w:p w14:paraId="4272B10A" w14:textId="77777777" w:rsidR="00B75ACA" w:rsidRPr="00CB0607" w:rsidRDefault="00B75ACA">
            <w:pPr>
              <w:pStyle w:val="TableColHeadingCenter"/>
            </w:pPr>
            <w:r w:rsidRPr="00CB0607">
              <w:t>Actual</w:t>
            </w:r>
          </w:p>
        </w:tc>
      </w:tr>
      <w:tr w:rsidR="00B75ACA" w:rsidRPr="00CB0607" w14:paraId="54C7EBCD" w14:textId="77777777">
        <w:tc>
          <w:tcPr>
            <w:tcW w:w="12944" w:type="dxa"/>
            <w:gridSpan w:val="7"/>
            <w:shd w:val="clear" w:color="auto" w:fill="D9E2F3"/>
            <w:hideMark/>
          </w:tcPr>
          <w:p w14:paraId="7933D6E4" w14:textId="77777777" w:rsidR="00B75ACA" w:rsidRPr="00CB0607" w:rsidRDefault="00B75ACA" w:rsidP="00B75ACA">
            <w:pPr>
              <w:pStyle w:val="TableSubheading"/>
              <w:rPr>
                <w:rFonts w:eastAsia="Times New Roman" w:cs="Times New Roman"/>
                <w:kern w:val="28"/>
                <w:szCs w:val="20"/>
              </w:rPr>
            </w:pPr>
            <w:r w:rsidRPr="00CB0607">
              <w:t>Expenditures</w:t>
            </w:r>
          </w:p>
        </w:tc>
      </w:tr>
      <w:tr w:rsidR="00B75ACA" w:rsidRPr="00CB0607" w14:paraId="17C2A043" w14:textId="77777777">
        <w:tc>
          <w:tcPr>
            <w:tcW w:w="3682" w:type="dxa"/>
            <w:hideMark/>
          </w:tcPr>
          <w:p w14:paraId="14AE04CC" w14:textId="77777777" w:rsidR="00B75ACA" w:rsidRPr="00CB0607" w:rsidRDefault="00B75ACA">
            <w:pPr>
              <w:pStyle w:val="TableText"/>
            </w:pPr>
            <w:r w:rsidRPr="00CB0607">
              <w:t>From local appropriations for schools</w:t>
            </w:r>
          </w:p>
        </w:tc>
        <w:tc>
          <w:tcPr>
            <w:tcW w:w="9262" w:type="dxa"/>
            <w:gridSpan w:val="6"/>
            <w:shd w:val="clear" w:color="auto" w:fill="D9E2F3" w:themeFill="accent5" w:themeFillTint="33"/>
          </w:tcPr>
          <w:p w14:paraId="72FABA1B" w14:textId="77777777" w:rsidR="00B75ACA" w:rsidRPr="00CB0607" w:rsidRDefault="00B75ACA">
            <w:pPr>
              <w:widowControl w:val="0"/>
              <w:overflowPunct w:val="0"/>
              <w:adjustRightInd w:val="0"/>
              <w:spacing w:line="240" w:lineRule="auto"/>
              <w:jc w:val="right"/>
              <w:rPr>
                <w:rFonts w:eastAsia="Times New Roman" w:cs="Times New Roman"/>
                <w:kern w:val="28"/>
                <w:szCs w:val="20"/>
              </w:rPr>
            </w:pPr>
          </w:p>
        </w:tc>
      </w:tr>
      <w:tr w:rsidR="00B75ACA" w:rsidRPr="00CB0607" w14:paraId="06C0472C" w14:textId="77777777">
        <w:tc>
          <w:tcPr>
            <w:tcW w:w="3682" w:type="dxa"/>
            <w:noWrap/>
            <w:hideMark/>
          </w:tcPr>
          <w:p w14:paraId="208AE6F6" w14:textId="77777777" w:rsidR="00B75ACA" w:rsidRPr="00CB0607" w:rsidRDefault="00B75ACA">
            <w:pPr>
              <w:pStyle w:val="TableText"/>
            </w:pPr>
            <w:r w:rsidRPr="00CB0607">
              <w:t>By school committee</w:t>
            </w:r>
          </w:p>
        </w:tc>
        <w:tc>
          <w:tcPr>
            <w:tcW w:w="1612" w:type="dxa"/>
            <w:noWrap/>
          </w:tcPr>
          <w:p w14:paraId="0BCB1CD3" w14:textId="77777777" w:rsidR="00B75ACA" w:rsidRPr="00CB0607" w:rsidRDefault="00B75ACA">
            <w:pPr>
              <w:pStyle w:val="TableTextCentered"/>
              <w:rPr>
                <w:rFonts w:eastAsia="HGGothicE" w:cs="Franklin Gothic Book"/>
              </w:rPr>
            </w:pPr>
            <w:r w:rsidRPr="008969BE">
              <w:t>$54,319,826</w:t>
            </w:r>
          </w:p>
        </w:tc>
        <w:tc>
          <w:tcPr>
            <w:tcW w:w="1718" w:type="dxa"/>
            <w:noWrap/>
          </w:tcPr>
          <w:p w14:paraId="0A1D79A3" w14:textId="77777777" w:rsidR="00B75ACA" w:rsidRPr="00CB0607" w:rsidRDefault="00B75ACA">
            <w:pPr>
              <w:pStyle w:val="TableTextCentered"/>
              <w:rPr>
                <w:rFonts w:eastAsia="HGGothicE" w:cs="Franklin Gothic Book"/>
              </w:rPr>
            </w:pPr>
            <w:r w:rsidRPr="008969BE">
              <w:t>$56,047,081</w:t>
            </w:r>
          </w:p>
        </w:tc>
        <w:tc>
          <w:tcPr>
            <w:tcW w:w="1350" w:type="dxa"/>
            <w:noWrap/>
          </w:tcPr>
          <w:p w14:paraId="27D0116C" w14:textId="77777777" w:rsidR="00B75ACA" w:rsidRPr="00CB0607" w:rsidRDefault="00B75ACA">
            <w:pPr>
              <w:pStyle w:val="TableTextCentered"/>
              <w:rPr>
                <w:rFonts w:eastAsia="HGGothicE" w:cs="Franklin Gothic Book"/>
              </w:rPr>
            </w:pPr>
            <w:r w:rsidRPr="008969BE">
              <w:t>$58,080,851</w:t>
            </w:r>
          </w:p>
        </w:tc>
        <w:tc>
          <w:tcPr>
            <w:tcW w:w="1522" w:type="dxa"/>
            <w:noWrap/>
          </w:tcPr>
          <w:p w14:paraId="74392057" w14:textId="77777777" w:rsidR="00B75ACA" w:rsidRPr="00CB0607" w:rsidRDefault="00B75ACA">
            <w:pPr>
              <w:pStyle w:val="TableTextCentered"/>
              <w:rPr>
                <w:rFonts w:eastAsia="HGGothicE" w:cs="Franklin Gothic Book"/>
              </w:rPr>
            </w:pPr>
            <w:r w:rsidRPr="008969BE">
              <w:t>$57,385,684</w:t>
            </w:r>
          </w:p>
        </w:tc>
        <w:tc>
          <w:tcPr>
            <w:tcW w:w="1538" w:type="dxa"/>
            <w:noWrap/>
          </w:tcPr>
          <w:p w14:paraId="4E9AAE14" w14:textId="77777777" w:rsidR="00B75ACA" w:rsidRPr="00CB0607" w:rsidRDefault="00B75ACA">
            <w:pPr>
              <w:pStyle w:val="TableTextCentered"/>
              <w:rPr>
                <w:rFonts w:eastAsia="HGGothicE" w:cs="Franklin Gothic Book"/>
              </w:rPr>
            </w:pPr>
            <w:r w:rsidRPr="008969BE">
              <w:t>$62,810,591</w:t>
            </w:r>
          </w:p>
        </w:tc>
        <w:tc>
          <w:tcPr>
            <w:tcW w:w="1522" w:type="dxa"/>
          </w:tcPr>
          <w:p w14:paraId="1F151480" w14:textId="77777777" w:rsidR="00B75ACA" w:rsidRPr="00CB0607" w:rsidRDefault="00B75ACA">
            <w:pPr>
              <w:pStyle w:val="TableTextCentered"/>
              <w:rPr>
                <w:rFonts w:eastAsia="HGGothicE" w:cs="Franklin Gothic Book"/>
              </w:rPr>
            </w:pPr>
            <w:r w:rsidRPr="008969BE">
              <w:t>$63,293,226</w:t>
            </w:r>
          </w:p>
        </w:tc>
      </w:tr>
      <w:tr w:rsidR="00B75ACA" w:rsidRPr="00CB0607" w14:paraId="6F993F16" w14:textId="77777777">
        <w:tc>
          <w:tcPr>
            <w:tcW w:w="3682" w:type="dxa"/>
            <w:noWrap/>
            <w:hideMark/>
          </w:tcPr>
          <w:p w14:paraId="19772034" w14:textId="77777777" w:rsidR="00B75ACA" w:rsidRPr="00CB0607" w:rsidRDefault="00B75ACA">
            <w:pPr>
              <w:pStyle w:val="TableText"/>
            </w:pPr>
            <w:r w:rsidRPr="00CB0607">
              <w:t>By municipality</w:t>
            </w:r>
          </w:p>
        </w:tc>
        <w:tc>
          <w:tcPr>
            <w:tcW w:w="1612" w:type="dxa"/>
            <w:noWrap/>
          </w:tcPr>
          <w:p w14:paraId="0A1B2DBB" w14:textId="77777777" w:rsidR="00B75ACA" w:rsidRPr="00CB0607" w:rsidRDefault="00B75ACA">
            <w:pPr>
              <w:pStyle w:val="TableTextCentered"/>
              <w:rPr>
                <w:rFonts w:eastAsia="HGGothicE" w:cs="Franklin Gothic Book"/>
              </w:rPr>
            </w:pPr>
            <w:r w:rsidRPr="008969BE">
              <w:t>$13,271,428</w:t>
            </w:r>
          </w:p>
        </w:tc>
        <w:tc>
          <w:tcPr>
            <w:tcW w:w="1718" w:type="dxa"/>
            <w:noWrap/>
          </w:tcPr>
          <w:p w14:paraId="4FB6134F" w14:textId="77777777" w:rsidR="00B75ACA" w:rsidRPr="00CB0607" w:rsidRDefault="00B75ACA">
            <w:pPr>
              <w:pStyle w:val="TableTextCentered"/>
              <w:rPr>
                <w:rFonts w:eastAsia="HGGothicE" w:cs="Franklin Gothic Book"/>
              </w:rPr>
            </w:pPr>
            <w:r w:rsidRPr="008969BE">
              <w:t>$12,864,886</w:t>
            </w:r>
          </w:p>
        </w:tc>
        <w:tc>
          <w:tcPr>
            <w:tcW w:w="1350" w:type="dxa"/>
            <w:noWrap/>
          </w:tcPr>
          <w:p w14:paraId="170F9644" w14:textId="77777777" w:rsidR="00B75ACA" w:rsidRPr="00CB0607" w:rsidRDefault="00B75ACA">
            <w:pPr>
              <w:pStyle w:val="TableTextCentered"/>
              <w:rPr>
                <w:rFonts w:eastAsia="HGGothicE" w:cs="Franklin Gothic Book"/>
              </w:rPr>
            </w:pPr>
            <w:r w:rsidRPr="008969BE">
              <w:t>$10,253,028</w:t>
            </w:r>
          </w:p>
        </w:tc>
        <w:tc>
          <w:tcPr>
            <w:tcW w:w="1522" w:type="dxa"/>
            <w:noWrap/>
          </w:tcPr>
          <w:p w14:paraId="4C047D01" w14:textId="77777777" w:rsidR="00B75ACA" w:rsidRPr="00CB0607" w:rsidRDefault="00B75ACA">
            <w:pPr>
              <w:pStyle w:val="TableTextCentered"/>
              <w:rPr>
                <w:rFonts w:eastAsia="HGGothicE" w:cs="Franklin Gothic Book"/>
              </w:rPr>
            </w:pPr>
            <w:r w:rsidRPr="008969BE">
              <w:t>$13,232,504</w:t>
            </w:r>
          </w:p>
        </w:tc>
        <w:tc>
          <w:tcPr>
            <w:tcW w:w="1538" w:type="dxa"/>
            <w:noWrap/>
          </w:tcPr>
          <w:p w14:paraId="633C6215" w14:textId="77777777" w:rsidR="00B75ACA" w:rsidRPr="00CB0607" w:rsidRDefault="00B75ACA">
            <w:pPr>
              <w:pStyle w:val="TableTextCentered"/>
              <w:rPr>
                <w:rFonts w:eastAsia="HGGothicE" w:cs="Franklin Gothic Book"/>
              </w:rPr>
            </w:pPr>
            <w:r w:rsidRPr="008969BE">
              <w:t>$11,732,269</w:t>
            </w:r>
          </w:p>
        </w:tc>
        <w:tc>
          <w:tcPr>
            <w:tcW w:w="1522" w:type="dxa"/>
          </w:tcPr>
          <w:p w14:paraId="1E8BADDA" w14:textId="77777777" w:rsidR="00B75ACA" w:rsidRPr="00CB0607" w:rsidRDefault="00B75ACA">
            <w:pPr>
              <w:pStyle w:val="TableTextCentered"/>
              <w:rPr>
                <w:rFonts w:eastAsia="HGGothicE" w:cs="Franklin Gothic Book"/>
              </w:rPr>
            </w:pPr>
            <w:r w:rsidRPr="008969BE">
              <w:t>$12,771,126</w:t>
            </w:r>
          </w:p>
        </w:tc>
      </w:tr>
      <w:tr w:rsidR="00B75ACA" w:rsidRPr="00CB0607" w14:paraId="7D79D5EF" w14:textId="77777777">
        <w:tc>
          <w:tcPr>
            <w:tcW w:w="3682" w:type="dxa"/>
            <w:noWrap/>
            <w:hideMark/>
          </w:tcPr>
          <w:p w14:paraId="6516265A" w14:textId="77777777" w:rsidR="00B75ACA" w:rsidRPr="00CB0607" w:rsidRDefault="00B75ACA">
            <w:pPr>
              <w:pStyle w:val="TableText"/>
            </w:pPr>
            <w:r w:rsidRPr="00CB0607">
              <w:t>Total from local appropriations</w:t>
            </w:r>
          </w:p>
        </w:tc>
        <w:tc>
          <w:tcPr>
            <w:tcW w:w="1612" w:type="dxa"/>
            <w:noWrap/>
          </w:tcPr>
          <w:p w14:paraId="1DCA322C" w14:textId="77777777" w:rsidR="00B75ACA" w:rsidRPr="00CB0607" w:rsidRDefault="00B75ACA">
            <w:pPr>
              <w:pStyle w:val="TableTextCentered"/>
              <w:rPr>
                <w:rFonts w:eastAsia="HGGothicE" w:cs="Franklin Gothic Book"/>
              </w:rPr>
            </w:pPr>
            <w:r w:rsidRPr="008969BE">
              <w:t>$67,591,254</w:t>
            </w:r>
          </w:p>
        </w:tc>
        <w:tc>
          <w:tcPr>
            <w:tcW w:w="1718" w:type="dxa"/>
            <w:noWrap/>
          </w:tcPr>
          <w:p w14:paraId="70F395E7" w14:textId="77777777" w:rsidR="00B75ACA" w:rsidRPr="00CB0607" w:rsidRDefault="00B75ACA">
            <w:pPr>
              <w:pStyle w:val="TableTextCentered"/>
              <w:rPr>
                <w:rFonts w:eastAsia="HGGothicE" w:cs="Franklin Gothic Book"/>
              </w:rPr>
            </w:pPr>
            <w:r w:rsidRPr="008969BE">
              <w:t>$68,911,967</w:t>
            </w:r>
          </w:p>
        </w:tc>
        <w:tc>
          <w:tcPr>
            <w:tcW w:w="1350" w:type="dxa"/>
            <w:noWrap/>
          </w:tcPr>
          <w:p w14:paraId="4BCAA98A" w14:textId="77777777" w:rsidR="00B75ACA" w:rsidRPr="00CB0607" w:rsidRDefault="00B75ACA">
            <w:pPr>
              <w:pStyle w:val="TableTextCentered"/>
              <w:rPr>
                <w:rFonts w:eastAsia="HGGothicE" w:cs="Franklin Gothic Book"/>
              </w:rPr>
            </w:pPr>
            <w:r w:rsidRPr="008969BE">
              <w:t>$68,333,879</w:t>
            </w:r>
          </w:p>
        </w:tc>
        <w:tc>
          <w:tcPr>
            <w:tcW w:w="1522" w:type="dxa"/>
            <w:noWrap/>
          </w:tcPr>
          <w:p w14:paraId="38D6FF41" w14:textId="77777777" w:rsidR="00B75ACA" w:rsidRPr="00CB0607" w:rsidRDefault="00B75ACA">
            <w:pPr>
              <w:pStyle w:val="TableTextCentered"/>
              <w:rPr>
                <w:rFonts w:eastAsia="HGGothicE" w:cs="Franklin Gothic Book"/>
              </w:rPr>
            </w:pPr>
            <w:r w:rsidRPr="008969BE">
              <w:t>$70,618,188</w:t>
            </w:r>
          </w:p>
        </w:tc>
        <w:tc>
          <w:tcPr>
            <w:tcW w:w="1538" w:type="dxa"/>
            <w:noWrap/>
          </w:tcPr>
          <w:p w14:paraId="2B0B3E93" w14:textId="77777777" w:rsidR="00B75ACA" w:rsidRPr="00CB0607" w:rsidRDefault="00B75ACA">
            <w:pPr>
              <w:pStyle w:val="TableTextCentered"/>
              <w:rPr>
                <w:rFonts w:eastAsia="HGGothicE" w:cs="Franklin Gothic Book"/>
              </w:rPr>
            </w:pPr>
            <w:r w:rsidRPr="008969BE">
              <w:t>$74,542,860</w:t>
            </w:r>
          </w:p>
        </w:tc>
        <w:tc>
          <w:tcPr>
            <w:tcW w:w="1522" w:type="dxa"/>
          </w:tcPr>
          <w:p w14:paraId="696C5EB3" w14:textId="77777777" w:rsidR="00B75ACA" w:rsidRPr="00CB0607" w:rsidRDefault="00B75ACA">
            <w:pPr>
              <w:pStyle w:val="TableTextCentered"/>
              <w:rPr>
                <w:rFonts w:eastAsia="HGGothicE" w:cs="Franklin Gothic Book"/>
              </w:rPr>
            </w:pPr>
            <w:r w:rsidRPr="008969BE">
              <w:t>$76,064,352</w:t>
            </w:r>
          </w:p>
        </w:tc>
      </w:tr>
      <w:tr w:rsidR="00B75ACA" w:rsidRPr="00CB0607" w14:paraId="34B73FE8" w14:textId="77777777">
        <w:tc>
          <w:tcPr>
            <w:tcW w:w="3682" w:type="dxa"/>
            <w:hideMark/>
          </w:tcPr>
          <w:p w14:paraId="46113B05" w14:textId="77777777" w:rsidR="00B75ACA" w:rsidRPr="00CB0607" w:rsidRDefault="00B75ACA">
            <w:pPr>
              <w:pStyle w:val="TableText"/>
            </w:pPr>
            <w:r w:rsidRPr="00CB0607">
              <w:t>From revolving funds and grants</w:t>
            </w:r>
          </w:p>
        </w:tc>
        <w:tc>
          <w:tcPr>
            <w:tcW w:w="1612" w:type="dxa"/>
            <w:noWrap/>
          </w:tcPr>
          <w:p w14:paraId="1E11F8C6" w14:textId="4934DE53" w:rsidR="00B75ACA" w:rsidRPr="00CB0607" w:rsidRDefault="008E5BF5">
            <w:pPr>
              <w:pStyle w:val="TableTextCentered"/>
              <w:rPr>
                <w:rFonts w:eastAsia="HGGothicE" w:cs="Franklin Gothic Book"/>
              </w:rPr>
            </w:pPr>
            <w:r>
              <w:t>—</w:t>
            </w:r>
          </w:p>
        </w:tc>
        <w:tc>
          <w:tcPr>
            <w:tcW w:w="1718" w:type="dxa"/>
            <w:noWrap/>
          </w:tcPr>
          <w:p w14:paraId="3281821F" w14:textId="77777777" w:rsidR="00B75ACA" w:rsidRPr="00CB0607" w:rsidRDefault="00B75ACA">
            <w:pPr>
              <w:pStyle w:val="TableTextCentered"/>
              <w:rPr>
                <w:rFonts w:eastAsia="HGGothicE" w:cs="Franklin Gothic Book"/>
              </w:rPr>
            </w:pPr>
            <w:r w:rsidRPr="008969BE">
              <w:t>$6,456,096</w:t>
            </w:r>
          </w:p>
        </w:tc>
        <w:tc>
          <w:tcPr>
            <w:tcW w:w="1350" w:type="dxa"/>
            <w:noWrap/>
          </w:tcPr>
          <w:p w14:paraId="2D69AFF6" w14:textId="0C41FCA8" w:rsidR="00B75ACA" w:rsidRPr="00CB0607" w:rsidRDefault="008E5BF5">
            <w:pPr>
              <w:pStyle w:val="TableTextCentered"/>
              <w:rPr>
                <w:rFonts w:eastAsia="HGGothicE" w:cs="Franklin Gothic Book"/>
              </w:rPr>
            </w:pPr>
            <w:r>
              <w:t>—</w:t>
            </w:r>
          </w:p>
        </w:tc>
        <w:tc>
          <w:tcPr>
            <w:tcW w:w="1522" w:type="dxa"/>
            <w:noWrap/>
          </w:tcPr>
          <w:p w14:paraId="4A903BE5" w14:textId="77777777" w:rsidR="00B75ACA" w:rsidRPr="00CB0607" w:rsidRDefault="00B75ACA">
            <w:pPr>
              <w:pStyle w:val="TableTextCentered"/>
              <w:rPr>
                <w:rFonts w:eastAsia="HGGothicE" w:cs="Franklin Gothic Book"/>
              </w:rPr>
            </w:pPr>
            <w:r w:rsidRPr="008969BE">
              <w:t>$7,197,563</w:t>
            </w:r>
          </w:p>
        </w:tc>
        <w:tc>
          <w:tcPr>
            <w:tcW w:w="1538" w:type="dxa"/>
            <w:noWrap/>
          </w:tcPr>
          <w:p w14:paraId="1A569DA1" w14:textId="60542157" w:rsidR="00B75ACA" w:rsidRPr="00CB0607" w:rsidRDefault="008E5BF5">
            <w:pPr>
              <w:pStyle w:val="TableTextCentered"/>
              <w:rPr>
                <w:rFonts w:eastAsia="HGGothicE" w:cs="Franklin Gothic Book"/>
              </w:rPr>
            </w:pPr>
            <w:r>
              <w:t>—</w:t>
            </w:r>
          </w:p>
        </w:tc>
        <w:tc>
          <w:tcPr>
            <w:tcW w:w="1522" w:type="dxa"/>
          </w:tcPr>
          <w:p w14:paraId="07E9F060" w14:textId="77777777" w:rsidR="00B75ACA" w:rsidRPr="00CB0607" w:rsidRDefault="00B75ACA">
            <w:pPr>
              <w:pStyle w:val="TableTextCentered"/>
            </w:pPr>
            <w:r w:rsidRPr="008969BE">
              <w:t>$7,604,635</w:t>
            </w:r>
          </w:p>
        </w:tc>
      </w:tr>
      <w:tr w:rsidR="00B75ACA" w:rsidRPr="00CB0607" w14:paraId="2D250352" w14:textId="77777777">
        <w:tc>
          <w:tcPr>
            <w:tcW w:w="3682" w:type="dxa"/>
            <w:hideMark/>
          </w:tcPr>
          <w:p w14:paraId="751B877C" w14:textId="77777777" w:rsidR="00B75ACA" w:rsidRPr="00CB0607" w:rsidRDefault="00B75ACA">
            <w:pPr>
              <w:pStyle w:val="TableText"/>
            </w:pPr>
            <w:r w:rsidRPr="00CB0607">
              <w:t>Total expenditures</w:t>
            </w:r>
          </w:p>
        </w:tc>
        <w:tc>
          <w:tcPr>
            <w:tcW w:w="1612" w:type="dxa"/>
            <w:noWrap/>
          </w:tcPr>
          <w:p w14:paraId="3C29A8F1" w14:textId="5AE02AFB" w:rsidR="00B75ACA" w:rsidRPr="00CB0607" w:rsidRDefault="008E5BF5">
            <w:pPr>
              <w:pStyle w:val="TableTextCentered"/>
              <w:rPr>
                <w:rFonts w:eastAsia="HGGothicE" w:cs="Franklin Gothic Book"/>
              </w:rPr>
            </w:pPr>
            <w:r>
              <w:t>—</w:t>
            </w:r>
          </w:p>
        </w:tc>
        <w:tc>
          <w:tcPr>
            <w:tcW w:w="1718" w:type="dxa"/>
            <w:noWrap/>
          </w:tcPr>
          <w:p w14:paraId="2542F9FF" w14:textId="77777777" w:rsidR="00B75ACA" w:rsidRPr="00CB0607" w:rsidRDefault="00B75ACA">
            <w:pPr>
              <w:pStyle w:val="TableTextCentered"/>
              <w:rPr>
                <w:rFonts w:eastAsia="HGGothicE" w:cs="Franklin Gothic Book"/>
              </w:rPr>
            </w:pPr>
            <w:r w:rsidRPr="008969BE">
              <w:t>$75,368,063</w:t>
            </w:r>
          </w:p>
        </w:tc>
        <w:tc>
          <w:tcPr>
            <w:tcW w:w="1350" w:type="dxa"/>
            <w:noWrap/>
          </w:tcPr>
          <w:p w14:paraId="157D7A50" w14:textId="6B2DB856" w:rsidR="00B75ACA" w:rsidRPr="00CB0607" w:rsidRDefault="008E5BF5">
            <w:pPr>
              <w:pStyle w:val="TableTextCentered"/>
              <w:rPr>
                <w:rFonts w:eastAsia="HGGothicE" w:cs="Franklin Gothic Book"/>
              </w:rPr>
            </w:pPr>
            <w:r>
              <w:t>—</w:t>
            </w:r>
          </w:p>
        </w:tc>
        <w:tc>
          <w:tcPr>
            <w:tcW w:w="1522" w:type="dxa"/>
            <w:noWrap/>
          </w:tcPr>
          <w:p w14:paraId="09CA1E44" w14:textId="77777777" w:rsidR="00B75ACA" w:rsidRPr="00CB0607" w:rsidRDefault="00B75ACA">
            <w:pPr>
              <w:pStyle w:val="TableTextCentered"/>
              <w:rPr>
                <w:rFonts w:eastAsia="HGGothicE" w:cs="Franklin Gothic Book"/>
              </w:rPr>
            </w:pPr>
            <w:r w:rsidRPr="008969BE">
              <w:t>$77,815,751</w:t>
            </w:r>
          </w:p>
        </w:tc>
        <w:tc>
          <w:tcPr>
            <w:tcW w:w="1538" w:type="dxa"/>
            <w:noWrap/>
          </w:tcPr>
          <w:p w14:paraId="29F7C9F5" w14:textId="682FD5BE" w:rsidR="00B75ACA" w:rsidRPr="00CB0607" w:rsidRDefault="008E5BF5">
            <w:pPr>
              <w:pStyle w:val="TableTextCentered"/>
              <w:rPr>
                <w:rFonts w:eastAsia="HGGothicE" w:cs="Franklin Gothic Book"/>
              </w:rPr>
            </w:pPr>
            <w:r>
              <w:t>—</w:t>
            </w:r>
          </w:p>
        </w:tc>
        <w:tc>
          <w:tcPr>
            <w:tcW w:w="1522" w:type="dxa"/>
          </w:tcPr>
          <w:p w14:paraId="220B78C6" w14:textId="77777777" w:rsidR="00B75ACA" w:rsidRPr="00CB0607" w:rsidRDefault="00B75ACA">
            <w:pPr>
              <w:pStyle w:val="TableTextCentered"/>
              <w:rPr>
                <w:rFonts w:eastAsia="HGGothicE" w:cs="Franklin Gothic Book"/>
              </w:rPr>
            </w:pPr>
            <w:r w:rsidRPr="008969BE">
              <w:t>$83,668,987</w:t>
            </w:r>
          </w:p>
        </w:tc>
      </w:tr>
      <w:tr w:rsidR="00B75ACA" w:rsidRPr="00CB0607" w14:paraId="2ED65A26" w14:textId="77777777">
        <w:tc>
          <w:tcPr>
            <w:tcW w:w="12944" w:type="dxa"/>
            <w:gridSpan w:val="7"/>
            <w:shd w:val="clear" w:color="auto" w:fill="D9E2F3"/>
          </w:tcPr>
          <w:p w14:paraId="7FFD2DE3" w14:textId="77777777" w:rsidR="00B75ACA" w:rsidRPr="00E703C8" w:rsidRDefault="00B75ACA" w:rsidP="00B75ACA">
            <w:pPr>
              <w:pStyle w:val="TableSubheading"/>
            </w:pPr>
            <w:r w:rsidRPr="00E703C8">
              <w:t>Chapter 70 aid to education program</w:t>
            </w:r>
          </w:p>
        </w:tc>
      </w:tr>
      <w:tr w:rsidR="00B75ACA" w:rsidRPr="00CB0607" w14:paraId="0D5BB42D" w14:textId="77777777">
        <w:tc>
          <w:tcPr>
            <w:tcW w:w="3682" w:type="dxa"/>
            <w:noWrap/>
            <w:hideMark/>
          </w:tcPr>
          <w:p w14:paraId="704D20DE" w14:textId="77777777" w:rsidR="00B75ACA" w:rsidRPr="00CB0607" w:rsidRDefault="00B75ACA">
            <w:pPr>
              <w:pStyle w:val="TableText"/>
              <w:rPr>
                <w:rFonts w:ascii="Franklin Gothic Book" w:hAnsi="Franklin Gothic Book"/>
              </w:rPr>
            </w:pPr>
            <w:r w:rsidRPr="00CB0607">
              <w:rPr>
                <w:rFonts w:ascii="Franklin Gothic Book" w:hAnsi="Franklin Gothic Book"/>
              </w:rPr>
              <w:t>Chapter 70 state aid</w:t>
            </w:r>
            <w:r w:rsidRPr="00CB0607">
              <w:rPr>
                <w:rFonts w:ascii="Franklin Gothic Book" w:hAnsi="Franklin Gothic Book"/>
                <w:vertAlign w:val="superscript"/>
              </w:rPr>
              <w:t>a</w:t>
            </w:r>
          </w:p>
        </w:tc>
        <w:tc>
          <w:tcPr>
            <w:tcW w:w="1612" w:type="dxa"/>
            <w:noWrap/>
          </w:tcPr>
          <w:p w14:paraId="59F2E646" w14:textId="0E27C34D" w:rsidR="00B75ACA" w:rsidRPr="00CB0607" w:rsidRDefault="008E5BF5">
            <w:pPr>
              <w:pStyle w:val="TableTextCentered"/>
              <w:rPr>
                <w:rFonts w:ascii="Franklin Gothic Book" w:hAnsi="Franklin Gothic Book"/>
              </w:rPr>
            </w:pPr>
            <w:r>
              <w:t>—</w:t>
            </w:r>
          </w:p>
        </w:tc>
        <w:tc>
          <w:tcPr>
            <w:tcW w:w="1718" w:type="dxa"/>
            <w:noWrap/>
          </w:tcPr>
          <w:p w14:paraId="5678EE8F" w14:textId="77777777" w:rsidR="00B75ACA" w:rsidRPr="00CB0607" w:rsidRDefault="00B75ACA">
            <w:pPr>
              <w:pStyle w:val="TableTextCentered"/>
              <w:rPr>
                <w:rFonts w:ascii="Franklin Gothic Book" w:hAnsi="Franklin Gothic Book" w:cs="Calibri"/>
              </w:rPr>
            </w:pPr>
            <w:r w:rsidRPr="007173C9">
              <w:t>$7,695,110</w:t>
            </w:r>
          </w:p>
        </w:tc>
        <w:tc>
          <w:tcPr>
            <w:tcW w:w="1350" w:type="dxa"/>
            <w:noWrap/>
          </w:tcPr>
          <w:p w14:paraId="7864C9B3" w14:textId="267C1C51" w:rsidR="00B75ACA" w:rsidRPr="00CB0607" w:rsidRDefault="008E5BF5">
            <w:pPr>
              <w:pStyle w:val="TableTextCentered"/>
              <w:rPr>
                <w:rFonts w:ascii="Franklin Gothic Book" w:hAnsi="Franklin Gothic Book"/>
              </w:rPr>
            </w:pPr>
            <w:r>
              <w:t>—</w:t>
            </w:r>
          </w:p>
        </w:tc>
        <w:tc>
          <w:tcPr>
            <w:tcW w:w="1522" w:type="dxa"/>
            <w:noWrap/>
          </w:tcPr>
          <w:p w14:paraId="4D9ACB7E" w14:textId="77777777" w:rsidR="00B75ACA" w:rsidRPr="00CB0607" w:rsidRDefault="00B75ACA">
            <w:pPr>
              <w:pStyle w:val="TableTextCentered"/>
              <w:rPr>
                <w:rFonts w:ascii="Franklin Gothic Book" w:hAnsi="Franklin Gothic Book" w:cs="Calibri"/>
              </w:rPr>
            </w:pPr>
            <w:r w:rsidRPr="007173C9">
              <w:t>$7,955,623</w:t>
            </w:r>
          </w:p>
        </w:tc>
        <w:tc>
          <w:tcPr>
            <w:tcW w:w="1538" w:type="dxa"/>
            <w:noWrap/>
          </w:tcPr>
          <w:p w14:paraId="467D772A" w14:textId="025723E0" w:rsidR="00B75ACA" w:rsidRPr="00CB0607" w:rsidRDefault="008E5BF5">
            <w:pPr>
              <w:pStyle w:val="TableTextCentered"/>
              <w:rPr>
                <w:rFonts w:ascii="Franklin Gothic Book" w:hAnsi="Franklin Gothic Book"/>
              </w:rPr>
            </w:pPr>
            <w:r>
              <w:t>—</w:t>
            </w:r>
          </w:p>
        </w:tc>
        <w:tc>
          <w:tcPr>
            <w:tcW w:w="1522" w:type="dxa"/>
          </w:tcPr>
          <w:p w14:paraId="565170A8" w14:textId="77777777" w:rsidR="00B75ACA" w:rsidRPr="00CB0607" w:rsidRDefault="00B75ACA">
            <w:pPr>
              <w:pStyle w:val="TableTextCentered"/>
              <w:rPr>
                <w:rFonts w:ascii="Franklin Gothic Book" w:hAnsi="Franklin Gothic Book" w:cs="Calibri"/>
              </w:rPr>
            </w:pPr>
            <w:r w:rsidRPr="007173C9">
              <w:t>$8,074,033</w:t>
            </w:r>
          </w:p>
        </w:tc>
      </w:tr>
      <w:tr w:rsidR="00B75ACA" w:rsidRPr="00CB0607" w14:paraId="61C7EE26" w14:textId="77777777">
        <w:tc>
          <w:tcPr>
            <w:tcW w:w="3682" w:type="dxa"/>
            <w:noWrap/>
            <w:hideMark/>
          </w:tcPr>
          <w:p w14:paraId="121BDF58" w14:textId="77777777" w:rsidR="00B75ACA" w:rsidRPr="00CB0607" w:rsidRDefault="00B75ACA">
            <w:pPr>
              <w:pStyle w:val="TableText"/>
              <w:rPr>
                <w:rFonts w:ascii="Franklin Gothic Book" w:hAnsi="Franklin Gothic Book"/>
              </w:rPr>
            </w:pPr>
            <w:r w:rsidRPr="00CB0607">
              <w:rPr>
                <w:rFonts w:ascii="Franklin Gothic Book" w:hAnsi="Franklin Gothic Book"/>
              </w:rPr>
              <w:t>Required local contribution</w:t>
            </w:r>
          </w:p>
        </w:tc>
        <w:tc>
          <w:tcPr>
            <w:tcW w:w="1612" w:type="dxa"/>
            <w:noWrap/>
          </w:tcPr>
          <w:p w14:paraId="5253E0E6" w14:textId="6407F0AF" w:rsidR="00B75ACA" w:rsidRPr="00CB0607" w:rsidRDefault="008E5BF5">
            <w:pPr>
              <w:pStyle w:val="TableTextCentered"/>
              <w:rPr>
                <w:rFonts w:ascii="Franklin Gothic Book" w:hAnsi="Franklin Gothic Book"/>
              </w:rPr>
            </w:pPr>
            <w:r>
              <w:t>—</w:t>
            </w:r>
          </w:p>
        </w:tc>
        <w:tc>
          <w:tcPr>
            <w:tcW w:w="1718" w:type="dxa"/>
            <w:noWrap/>
          </w:tcPr>
          <w:p w14:paraId="76E7BEA7" w14:textId="77777777" w:rsidR="00B75ACA" w:rsidRPr="00CB0607" w:rsidRDefault="00B75ACA">
            <w:pPr>
              <w:pStyle w:val="TableTextCentered"/>
              <w:rPr>
                <w:rFonts w:ascii="Franklin Gothic Book" w:hAnsi="Franklin Gothic Book" w:cs="Calibri"/>
              </w:rPr>
            </w:pPr>
            <w:r w:rsidRPr="007173C9">
              <w:t>$36,268,483</w:t>
            </w:r>
          </w:p>
        </w:tc>
        <w:tc>
          <w:tcPr>
            <w:tcW w:w="1350" w:type="dxa"/>
            <w:noWrap/>
          </w:tcPr>
          <w:p w14:paraId="338A0A79" w14:textId="1FA95F24" w:rsidR="00B75ACA" w:rsidRPr="00CB0607" w:rsidRDefault="008E5BF5">
            <w:pPr>
              <w:pStyle w:val="TableTextCentered"/>
              <w:rPr>
                <w:rFonts w:ascii="Franklin Gothic Book" w:hAnsi="Franklin Gothic Book"/>
              </w:rPr>
            </w:pPr>
            <w:r>
              <w:t>—</w:t>
            </w:r>
          </w:p>
        </w:tc>
        <w:tc>
          <w:tcPr>
            <w:tcW w:w="1522" w:type="dxa"/>
            <w:noWrap/>
          </w:tcPr>
          <w:p w14:paraId="51C09CE5" w14:textId="77777777" w:rsidR="00B75ACA" w:rsidRPr="00CB0607" w:rsidRDefault="00B75ACA">
            <w:pPr>
              <w:pStyle w:val="TableTextCentered"/>
              <w:rPr>
                <w:rFonts w:ascii="Franklin Gothic Book" w:hAnsi="Franklin Gothic Book" w:cs="Calibri"/>
              </w:rPr>
            </w:pPr>
            <w:r w:rsidRPr="007173C9">
              <w:t>$37,505,081</w:t>
            </w:r>
          </w:p>
        </w:tc>
        <w:tc>
          <w:tcPr>
            <w:tcW w:w="1538" w:type="dxa"/>
            <w:noWrap/>
          </w:tcPr>
          <w:p w14:paraId="654FEE55" w14:textId="3FB3B255" w:rsidR="00B75ACA" w:rsidRPr="00CB0607" w:rsidRDefault="008E5BF5">
            <w:pPr>
              <w:pStyle w:val="TableTextCentered"/>
              <w:rPr>
                <w:rFonts w:ascii="Franklin Gothic Book" w:hAnsi="Franklin Gothic Book"/>
              </w:rPr>
            </w:pPr>
            <w:r>
              <w:t>—</w:t>
            </w:r>
          </w:p>
        </w:tc>
        <w:tc>
          <w:tcPr>
            <w:tcW w:w="1522" w:type="dxa"/>
          </w:tcPr>
          <w:p w14:paraId="4677175C" w14:textId="77777777" w:rsidR="00B75ACA" w:rsidRPr="00CB0607" w:rsidRDefault="00B75ACA">
            <w:pPr>
              <w:pStyle w:val="TableTextCentered"/>
              <w:rPr>
                <w:rFonts w:ascii="Franklin Gothic Book" w:hAnsi="Franklin Gothic Book" w:cs="Calibri"/>
              </w:rPr>
            </w:pPr>
            <w:r w:rsidRPr="007173C9">
              <w:t>$35,667,963</w:t>
            </w:r>
          </w:p>
        </w:tc>
      </w:tr>
      <w:tr w:rsidR="00B75ACA" w:rsidRPr="00CB0607" w14:paraId="37A03607" w14:textId="77777777">
        <w:tc>
          <w:tcPr>
            <w:tcW w:w="3682" w:type="dxa"/>
            <w:noWrap/>
            <w:hideMark/>
          </w:tcPr>
          <w:p w14:paraId="4E081DD1" w14:textId="77777777" w:rsidR="00B75ACA" w:rsidRPr="00CB0607" w:rsidRDefault="00B75ACA">
            <w:pPr>
              <w:pStyle w:val="TableText"/>
              <w:rPr>
                <w:rFonts w:ascii="Franklin Gothic Book" w:hAnsi="Franklin Gothic Book"/>
              </w:rPr>
            </w:pPr>
            <w:r w:rsidRPr="00CB0607">
              <w:rPr>
                <w:rFonts w:ascii="Franklin Gothic Book" w:hAnsi="Franklin Gothic Book"/>
              </w:rPr>
              <w:t>Required net school spending</w:t>
            </w:r>
            <w:r w:rsidRPr="00CB0607">
              <w:rPr>
                <w:rFonts w:ascii="Franklin Gothic Book" w:hAnsi="Franklin Gothic Book"/>
                <w:vertAlign w:val="superscript"/>
              </w:rPr>
              <w:t>b</w:t>
            </w:r>
          </w:p>
        </w:tc>
        <w:tc>
          <w:tcPr>
            <w:tcW w:w="1612" w:type="dxa"/>
            <w:noWrap/>
          </w:tcPr>
          <w:p w14:paraId="286CB7FD" w14:textId="6BCD40F1" w:rsidR="00B75ACA" w:rsidRPr="00CB0607" w:rsidRDefault="008E5BF5">
            <w:pPr>
              <w:pStyle w:val="TableTextCentered"/>
              <w:rPr>
                <w:rFonts w:ascii="Franklin Gothic Book" w:hAnsi="Franklin Gothic Book"/>
              </w:rPr>
            </w:pPr>
            <w:r>
              <w:t>—</w:t>
            </w:r>
          </w:p>
        </w:tc>
        <w:tc>
          <w:tcPr>
            <w:tcW w:w="1718" w:type="dxa"/>
            <w:noWrap/>
          </w:tcPr>
          <w:p w14:paraId="6DDB2F50" w14:textId="77777777" w:rsidR="00B75ACA" w:rsidRPr="00CB0607" w:rsidRDefault="00B75ACA">
            <w:pPr>
              <w:pStyle w:val="TableTextCentered"/>
              <w:rPr>
                <w:rFonts w:ascii="Franklin Gothic Book" w:hAnsi="Franklin Gothic Book" w:cs="Calibri"/>
              </w:rPr>
            </w:pPr>
            <w:r w:rsidRPr="007173C9">
              <w:t>$43,963,593</w:t>
            </w:r>
          </w:p>
        </w:tc>
        <w:tc>
          <w:tcPr>
            <w:tcW w:w="1350" w:type="dxa"/>
            <w:noWrap/>
          </w:tcPr>
          <w:p w14:paraId="0CB2F811" w14:textId="3C414421" w:rsidR="00B75ACA" w:rsidRPr="00CB0607" w:rsidRDefault="008E5BF5">
            <w:pPr>
              <w:pStyle w:val="TableTextCentered"/>
              <w:rPr>
                <w:rFonts w:ascii="Franklin Gothic Book" w:hAnsi="Franklin Gothic Book"/>
              </w:rPr>
            </w:pPr>
            <w:r>
              <w:t>—</w:t>
            </w:r>
          </w:p>
        </w:tc>
        <w:tc>
          <w:tcPr>
            <w:tcW w:w="1522" w:type="dxa"/>
            <w:noWrap/>
          </w:tcPr>
          <w:p w14:paraId="48E35C26" w14:textId="77777777" w:rsidR="00B75ACA" w:rsidRPr="00CB0607" w:rsidRDefault="00B75ACA">
            <w:pPr>
              <w:pStyle w:val="TableTextCentered"/>
              <w:rPr>
                <w:rFonts w:ascii="Franklin Gothic Book" w:hAnsi="Franklin Gothic Book" w:cs="Calibri"/>
              </w:rPr>
            </w:pPr>
            <w:r w:rsidRPr="007173C9">
              <w:t>$45,460,704</w:t>
            </w:r>
          </w:p>
        </w:tc>
        <w:tc>
          <w:tcPr>
            <w:tcW w:w="1538" w:type="dxa"/>
            <w:noWrap/>
          </w:tcPr>
          <w:p w14:paraId="5552EB94" w14:textId="2EDF7317" w:rsidR="00B75ACA" w:rsidRPr="00CB0607" w:rsidRDefault="008E5BF5">
            <w:pPr>
              <w:pStyle w:val="TableTextCentered"/>
              <w:rPr>
                <w:rFonts w:ascii="Franklin Gothic Book" w:hAnsi="Franklin Gothic Book"/>
              </w:rPr>
            </w:pPr>
            <w:r>
              <w:t>—</w:t>
            </w:r>
          </w:p>
        </w:tc>
        <w:tc>
          <w:tcPr>
            <w:tcW w:w="1522" w:type="dxa"/>
          </w:tcPr>
          <w:p w14:paraId="69247B6F" w14:textId="77777777" w:rsidR="00B75ACA" w:rsidRPr="00CB0607" w:rsidRDefault="00B75ACA">
            <w:pPr>
              <w:pStyle w:val="TableTextCentered"/>
              <w:rPr>
                <w:rFonts w:ascii="Franklin Gothic Book" w:hAnsi="Franklin Gothic Book" w:cs="Calibri"/>
              </w:rPr>
            </w:pPr>
            <w:r w:rsidRPr="007173C9">
              <w:t>$43,741,996</w:t>
            </w:r>
          </w:p>
        </w:tc>
      </w:tr>
      <w:tr w:rsidR="00B75ACA" w:rsidRPr="00CB0607" w14:paraId="726F4243" w14:textId="77777777">
        <w:tc>
          <w:tcPr>
            <w:tcW w:w="3682" w:type="dxa"/>
            <w:noWrap/>
            <w:hideMark/>
          </w:tcPr>
          <w:p w14:paraId="1845892E" w14:textId="77777777" w:rsidR="00B75ACA" w:rsidRPr="00CB0607" w:rsidRDefault="00B75ACA">
            <w:pPr>
              <w:pStyle w:val="TableText"/>
              <w:rPr>
                <w:rFonts w:ascii="Franklin Gothic Book" w:hAnsi="Franklin Gothic Book"/>
              </w:rPr>
            </w:pPr>
            <w:r w:rsidRPr="00CB0607">
              <w:rPr>
                <w:rFonts w:ascii="Franklin Gothic Book" w:hAnsi="Franklin Gothic Book"/>
              </w:rPr>
              <w:t>Actual net school spending</w:t>
            </w:r>
          </w:p>
        </w:tc>
        <w:tc>
          <w:tcPr>
            <w:tcW w:w="1612" w:type="dxa"/>
            <w:noWrap/>
          </w:tcPr>
          <w:p w14:paraId="3EAC6CFF" w14:textId="4D4F0FAC" w:rsidR="00B75ACA" w:rsidRPr="00CB0607" w:rsidRDefault="008E5BF5">
            <w:pPr>
              <w:pStyle w:val="TableTextCentered"/>
              <w:rPr>
                <w:rFonts w:ascii="Franklin Gothic Book" w:hAnsi="Franklin Gothic Book"/>
              </w:rPr>
            </w:pPr>
            <w:r>
              <w:t>—</w:t>
            </w:r>
          </w:p>
        </w:tc>
        <w:tc>
          <w:tcPr>
            <w:tcW w:w="1718" w:type="dxa"/>
            <w:noWrap/>
          </w:tcPr>
          <w:p w14:paraId="77DE50D2" w14:textId="77777777" w:rsidR="00B75ACA" w:rsidRPr="00CB0607" w:rsidRDefault="00B75ACA">
            <w:pPr>
              <w:pStyle w:val="TableTextCentered"/>
              <w:rPr>
                <w:rFonts w:ascii="Franklin Gothic Book" w:hAnsi="Franklin Gothic Book" w:cs="Calibri"/>
              </w:rPr>
            </w:pPr>
            <w:r w:rsidRPr="007173C9">
              <w:t>$57,303,936</w:t>
            </w:r>
          </w:p>
        </w:tc>
        <w:tc>
          <w:tcPr>
            <w:tcW w:w="1350" w:type="dxa"/>
            <w:noWrap/>
          </w:tcPr>
          <w:p w14:paraId="26CF6E7E" w14:textId="6D191CE9" w:rsidR="00B75ACA" w:rsidRPr="00CB0607" w:rsidRDefault="008E5BF5">
            <w:pPr>
              <w:pStyle w:val="TableTextCentered"/>
              <w:rPr>
                <w:rFonts w:ascii="Franklin Gothic Book" w:hAnsi="Franklin Gothic Book"/>
              </w:rPr>
            </w:pPr>
            <w:r>
              <w:t>—</w:t>
            </w:r>
          </w:p>
        </w:tc>
        <w:tc>
          <w:tcPr>
            <w:tcW w:w="1522" w:type="dxa"/>
            <w:noWrap/>
          </w:tcPr>
          <w:p w14:paraId="7ECEA851" w14:textId="77777777" w:rsidR="00B75ACA" w:rsidRPr="00CB0607" w:rsidRDefault="00B75ACA">
            <w:pPr>
              <w:pStyle w:val="TableTextCentered"/>
              <w:rPr>
                <w:rFonts w:ascii="Franklin Gothic Book" w:hAnsi="Franklin Gothic Book" w:cs="Calibri"/>
              </w:rPr>
            </w:pPr>
            <w:r w:rsidRPr="007173C9">
              <w:t>$59,253,335</w:t>
            </w:r>
          </w:p>
        </w:tc>
        <w:tc>
          <w:tcPr>
            <w:tcW w:w="1538" w:type="dxa"/>
            <w:noWrap/>
          </w:tcPr>
          <w:p w14:paraId="591C35BE" w14:textId="77771844" w:rsidR="00B75ACA" w:rsidRPr="00CB0607" w:rsidRDefault="008E5BF5">
            <w:pPr>
              <w:pStyle w:val="TableTextCentered"/>
              <w:rPr>
                <w:rFonts w:ascii="Franklin Gothic Book" w:hAnsi="Franklin Gothic Book"/>
              </w:rPr>
            </w:pPr>
            <w:r>
              <w:t>—</w:t>
            </w:r>
          </w:p>
        </w:tc>
        <w:tc>
          <w:tcPr>
            <w:tcW w:w="1522" w:type="dxa"/>
          </w:tcPr>
          <w:p w14:paraId="2A469FDA" w14:textId="77777777" w:rsidR="00B75ACA" w:rsidRPr="00CB0607" w:rsidRDefault="00B75ACA">
            <w:pPr>
              <w:pStyle w:val="TableTextCentered"/>
              <w:rPr>
                <w:rFonts w:ascii="Franklin Gothic Book" w:hAnsi="Franklin Gothic Book" w:cs="Calibri"/>
              </w:rPr>
            </w:pPr>
            <w:r w:rsidRPr="007173C9">
              <w:t>$65,578,171</w:t>
            </w:r>
          </w:p>
        </w:tc>
      </w:tr>
      <w:tr w:rsidR="00B75ACA" w:rsidRPr="00CB0607" w14:paraId="141362D0" w14:textId="77777777">
        <w:tc>
          <w:tcPr>
            <w:tcW w:w="3682" w:type="dxa"/>
            <w:noWrap/>
            <w:hideMark/>
          </w:tcPr>
          <w:p w14:paraId="314DFCE7" w14:textId="77777777" w:rsidR="00B75ACA" w:rsidRPr="00CB0607" w:rsidRDefault="00B75ACA">
            <w:pPr>
              <w:pStyle w:val="TableText"/>
              <w:rPr>
                <w:rFonts w:ascii="Franklin Gothic Book" w:hAnsi="Franklin Gothic Book"/>
              </w:rPr>
            </w:pPr>
            <w:r w:rsidRPr="00CB0607">
              <w:rPr>
                <w:rFonts w:ascii="Franklin Gothic Book" w:hAnsi="Franklin Gothic Book"/>
              </w:rPr>
              <w:t>Over/under required ($)</w:t>
            </w:r>
          </w:p>
        </w:tc>
        <w:tc>
          <w:tcPr>
            <w:tcW w:w="1612" w:type="dxa"/>
            <w:noWrap/>
          </w:tcPr>
          <w:p w14:paraId="17EBE770" w14:textId="2EEAF233" w:rsidR="00B75ACA" w:rsidRPr="00CB0607" w:rsidRDefault="008E5BF5">
            <w:pPr>
              <w:pStyle w:val="TableTextCentered"/>
              <w:rPr>
                <w:rFonts w:ascii="Franklin Gothic Book" w:hAnsi="Franklin Gothic Book"/>
              </w:rPr>
            </w:pPr>
            <w:r>
              <w:t>—</w:t>
            </w:r>
          </w:p>
        </w:tc>
        <w:tc>
          <w:tcPr>
            <w:tcW w:w="1718" w:type="dxa"/>
            <w:noWrap/>
          </w:tcPr>
          <w:p w14:paraId="501A6C08" w14:textId="77777777" w:rsidR="00B75ACA" w:rsidRPr="00CB0607" w:rsidRDefault="00B75ACA">
            <w:pPr>
              <w:pStyle w:val="TableTextCentered"/>
              <w:rPr>
                <w:rFonts w:ascii="Franklin Gothic Book" w:hAnsi="Franklin Gothic Book" w:cs="Calibri"/>
              </w:rPr>
            </w:pPr>
            <w:r w:rsidRPr="007173C9">
              <w:t>$13,340,343</w:t>
            </w:r>
          </w:p>
        </w:tc>
        <w:tc>
          <w:tcPr>
            <w:tcW w:w="1350" w:type="dxa"/>
            <w:noWrap/>
          </w:tcPr>
          <w:p w14:paraId="20AF5F87" w14:textId="065A4DFF" w:rsidR="00B75ACA" w:rsidRPr="00CB0607" w:rsidRDefault="008E5BF5">
            <w:pPr>
              <w:pStyle w:val="TableTextCentered"/>
              <w:rPr>
                <w:rFonts w:ascii="Franklin Gothic Book" w:hAnsi="Franklin Gothic Book"/>
              </w:rPr>
            </w:pPr>
            <w:r>
              <w:t>—</w:t>
            </w:r>
          </w:p>
        </w:tc>
        <w:tc>
          <w:tcPr>
            <w:tcW w:w="1522" w:type="dxa"/>
            <w:noWrap/>
          </w:tcPr>
          <w:p w14:paraId="02F071BF" w14:textId="77777777" w:rsidR="00B75ACA" w:rsidRPr="00CB0607" w:rsidRDefault="00B75ACA">
            <w:pPr>
              <w:pStyle w:val="TableTextCentered"/>
              <w:rPr>
                <w:rFonts w:ascii="Franklin Gothic Book" w:hAnsi="Franklin Gothic Book" w:cs="Calibri"/>
              </w:rPr>
            </w:pPr>
            <w:r w:rsidRPr="007173C9">
              <w:t>$13,792,631</w:t>
            </w:r>
          </w:p>
        </w:tc>
        <w:tc>
          <w:tcPr>
            <w:tcW w:w="1538" w:type="dxa"/>
            <w:noWrap/>
          </w:tcPr>
          <w:p w14:paraId="5D486C99" w14:textId="516EDD58" w:rsidR="00B75ACA" w:rsidRPr="00CB0607" w:rsidRDefault="008E5BF5">
            <w:pPr>
              <w:pStyle w:val="TableTextCentered"/>
              <w:rPr>
                <w:rFonts w:ascii="Franklin Gothic Book" w:hAnsi="Franklin Gothic Book"/>
              </w:rPr>
            </w:pPr>
            <w:r>
              <w:t>—</w:t>
            </w:r>
          </w:p>
        </w:tc>
        <w:tc>
          <w:tcPr>
            <w:tcW w:w="1522" w:type="dxa"/>
          </w:tcPr>
          <w:p w14:paraId="3E7B1CF9" w14:textId="77777777" w:rsidR="00B75ACA" w:rsidRPr="00CB0607" w:rsidRDefault="00B75ACA">
            <w:pPr>
              <w:pStyle w:val="TableTextCentered"/>
              <w:rPr>
                <w:rFonts w:ascii="Franklin Gothic Book" w:hAnsi="Franklin Gothic Book" w:cs="Calibri"/>
              </w:rPr>
            </w:pPr>
            <w:r w:rsidRPr="007173C9">
              <w:t>$21,836,175</w:t>
            </w:r>
          </w:p>
        </w:tc>
      </w:tr>
      <w:tr w:rsidR="00B75ACA" w:rsidRPr="00CB0607" w14:paraId="780A1275" w14:textId="77777777">
        <w:tc>
          <w:tcPr>
            <w:tcW w:w="3682" w:type="dxa"/>
            <w:noWrap/>
            <w:hideMark/>
          </w:tcPr>
          <w:p w14:paraId="46C27DAF" w14:textId="77777777" w:rsidR="00B75ACA" w:rsidRPr="00CB0607" w:rsidRDefault="00B75ACA">
            <w:pPr>
              <w:pStyle w:val="TableText"/>
            </w:pPr>
            <w:r w:rsidRPr="00CB0607">
              <w:t>Over/under required (%)</w:t>
            </w:r>
          </w:p>
        </w:tc>
        <w:tc>
          <w:tcPr>
            <w:tcW w:w="1612" w:type="dxa"/>
            <w:noWrap/>
          </w:tcPr>
          <w:p w14:paraId="2E5C7E4A" w14:textId="252E4B2B" w:rsidR="00B75ACA" w:rsidRPr="00CB0607" w:rsidRDefault="008E5BF5">
            <w:pPr>
              <w:pStyle w:val="TableTextCentered"/>
            </w:pPr>
            <w:r>
              <w:t>—</w:t>
            </w:r>
          </w:p>
        </w:tc>
        <w:tc>
          <w:tcPr>
            <w:tcW w:w="1718" w:type="dxa"/>
            <w:noWrap/>
          </w:tcPr>
          <w:p w14:paraId="2D659CF3" w14:textId="77777777" w:rsidR="00B75ACA" w:rsidRPr="00CB0607" w:rsidRDefault="00B75ACA">
            <w:pPr>
              <w:pStyle w:val="TableTextCentered"/>
            </w:pPr>
            <w:r w:rsidRPr="007173C9">
              <w:t>30.3%</w:t>
            </w:r>
          </w:p>
        </w:tc>
        <w:tc>
          <w:tcPr>
            <w:tcW w:w="1350" w:type="dxa"/>
            <w:noWrap/>
          </w:tcPr>
          <w:p w14:paraId="2E42D55E" w14:textId="7C066E0F" w:rsidR="00B75ACA" w:rsidRPr="00CB0607" w:rsidRDefault="008E5BF5">
            <w:pPr>
              <w:pStyle w:val="TableTextCentered"/>
            </w:pPr>
            <w:r>
              <w:t>—</w:t>
            </w:r>
          </w:p>
        </w:tc>
        <w:tc>
          <w:tcPr>
            <w:tcW w:w="1522" w:type="dxa"/>
            <w:noWrap/>
          </w:tcPr>
          <w:p w14:paraId="55004EBD" w14:textId="77777777" w:rsidR="00B75ACA" w:rsidRPr="00CB0607" w:rsidRDefault="00B75ACA">
            <w:pPr>
              <w:pStyle w:val="TableTextCentered"/>
            </w:pPr>
            <w:r w:rsidRPr="007173C9">
              <w:t>30.3%</w:t>
            </w:r>
          </w:p>
        </w:tc>
        <w:tc>
          <w:tcPr>
            <w:tcW w:w="1538" w:type="dxa"/>
            <w:noWrap/>
          </w:tcPr>
          <w:p w14:paraId="07D98F77" w14:textId="1DB9338E" w:rsidR="00B75ACA" w:rsidRPr="00CB0607" w:rsidRDefault="008E5BF5">
            <w:pPr>
              <w:pStyle w:val="TableTextCentered"/>
            </w:pPr>
            <w:r>
              <w:t>—</w:t>
            </w:r>
          </w:p>
        </w:tc>
        <w:tc>
          <w:tcPr>
            <w:tcW w:w="1522" w:type="dxa"/>
          </w:tcPr>
          <w:p w14:paraId="406183CC" w14:textId="77777777" w:rsidR="00B75ACA" w:rsidRPr="00CB0607" w:rsidRDefault="00B75ACA">
            <w:pPr>
              <w:pStyle w:val="TableTextCentered"/>
            </w:pPr>
            <w:r w:rsidRPr="007173C9">
              <w:t>49.9%</w:t>
            </w:r>
          </w:p>
        </w:tc>
      </w:tr>
    </w:tbl>
    <w:p w14:paraId="3572FB2E" w14:textId="3B486413" w:rsidR="00B75ACA" w:rsidRPr="00CB0607" w:rsidRDefault="00B75ACA" w:rsidP="00B75ACA">
      <w:pPr>
        <w:pStyle w:val="TableNote"/>
      </w:pPr>
      <w:r w:rsidRPr="00CB0607">
        <w:rPr>
          <w:i/>
          <w:iCs/>
        </w:rPr>
        <w:t>Note</w:t>
      </w:r>
      <w:r w:rsidRPr="00CB0607">
        <w:t>. Data as of Ju</w:t>
      </w:r>
      <w:r>
        <w:t>ly</w:t>
      </w:r>
      <w:r w:rsidRPr="00CB0607">
        <w:t xml:space="preserve"> </w:t>
      </w:r>
      <w:r>
        <w:t>25</w:t>
      </w:r>
      <w:r w:rsidRPr="00CB0607">
        <w:t>, 202</w:t>
      </w:r>
      <w:r>
        <w:t>3</w:t>
      </w:r>
      <w:r w:rsidR="008E5BF5">
        <w:t>,</w:t>
      </w:r>
      <w:r w:rsidRPr="00CB0607">
        <w:t xml:space="preserve"> and sourced from </w:t>
      </w:r>
      <w:r w:rsidR="008E5BF5">
        <w:t xml:space="preserve">fiscal year </w:t>
      </w:r>
      <w:r w:rsidR="008E5BF5" w:rsidRPr="00CB0607">
        <w:t>202</w:t>
      </w:r>
      <w:r w:rsidR="008E5BF5">
        <w:t>2</w:t>
      </w:r>
      <w:r w:rsidR="008E5BF5" w:rsidRPr="00CB0607">
        <w:t xml:space="preserve"> </w:t>
      </w:r>
      <w:r w:rsidRPr="00CB0607">
        <w:t>district end-of-year reports and Chapter 70 program information on DESE website.</w:t>
      </w:r>
    </w:p>
    <w:p w14:paraId="171AE41D" w14:textId="77777777" w:rsidR="00B75ACA" w:rsidRPr="00CB0607" w:rsidRDefault="00B75ACA" w:rsidP="00B75ACA">
      <w:pPr>
        <w:pStyle w:val="TableNote"/>
      </w:pPr>
      <w:r w:rsidRPr="00CB0607">
        <w:rPr>
          <w:vertAlign w:val="superscript"/>
        </w:rPr>
        <w:t xml:space="preserve">a </w:t>
      </w:r>
      <w:r w:rsidRPr="00CB0607">
        <w:t xml:space="preserve">Chapter 70 state aid funds are deposited in the local general fund and spent as local appropriations. </w:t>
      </w:r>
      <w:r w:rsidRPr="00CB0607">
        <w:rPr>
          <w:vertAlign w:val="superscript"/>
        </w:rPr>
        <w:t xml:space="preserve">b </w:t>
      </w:r>
      <w:r w:rsidRPr="00CB0607">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CA7FEC1" w14:textId="77777777" w:rsidR="00D77209" w:rsidRPr="00CB0607" w:rsidRDefault="00D77209" w:rsidP="00D77209">
      <w:pPr>
        <w:pStyle w:val="TableTitle0"/>
      </w:pPr>
    </w:p>
    <w:p w14:paraId="0494CA1C" w14:textId="77777777" w:rsidR="0080560E" w:rsidRPr="00CB0607" w:rsidRDefault="0080560E" w:rsidP="00D77209">
      <w:pPr>
        <w:pStyle w:val="TableTitle0"/>
        <w:sectPr w:rsidR="0080560E" w:rsidRPr="00CB0607" w:rsidSect="00D67AD2">
          <w:pgSz w:w="15840" w:h="12240" w:orient="landscape" w:code="1"/>
          <w:pgMar w:top="1440" w:right="1440" w:bottom="1440" w:left="1440" w:header="720" w:footer="720" w:gutter="0"/>
          <w:cols w:space="720"/>
          <w:docGrid w:linePitch="360"/>
        </w:sectPr>
      </w:pPr>
    </w:p>
    <w:p w14:paraId="2A0EDD40" w14:textId="77777777" w:rsidR="00B75ACA" w:rsidRPr="00CB0607" w:rsidRDefault="00B75ACA" w:rsidP="00B75ACA">
      <w:pPr>
        <w:pStyle w:val="TableTitle0"/>
        <w:spacing w:before="0"/>
      </w:pPr>
      <w:r w:rsidRPr="00CB0607">
        <w:lastRenderedPageBreak/>
        <w:t xml:space="preserve">Table </w:t>
      </w:r>
      <w:r>
        <w:t>D</w:t>
      </w:r>
      <w:r w:rsidRPr="00CB0607">
        <w:t xml:space="preserve">5. </w:t>
      </w:r>
      <w:r>
        <w:t>Hingham</w:t>
      </w:r>
      <w:r w:rsidRPr="00CB0607">
        <w:t xml:space="preserve"> Public Schools: Expenditures Per In-District Pupil, Fiscal Years 20</w:t>
      </w:r>
      <w:r>
        <w:t>20</w:t>
      </w:r>
      <w:r w:rsidRPr="00CB0607">
        <w:t>-202</w:t>
      </w:r>
      <w:r>
        <w:t>2</w:t>
      </w:r>
    </w:p>
    <w:tbl>
      <w:tblPr>
        <w:tblStyle w:val="MSVTable1"/>
        <w:tblW w:w="5000" w:type="pct"/>
        <w:tblLayout w:type="fixed"/>
        <w:tblLook w:val="0420" w:firstRow="1" w:lastRow="0" w:firstColumn="0" w:lastColumn="0" w:noHBand="0" w:noVBand="1"/>
      </w:tblPr>
      <w:tblGrid>
        <w:gridCol w:w="5246"/>
        <w:gridCol w:w="1366"/>
        <w:gridCol w:w="1366"/>
        <w:gridCol w:w="1366"/>
      </w:tblGrid>
      <w:tr w:rsidR="00B75ACA" w:rsidRPr="00CB0607" w14:paraId="100C932E"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174A99F3" w14:textId="77777777" w:rsidR="00B75ACA" w:rsidRPr="00CB0607" w:rsidRDefault="00B75ACA">
            <w:pPr>
              <w:pStyle w:val="TableColHeadingLeft"/>
            </w:pPr>
            <w:r w:rsidRPr="00CB0607">
              <w:t>Expenditure category</w:t>
            </w:r>
          </w:p>
        </w:tc>
        <w:tc>
          <w:tcPr>
            <w:tcW w:w="1366" w:type="dxa"/>
          </w:tcPr>
          <w:p w14:paraId="2400AD83" w14:textId="77777777" w:rsidR="00B75ACA" w:rsidRPr="00CB0607" w:rsidRDefault="00B75ACA">
            <w:pPr>
              <w:pStyle w:val="TableColHeadingCenter"/>
            </w:pPr>
            <w:r w:rsidRPr="00CB0607">
              <w:t>20</w:t>
            </w:r>
            <w:r>
              <w:t>20</w:t>
            </w:r>
          </w:p>
        </w:tc>
        <w:tc>
          <w:tcPr>
            <w:tcW w:w="1366" w:type="dxa"/>
          </w:tcPr>
          <w:p w14:paraId="490D30D6" w14:textId="77777777" w:rsidR="00B75ACA" w:rsidRPr="00CB0607" w:rsidRDefault="00B75ACA">
            <w:pPr>
              <w:pStyle w:val="TableColHeadingCenter"/>
            </w:pPr>
            <w:r w:rsidRPr="00CB0607">
              <w:t>202</w:t>
            </w:r>
            <w:r>
              <w:t>1</w:t>
            </w:r>
          </w:p>
        </w:tc>
        <w:tc>
          <w:tcPr>
            <w:tcW w:w="1366" w:type="dxa"/>
          </w:tcPr>
          <w:p w14:paraId="1A176F11" w14:textId="77777777" w:rsidR="00B75ACA" w:rsidRPr="00CB0607" w:rsidRDefault="00B75ACA">
            <w:pPr>
              <w:pStyle w:val="TableColHeadingCenter"/>
            </w:pPr>
            <w:r w:rsidRPr="00CB0607">
              <w:t>202</w:t>
            </w:r>
            <w:r>
              <w:t>2</w:t>
            </w:r>
          </w:p>
        </w:tc>
      </w:tr>
      <w:tr w:rsidR="00B75ACA" w:rsidRPr="00CB0607" w14:paraId="040031F6"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D77016F" w14:textId="77777777" w:rsidR="00B75ACA" w:rsidRPr="00CB0607" w:rsidRDefault="00B75ACA">
            <w:pPr>
              <w:pStyle w:val="TableText"/>
            </w:pPr>
            <w:r w:rsidRPr="00CB0607">
              <w:t>Administration</w:t>
            </w:r>
          </w:p>
        </w:tc>
        <w:tc>
          <w:tcPr>
            <w:tcW w:w="1366" w:type="dxa"/>
          </w:tcPr>
          <w:p w14:paraId="697EE23A" w14:textId="77777777" w:rsidR="00B75ACA" w:rsidRPr="00CB0607" w:rsidRDefault="00B75ACA">
            <w:pPr>
              <w:pStyle w:val="TableTextCentered"/>
            </w:pPr>
            <w:r w:rsidRPr="006A1B86">
              <w:t>$426</w:t>
            </w:r>
          </w:p>
        </w:tc>
        <w:tc>
          <w:tcPr>
            <w:tcW w:w="1366" w:type="dxa"/>
          </w:tcPr>
          <w:p w14:paraId="43B9C248" w14:textId="77777777" w:rsidR="00B75ACA" w:rsidRPr="00CB0607" w:rsidRDefault="00B75ACA">
            <w:pPr>
              <w:pStyle w:val="TableTextCentered"/>
            </w:pPr>
            <w:r w:rsidRPr="003754F2">
              <w:t>$471</w:t>
            </w:r>
          </w:p>
        </w:tc>
        <w:tc>
          <w:tcPr>
            <w:tcW w:w="1366" w:type="dxa"/>
          </w:tcPr>
          <w:p w14:paraId="485F1D9F" w14:textId="77777777" w:rsidR="00B75ACA" w:rsidRPr="00CB0607" w:rsidRDefault="00B75ACA">
            <w:pPr>
              <w:pStyle w:val="TableTextCentered"/>
            </w:pPr>
            <w:r w:rsidRPr="006F6A9E">
              <w:t>$625</w:t>
            </w:r>
          </w:p>
        </w:tc>
      </w:tr>
      <w:tr w:rsidR="00B75ACA" w:rsidRPr="00CB0607" w14:paraId="678F6560" w14:textId="77777777">
        <w:tc>
          <w:tcPr>
            <w:tcW w:w="5246" w:type="dxa"/>
          </w:tcPr>
          <w:p w14:paraId="16894BA3" w14:textId="77777777" w:rsidR="00B75ACA" w:rsidRPr="00CB0607" w:rsidRDefault="00B75ACA">
            <w:pPr>
              <w:pStyle w:val="TableText"/>
            </w:pPr>
            <w:r w:rsidRPr="00CB0607">
              <w:t>Instructional leadership (district and school)</w:t>
            </w:r>
          </w:p>
        </w:tc>
        <w:tc>
          <w:tcPr>
            <w:tcW w:w="1366" w:type="dxa"/>
          </w:tcPr>
          <w:p w14:paraId="2C277891" w14:textId="77777777" w:rsidR="00B75ACA" w:rsidRPr="00CB0607" w:rsidRDefault="00B75ACA">
            <w:pPr>
              <w:pStyle w:val="TableTextCentered"/>
            </w:pPr>
            <w:r w:rsidRPr="006A1B86">
              <w:t>$895</w:t>
            </w:r>
          </w:p>
        </w:tc>
        <w:tc>
          <w:tcPr>
            <w:tcW w:w="1366" w:type="dxa"/>
          </w:tcPr>
          <w:p w14:paraId="0149300A" w14:textId="77777777" w:rsidR="00B75ACA" w:rsidRPr="00CB0607" w:rsidRDefault="00B75ACA">
            <w:pPr>
              <w:pStyle w:val="TableTextCentered"/>
            </w:pPr>
            <w:r w:rsidRPr="003754F2">
              <w:t>$1,035</w:t>
            </w:r>
          </w:p>
        </w:tc>
        <w:tc>
          <w:tcPr>
            <w:tcW w:w="1366" w:type="dxa"/>
          </w:tcPr>
          <w:p w14:paraId="6FC4AF8B" w14:textId="77777777" w:rsidR="00B75ACA" w:rsidRPr="00CB0607" w:rsidRDefault="00B75ACA">
            <w:pPr>
              <w:pStyle w:val="TableTextCentered"/>
            </w:pPr>
            <w:r w:rsidRPr="006F6A9E">
              <w:t>$1,119</w:t>
            </w:r>
          </w:p>
        </w:tc>
      </w:tr>
      <w:tr w:rsidR="00B75ACA" w:rsidRPr="00CB0607" w14:paraId="37C1FAC5"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330FF40" w14:textId="77777777" w:rsidR="00B75ACA" w:rsidRPr="00CB0607" w:rsidRDefault="00B75ACA">
            <w:pPr>
              <w:pStyle w:val="TableText"/>
            </w:pPr>
            <w:r w:rsidRPr="00CB0607">
              <w:t>Teachers</w:t>
            </w:r>
          </w:p>
        </w:tc>
        <w:tc>
          <w:tcPr>
            <w:tcW w:w="1366" w:type="dxa"/>
          </w:tcPr>
          <w:p w14:paraId="09BCF8E5" w14:textId="77777777" w:rsidR="00B75ACA" w:rsidRPr="00CB0607" w:rsidRDefault="00B75ACA">
            <w:pPr>
              <w:pStyle w:val="TableTextCentered"/>
            </w:pPr>
            <w:r w:rsidRPr="006A1B86">
              <w:t>$6,847</w:t>
            </w:r>
          </w:p>
        </w:tc>
        <w:tc>
          <w:tcPr>
            <w:tcW w:w="1366" w:type="dxa"/>
          </w:tcPr>
          <w:p w14:paraId="31A516FA" w14:textId="77777777" w:rsidR="00B75ACA" w:rsidRPr="00CB0607" w:rsidRDefault="00B75ACA">
            <w:pPr>
              <w:pStyle w:val="TableTextCentered"/>
            </w:pPr>
            <w:r w:rsidRPr="003754F2">
              <w:t>$7,649</w:t>
            </w:r>
          </w:p>
        </w:tc>
        <w:tc>
          <w:tcPr>
            <w:tcW w:w="1366" w:type="dxa"/>
          </w:tcPr>
          <w:p w14:paraId="256F3E9E" w14:textId="77777777" w:rsidR="00B75ACA" w:rsidRPr="00CB0607" w:rsidRDefault="00B75ACA">
            <w:pPr>
              <w:pStyle w:val="TableTextCentered"/>
            </w:pPr>
            <w:r w:rsidRPr="006F6A9E">
              <w:t>$8,494</w:t>
            </w:r>
          </w:p>
        </w:tc>
      </w:tr>
      <w:tr w:rsidR="00B75ACA" w:rsidRPr="00CB0607" w14:paraId="02136DF1" w14:textId="77777777">
        <w:tc>
          <w:tcPr>
            <w:tcW w:w="5246" w:type="dxa"/>
          </w:tcPr>
          <w:p w14:paraId="27BE1EB6" w14:textId="77777777" w:rsidR="00B75ACA" w:rsidRPr="00CB0607" w:rsidDel="00DB21D5" w:rsidRDefault="00B75ACA">
            <w:pPr>
              <w:pStyle w:val="TableText"/>
            </w:pPr>
            <w:r w:rsidRPr="00CB0607">
              <w:t>Other teaching services</w:t>
            </w:r>
          </w:p>
        </w:tc>
        <w:tc>
          <w:tcPr>
            <w:tcW w:w="1366" w:type="dxa"/>
          </w:tcPr>
          <w:p w14:paraId="43AD04AF" w14:textId="77777777" w:rsidR="00B75ACA" w:rsidRPr="00CB0607" w:rsidRDefault="00B75ACA">
            <w:pPr>
              <w:pStyle w:val="TableTextCentered"/>
            </w:pPr>
            <w:r w:rsidRPr="006A1B86">
              <w:t>$1,551</w:t>
            </w:r>
          </w:p>
        </w:tc>
        <w:tc>
          <w:tcPr>
            <w:tcW w:w="1366" w:type="dxa"/>
          </w:tcPr>
          <w:p w14:paraId="5F997BDF" w14:textId="77777777" w:rsidR="00B75ACA" w:rsidRPr="00CB0607" w:rsidRDefault="00B75ACA">
            <w:pPr>
              <w:pStyle w:val="TableTextCentered"/>
            </w:pPr>
            <w:r w:rsidRPr="003754F2">
              <w:t>$1,736</w:t>
            </w:r>
          </w:p>
        </w:tc>
        <w:tc>
          <w:tcPr>
            <w:tcW w:w="1366" w:type="dxa"/>
          </w:tcPr>
          <w:p w14:paraId="1E321319" w14:textId="77777777" w:rsidR="00B75ACA" w:rsidRPr="00CB0607" w:rsidRDefault="00B75ACA">
            <w:pPr>
              <w:pStyle w:val="TableTextCentered"/>
            </w:pPr>
            <w:r w:rsidRPr="006F6A9E">
              <w:t>$1,588</w:t>
            </w:r>
          </w:p>
        </w:tc>
      </w:tr>
      <w:tr w:rsidR="00B75ACA" w:rsidRPr="00CB0607" w14:paraId="5854F560"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E6D7172" w14:textId="77777777" w:rsidR="00B75ACA" w:rsidRPr="00CB0607" w:rsidRDefault="00B75ACA">
            <w:pPr>
              <w:pStyle w:val="TableText"/>
            </w:pPr>
            <w:r w:rsidRPr="00CB0607">
              <w:t>Professional development</w:t>
            </w:r>
          </w:p>
        </w:tc>
        <w:tc>
          <w:tcPr>
            <w:tcW w:w="1366" w:type="dxa"/>
          </w:tcPr>
          <w:p w14:paraId="07A5F36B" w14:textId="77777777" w:rsidR="00B75ACA" w:rsidRPr="00CB0607" w:rsidRDefault="00B75ACA">
            <w:pPr>
              <w:pStyle w:val="TableTextCentered"/>
            </w:pPr>
            <w:r w:rsidRPr="006A1B86">
              <w:t>$60</w:t>
            </w:r>
          </w:p>
        </w:tc>
        <w:tc>
          <w:tcPr>
            <w:tcW w:w="1366" w:type="dxa"/>
          </w:tcPr>
          <w:p w14:paraId="0478018D" w14:textId="77777777" w:rsidR="00B75ACA" w:rsidRPr="00CB0607" w:rsidRDefault="00B75ACA">
            <w:pPr>
              <w:pStyle w:val="TableTextCentered"/>
            </w:pPr>
            <w:r w:rsidRPr="003754F2">
              <w:t>$69</w:t>
            </w:r>
          </w:p>
        </w:tc>
        <w:tc>
          <w:tcPr>
            <w:tcW w:w="1366" w:type="dxa"/>
          </w:tcPr>
          <w:p w14:paraId="0AE0421C" w14:textId="77777777" w:rsidR="00B75ACA" w:rsidRPr="00CB0607" w:rsidRDefault="00B75ACA">
            <w:pPr>
              <w:pStyle w:val="TableTextCentered"/>
            </w:pPr>
            <w:r w:rsidRPr="006F6A9E">
              <w:t>$116</w:t>
            </w:r>
          </w:p>
        </w:tc>
      </w:tr>
      <w:tr w:rsidR="00B75ACA" w:rsidRPr="00CB0607" w14:paraId="24D8B48E" w14:textId="77777777">
        <w:tc>
          <w:tcPr>
            <w:tcW w:w="5246" w:type="dxa"/>
          </w:tcPr>
          <w:p w14:paraId="4E564F79" w14:textId="77777777" w:rsidR="00B75ACA" w:rsidRPr="00CB0607" w:rsidRDefault="00B75ACA">
            <w:pPr>
              <w:pStyle w:val="TableText"/>
            </w:pPr>
            <w:r w:rsidRPr="00CB0607">
              <w:t>Instructional materials, equipment, and technology</w:t>
            </w:r>
          </w:p>
        </w:tc>
        <w:tc>
          <w:tcPr>
            <w:tcW w:w="1366" w:type="dxa"/>
          </w:tcPr>
          <w:p w14:paraId="6033A880" w14:textId="77777777" w:rsidR="00B75ACA" w:rsidRPr="00CB0607" w:rsidRDefault="00B75ACA">
            <w:pPr>
              <w:pStyle w:val="TableTextCentered"/>
            </w:pPr>
            <w:r w:rsidRPr="006A1B86">
              <w:t>$240</w:t>
            </w:r>
          </w:p>
        </w:tc>
        <w:tc>
          <w:tcPr>
            <w:tcW w:w="1366" w:type="dxa"/>
          </w:tcPr>
          <w:p w14:paraId="38D424A5" w14:textId="77777777" w:rsidR="00B75ACA" w:rsidRPr="00CB0607" w:rsidRDefault="00B75ACA">
            <w:pPr>
              <w:pStyle w:val="TableTextCentered"/>
            </w:pPr>
            <w:r w:rsidRPr="003754F2">
              <w:t>$275</w:t>
            </w:r>
          </w:p>
        </w:tc>
        <w:tc>
          <w:tcPr>
            <w:tcW w:w="1366" w:type="dxa"/>
          </w:tcPr>
          <w:p w14:paraId="3D8EA83B" w14:textId="77777777" w:rsidR="00B75ACA" w:rsidRPr="00CB0607" w:rsidRDefault="00B75ACA">
            <w:pPr>
              <w:pStyle w:val="TableTextCentered"/>
            </w:pPr>
            <w:r w:rsidRPr="006F6A9E">
              <w:t>$705</w:t>
            </w:r>
          </w:p>
        </w:tc>
      </w:tr>
      <w:tr w:rsidR="00B75ACA" w:rsidRPr="00CB0607" w14:paraId="04786BB5"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8936C40" w14:textId="77777777" w:rsidR="00B75ACA" w:rsidRPr="00CB0607" w:rsidRDefault="00B75ACA">
            <w:pPr>
              <w:pStyle w:val="TableText"/>
            </w:pPr>
            <w:r w:rsidRPr="00CB0607">
              <w:t>Guidance, counseling, and testing services</w:t>
            </w:r>
          </w:p>
        </w:tc>
        <w:tc>
          <w:tcPr>
            <w:tcW w:w="1366" w:type="dxa"/>
          </w:tcPr>
          <w:p w14:paraId="3AACA3B9" w14:textId="77777777" w:rsidR="00B75ACA" w:rsidRPr="00CB0607" w:rsidRDefault="00B75ACA">
            <w:pPr>
              <w:pStyle w:val="TableTextCentered"/>
            </w:pPr>
            <w:r w:rsidRPr="006A1B86">
              <w:t>$701</w:t>
            </w:r>
          </w:p>
        </w:tc>
        <w:tc>
          <w:tcPr>
            <w:tcW w:w="1366" w:type="dxa"/>
          </w:tcPr>
          <w:p w14:paraId="0C11CD32" w14:textId="77777777" w:rsidR="00B75ACA" w:rsidRPr="00CB0607" w:rsidRDefault="00B75ACA">
            <w:pPr>
              <w:pStyle w:val="TableTextCentered"/>
            </w:pPr>
            <w:r w:rsidRPr="003754F2">
              <w:t>$780</w:t>
            </w:r>
          </w:p>
        </w:tc>
        <w:tc>
          <w:tcPr>
            <w:tcW w:w="1366" w:type="dxa"/>
          </w:tcPr>
          <w:p w14:paraId="21F9BA9A" w14:textId="77777777" w:rsidR="00B75ACA" w:rsidRPr="00CB0607" w:rsidRDefault="00B75ACA">
            <w:pPr>
              <w:pStyle w:val="TableTextCentered"/>
            </w:pPr>
            <w:r w:rsidRPr="006F6A9E">
              <w:t>$863</w:t>
            </w:r>
          </w:p>
        </w:tc>
      </w:tr>
      <w:tr w:rsidR="00B75ACA" w:rsidRPr="00CB0607" w14:paraId="1751D32A" w14:textId="77777777">
        <w:tc>
          <w:tcPr>
            <w:tcW w:w="5246" w:type="dxa"/>
          </w:tcPr>
          <w:p w14:paraId="1AC8B65A" w14:textId="77777777" w:rsidR="00B75ACA" w:rsidRPr="00CB0607" w:rsidRDefault="00B75ACA">
            <w:pPr>
              <w:pStyle w:val="TableText"/>
            </w:pPr>
            <w:r w:rsidRPr="00CB0607">
              <w:t>Pupil services</w:t>
            </w:r>
          </w:p>
        </w:tc>
        <w:tc>
          <w:tcPr>
            <w:tcW w:w="1366" w:type="dxa"/>
          </w:tcPr>
          <w:p w14:paraId="21086BFF" w14:textId="77777777" w:rsidR="00B75ACA" w:rsidRPr="00CB0607" w:rsidRDefault="00B75ACA">
            <w:pPr>
              <w:pStyle w:val="TableTextCentered"/>
            </w:pPr>
            <w:r w:rsidRPr="006A1B86">
              <w:t>$1,087</w:t>
            </w:r>
          </w:p>
        </w:tc>
        <w:tc>
          <w:tcPr>
            <w:tcW w:w="1366" w:type="dxa"/>
          </w:tcPr>
          <w:p w14:paraId="5B23CC2F" w14:textId="77777777" w:rsidR="00B75ACA" w:rsidRPr="00CB0607" w:rsidRDefault="00B75ACA">
            <w:pPr>
              <w:pStyle w:val="TableTextCentered"/>
            </w:pPr>
            <w:r w:rsidRPr="003754F2">
              <w:t>$1,263</w:t>
            </w:r>
          </w:p>
        </w:tc>
        <w:tc>
          <w:tcPr>
            <w:tcW w:w="1366" w:type="dxa"/>
          </w:tcPr>
          <w:p w14:paraId="075D09E9" w14:textId="77777777" w:rsidR="00B75ACA" w:rsidRPr="00CB0607" w:rsidRDefault="00B75ACA">
            <w:pPr>
              <w:pStyle w:val="TableTextCentered"/>
            </w:pPr>
            <w:r w:rsidRPr="006F6A9E">
              <w:t>$1,447</w:t>
            </w:r>
          </w:p>
        </w:tc>
      </w:tr>
      <w:tr w:rsidR="00B75ACA" w:rsidRPr="00CB0607" w14:paraId="17F251A2"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91EA97B" w14:textId="77777777" w:rsidR="00B75ACA" w:rsidRPr="00CB0607" w:rsidRDefault="00B75ACA">
            <w:pPr>
              <w:pStyle w:val="TableText"/>
            </w:pPr>
            <w:r w:rsidRPr="00CB0607">
              <w:t>Operations and maintenance</w:t>
            </w:r>
          </w:p>
        </w:tc>
        <w:tc>
          <w:tcPr>
            <w:tcW w:w="1366" w:type="dxa"/>
          </w:tcPr>
          <w:p w14:paraId="6858A880" w14:textId="77777777" w:rsidR="00B75ACA" w:rsidRPr="00CB0607" w:rsidRDefault="00B75ACA">
            <w:pPr>
              <w:pStyle w:val="TableTextCentered"/>
            </w:pPr>
            <w:r w:rsidRPr="006A1B86">
              <w:t>$1,085</w:t>
            </w:r>
          </w:p>
        </w:tc>
        <w:tc>
          <w:tcPr>
            <w:tcW w:w="1366" w:type="dxa"/>
          </w:tcPr>
          <w:p w14:paraId="2C452805" w14:textId="77777777" w:rsidR="00B75ACA" w:rsidRPr="00CB0607" w:rsidRDefault="00B75ACA">
            <w:pPr>
              <w:pStyle w:val="TableTextCentered"/>
            </w:pPr>
            <w:r w:rsidRPr="003754F2">
              <w:t>$1,331</w:t>
            </w:r>
          </w:p>
        </w:tc>
        <w:tc>
          <w:tcPr>
            <w:tcW w:w="1366" w:type="dxa"/>
          </w:tcPr>
          <w:p w14:paraId="741D0268" w14:textId="77777777" w:rsidR="00B75ACA" w:rsidRPr="00CB0607" w:rsidRDefault="00B75ACA">
            <w:pPr>
              <w:pStyle w:val="TableTextCentered"/>
            </w:pPr>
            <w:r w:rsidRPr="006F6A9E">
              <w:t>$1,621</w:t>
            </w:r>
          </w:p>
        </w:tc>
      </w:tr>
      <w:tr w:rsidR="00B75ACA" w:rsidRPr="00CB0607" w14:paraId="141FA89D" w14:textId="77777777">
        <w:tc>
          <w:tcPr>
            <w:tcW w:w="5246" w:type="dxa"/>
          </w:tcPr>
          <w:p w14:paraId="46328573" w14:textId="77777777" w:rsidR="00B75ACA" w:rsidRPr="00CB0607" w:rsidRDefault="00B75ACA">
            <w:pPr>
              <w:pStyle w:val="TableText"/>
            </w:pPr>
            <w:r w:rsidRPr="00CB0607">
              <w:t>Insurance, retirement, and other fixed costs</w:t>
            </w:r>
          </w:p>
        </w:tc>
        <w:tc>
          <w:tcPr>
            <w:tcW w:w="1366" w:type="dxa"/>
          </w:tcPr>
          <w:p w14:paraId="1B365F33" w14:textId="77777777" w:rsidR="00B75ACA" w:rsidRPr="00CB0607" w:rsidRDefault="00B75ACA">
            <w:pPr>
              <w:pStyle w:val="TableTextCentered"/>
            </w:pPr>
            <w:r w:rsidRPr="006A1B86">
              <w:t>$1,364</w:t>
            </w:r>
          </w:p>
        </w:tc>
        <w:tc>
          <w:tcPr>
            <w:tcW w:w="1366" w:type="dxa"/>
          </w:tcPr>
          <w:p w14:paraId="0FEEF9E0" w14:textId="77777777" w:rsidR="00B75ACA" w:rsidRPr="00CB0607" w:rsidRDefault="00B75ACA">
            <w:pPr>
              <w:pStyle w:val="TableTextCentered"/>
            </w:pPr>
            <w:r w:rsidRPr="003754F2">
              <w:t>$1,725</w:t>
            </w:r>
          </w:p>
        </w:tc>
        <w:tc>
          <w:tcPr>
            <w:tcW w:w="1366" w:type="dxa"/>
          </w:tcPr>
          <w:p w14:paraId="5DF4D1C0" w14:textId="77777777" w:rsidR="00B75ACA" w:rsidRPr="00CB0607" w:rsidRDefault="00B75ACA">
            <w:pPr>
              <w:pStyle w:val="TableTextCentered"/>
            </w:pPr>
            <w:r w:rsidRPr="006F6A9E">
              <w:t>$2,046</w:t>
            </w:r>
          </w:p>
        </w:tc>
      </w:tr>
      <w:tr w:rsidR="00B75ACA" w:rsidRPr="00CB0607" w14:paraId="54D7BFCE"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D945E29" w14:textId="77777777" w:rsidR="00B75ACA" w:rsidRPr="00CB0607" w:rsidRDefault="00B75ACA">
            <w:pPr>
              <w:pStyle w:val="TableText"/>
            </w:pPr>
            <w:r w:rsidRPr="00CB0607">
              <w:t>Total expenditures per in-district pupil</w:t>
            </w:r>
          </w:p>
        </w:tc>
        <w:tc>
          <w:tcPr>
            <w:tcW w:w="1366" w:type="dxa"/>
          </w:tcPr>
          <w:p w14:paraId="5FED1D8A" w14:textId="77777777" w:rsidR="00B75ACA" w:rsidRPr="00CB0607" w:rsidRDefault="00B75ACA">
            <w:pPr>
              <w:pStyle w:val="TableTextCentered"/>
            </w:pPr>
            <w:r w:rsidRPr="006A1B86">
              <w:t>$14,255</w:t>
            </w:r>
          </w:p>
        </w:tc>
        <w:tc>
          <w:tcPr>
            <w:tcW w:w="1366" w:type="dxa"/>
          </w:tcPr>
          <w:p w14:paraId="26931E63" w14:textId="77777777" w:rsidR="00B75ACA" w:rsidRPr="00CB0607" w:rsidRDefault="00B75ACA">
            <w:pPr>
              <w:pStyle w:val="TableTextCentered"/>
            </w:pPr>
            <w:r w:rsidRPr="003754F2">
              <w:t>$16,334</w:t>
            </w:r>
          </w:p>
        </w:tc>
        <w:tc>
          <w:tcPr>
            <w:tcW w:w="1366" w:type="dxa"/>
          </w:tcPr>
          <w:p w14:paraId="75017AFA" w14:textId="77777777" w:rsidR="00B75ACA" w:rsidRPr="00CB0607" w:rsidRDefault="00B75ACA">
            <w:pPr>
              <w:pStyle w:val="TableTextCentered"/>
            </w:pPr>
            <w:r w:rsidRPr="006F6A9E">
              <w:t>$18,625</w:t>
            </w:r>
          </w:p>
        </w:tc>
      </w:tr>
    </w:tbl>
    <w:p w14:paraId="73E62CC1" w14:textId="77777777" w:rsidR="00B75ACA" w:rsidRDefault="00B75ACA" w:rsidP="00B75ACA">
      <w:pPr>
        <w:pStyle w:val="TableNote"/>
        <w:spacing w:before="80"/>
        <w:rPr>
          <w:szCs w:val="20"/>
        </w:rPr>
      </w:pPr>
      <w:r w:rsidRPr="00CB0607">
        <w:rPr>
          <w:i/>
          <w:iCs/>
          <w:szCs w:val="20"/>
        </w:rPr>
        <w:t>Note</w:t>
      </w:r>
      <w:r w:rsidRPr="00CB0607">
        <w:rPr>
          <w:szCs w:val="20"/>
        </w:rPr>
        <w:t>. Any discrepancy between expenditures and total is because of rounding. Data are from</w:t>
      </w:r>
      <w:r w:rsidRPr="00CB0607">
        <w:rPr>
          <w:rStyle w:val="Hyperlink"/>
          <w:rFonts w:eastAsiaTheme="minorHAnsi"/>
        </w:rPr>
        <w:t xml:space="preserve"> </w:t>
      </w:r>
      <w:hyperlink r:id="rId102" w:history="1">
        <w:r w:rsidRPr="00CB0607">
          <w:rPr>
            <w:rStyle w:val="Hyperlink"/>
            <w:rFonts w:eastAsiaTheme="minorHAnsi"/>
          </w:rPr>
          <w:t>https://www.doe.mass.edu/finance/statistics/per-pupil-exp.xlsx</w:t>
        </w:r>
      </w:hyperlink>
      <w:r w:rsidRPr="00CB0607">
        <w:rPr>
          <w:szCs w:val="20"/>
        </w:rPr>
        <w:t>.</w:t>
      </w:r>
    </w:p>
    <w:p w14:paraId="571FD4FD" w14:textId="77777777" w:rsidR="00660BAC" w:rsidRPr="00CB0607" w:rsidRDefault="00660BAC" w:rsidP="00987BD7">
      <w:pPr>
        <w:pStyle w:val="TableTitle0"/>
        <w:sectPr w:rsidR="00660BAC" w:rsidRPr="00CB0607" w:rsidSect="00D67AD2">
          <w:pgSz w:w="12240" w:h="15840" w:code="1"/>
          <w:pgMar w:top="1440" w:right="1440" w:bottom="1440" w:left="1440" w:header="720" w:footer="720" w:gutter="0"/>
          <w:cols w:space="720"/>
          <w:docGrid w:linePitch="360"/>
        </w:sectPr>
      </w:pPr>
    </w:p>
    <w:p w14:paraId="0231F160" w14:textId="3A78D628" w:rsidR="00FF4847" w:rsidRPr="00CB0607" w:rsidRDefault="00FF4847" w:rsidP="00B75ACA">
      <w:pPr>
        <w:pStyle w:val="Heading2"/>
        <w:rPr>
          <w:rFonts w:asciiTheme="minorHAnsi" w:eastAsia="Calibri" w:hAnsiTheme="minorHAnsi" w:cs="Times New Roman"/>
        </w:rPr>
      </w:pPr>
      <w:bookmarkStart w:id="188" w:name="_Toc170157284"/>
      <w:bookmarkStart w:id="189" w:name="AppendixE"/>
      <w:bookmarkEnd w:id="186"/>
      <w:r w:rsidRPr="00CB0607">
        <w:lastRenderedPageBreak/>
        <w:t>Appendix E</w:t>
      </w:r>
      <w:r w:rsidR="00000007" w:rsidRPr="00CB0607">
        <w:t>.</w:t>
      </w:r>
      <w:r w:rsidRPr="00CB0607">
        <w:t xml:space="preserve"> Student </w:t>
      </w:r>
      <w:r w:rsidR="000A6E41" w:rsidRPr="00CB0607">
        <w:t xml:space="preserve">Performance </w:t>
      </w:r>
      <w:r w:rsidR="00FB7229">
        <w:t>Data</w:t>
      </w:r>
      <w:bookmarkEnd w:id="188"/>
    </w:p>
    <w:bookmarkEnd w:id="189"/>
    <w:p w14:paraId="103D225A" w14:textId="3CD4B4E4" w:rsidR="00B75ACA" w:rsidRDefault="00B75ACA" w:rsidP="009202EF">
      <w:pPr>
        <w:pStyle w:val="TableofFigures"/>
        <w:tabs>
          <w:tab w:val="right" w:leader="dot" w:pos="12950"/>
        </w:tabs>
        <w:spacing w:after="60"/>
        <w:rPr>
          <w:rFonts w:eastAsiaTheme="minorEastAsia"/>
          <w:noProof/>
          <w:kern w:val="2"/>
          <w14:ligatures w14:val="standardContextual"/>
        </w:rPr>
      </w:pPr>
      <w:r>
        <w:fldChar w:fldCharType="begin"/>
      </w:r>
      <w:r>
        <w:instrText xml:space="preserve"> TOC \h \z \t "Table Title" \c </w:instrText>
      </w:r>
      <w:r>
        <w:fldChar w:fldCharType="separate"/>
      </w:r>
      <w:hyperlink w:anchor="_Toc158035168" w:history="1">
        <w:r w:rsidRPr="001D330D">
          <w:rPr>
            <w:rStyle w:val="Hyperlink"/>
            <w:noProof/>
          </w:rPr>
          <w:t>Table E1. Next-Generation MCAS ELA Achievement by Student Group, Grades 3-8, 2022-2023</w:t>
        </w:r>
        <w:r>
          <w:rPr>
            <w:noProof/>
            <w:webHidden/>
          </w:rPr>
          <w:tab/>
        </w:r>
        <w:r w:rsidR="009202EF">
          <w:rPr>
            <w:noProof/>
            <w:webHidden/>
          </w:rPr>
          <w:t>E-</w:t>
        </w:r>
        <w:r>
          <w:rPr>
            <w:noProof/>
            <w:webHidden/>
          </w:rPr>
          <w:fldChar w:fldCharType="begin"/>
        </w:r>
        <w:r>
          <w:rPr>
            <w:noProof/>
            <w:webHidden/>
          </w:rPr>
          <w:instrText xml:space="preserve"> PAGEREF _Toc158035168 \h </w:instrText>
        </w:r>
        <w:r>
          <w:rPr>
            <w:noProof/>
            <w:webHidden/>
          </w:rPr>
        </w:r>
        <w:r>
          <w:rPr>
            <w:noProof/>
            <w:webHidden/>
          </w:rPr>
          <w:fldChar w:fldCharType="separate"/>
        </w:r>
        <w:r w:rsidR="00331B5B">
          <w:rPr>
            <w:noProof/>
            <w:webHidden/>
          </w:rPr>
          <w:t>2</w:t>
        </w:r>
        <w:r>
          <w:rPr>
            <w:noProof/>
            <w:webHidden/>
          </w:rPr>
          <w:fldChar w:fldCharType="end"/>
        </w:r>
      </w:hyperlink>
    </w:p>
    <w:p w14:paraId="145B8AB3" w14:textId="0F2B091D"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69" w:history="1">
        <w:r w:rsidR="00B75ACA" w:rsidRPr="001D330D">
          <w:rPr>
            <w:rStyle w:val="Hyperlink"/>
            <w:noProof/>
          </w:rPr>
          <w:t>Table E2. Next-Generation MCAS ELA Achievement by Student Group, Grade 10,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_Toc158035169 \h </w:instrText>
        </w:r>
        <w:r w:rsidR="00B75ACA">
          <w:rPr>
            <w:noProof/>
            <w:webHidden/>
          </w:rPr>
        </w:r>
        <w:r w:rsidR="00B75ACA">
          <w:rPr>
            <w:noProof/>
            <w:webHidden/>
          </w:rPr>
          <w:fldChar w:fldCharType="separate"/>
        </w:r>
        <w:r w:rsidR="00331B5B">
          <w:rPr>
            <w:noProof/>
            <w:webHidden/>
          </w:rPr>
          <w:t>2</w:t>
        </w:r>
        <w:r w:rsidR="00B75ACA">
          <w:rPr>
            <w:noProof/>
            <w:webHidden/>
          </w:rPr>
          <w:fldChar w:fldCharType="end"/>
        </w:r>
      </w:hyperlink>
    </w:p>
    <w:p w14:paraId="16E4AAC1" w14:textId="5E364918"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70" w:history="1">
        <w:r w:rsidR="00B75ACA" w:rsidRPr="001D330D">
          <w:rPr>
            <w:rStyle w:val="Hyperlink"/>
            <w:noProof/>
          </w:rPr>
          <w:t>Table E3. Next-Generation MCAS Mathematics Achievement by Student Group, Grades 3-8,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_Toc158035170 \h </w:instrText>
        </w:r>
        <w:r w:rsidR="00B75ACA">
          <w:rPr>
            <w:noProof/>
            <w:webHidden/>
          </w:rPr>
        </w:r>
        <w:r w:rsidR="00B75ACA">
          <w:rPr>
            <w:noProof/>
            <w:webHidden/>
          </w:rPr>
          <w:fldChar w:fldCharType="separate"/>
        </w:r>
        <w:r w:rsidR="00331B5B">
          <w:rPr>
            <w:noProof/>
            <w:webHidden/>
          </w:rPr>
          <w:t>3</w:t>
        </w:r>
        <w:r w:rsidR="00B75ACA">
          <w:rPr>
            <w:noProof/>
            <w:webHidden/>
          </w:rPr>
          <w:fldChar w:fldCharType="end"/>
        </w:r>
      </w:hyperlink>
    </w:p>
    <w:p w14:paraId="5D776AA7" w14:textId="691831B5"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71" w:history="1">
        <w:r w:rsidR="00B75ACA" w:rsidRPr="001D330D">
          <w:rPr>
            <w:rStyle w:val="Hyperlink"/>
            <w:noProof/>
          </w:rPr>
          <w:t>Table E4. Next-Generation MCAS Mathematics Achievement by Student Group, Grade 10,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_Toc158035171 \h </w:instrText>
        </w:r>
        <w:r w:rsidR="00B75ACA">
          <w:rPr>
            <w:noProof/>
            <w:webHidden/>
          </w:rPr>
        </w:r>
        <w:r w:rsidR="00B75ACA">
          <w:rPr>
            <w:noProof/>
            <w:webHidden/>
          </w:rPr>
          <w:fldChar w:fldCharType="separate"/>
        </w:r>
        <w:r w:rsidR="00331B5B">
          <w:rPr>
            <w:noProof/>
            <w:webHidden/>
          </w:rPr>
          <w:t>3</w:t>
        </w:r>
        <w:r w:rsidR="00B75ACA">
          <w:rPr>
            <w:noProof/>
            <w:webHidden/>
          </w:rPr>
          <w:fldChar w:fldCharType="end"/>
        </w:r>
      </w:hyperlink>
    </w:p>
    <w:p w14:paraId="49437FE1" w14:textId="585CF4C9"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72" w:history="1">
        <w:r w:rsidR="00B75ACA" w:rsidRPr="001D330D">
          <w:rPr>
            <w:rStyle w:val="Hyperlink"/>
            <w:noProof/>
          </w:rPr>
          <w:t>Table E5. Next-Generation MCAS Science Achievement by Student Group, Grades 5 and 8,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_Toc158035172 \h </w:instrText>
        </w:r>
        <w:r w:rsidR="00B75ACA">
          <w:rPr>
            <w:noProof/>
            <w:webHidden/>
          </w:rPr>
        </w:r>
        <w:r w:rsidR="00B75ACA">
          <w:rPr>
            <w:noProof/>
            <w:webHidden/>
          </w:rPr>
          <w:fldChar w:fldCharType="separate"/>
        </w:r>
        <w:r w:rsidR="00331B5B">
          <w:rPr>
            <w:noProof/>
            <w:webHidden/>
          </w:rPr>
          <w:t>4</w:t>
        </w:r>
        <w:r w:rsidR="00B75ACA">
          <w:rPr>
            <w:noProof/>
            <w:webHidden/>
          </w:rPr>
          <w:fldChar w:fldCharType="end"/>
        </w:r>
      </w:hyperlink>
    </w:p>
    <w:p w14:paraId="3D8DB434" w14:textId="676EB8F4"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73" w:history="1">
        <w:r w:rsidR="00B75ACA" w:rsidRPr="001D330D">
          <w:rPr>
            <w:rStyle w:val="Hyperlink"/>
            <w:noProof/>
          </w:rPr>
          <w:t>Table E6. Next-Generation MCAS Science Achievement by Student Group, Grade 10,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_Toc158035173 \h </w:instrText>
        </w:r>
        <w:r w:rsidR="00B75ACA">
          <w:rPr>
            <w:noProof/>
            <w:webHidden/>
          </w:rPr>
        </w:r>
        <w:r w:rsidR="00B75ACA">
          <w:rPr>
            <w:noProof/>
            <w:webHidden/>
          </w:rPr>
          <w:fldChar w:fldCharType="separate"/>
        </w:r>
        <w:r w:rsidR="00331B5B">
          <w:rPr>
            <w:noProof/>
            <w:webHidden/>
          </w:rPr>
          <w:t>4</w:t>
        </w:r>
        <w:r w:rsidR="00B75ACA">
          <w:rPr>
            <w:noProof/>
            <w:webHidden/>
          </w:rPr>
          <w:fldChar w:fldCharType="end"/>
        </w:r>
      </w:hyperlink>
    </w:p>
    <w:p w14:paraId="00470417" w14:textId="12131218"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74" w:history="1">
        <w:r w:rsidR="00B75ACA" w:rsidRPr="001D330D">
          <w:rPr>
            <w:rStyle w:val="Hyperlink"/>
            <w:noProof/>
          </w:rPr>
          <w:t xml:space="preserve">Table E7. </w:t>
        </w:r>
        <w:r w:rsidR="00B75ACA" w:rsidRPr="001D330D">
          <w:rPr>
            <w:rStyle w:val="Hyperlink"/>
            <w:noProof/>
            <w:spacing w:val="-4"/>
          </w:rPr>
          <w:t xml:space="preserve">Next-Generation MCAS ELA </w:t>
        </w:r>
        <w:r w:rsidR="00B75ACA" w:rsidRPr="001D330D">
          <w:rPr>
            <w:rStyle w:val="Hyperlink"/>
            <w:noProof/>
          </w:rPr>
          <w:t xml:space="preserve">Achievement by </w:t>
        </w:r>
        <w:r w:rsidR="00B75ACA" w:rsidRPr="001D330D">
          <w:rPr>
            <w:rStyle w:val="Hyperlink"/>
            <w:noProof/>
            <w:spacing w:val="-4"/>
          </w:rPr>
          <w:t>Grade,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_Toc158035174 \h </w:instrText>
        </w:r>
        <w:r w:rsidR="00B75ACA">
          <w:rPr>
            <w:noProof/>
            <w:webHidden/>
          </w:rPr>
        </w:r>
        <w:r w:rsidR="00B75ACA">
          <w:rPr>
            <w:noProof/>
            <w:webHidden/>
          </w:rPr>
          <w:fldChar w:fldCharType="separate"/>
        </w:r>
        <w:r w:rsidR="00331B5B">
          <w:rPr>
            <w:noProof/>
            <w:webHidden/>
          </w:rPr>
          <w:t>5</w:t>
        </w:r>
        <w:r w:rsidR="00B75ACA">
          <w:rPr>
            <w:noProof/>
            <w:webHidden/>
          </w:rPr>
          <w:fldChar w:fldCharType="end"/>
        </w:r>
      </w:hyperlink>
    </w:p>
    <w:p w14:paraId="3F7487A0" w14:textId="0D743A62"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75" w:history="1">
        <w:r w:rsidR="00B75ACA" w:rsidRPr="001D330D">
          <w:rPr>
            <w:rStyle w:val="Hyperlink"/>
            <w:noProof/>
          </w:rPr>
          <w:t xml:space="preserve">Table E8. </w:t>
        </w:r>
        <w:r w:rsidR="00B75ACA" w:rsidRPr="001D330D">
          <w:rPr>
            <w:rStyle w:val="Hyperlink"/>
            <w:noProof/>
            <w:spacing w:val="-4"/>
          </w:rPr>
          <w:t>Next-Generation MCAS Mathematics Achievement by Grade,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_Toc158035175 \h </w:instrText>
        </w:r>
        <w:r w:rsidR="00B75ACA">
          <w:rPr>
            <w:noProof/>
            <w:webHidden/>
          </w:rPr>
        </w:r>
        <w:r w:rsidR="00B75ACA">
          <w:rPr>
            <w:noProof/>
            <w:webHidden/>
          </w:rPr>
          <w:fldChar w:fldCharType="separate"/>
        </w:r>
        <w:r w:rsidR="00331B5B">
          <w:rPr>
            <w:noProof/>
            <w:webHidden/>
          </w:rPr>
          <w:t>5</w:t>
        </w:r>
        <w:r w:rsidR="00B75ACA">
          <w:rPr>
            <w:noProof/>
            <w:webHidden/>
          </w:rPr>
          <w:fldChar w:fldCharType="end"/>
        </w:r>
      </w:hyperlink>
    </w:p>
    <w:p w14:paraId="7483D17A" w14:textId="2C212269"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76" w:history="1">
        <w:r w:rsidR="00B75ACA" w:rsidRPr="001D330D">
          <w:rPr>
            <w:rStyle w:val="Hyperlink"/>
            <w:noProof/>
          </w:rPr>
          <w:t xml:space="preserve">Table E9. </w:t>
        </w:r>
        <w:r w:rsidR="00B75ACA" w:rsidRPr="001D330D">
          <w:rPr>
            <w:rStyle w:val="Hyperlink"/>
            <w:noProof/>
            <w:spacing w:val="-4"/>
          </w:rPr>
          <w:t>Next-Generation MCAS Science Achievement by Grade,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_Toc158035176 \h </w:instrText>
        </w:r>
        <w:r w:rsidR="00B75ACA">
          <w:rPr>
            <w:noProof/>
            <w:webHidden/>
          </w:rPr>
        </w:r>
        <w:r w:rsidR="00B75ACA">
          <w:rPr>
            <w:noProof/>
            <w:webHidden/>
          </w:rPr>
          <w:fldChar w:fldCharType="separate"/>
        </w:r>
        <w:r w:rsidR="00331B5B">
          <w:rPr>
            <w:noProof/>
            <w:webHidden/>
          </w:rPr>
          <w:t>5</w:t>
        </w:r>
        <w:r w:rsidR="00B75ACA">
          <w:rPr>
            <w:noProof/>
            <w:webHidden/>
          </w:rPr>
          <w:fldChar w:fldCharType="end"/>
        </w:r>
      </w:hyperlink>
    </w:p>
    <w:p w14:paraId="00082112" w14:textId="2C5A8D86"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77" w:history="1">
        <w:r w:rsidR="00B75ACA" w:rsidRPr="001D330D">
          <w:rPr>
            <w:rStyle w:val="Hyperlink"/>
            <w:noProof/>
          </w:rPr>
          <w:t>Table E10. Next-Generation MCAS ELA Mean Student Growth Percentile by Student Group, Grades 3-8,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_Toc158035177 \h </w:instrText>
        </w:r>
        <w:r w:rsidR="00B75ACA">
          <w:rPr>
            <w:noProof/>
            <w:webHidden/>
          </w:rPr>
        </w:r>
        <w:r w:rsidR="00B75ACA">
          <w:rPr>
            <w:noProof/>
            <w:webHidden/>
          </w:rPr>
          <w:fldChar w:fldCharType="separate"/>
        </w:r>
        <w:r w:rsidR="00331B5B">
          <w:rPr>
            <w:noProof/>
            <w:webHidden/>
          </w:rPr>
          <w:t>6</w:t>
        </w:r>
        <w:r w:rsidR="00B75ACA">
          <w:rPr>
            <w:noProof/>
            <w:webHidden/>
          </w:rPr>
          <w:fldChar w:fldCharType="end"/>
        </w:r>
      </w:hyperlink>
    </w:p>
    <w:p w14:paraId="52E96ACE" w14:textId="361EF336"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78" w:history="1">
        <w:r w:rsidR="00B75ACA" w:rsidRPr="001D330D">
          <w:rPr>
            <w:rStyle w:val="Hyperlink"/>
            <w:noProof/>
          </w:rPr>
          <w:t>Table E11. Next-Generation MCAS ELA Mean Student Growth Percentile by Student Group, Grade 10,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_Toc158035178 \h </w:instrText>
        </w:r>
        <w:r w:rsidR="00B75ACA">
          <w:rPr>
            <w:noProof/>
            <w:webHidden/>
          </w:rPr>
        </w:r>
        <w:r w:rsidR="00B75ACA">
          <w:rPr>
            <w:noProof/>
            <w:webHidden/>
          </w:rPr>
          <w:fldChar w:fldCharType="separate"/>
        </w:r>
        <w:r w:rsidR="00331B5B">
          <w:rPr>
            <w:noProof/>
            <w:webHidden/>
          </w:rPr>
          <w:t>6</w:t>
        </w:r>
        <w:r w:rsidR="00B75ACA">
          <w:rPr>
            <w:noProof/>
            <w:webHidden/>
          </w:rPr>
          <w:fldChar w:fldCharType="end"/>
        </w:r>
      </w:hyperlink>
    </w:p>
    <w:p w14:paraId="5FB354AD" w14:textId="2EBB7A24"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79" w:history="1">
        <w:r w:rsidR="00B75ACA" w:rsidRPr="001D330D">
          <w:rPr>
            <w:rStyle w:val="Hyperlink"/>
            <w:noProof/>
          </w:rPr>
          <w:t>Table E12. Next-Generation MCAS Mathematics Mean Student Growth Percentile by Student Group, Grades 3-8,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_Toc158035179 \h </w:instrText>
        </w:r>
        <w:r w:rsidR="00B75ACA">
          <w:rPr>
            <w:noProof/>
            <w:webHidden/>
          </w:rPr>
        </w:r>
        <w:r w:rsidR="00B75ACA">
          <w:rPr>
            <w:noProof/>
            <w:webHidden/>
          </w:rPr>
          <w:fldChar w:fldCharType="separate"/>
        </w:r>
        <w:r w:rsidR="00331B5B">
          <w:rPr>
            <w:noProof/>
            <w:webHidden/>
          </w:rPr>
          <w:t>7</w:t>
        </w:r>
        <w:r w:rsidR="00B75ACA">
          <w:rPr>
            <w:noProof/>
            <w:webHidden/>
          </w:rPr>
          <w:fldChar w:fldCharType="end"/>
        </w:r>
      </w:hyperlink>
    </w:p>
    <w:p w14:paraId="7DC45147" w14:textId="4194EF3B"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80" w:history="1">
        <w:r w:rsidR="00B75ACA" w:rsidRPr="001D330D">
          <w:rPr>
            <w:rStyle w:val="Hyperlink"/>
            <w:noProof/>
          </w:rPr>
          <w:t>Table E13. Next-Generation MCAS Mathematics Mean Student Growth Percentile by Student Group, Grade 10,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_Toc158035180 \h </w:instrText>
        </w:r>
        <w:r w:rsidR="00B75ACA">
          <w:rPr>
            <w:noProof/>
            <w:webHidden/>
          </w:rPr>
        </w:r>
        <w:r w:rsidR="00B75ACA">
          <w:rPr>
            <w:noProof/>
            <w:webHidden/>
          </w:rPr>
          <w:fldChar w:fldCharType="separate"/>
        </w:r>
        <w:r w:rsidR="00331B5B">
          <w:rPr>
            <w:noProof/>
            <w:webHidden/>
          </w:rPr>
          <w:t>7</w:t>
        </w:r>
        <w:r w:rsidR="00B75ACA">
          <w:rPr>
            <w:noProof/>
            <w:webHidden/>
          </w:rPr>
          <w:fldChar w:fldCharType="end"/>
        </w:r>
      </w:hyperlink>
    </w:p>
    <w:p w14:paraId="6F6F083A" w14:textId="6D9E633A"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81" w:history="1">
        <w:r w:rsidR="00B75ACA" w:rsidRPr="001D330D">
          <w:rPr>
            <w:rStyle w:val="Hyperlink"/>
            <w:noProof/>
          </w:rPr>
          <w:t>Table E14. Next-Generation MCAS ELA Mean Student Growth Percentile by Grade,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_Toc158035181 \h </w:instrText>
        </w:r>
        <w:r w:rsidR="00B75ACA">
          <w:rPr>
            <w:noProof/>
            <w:webHidden/>
          </w:rPr>
        </w:r>
        <w:r w:rsidR="00B75ACA">
          <w:rPr>
            <w:noProof/>
            <w:webHidden/>
          </w:rPr>
          <w:fldChar w:fldCharType="separate"/>
        </w:r>
        <w:r w:rsidR="00331B5B">
          <w:rPr>
            <w:noProof/>
            <w:webHidden/>
          </w:rPr>
          <w:t>8</w:t>
        </w:r>
        <w:r w:rsidR="00B75ACA">
          <w:rPr>
            <w:noProof/>
            <w:webHidden/>
          </w:rPr>
          <w:fldChar w:fldCharType="end"/>
        </w:r>
      </w:hyperlink>
    </w:p>
    <w:p w14:paraId="119B8798" w14:textId="083E30C5"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82" w:history="1">
        <w:r w:rsidR="00B75ACA" w:rsidRPr="001D330D">
          <w:rPr>
            <w:rStyle w:val="Hyperlink"/>
            <w:noProof/>
          </w:rPr>
          <w:t>Table E15. Next-Generation MCAS Mathematics Mean Student Growth Percentile by Grade, 2022-2023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_Toc158035182 \h </w:instrText>
        </w:r>
        <w:r w:rsidR="00B75ACA">
          <w:rPr>
            <w:noProof/>
            <w:webHidden/>
          </w:rPr>
        </w:r>
        <w:r w:rsidR="00B75ACA">
          <w:rPr>
            <w:noProof/>
            <w:webHidden/>
          </w:rPr>
          <w:fldChar w:fldCharType="separate"/>
        </w:r>
        <w:r w:rsidR="00331B5B">
          <w:rPr>
            <w:noProof/>
            <w:webHidden/>
          </w:rPr>
          <w:t>8</w:t>
        </w:r>
        <w:r w:rsidR="00B75ACA">
          <w:rPr>
            <w:noProof/>
            <w:webHidden/>
          </w:rPr>
          <w:fldChar w:fldCharType="end"/>
        </w:r>
      </w:hyperlink>
    </w:p>
    <w:p w14:paraId="16AD82B3" w14:textId="6E8C6EC5"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83" w:history="1">
        <w:r w:rsidR="00B75ACA" w:rsidRPr="001D330D">
          <w:rPr>
            <w:rStyle w:val="Hyperlink"/>
            <w:noProof/>
          </w:rPr>
          <w:t xml:space="preserve">Table E16. </w:t>
        </w:r>
        <w:r w:rsidR="00B75ACA" w:rsidRPr="001D330D">
          <w:rPr>
            <w:rStyle w:val="Hyperlink"/>
            <w:noProof/>
            <w:spacing w:val="-4"/>
          </w:rPr>
          <w:t>Four-Year Cohort Graduation Rates by Student Group, 2020-2022</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_Toc158035183 \h </w:instrText>
        </w:r>
        <w:r w:rsidR="00B75ACA">
          <w:rPr>
            <w:noProof/>
            <w:webHidden/>
          </w:rPr>
        </w:r>
        <w:r w:rsidR="00B75ACA">
          <w:rPr>
            <w:noProof/>
            <w:webHidden/>
          </w:rPr>
          <w:fldChar w:fldCharType="separate"/>
        </w:r>
        <w:r w:rsidR="00331B5B">
          <w:rPr>
            <w:noProof/>
            <w:webHidden/>
          </w:rPr>
          <w:t>8</w:t>
        </w:r>
        <w:r w:rsidR="00B75ACA">
          <w:rPr>
            <w:noProof/>
            <w:webHidden/>
          </w:rPr>
          <w:fldChar w:fldCharType="end"/>
        </w:r>
      </w:hyperlink>
    </w:p>
    <w:p w14:paraId="197BD483" w14:textId="54FB4480"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84" w:history="1">
        <w:r w:rsidR="00B75ACA" w:rsidRPr="001D330D">
          <w:rPr>
            <w:rStyle w:val="Hyperlink"/>
            <w:noProof/>
          </w:rPr>
          <w:t xml:space="preserve">Table E17. </w:t>
        </w:r>
        <w:r w:rsidR="00B75ACA" w:rsidRPr="001D330D">
          <w:rPr>
            <w:rStyle w:val="Hyperlink"/>
            <w:noProof/>
            <w:spacing w:val="-4"/>
          </w:rPr>
          <w:t>Five-Year Cohort Graduation Rates by Student Group, 2019-2021</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_Toc158035184 \h </w:instrText>
        </w:r>
        <w:r w:rsidR="00B75ACA">
          <w:rPr>
            <w:noProof/>
            <w:webHidden/>
          </w:rPr>
        </w:r>
        <w:r w:rsidR="00B75ACA">
          <w:rPr>
            <w:noProof/>
            <w:webHidden/>
          </w:rPr>
          <w:fldChar w:fldCharType="separate"/>
        </w:r>
        <w:r w:rsidR="00331B5B">
          <w:rPr>
            <w:noProof/>
            <w:webHidden/>
          </w:rPr>
          <w:t>9</w:t>
        </w:r>
        <w:r w:rsidR="00B75ACA">
          <w:rPr>
            <w:noProof/>
            <w:webHidden/>
          </w:rPr>
          <w:fldChar w:fldCharType="end"/>
        </w:r>
      </w:hyperlink>
    </w:p>
    <w:p w14:paraId="3E946401" w14:textId="313D5B2E"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85" w:history="1">
        <w:r w:rsidR="00B75ACA" w:rsidRPr="001D330D">
          <w:rPr>
            <w:rStyle w:val="Hyperlink"/>
            <w:noProof/>
          </w:rPr>
          <w:t>Table E18. Annual Dropout Rates by Student Group, 2020-2022</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_Toc158035185 \h </w:instrText>
        </w:r>
        <w:r w:rsidR="00B75ACA">
          <w:rPr>
            <w:noProof/>
            <w:webHidden/>
          </w:rPr>
        </w:r>
        <w:r w:rsidR="00B75ACA">
          <w:rPr>
            <w:noProof/>
            <w:webHidden/>
          </w:rPr>
          <w:fldChar w:fldCharType="separate"/>
        </w:r>
        <w:r w:rsidR="00331B5B">
          <w:rPr>
            <w:noProof/>
            <w:webHidden/>
          </w:rPr>
          <w:t>9</w:t>
        </w:r>
        <w:r w:rsidR="00B75ACA">
          <w:rPr>
            <w:noProof/>
            <w:webHidden/>
          </w:rPr>
          <w:fldChar w:fldCharType="end"/>
        </w:r>
      </w:hyperlink>
    </w:p>
    <w:p w14:paraId="5DCD5FF7" w14:textId="362BB672"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86" w:history="1">
        <w:r w:rsidR="00B75ACA" w:rsidRPr="001D330D">
          <w:rPr>
            <w:rStyle w:val="Hyperlink"/>
            <w:noProof/>
          </w:rPr>
          <w:t>Table E19. In-School Suspension Rates by Student Group, 2021-2023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_Toc158035186 \h </w:instrText>
        </w:r>
        <w:r w:rsidR="00B75ACA">
          <w:rPr>
            <w:noProof/>
            <w:webHidden/>
          </w:rPr>
        </w:r>
        <w:r w:rsidR="00B75ACA">
          <w:rPr>
            <w:noProof/>
            <w:webHidden/>
          </w:rPr>
          <w:fldChar w:fldCharType="separate"/>
        </w:r>
        <w:r w:rsidR="00331B5B">
          <w:rPr>
            <w:noProof/>
            <w:webHidden/>
          </w:rPr>
          <w:t>10</w:t>
        </w:r>
        <w:r w:rsidR="00B75ACA">
          <w:rPr>
            <w:noProof/>
            <w:webHidden/>
          </w:rPr>
          <w:fldChar w:fldCharType="end"/>
        </w:r>
      </w:hyperlink>
    </w:p>
    <w:p w14:paraId="2AE76C43" w14:textId="7A4654A4"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87" w:history="1">
        <w:r w:rsidR="00B75ACA" w:rsidRPr="001D330D">
          <w:rPr>
            <w:rStyle w:val="Hyperlink"/>
            <w:noProof/>
          </w:rPr>
          <w:t>Table E20. Out-of-School Suspension Rates by Student Group, 2021-2023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_Toc158035187 \h </w:instrText>
        </w:r>
        <w:r w:rsidR="00B75ACA">
          <w:rPr>
            <w:noProof/>
            <w:webHidden/>
          </w:rPr>
        </w:r>
        <w:r w:rsidR="00B75ACA">
          <w:rPr>
            <w:noProof/>
            <w:webHidden/>
          </w:rPr>
          <w:fldChar w:fldCharType="separate"/>
        </w:r>
        <w:r w:rsidR="00331B5B">
          <w:rPr>
            <w:noProof/>
            <w:webHidden/>
          </w:rPr>
          <w:t>10</w:t>
        </w:r>
        <w:r w:rsidR="00B75ACA">
          <w:rPr>
            <w:noProof/>
            <w:webHidden/>
          </w:rPr>
          <w:fldChar w:fldCharType="end"/>
        </w:r>
      </w:hyperlink>
    </w:p>
    <w:p w14:paraId="0B30FE8A" w14:textId="23EAD053"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88" w:history="1">
        <w:r w:rsidR="00B75ACA" w:rsidRPr="001D330D">
          <w:rPr>
            <w:rStyle w:val="Hyperlink"/>
            <w:noProof/>
          </w:rPr>
          <w:t>Table E21. Advanced Coursework Completion Rates by Student Group, 2021-2023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_Toc158035188 \h </w:instrText>
        </w:r>
        <w:r w:rsidR="00B75ACA">
          <w:rPr>
            <w:noProof/>
            <w:webHidden/>
          </w:rPr>
        </w:r>
        <w:r w:rsidR="00B75ACA">
          <w:rPr>
            <w:noProof/>
            <w:webHidden/>
          </w:rPr>
          <w:fldChar w:fldCharType="separate"/>
        </w:r>
        <w:r w:rsidR="00331B5B">
          <w:rPr>
            <w:noProof/>
            <w:webHidden/>
          </w:rPr>
          <w:t>11</w:t>
        </w:r>
        <w:r w:rsidR="00B75ACA">
          <w:rPr>
            <w:noProof/>
            <w:webHidden/>
          </w:rPr>
          <w:fldChar w:fldCharType="end"/>
        </w:r>
      </w:hyperlink>
    </w:p>
    <w:p w14:paraId="71A1B073" w14:textId="6E183124" w:rsidR="00B75ACA" w:rsidRDefault="00000000" w:rsidP="009202EF">
      <w:pPr>
        <w:pStyle w:val="TableofFigures"/>
        <w:tabs>
          <w:tab w:val="right" w:leader="dot" w:pos="12950"/>
        </w:tabs>
        <w:spacing w:after="60"/>
        <w:rPr>
          <w:rFonts w:eastAsiaTheme="minorEastAsia"/>
          <w:noProof/>
          <w:kern w:val="2"/>
          <w14:ligatures w14:val="standardContextual"/>
        </w:rPr>
      </w:pPr>
      <w:hyperlink w:anchor="_Toc158035189" w:history="1">
        <w:r w:rsidR="00B75ACA" w:rsidRPr="001D330D">
          <w:rPr>
            <w:rStyle w:val="Hyperlink"/>
            <w:noProof/>
          </w:rPr>
          <w:t>Table E22. Accountability Percentile and Classification, 2023</w:t>
        </w:r>
        <w:r w:rsidR="00B75ACA">
          <w:rPr>
            <w:noProof/>
            <w:webHidden/>
          </w:rPr>
          <w:tab/>
        </w:r>
        <w:r w:rsidR="009202EF">
          <w:rPr>
            <w:noProof/>
            <w:webHidden/>
          </w:rPr>
          <w:t>E-</w:t>
        </w:r>
        <w:r w:rsidR="00B75ACA">
          <w:rPr>
            <w:noProof/>
            <w:webHidden/>
          </w:rPr>
          <w:fldChar w:fldCharType="begin"/>
        </w:r>
        <w:r w:rsidR="00B75ACA">
          <w:rPr>
            <w:noProof/>
            <w:webHidden/>
          </w:rPr>
          <w:instrText xml:space="preserve"> PAGEREF _Toc158035189 \h </w:instrText>
        </w:r>
        <w:r w:rsidR="00B75ACA">
          <w:rPr>
            <w:noProof/>
            <w:webHidden/>
          </w:rPr>
        </w:r>
        <w:r w:rsidR="00B75ACA">
          <w:rPr>
            <w:noProof/>
            <w:webHidden/>
          </w:rPr>
          <w:fldChar w:fldCharType="separate"/>
        </w:r>
        <w:r w:rsidR="00331B5B">
          <w:rPr>
            <w:noProof/>
            <w:webHidden/>
          </w:rPr>
          <w:t>11</w:t>
        </w:r>
        <w:r w:rsidR="00B75ACA">
          <w:rPr>
            <w:noProof/>
            <w:webHidden/>
          </w:rPr>
          <w:fldChar w:fldCharType="end"/>
        </w:r>
      </w:hyperlink>
    </w:p>
    <w:p w14:paraId="62FB0E15" w14:textId="77777777" w:rsidR="00B75ACA" w:rsidRDefault="00B75ACA" w:rsidP="009202EF">
      <w:pPr>
        <w:spacing w:after="60" w:line="259" w:lineRule="auto"/>
        <w:rPr>
          <w:rFonts w:ascii="Franklin Gothic Demi" w:hAnsi="Franklin Gothic Demi"/>
        </w:rPr>
      </w:pPr>
      <w:r>
        <w:fldChar w:fldCharType="end"/>
      </w:r>
      <w:r>
        <w:br w:type="page"/>
      </w:r>
    </w:p>
    <w:p w14:paraId="54582175" w14:textId="77777777" w:rsidR="00B75ACA" w:rsidRPr="003979D4" w:rsidRDefault="00B75ACA" w:rsidP="00B75ACA">
      <w:pPr>
        <w:pStyle w:val="TableTitle0"/>
      </w:pPr>
      <w:bookmarkStart w:id="190" w:name="_Toc158035168"/>
      <w:r w:rsidRPr="003979D4">
        <w:lastRenderedPageBreak/>
        <w:t>Table E1. Next-Generation MCAS ELA Achievement by Student Group, Grades 3-8, 202</w:t>
      </w:r>
      <w:r>
        <w:t>2</w:t>
      </w:r>
      <w:r w:rsidRPr="003979D4">
        <w:t>-2023</w:t>
      </w:r>
      <w:bookmarkEnd w:id="190"/>
      <w:r w:rsidRPr="003979D4">
        <w:t xml:space="preserve"> </w:t>
      </w:r>
    </w:p>
    <w:tbl>
      <w:tblPr>
        <w:tblStyle w:val="MSVTable1"/>
        <w:tblW w:w="5000" w:type="pct"/>
        <w:tblLook w:val="0420" w:firstRow="1" w:lastRow="0" w:firstColumn="0" w:lastColumn="0" w:noHBand="0" w:noVBand="1"/>
      </w:tblPr>
      <w:tblGrid>
        <w:gridCol w:w="2839"/>
        <w:gridCol w:w="1064"/>
        <w:gridCol w:w="859"/>
        <w:gridCol w:w="867"/>
        <w:gridCol w:w="1168"/>
        <w:gridCol w:w="865"/>
        <w:gridCol w:w="865"/>
        <w:gridCol w:w="1276"/>
        <w:gridCol w:w="865"/>
        <w:gridCol w:w="865"/>
        <w:gridCol w:w="1411"/>
      </w:tblGrid>
      <w:tr w:rsidR="003D3CA7" w:rsidRPr="003979D4" w14:paraId="2E2EB9AE" w14:textId="77777777" w:rsidTr="003D3CA7">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54085993" w14:textId="77777777" w:rsidR="00B75ACA" w:rsidRPr="00EA0A36" w:rsidRDefault="00B75ACA" w:rsidP="003D3CA7">
            <w:pPr>
              <w:pStyle w:val="TableColHeadingLeft"/>
              <w:spacing w:before="10" w:after="10"/>
              <w:jc w:val="center"/>
            </w:pPr>
            <w:r w:rsidRPr="00EA0A36">
              <w:t>Group</w:t>
            </w:r>
          </w:p>
        </w:tc>
        <w:tc>
          <w:tcPr>
            <w:tcW w:w="411" w:type="pct"/>
            <w:vMerge w:val="restart"/>
            <w:vAlign w:val="center"/>
          </w:tcPr>
          <w:p w14:paraId="5F612E99" w14:textId="38F7CB3F" w:rsidR="00B75ACA" w:rsidRPr="00EA0A36" w:rsidRDefault="00B75ACA" w:rsidP="003D3CA7">
            <w:pPr>
              <w:pStyle w:val="TableColHeadingCenter"/>
              <w:spacing w:before="10" w:after="10"/>
            </w:pPr>
            <w:r>
              <w:t xml:space="preserve"># </w:t>
            </w:r>
            <w:r w:rsidR="008E5BF5">
              <w:t>i</w:t>
            </w:r>
            <w:r>
              <w:t>ncluded</w:t>
            </w:r>
            <w:r w:rsidRPr="00EA0A36">
              <w:t xml:space="preserve"> (2023)</w:t>
            </w:r>
          </w:p>
        </w:tc>
        <w:tc>
          <w:tcPr>
            <w:tcW w:w="1118" w:type="pct"/>
            <w:gridSpan w:val="3"/>
            <w:vAlign w:val="bottom"/>
          </w:tcPr>
          <w:p w14:paraId="2E458763" w14:textId="687B7995" w:rsidR="00B75ACA" w:rsidRPr="00EA0A36" w:rsidRDefault="00B75ACA" w:rsidP="003D3CA7">
            <w:pPr>
              <w:pStyle w:val="TableColHeadingCenter"/>
              <w:spacing w:before="10" w:after="10"/>
            </w:pPr>
            <w:r>
              <w:t>Percent</w:t>
            </w:r>
            <w:r w:rsidR="008E5BF5">
              <w:t>age</w:t>
            </w:r>
            <w:r>
              <w:t xml:space="preserve"> meeting or exceeding expectations</w:t>
            </w:r>
          </w:p>
        </w:tc>
        <w:tc>
          <w:tcPr>
            <w:tcW w:w="1160" w:type="pct"/>
            <w:gridSpan w:val="3"/>
            <w:vAlign w:val="center"/>
          </w:tcPr>
          <w:p w14:paraId="3C67B8B5" w14:textId="359CF568" w:rsidR="00B75ACA" w:rsidRPr="00EA0A36" w:rsidRDefault="00B75ACA" w:rsidP="003D3CA7">
            <w:pPr>
              <w:pStyle w:val="TableColHeadingCenter"/>
              <w:spacing w:before="10" w:after="10"/>
            </w:pPr>
            <w:r>
              <w:t>Percent</w:t>
            </w:r>
            <w:r w:rsidR="008E5BF5">
              <w:t>age</w:t>
            </w:r>
            <w:r>
              <w:t xml:space="preserve"> partially meeting expectations</w:t>
            </w:r>
          </w:p>
        </w:tc>
        <w:tc>
          <w:tcPr>
            <w:tcW w:w="1214" w:type="pct"/>
            <w:gridSpan w:val="3"/>
            <w:vAlign w:val="center"/>
          </w:tcPr>
          <w:p w14:paraId="7225C620" w14:textId="3BF86AA8" w:rsidR="00B75ACA" w:rsidRDefault="00B75ACA" w:rsidP="003D3CA7">
            <w:pPr>
              <w:pStyle w:val="TableColHeadingCenter"/>
              <w:spacing w:before="10" w:after="10"/>
            </w:pPr>
            <w:r>
              <w:t>Percent</w:t>
            </w:r>
            <w:r w:rsidR="008E5BF5">
              <w:t>age</w:t>
            </w:r>
            <w:r>
              <w:t xml:space="preserve"> not meeting expectations</w:t>
            </w:r>
          </w:p>
        </w:tc>
      </w:tr>
      <w:tr w:rsidR="003D3CA7" w:rsidRPr="003979D4" w14:paraId="47C9DA52" w14:textId="77777777" w:rsidTr="003D3CA7">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51960C05" w14:textId="77777777" w:rsidR="00B75ACA" w:rsidRPr="00EA0A36" w:rsidRDefault="00B75ACA" w:rsidP="003D3CA7">
            <w:pPr>
              <w:pStyle w:val="TableColHeadingCenter"/>
              <w:spacing w:before="10" w:after="10"/>
            </w:pPr>
          </w:p>
        </w:tc>
        <w:tc>
          <w:tcPr>
            <w:tcW w:w="411" w:type="pct"/>
            <w:vMerge/>
            <w:vAlign w:val="bottom"/>
          </w:tcPr>
          <w:p w14:paraId="0458046C" w14:textId="77777777" w:rsidR="00B75ACA" w:rsidRPr="00EA0A36" w:rsidRDefault="00B75ACA" w:rsidP="003D3CA7">
            <w:pPr>
              <w:pStyle w:val="TableColHeadingCenter"/>
              <w:spacing w:before="10" w:after="10"/>
            </w:pPr>
          </w:p>
        </w:tc>
        <w:tc>
          <w:tcPr>
            <w:tcW w:w="332" w:type="pct"/>
            <w:tcMar>
              <w:left w:w="14" w:type="dxa"/>
              <w:right w:w="14" w:type="dxa"/>
            </w:tcMar>
            <w:vAlign w:val="center"/>
          </w:tcPr>
          <w:p w14:paraId="3FAE463A" w14:textId="77777777" w:rsidR="00B75ACA" w:rsidRPr="00EA0A36" w:rsidRDefault="00B75ACA" w:rsidP="003D3CA7">
            <w:pPr>
              <w:pStyle w:val="TableColHeadingCenter"/>
              <w:spacing w:before="10" w:after="10"/>
            </w:pPr>
            <w:r w:rsidRPr="00EA0A36">
              <w:t>2022</w:t>
            </w:r>
          </w:p>
        </w:tc>
        <w:tc>
          <w:tcPr>
            <w:tcW w:w="335" w:type="pct"/>
            <w:tcMar>
              <w:left w:w="14" w:type="dxa"/>
              <w:right w:w="14" w:type="dxa"/>
            </w:tcMar>
            <w:vAlign w:val="center"/>
          </w:tcPr>
          <w:p w14:paraId="1BC8F23E" w14:textId="77777777" w:rsidR="00B75ACA" w:rsidRPr="00EA0A36" w:rsidRDefault="00B75ACA" w:rsidP="003D3CA7">
            <w:pPr>
              <w:pStyle w:val="TableColHeadingCenter"/>
              <w:spacing w:before="10" w:after="10"/>
            </w:pPr>
            <w:r w:rsidRPr="00EA0A36">
              <w:t>2023</w:t>
            </w:r>
          </w:p>
        </w:tc>
        <w:tc>
          <w:tcPr>
            <w:tcW w:w="451" w:type="pct"/>
            <w:tcMar>
              <w:left w:w="14" w:type="dxa"/>
              <w:right w:w="14" w:type="dxa"/>
            </w:tcMar>
            <w:vAlign w:val="center"/>
          </w:tcPr>
          <w:p w14:paraId="0701FFD5" w14:textId="77777777" w:rsidR="00B75ACA" w:rsidRPr="00EA0A36" w:rsidRDefault="00B75ACA" w:rsidP="003D3CA7">
            <w:pPr>
              <w:pStyle w:val="TableColHeadingCenter"/>
              <w:spacing w:before="10" w:after="10"/>
            </w:pPr>
            <w:r w:rsidRPr="00EA0A36">
              <w:t>State (2023)</w:t>
            </w:r>
          </w:p>
        </w:tc>
        <w:tc>
          <w:tcPr>
            <w:tcW w:w="334" w:type="pct"/>
            <w:tcMar>
              <w:left w:w="14" w:type="dxa"/>
              <w:right w:w="14" w:type="dxa"/>
            </w:tcMar>
            <w:vAlign w:val="center"/>
          </w:tcPr>
          <w:p w14:paraId="72C0308B" w14:textId="77777777" w:rsidR="00B75ACA" w:rsidRPr="00EA0A36" w:rsidRDefault="00B75ACA" w:rsidP="003D3CA7">
            <w:pPr>
              <w:pStyle w:val="TableColHeadingCenter"/>
              <w:spacing w:before="10" w:after="10"/>
            </w:pPr>
            <w:r w:rsidRPr="00EA0A36">
              <w:t>2022</w:t>
            </w:r>
          </w:p>
        </w:tc>
        <w:tc>
          <w:tcPr>
            <w:tcW w:w="334" w:type="pct"/>
            <w:tcMar>
              <w:left w:w="14" w:type="dxa"/>
              <w:right w:w="14" w:type="dxa"/>
            </w:tcMar>
            <w:vAlign w:val="center"/>
          </w:tcPr>
          <w:p w14:paraId="52133E1B" w14:textId="77777777" w:rsidR="00B75ACA" w:rsidRPr="00EA0A36" w:rsidRDefault="00B75ACA" w:rsidP="003D3CA7">
            <w:pPr>
              <w:pStyle w:val="TableColHeadingCenter"/>
              <w:spacing w:before="10" w:after="10"/>
            </w:pPr>
            <w:r w:rsidRPr="00EA0A36">
              <w:t>2023</w:t>
            </w:r>
          </w:p>
        </w:tc>
        <w:tc>
          <w:tcPr>
            <w:tcW w:w="493" w:type="pct"/>
            <w:tcMar>
              <w:left w:w="14" w:type="dxa"/>
              <w:right w:w="14" w:type="dxa"/>
            </w:tcMar>
            <w:vAlign w:val="center"/>
          </w:tcPr>
          <w:p w14:paraId="47426428" w14:textId="77777777" w:rsidR="00B75ACA" w:rsidRPr="00EA0A36" w:rsidRDefault="00B75ACA" w:rsidP="003D3CA7">
            <w:pPr>
              <w:pStyle w:val="TableColHeadingCenter"/>
              <w:spacing w:before="10" w:after="10"/>
            </w:pPr>
            <w:r w:rsidRPr="00EA0A36">
              <w:t>State (2023)</w:t>
            </w:r>
          </w:p>
        </w:tc>
        <w:tc>
          <w:tcPr>
            <w:tcW w:w="334" w:type="pct"/>
            <w:tcMar>
              <w:left w:w="14" w:type="dxa"/>
              <w:right w:w="14" w:type="dxa"/>
            </w:tcMar>
            <w:vAlign w:val="center"/>
          </w:tcPr>
          <w:p w14:paraId="59091DE8" w14:textId="77777777" w:rsidR="00B75ACA" w:rsidRPr="00EA0A36" w:rsidRDefault="00B75ACA" w:rsidP="003D3CA7">
            <w:pPr>
              <w:pStyle w:val="TableColHeadingCenter"/>
              <w:spacing w:before="10" w:after="10"/>
            </w:pPr>
            <w:r w:rsidRPr="00EA0A36">
              <w:t>2022</w:t>
            </w:r>
          </w:p>
        </w:tc>
        <w:tc>
          <w:tcPr>
            <w:tcW w:w="334" w:type="pct"/>
            <w:tcMar>
              <w:left w:w="14" w:type="dxa"/>
              <w:right w:w="14" w:type="dxa"/>
            </w:tcMar>
            <w:vAlign w:val="center"/>
          </w:tcPr>
          <w:p w14:paraId="4DCD4325" w14:textId="77777777" w:rsidR="00B75ACA" w:rsidRPr="00EA0A36" w:rsidRDefault="00B75ACA" w:rsidP="003D3CA7">
            <w:pPr>
              <w:pStyle w:val="TableColHeadingCenter"/>
              <w:spacing w:before="10" w:after="10"/>
            </w:pPr>
            <w:r w:rsidRPr="00EA0A36">
              <w:t>2023</w:t>
            </w:r>
          </w:p>
        </w:tc>
        <w:tc>
          <w:tcPr>
            <w:tcW w:w="547" w:type="pct"/>
            <w:tcMar>
              <w:left w:w="14" w:type="dxa"/>
              <w:right w:w="14" w:type="dxa"/>
            </w:tcMar>
            <w:vAlign w:val="center"/>
          </w:tcPr>
          <w:p w14:paraId="5695B191" w14:textId="77777777" w:rsidR="00B75ACA" w:rsidRPr="00EA0A36" w:rsidRDefault="00B75ACA" w:rsidP="003D3CA7">
            <w:pPr>
              <w:pStyle w:val="TableColHeadingCenter"/>
              <w:spacing w:before="10" w:after="10"/>
            </w:pPr>
            <w:r w:rsidRPr="00EA0A36">
              <w:t>State (2023)</w:t>
            </w:r>
          </w:p>
        </w:tc>
      </w:tr>
      <w:tr w:rsidR="003D3CA7" w:rsidRPr="003979D4" w14:paraId="7073B269" w14:textId="77777777" w:rsidTr="003D3CA7">
        <w:trPr>
          <w:cnfStyle w:val="000000100000" w:firstRow="0" w:lastRow="0" w:firstColumn="0" w:lastColumn="0" w:oddVBand="0" w:evenVBand="0" w:oddHBand="1" w:evenHBand="0" w:firstRowFirstColumn="0" w:firstRowLastColumn="0" w:lastRowFirstColumn="0" w:lastRowLastColumn="0"/>
        </w:trPr>
        <w:tc>
          <w:tcPr>
            <w:tcW w:w="1097" w:type="pct"/>
          </w:tcPr>
          <w:p w14:paraId="25C9630B"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All</w:t>
            </w:r>
          </w:p>
        </w:tc>
        <w:tc>
          <w:tcPr>
            <w:tcW w:w="411" w:type="pct"/>
            <w:vAlign w:val="center"/>
          </w:tcPr>
          <w:p w14:paraId="39E95C0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1,711</w:t>
            </w:r>
          </w:p>
        </w:tc>
        <w:tc>
          <w:tcPr>
            <w:tcW w:w="332" w:type="pct"/>
            <w:vAlign w:val="center"/>
          </w:tcPr>
          <w:p w14:paraId="487BAFB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73</w:t>
            </w:r>
          </w:p>
        </w:tc>
        <w:tc>
          <w:tcPr>
            <w:tcW w:w="335" w:type="pct"/>
            <w:vAlign w:val="center"/>
          </w:tcPr>
          <w:p w14:paraId="4C10C40A"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74</w:t>
            </w:r>
          </w:p>
        </w:tc>
        <w:tc>
          <w:tcPr>
            <w:tcW w:w="451" w:type="pct"/>
            <w:vAlign w:val="center"/>
          </w:tcPr>
          <w:p w14:paraId="3A3D9531"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42</w:t>
            </w:r>
          </w:p>
        </w:tc>
        <w:tc>
          <w:tcPr>
            <w:tcW w:w="334" w:type="pct"/>
            <w:vAlign w:val="center"/>
          </w:tcPr>
          <w:p w14:paraId="67913F4E"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24</w:t>
            </w:r>
          </w:p>
        </w:tc>
        <w:tc>
          <w:tcPr>
            <w:tcW w:w="334" w:type="pct"/>
            <w:vAlign w:val="center"/>
          </w:tcPr>
          <w:p w14:paraId="4A36909E"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22</w:t>
            </w:r>
          </w:p>
        </w:tc>
        <w:tc>
          <w:tcPr>
            <w:tcW w:w="493" w:type="pct"/>
            <w:vAlign w:val="center"/>
          </w:tcPr>
          <w:p w14:paraId="2A56CBDA"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39</w:t>
            </w:r>
          </w:p>
        </w:tc>
        <w:tc>
          <w:tcPr>
            <w:tcW w:w="334" w:type="pct"/>
            <w:vAlign w:val="center"/>
          </w:tcPr>
          <w:p w14:paraId="5ED7247D"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w:t>
            </w:r>
          </w:p>
        </w:tc>
        <w:tc>
          <w:tcPr>
            <w:tcW w:w="334" w:type="pct"/>
            <w:vAlign w:val="center"/>
          </w:tcPr>
          <w:p w14:paraId="7E9FB562"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w:t>
            </w:r>
          </w:p>
        </w:tc>
        <w:tc>
          <w:tcPr>
            <w:tcW w:w="547" w:type="pct"/>
            <w:vAlign w:val="bottom"/>
          </w:tcPr>
          <w:p w14:paraId="4FFE78F8"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19</w:t>
            </w:r>
          </w:p>
        </w:tc>
      </w:tr>
      <w:tr w:rsidR="003D3CA7" w:rsidRPr="003979D4" w14:paraId="66E7A26F" w14:textId="77777777" w:rsidTr="003D3CA7">
        <w:tc>
          <w:tcPr>
            <w:tcW w:w="1097" w:type="pct"/>
          </w:tcPr>
          <w:p w14:paraId="21904AB3"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1" w:type="pct"/>
            <w:vAlign w:val="center"/>
          </w:tcPr>
          <w:p w14:paraId="378E85E0"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29</w:t>
            </w:r>
          </w:p>
        </w:tc>
        <w:tc>
          <w:tcPr>
            <w:tcW w:w="332" w:type="pct"/>
            <w:vAlign w:val="center"/>
          </w:tcPr>
          <w:p w14:paraId="71B2BBD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53</w:t>
            </w:r>
          </w:p>
        </w:tc>
        <w:tc>
          <w:tcPr>
            <w:tcW w:w="335" w:type="pct"/>
            <w:vAlign w:val="center"/>
          </w:tcPr>
          <w:p w14:paraId="70DCFC4C"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52</w:t>
            </w:r>
          </w:p>
        </w:tc>
        <w:tc>
          <w:tcPr>
            <w:tcW w:w="451" w:type="pct"/>
            <w:vAlign w:val="center"/>
          </w:tcPr>
          <w:p w14:paraId="68C7DDAD"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26</w:t>
            </w:r>
          </w:p>
        </w:tc>
        <w:tc>
          <w:tcPr>
            <w:tcW w:w="334" w:type="pct"/>
            <w:vAlign w:val="center"/>
          </w:tcPr>
          <w:p w14:paraId="56902F9B"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39</w:t>
            </w:r>
          </w:p>
        </w:tc>
        <w:tc>
          <w:tcPr>
            <w:tcW w:w="334" w:type="pct"/>
            <w:vAlign w:val="center"/>
          </w:tcPr>
          <w:p w14:paraId="747F2D8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38</w:t>
            </w:r>
          </w:p>
        </w:tc>
        <w:tc>
          <w:tcPr>
            <w:tcW w:w="493" w:type="pct"/>
            <w:vAlign w:val="center"/>
          </w:tcPr>
          <w:p w14:paraId="4E02037C"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45</w:t>
            </w:r>
          </w:p>
        </w:tc>
        <w:tc>
          <w:tcPr>
            <w:tcW w:w="334" w:type="pct"/>
            <w:vAlign w:val="center"/>
          </w:tcPr>
          <w:p w14:paraId="3E4C807E"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8</w:t>
            </w:r>
          </w:p>
        </w:tc>
        <w:tc>
          <w:tcPr>
            <w:tcW w:w="334" w:type="pct"/>
            <w:vAlign w:val="center"/>
          </w:tcPr>
          <w:p w14:paraId="17EA307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10</w:t>
            </w:r>
          </w:p>
        </w:tc>
        <w:tc>
          <w:tcPr>
            <w:tcW w:w="547" w:type="pct"/>
            <w:vAlign w:val="bottom"/>
          </w:tcPr>
          <w:p w14:paraId="0E517AFB"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29</w:t>
            </w:r>
          </w:p>
        </w:tc>
      </w:tr>
      <w:tr w:rsidR="003D3CA7" w:rsidRPr="003979D4" w14:paraId="58478827" w14:textId="77777777" w:rsidTr="003D3CA7">
        <w:trPr>
          <w:cnfStyle w:val="000000100000" w:firstRow="0" w:lastRow="0" w:firstColumn="0" w:lastColumn="0" w:oddVBand="0" w:evenVBand="0" w:oddHBand="1" w:evenHBand="0" w:firstRowFirstColumn="0" w:firstRowLastColumn="0" w:lastRowFirstColumn="0" w:lastRowLastColumn="0"/>
        </w:trPr>
        <w:tc>
          <w:tcPr>
            <w:tcW w:w="1097" w:type="pct"/>
          </w:tcPr>
          <w:p w14:paraId="5F4F5F74"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Asian</w:t>
            </w:r>
          </w:p>
        </w:tc>
        <w:tc>
          <w:tcPr>
            <w:tcW w:w="411" w:type="pct"/>
            <w:vAlign w:val="center"/>
          </w:tcPr>
          <w:p w14:paraId="030DCAE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50</w:t>
            </w:r>
          </w:p>
        </w:tc>
        <w:tc>
          <w:tcPr>
            <w:tcW w:w="332" w:type="pct"/>
            <w:vAlign w:val="center"/>
          </w:tcPr>
          <w:p w14:paraId="432D804B"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81</w:t>
            </w:r>
          </w:p>
        </w:tc>
        <w:tc>
          <w:tcPr>
            <w:tcW w:w="335" w:type="pct"/>
            <w:vAlign w:val="center"/>
          </w:tcPr>
          <w:p w14:paraId="439F9391"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88</w:t>
            </w:r>
          </w:p>
        </w:tc>
        <w:tc>
          <w:tcPr>
            <w:tcW w:w="451" w:type="pct"/>
            <w:vAlign w:val="center"/>
          </w:tcPr>
          <w:p w14:paraId="5BECF5BE"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64</w:t>
            </w:r>
          </w:p>
        </w:tc>
        <w:tc>
          <w:tcPr>
            <w:tcW w:w="334" w:type="pct"/>
            <w:vAlign w:val="center"/>
          </w:tcPr>
          <w:p w14:paraId="2C9C729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17</w:t>
            </w:r>
          </w:p>
        </w:tc>
        <w:tc>
          <w:tcPr>
            <w:tcW w:w="334" w:type="pct"/>
            <w:vAlign w:val="center"/>
          </w:tcPr>
          <w:p w14:paraId="08E4A1F0"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10</w:t>
            </w:r>
          </w:p>
        </w:tc>
        <w:tc>
          <w:tcPr>
            <w:tcW w:w="493" w:type="pct"/>
            <w:vAlign w:val="center"/>
          </w:tcPr>
          <w:p w14:paraId="46252591"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27</w:t>
            </w:r>
          </w:p>
        </w:tc>
        <w:tc>
          <w:tcPr>
            <w:tcW w:w="334" w:type="pct"/>
            <w:vAlign w:val="center"/>
          </w:tcPr>
          <w:p w14:paraId="1A1EFA0E"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w:t>
            </w:r>
          </w:p>
        </w:tc>
        <w:tc>
          <w:tcPr>
            <w:tcW w:w="334" w:type="pct"/>
            <w:vAlign w:val="center"/>
          </w:tcPr>
          <w:p w14:paraId="316B9E6A"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w:t>
            </w:r>
          </w:p>
        </w:tc>
        <w:tc>
          <w:tcPr>
            <w:tcW w:w="547" w:type="pct"/>
            <w:vAlign w:val="bottom"/>
          </w:tcPr>
          <w:p w14:paraId="08A90C3F"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9</w:t>
            </w:r>
          </w:p>
        </w:tc>
      </w:tr>
      <w:tr w:rsidR="003D3CA7" w:rsidRPr="003979D4" w14:paraId="29AF41A8" w14:textId="77777777" w:rsidTr="003D3CA7">
        <w:tc>
          <w:tcPr>
            <w:tcW w:w="1097" w:type="pct"/>
          </w:tcPr>
          <w:p w14:paraId="4B3F3402"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Hispanic/Latino</w:t>
            </w:r>
          </w:p>
        </w:tc>
        <w:tc>
          <w:tcPr>
            <w:tcW w:w="411" w:type="pct"/>
            <w:vAlign w:val="center"/>
          </w:tcPr>
          <w:p w14:paraId="52BB038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70</w:t>
            </w:r>
          </w:p>
        </w:tc>
        <w:tc>
          <w:tcPr>
            <w:tcW w:w="332" w:type="pct"/>
            <w:vAlign w:val="center"/>
          </w:tcPr>
          <w:p w14:paraId="6B82FA80"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74</w:t>
            </w:r>
          </w:p>
        </w:tc>
        <w:tc>
          <w:tcPr>
            <w:tcW w:w="335" w:type="pct"/>
            <w:vAlign w:val="center"/>
          </w:tcPr>
          <w:p w14:paraId="1AD10400"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69</w:t>
            </w:r>
          </w:p>
        </w:tc>
        <w:tc>
          <w:tcPr>
            <w:tcW w:w="451" w:type="pct"/>
            <w:vAlign w:val="center"/>
          </w:tcPr>
          <w:p w14:paraId="5F934572"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22</w:t>
            </w:r>
          </w:p>
        </w:tc>
        <w:tc>
          <w:tcPr>
            <w:tcW w:w="334" w:type="pct"/>
            <w:vAlign w:val="center"/>
          </w:tcPr>
          <w:p w14:paraId="2FDC114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19</w:t>
            </w:r>
          </w:p>
        </w:tc>
        <w:tc>
          <w:tcPr>
            <w:tcW w:w="334" w:type="pct"/>
            <w:vAlign w:val="center"/>
          </w:tcPr>
          <w:p w14:paraId="288F11EE"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26</w:t>
            </w:r>
          </w:p>
        </w:tc>
        <w:tc>
          <w:tcPr>
            <w:tcW w:w="493" w:type="pct"/>
            <w:vAlign w:val="center"/>
          </w:tcPr>
          <w:p w14:paraId="13AFA218"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43</w:t>
            </w:r>
          </w:p>
        </w:tc>
        <w:tc>
          <w:tcPr>
            <w:tcW w:w="334" w:type="pct"/>
            <w:vAlign w:val="center"/>
          </w:tcPr>
          <w:p w14:paraId="53EA22E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7</w:t>
            </w:r>
          </w:p>
        </w:tc>
        <w:tc>
          <w:tcPr>
            <w:tcW w:w="334" w:type="pct"/>
            <w:vAlign w:val="center"/>
          </w:tcPr>
          <w:p w14:paraId="5849A38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6</w:t>
            </w:r>
          </w:p>
        </w:tc>
        <w:tc>
          <w:tcPr>
            <w:tcW w:w="547" w:type="pct"/>
            <w:vAlign w:val="bottom"/>
          </w:tcPr>
          <w:p w14:paraId="1C1340F2"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34</w:t>
            </w:r>
          </w:p>
        </w:tc>
      </w:tr>
      <w:tr w:rsidR="003D3CA7" w:rsidRPr="003979D4" w14:paraId="03D67986" w14:textId="77777777" w:rsidTr="003D3CA7">
        <w:trPr>
          <w:cnfStyle w:val="000000100000" w:firstRow="0" w:lastRow="0" w:firstColumn="0" w:lastColumn="0" w:oddVBand="0" w:evenVBand="0" w:oddHBand="1" w:evenHBand="0" w:firstRowFirstColumn="0" w:firstRowLastColumn="0" w:lastRowFirstColumn="0" w:lastRowLastColumn="0"/>
        </w:trPr>
        <w:tc>
          <w:tcPr>
            <w:tcW w:w="1097" w:type="pct"/>
          </w:tcPr>
          <w:p w14:paraId="43769748"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1" w:type="pct"/>
            <w:vAlign w:val="center"/>
          </w:tcPr>
          <w:p w14:paraId="37968969"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67</w:t>
            </w:r>
          </w:p>
        </w:tc>
        <w:tc>
          <w:tcPr>
            <w:tcW w:w="332" w:type="pct"/>
            <w:vAlign w:val="center"/>
          </w:tcPr>
          <w:p w14:paraId="25225C5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68</w:t>
            </w:r>
          </w:p>
        </w:tc>
        <w:tc>
          <w:tcPr>
            <w:tcW w:w="335" w:type="pct"/>
            <w:vAlign w:val="center"/>
          </w:tcPr>
          <w:p w14:paraId="323D04E4"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69</w:t>
            </w:r>
          </w:p>
        </w:tc>
        <w:tc>
          <w:tcPr>
            <w:tcW w:w="451" w:type="pct"/>
            <w:vAlign w:val="center"/>
          </w:tcPr>
          <w:p w14:paraId="69F17AC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49</w:t>
            </w:r>
          </w:p>
        </w:tc>
        <w:tc>
          <w:tcPr>
            <w:tcW w:w="334" w:type="pct"/>
            <w:vAlign w:val="center"/>
          </w:tcPr>
          <w:p w14:paraId="6FFF862B"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28</w:t>
            </w:r>
          </w:p>
        </w:tc>
        <w:tc>
          <w:tcPr>
            <w:tcW w:w="334" w:type="pct"/>
            <w:vAlign w:val="center"/>
          </w:tcPr>
          <w:p w14:paraId="38CB1F1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27</w:t>
            </w:r>
          </w:p>
        </w:tc>
        <w:tc>
          <w:tcPr>
            <w:tcW w:w="493" w:type="pct"/>
            <w:vAlign w:val="center"/>
          </w:tcPr>
          <w:p w14:paraId="6373F4B1"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35</w:t>
            </w:r>
          </w:p>
        </w:tc>
        <w:tc>
          <w:tcPr>
            <w:tcW w:w="334" w:type="pct"/>
            <w:vAlign w:val="center"/>
          </w:tcPr>
          <w:p w14:paraId="727F0D81"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w:t>
            </w:r>
          </w:p>
        </w:tc>
        <w:tc>
          <w:tcPr>
            <w:tcW w:w="334" w:type="pct"/>
            <w:vAlign w:val="center"/>
          </w:tcPr>
          <w:p w14:paraId="0F35FA9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w:t>
            </w:r>
          </w:p>
        </w:tc>
        <w:tc>
          <w:tcPr>
            <w:tcW w:w="547" w:type="pct"/>
            <w:vAlign w:val="bottom"/>
          </w:tcPr>
          <w:p w14:paraId="24DB158D"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16</w:t>
            </w:r>
          </w:p>
        </w:tc>
      </w:tr>
      <w:tr w:rsidR="003D3CA7" w:rsidRPr="003979D4" w14:paraId="6C7B55AE" w14:textId="77777777" w:rsidTr="003D3CA7">
        <w:tc>
          <w:tcPr>
            <w:tcW w:w="1097" w:type="pct"/>
          </w:tcPr>
          <w:p w14:paraId="5600BF1A"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Native American</w:t>
            </w:r>
          </w:p>
        </w:tc>
        <w:tc>
          <w:tcPr>
            <w:tcW w:w="411" w:type="pct"/>
            <w:vAlign w:val="center"/>
          </w:tcPr>
          <w:p w14:paraId="75B035D6" w14:textId="153D0109"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2" w:type="pct"/>
            <w:vAlign w:val="center"/>
          </w:tcPr>
          <w:p w14:paraId="040E5A71" w14:textId="605D853E"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5" w:type="pct"/>
            <w:vAlign w:val="center"/>
          </w:tcPr>
          <w:p w14:paraId="35B052BB" w14:textId="7ECD8698"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51" w:type="pct"/>
            <w:vAlign w:val="center"/>
          </w:tcPr>
          <w:p w14:paraId="486293D2"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29</w:t>
            </w:r>
          </w:p>
        </w:tc>
        <w:tc>
          <w:tcPr>
            <w:tcW w:w="334" w:type="pct"/>
            <w:vAlign w:val="center"/>
          </w:tcPr>
          <w:p w14:paraId="08CDA87F" w14:textId="2DB164B7"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4" w:type="pct"/>
            <w:vAlign w:val="center"/>
          </w:tcPr>
          <w:p w14:paraId="54C5D55F" w14:textId="09717EC0"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93" w:type="pct"/>
            <w:vAlign w:val="center"/>
          </w:tcPr>
          <w:p w14:paraId="4497710F"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42</w:t>
            </w:r>
          </w:p>
        </w:tc>
        <w:tc>
          <w:tcPr>
            <w:tcW w:w="334" w:type="pct"/>
            <w:vAlign w:val="center"/>
          </w:tcPr>
          <w:p w14:paraId="00D9143C" w14:textId="62183D0D"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4" w:type="pct"/>
            <w:vAlign w:val="center"/>
          </w:tcPr>
          <w:p w14:paraId="22E9F5B9" w14:textId="56EB097E"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547" w:type="pct"/>
            <w:vAlign w:val="bottom"/>
          </w:tcPr>
          <w:p w14:paraId="04848F55"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28</w:t>
            </w:r>
          </w:p>
        </w:tc>
      </w:tr>
      <w:tr w:rsidR="003D3CA7" w:rsidRPr="003979D4" w14:paraId="1152F29E" w14:textId="77777777" w:rsidTr="003D3CA7">
        <w:trPr>
          <w:cnfStyle w:val="000000100000" w:firstRow="0" w:lastRow="0" w:firstColumn="0" w:lastColumn="0" w:oddVBand="0" w:evenVBand="0" w:oddHBand="1" w:evenHBand="0" w:firstRowFirstColumn="0" w:firstRowLastColumn="0" w:lastRowFirstColumn="0" w:lastRowLastColumn="0"/>
        </w:trPr>
        <w:tc>
          <w:tcPr>
            <w:tcW w:w="1097" w:type="pct"/>
          </w:tcPr>
          <w:p w14:paraId="5292D355" w14:textId="77777777" w:rsidR="00B75ACA" w:rsidRPr="00350442" w:rsidRDefault="00B75ACA" w:rsidP="003D3CA7">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1" w:type="pct"/>
            <w:vAlign w:val="center"/>
          </w:tcPr>
          <w:p w14:paraId="65C24150" w14:textId="77777777" w:rsidR="00B75ACA" w:rsidRPr="00A7437A" w:rsidRDefault="00B75ACA" w:rsidP="003D3CA7">
            <w:pPr>
              <w:pStyle w:val="TableTextCentered"/>
              <w:spacing w:before="10" w:after="10"/>
              <w:rPr>
                <w:rFonts w:ascii="Franklin Gothic Book" w:hAnsi="Franklin Gothic Book"/>
              </w:rPr>
            </w:pPr>
            <w:r>
              <w:rPr>
                <w:rFonts w:ascii="Franklin Gothic Book" w:hAnsi="Franklin Gothic Book"/>
              </w:rPr>
              <w:t>1</w:t>
            </w:r>
          </w:p>
        </w:tc>
        <w:tc>
          <w:tcPr>
            <w:tcW w:w="332" w:type="pct"/>
            <w:vAlign w:val="center"/>
          </w:tcPr>
          <w:p w14:paraId="6850874E" w14:textId="11D80496"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5" w:type="pct"/>
            <w:vAlign w:val="center"/>
          </w:tcPr>
          <w:p w14:paraId="7463B517" w14:textId="2734B1DB"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51" w:type="pct"/>
            <w:vAlign w:val="center"/>
          </w:tcPr>
          <w:p w14:paraId="302739EE"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45</w:t>
            </w:r>
          </w:p>
        </w:tc>
        <w:tc>
          <w:tcPr>
            <w:tcW w:w="334" w:type="pct"/>
            <w:vAlign w:val="center"/>
          </w:tcPr>
          <w:p w14:paraId="6BE61BA0" w14:textId="2B97DD5A"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4" w:type="pct"/>
            <w:vAlign w:val="center"/>
          </w:tcPr>
          <w:p w14:paraId="75BEC3DB" w14:textId="7C138169"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93" w:type="pct"/>
            <w:vAlign w:val="center"/>
          </w:tcPr>
          <w:p w14:paraId="326C96C7"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37</w:t>
            </w:r>
          </w:p>
        </w:tc>
        <w:tc>
          <w:tcPr>
            <w:tcW w:w="334" w:type="pct"/>
            <w:vAlign w:val="center"/>
          </w:tcPr>
          <w:p w14:paraId="0AE131A1" w14:textId="1358906F"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4" w:type="pct"/>
            <w:vAlign w:val="center"/>
          </w:tcPr>
          <w:p w14:paraId="7C399F16" w14:textId="47A9AC65" w:rsidR="00B75ACA" w:rsidRPr="00A7437A"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547" w:type="pct"/>
            <w:vAlign w:val="bottom"/>
          </w:tcPr>
          <w:p w14:paraId="499918A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18</w:t>
            </w:r>
          </w:p>
        </w:tc>
      </w:tr>
      <w:tr w:rsidR="003D3CA7" w:rsidRPr="003979D4" w14:paraId="123C7BEF" w14:textId="77777777" w:rsidTr="003D3CA7">
        <w:tc>
          <w:tcPr>
            <w:tcW w:w="1097" w:type="pct"/>
          </w:tcPr>
          <w:p w14:paraId="3632633A"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White</w:t>
            </w:r>
          </w:p>
        </w:tc>
        <w:tc>
          <w:tcPr>
            <w:tcW w:w="411" w:type="pct"/>
            <w:vAlign w:val="center"/>
          </w:tcPr>
          <w:p w14:paraId="46157B04"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1,494</w:t>
            </w:r>
          </w:p>
        </w:tc>
        <w:tc>
          <w:tcPr>
            <w:tcW w:w="332" w:type="pct"/>
            <w:vAlign w:val="center"/>
          </w:tcPr>
          <w:p w14:paraId="411D2537"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73</w:t>
            </w:r>
          </w:p>
        </w:tc>
        <w:tc>
          <w:tcPr>
            <w:tcW w:w="335" w:type="pct"/>
            <w:vAlign w:val="center"/>
          </w:tcPr>
          <w:p w14:paraId="162983E1"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75</w:t>
            </w:r>
          </w:p>
        </w:tc>
        <w:tc>
          <w:tcPr>
            <w:tcW w:w="451" w:type="pct"/>
            <w:vAlign w:val="center"/>
          </w:tcPr>
          <w:p w14:paraId="51B4FA7F"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50</w:t>
            </w:r>
          </w:p>
        </w:tc>
        <w:tc>
          <w:tcPr>
            <w:tcW w:w="334" w:type="pct"/>
            <w:vAlign w:val="center"/>
          </w:tcPr>
          <w:p w14:paraId="26FAB6FA"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24</w:t>
            </w:r>
          </w:p>
        </w:tc>
        <w:tc>
          <w:tcPr>
            <w:tcW w:w="334" w:type="pct"/>
            <w:vAlign w:val="center"/>
          </w:tcPr>
          <w:p w14:paraId="7B4A4A51"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22</w:t>
            </w:r>
          </w:p>
        </w:tc>
        <w:tc>
          <w:tcPr>
            <w:tcW w:w="493" w:type="pct"/>
            <w:vAlign w:val="center"/>
          </w:tcPr>
          <w:p w14:paraId="6C11F9C9"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37</w:t>
            </w:r>
          </w:p>
        </w:tc>
        <w:tc>
          <w:tcPr>
            <w:tcW w:w="334" w:type="pct"/>
            <w:vAlign w:val="center"/>
          </w:tcPr>
          <w:p w14:paraId="08A897AC"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w:t>
            </w:r>
          </w:p>
        </w:tc>
        <w:tc>
          <w:tcPr>
            <w:tcW w:w="334" w:type="pct"/>
            <w:vAlign w:val="center"/>
          </w:tcPr>
          <w:p w14:paraId="46CF5A81"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w:t>
            </w:r>
          </w:p>
        </w:tc>
        <w:tc>
          <w:tcPr>
            <w:tcW w:w="547" w:type="pct"/>
            <w:vAlign w:val="bottom"/>
          </w:tcPr>
          <w:p w14:paraId="1BCFE979"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13</w:t>
            </w:r>
          </w:p>
        </w:tc>
      </w:tr>
      <w:tr w:rsidR="003D3CA7" w:rsidRPr="003979D4" w14:paraId="51322FB1" w14:textId="77777777" w:rsidTr="003D3CA7">
        <w:trPr>
          <w:cnfStyle w:val="000000100000" w:firstRow="0" w:lastRow="0" w:firstColumn="0" w:lastColumn="0" w:oddVBand="0" w:evenVBand="0" w:oddHBand="1" w:evenHBand="0" w:firstRowFirstColumn="0" w:firstRowLastColumn="0" w:lastRowFirstColumn="0" w:lastRowLastColumn="0"/>
        </w:trPr>
        <w:tc>
          <w:tcPr>
            <w:tcW w:w="1097" w:type="pct"/>
          </w:tcPr>
          <w:p w14:paraId="356B4369"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High needs</w:t>
            </w:r>
          </w:p>
        </w:tc>
        <w:tc>
          <w:tcPr>
            <w:tcW w:w="411" w:type="pct"/>
            <w:vAlign w:val="center"/>
          </w:tcPr>
          <w:p w14:paraId="6F05E6D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453</w:t>
            </w:r>
          </w:p>
        </w:tc>
        <w:tc>
          <w:tcPr>
            <w:tcW w:w="332" w:type="pct"/>
            <w:vAlign w:val="center"/>
          </w:tcPr>
          <w:p w14:paraId="50759BD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39</w:t>
            </w:r>
          </w:p>
        </w:tc>
        <w:tc>
          <w:tcPr>
            <w:tcW w:w="335" w:type="pct"/>
            <w:vAlign w:val="center"/>
          </w:tcPr>
          <w:p w14:paraId="4AE7BFB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41</w:t>
            </w:r>
          </w:p>
        </w:tc>
        <w:tc>
          <w:tcPr>
            <w:tcW w:w="451" w:type="pct"/>
            <w:vAlign w:val="center"/>
          </w:tcPr>
          <w:p w14:paraId="37B20BE5"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24</w:t>
            </w:r>
          </w:p>
        </w:tc>
        <w:tc>
          <w:tcPr>
            <w:tcW w:w="334" w:type="pct"/>
            <w:vAlign w:val="center"/>
          </w:tcPr>
          <w:p w14:paraId="447F302D"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49</w:t>
            </w:r>
          </w:p>
        </w:tc>
        <w:tc>
          <w:tcPr>
            <w:tcW w:w="334" w:type="pct"/>
            <w:vAlign w:val="center"/>
          </w:tcPr>
          <w:p w14:paraId="5E67FBF9"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47</w:t>
            </w:r>
          </w:p>
        </w:tc>
        <w:tc>
          <w:tcPr>
            <w:tcW w:w="493" w:type="pct"/>
            <w:vAlign w:val="center"/>
          </w:tcPr>
          <w:p w14:paraId="563A6030"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45</w:t>
            </w:r>
          </w:p>
        </w:tc>
        <w:tc>
          <w:tcPr>
            <w:tcW w:w="334" w:type="pct"/>
            <w:vAlign w:val="center"/>
          </w:tcPr>
          <w:p w14:paraId="1888FE6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13</w:t>
            </w:r>
          </w:p>
        </w:tc>
        <w:tc>
          <w:tcPr>
            <w:tcW w:w="334" w:type="pct"/>
            <w:vAlign w:val="center"/>
          </w:tcPr>
          <w:p w14:paraId="5A93D37C"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12</w:t>
            </w:r>
          </w:p>
        </w:tc>
        <w:tc>
          <w:tcPr>
            <w:tcW w:w="547" w:type="pct"/>
            <w:vAlign w:val="bottom"/>
          </w:tcPr>
          <w:p w14:paraId="74252CBC"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31</w:t>
            </w:r>
          </w:p>
        </w:tc>
      </w:tr>
      <w:tr w:rsidR="003D3CA7" w:rsidRPr="003979D4" w14:paraId="7E9EBC5A" w14:textId="77777777" w:rsidTr="003D3CA7">
        <w:tc>
          <w:tcPr>
            <w:tcW w:w="1097" w:type="pct"/>
          </w:tcPr>
          <w:p w14:paraId="0D5C7BD6"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Low income</w:t>
            </w:r>
          </w:p>
        </w:tc>
        <w:tc>
          <w:tcPr>
            <w:tcW w:w="411" w:type="pct"/>
            <w:vAlign w:val="center"/>
          </w:tcPr>
          <w:p w14:paraId="30076EC0"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141</w:t>
            </w:r>
          </w:p>
        </w:tc>
        <w:tc>
          <w:tcPr>
            <w:tcW w:w="332" w:type="pct"/>
            <w:vAlign w:val="center"/>
          </w:tcPr>
          <w:p w14:paraId="28308375"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47</w:t>
            </w:r>
          </w:p>
        </w:tc>
        <w:tc>
          <w:tcPr>
            <w:tcW w:w="335" w:type="pct"/>
            <w:vAlign w:val="center"/>
          </w:tcPr>
          <w:p w14:paraId="682FF2D2"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41</w:t>
            </w:r>
          </w:p>
        </w:tc>
        <w:tc>
          <w:tcPr>
            <w:tcW w:w="451" w:type="pct"/>
            <w:vAlign w:val="center"/>
          </w:tcPr>
          <w:p w14:paraId="128361E5"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24</w:t>
            </w:r>
          </w:p>
        </w:tc>
        <w:tc>
          <w:tcPr>
            <w:tcW w:w="334" w:type="pct"/>
            <w:vAlign w:val="center"/>
          </w:tcPr>
          <w:p w14:paraId="554F4E7B"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41</w:t>
            </w:r>
          </w:p>
        </w:tc>
        <w:tc>
          <w:tcPr>
            <w:tcW w:w="334" w:type="pct"/>
            <w:vAlign w:val="center"/>
          </w:tcPr>
          <w:p w14:paraId="5E8298AD"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48</w:t>
            </w:r>
          </w:p>
        </w:tc>
        <w:tc>
          <w:tcPr>
            <w:tcW w:w="493" w:type="pct"/>
            <w:vAlign w:val="center"/>
          </w:tcPr>
          <w:p w14:paraId="53281670"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44</w:t>
            </w:r>
          </w:p>
        </w:tc>
        <w:tc>
          <w:tcPr>
            <w:tcW w:w="334" w:type="pct"/>
            <w:vAlign w:val="center"/>
          </w:tcPr>
          <w:p w14:paraId="43F1AE9D"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12</w:t>
            </w:r>
          </w:p>
        </w:tc>
        <w:tc>
          <w:tcPr>
            <w:tcW w:w="334" w:type="pct"/>
            <w:vAlign w:val="center"/>
          </w:tcPr>
          <w:p w14:paraId="29C49467"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11</w:t>
            </w:r>
          </w:p>
        </w:tc>
        <w:tc>
          <w:tcPr>
            <w:tcW w:w="547" w:type="pct"/>
            <w:vAlign w:val="bottom"/>
          </w:tcPr>
          <w:p w14:paraId="757E0550"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32</w:t>
            </w:r>
          </w:p>
        </w:tc>
      </w:tr>
      <w:tr w:rsidR="003D3CA7" w:rsidRPr="003979D4" w14:paraId="183F5198" w14:textId="77777777" w:rsidTr="003D3CA7">
        <w:trPr>
          <w:cnfStyle w:val="000000100000" w:firstRow="0" w:lastRow="0" w:firstColumn="0" w:lastColumn="0" w:oddVBand="0" w:evenVBand="0" w:oddHBand="1" w:evenHBand="0" w:firstRowFirstColumn="0" w:firstRowLastColumn="0" w:lastRowFirstColumn="0" w:lastRowLastColumn="0"/>
        </w:trPr>
        <w:tc>
          <w:tcPr>
            <w:tcW w:w="1097" w:type="pct"/>
          </w:tcPr>
          <w:p w14:paraId="2AACD749" w14:textId="77777777" w:rsidR="00B75ACA" w:rsidRPr="00350442" w:rsidRDefault="00B75ACA" w:rsidP="003D3CA7">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1" w:type="pct"/>
            <w:vAlign w:val="center"/>
          </w:tcPr>
          <w:p w14:paraId="43CBD879"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22</w:t>
            </w:r>
          </w:p>
        </w:tc>
        <w:tc>
          <w:tcPr>
            <w:tcW w:w="332" w:type="pct"/>
            <w:vAlign w:val="center"/>
          </w:tcPr>
          <w:p w14:paraId="7E3C625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45</w:t>
            </w:r>
          </w:p>
        </w:tc>
        <w:tc>
          <w:tcPr>
            <w:tcW w:w="335" w:type="pct"/>
            <w:vAlign w:val="center"/>
          </w:tcPr>
          <w:p w14:paraId="6D9568E9"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55</w:t>
            </w:r>
          </w:p>
        </w:tc>
        <w:tc>
          <w:tcPr>
            <w:tcW w:w="451" w:type="pct"/>
            <w:vAlign w:val="center"/>
          </w:tcPr>
          <w:p w14:paraId="17E6B399"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20</w:t>
            </w:r>
          </w:p>
        </w:tc>
        <w:tc>
          <w:tcPr>
            <w:tcW w:w="334" w:type="pct"/>
            <w:vAlign w:val="center"/>
          </w:tcPr>
          <w:p w14:paraId="0884BF4A"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45</w:t>
            </w:r>
          </w:p>
        </w:tc>
        <w:tc>
          <w:tcPr>
            <w:tcW w:w="334" w:type="pct"/>
            <w:vAlign w:val="center"/>
          </w:tcPr>
          <w:p w14:paraId="67AB3107"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32</w:t>
            </w:r>
          </w:p>
        </w:tc>
        <w:tc>
          <w:tcPr>
            <w:tcW w:w="493" w:type="pct"/>
            <w:vAlign w:val="center"/>
          </w:tcPr>
          <w:p w14:paraId="2D84CDC2"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42</w:t>
            </w:r>
          </w:p>
        </w:tc>
        <w:tc>
          <w:tcPr>
            <w:tcW w:w="334" w:type="pct"/>
            <w:vAlign w:val="center"/>
          </w:tcPr>
          <w:p w14:paraId="5AD65AC0"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9</w:t>
            </w:r>
          </w:p>
        </w:tc>
        <w:tc>
          <w:tcPr>
            <w:tcW w:w="334" w:type="pct"/>
            <w:vAlign w:val="center"/>
          </w:tcPr>
          <w:p w14:paraId="6C645855"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14</w:t>
            </w:r>
          </w:p>
        </w:tc>
        <w:tc>
          <w:tcPr>
            <w:tcW w:w="547" w:type="pct"/>
            <w:vAlign w:val="bottom"/>
          </w:tcPr>
          <w:p w14:paraId="609D93E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38</w:t>
            </w:r>
          </w:p>
        </w:tc>
      </w:tr>
      <w:tr w:rsidR="003D3CA7" w:rsidRPr="003979D4" w14:paraId="1C56DAAD" w14:textId="77777777" w:rsidTr="003D3CA7">
        <w:tc>
          <w:tcPr>
            <w:tcW w:w="1097" w:type="pct"/>
          </w:tcPr>
          <w:p w14:paraId="5029FDCC"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1" w:type="pct"/>
            <w:vAlign w:val="center"/>
          </w:tcPr>
          <w:p w14:paraId="75FA632F"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350</w:t>
            </w:r>
          </w:p>
        </w:tc>
        <w:tc>
          <w:tcPr>
            <w:tcW w:w="332" w:type="pct"/>
            <w:vAlign w:val="center"/>
          </w:tcPr>
          <w:p w14:paraId="21BBE761"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30</w:t>
            </w:r>
          </w:p>
        </w:tc>
        <w:tc>
          <w:tcPr>
            <w:tcW w:w="335" w:type="pct"/>
            <w:vAlign w:val="center"/>
          </w:tcPr>
          <w:p w14:paraId="40A83DE5"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35</w:t>
            </w:r>
          </w:p>
        </w:tc>
        <w:tc>
          <w:tcPr>
            <w:tcW w:w="451" w:type="pct"/>
            <w:vAlign w:val="center"/>
          </w:tcPr>
          <w:p w14:paraId="115B42E0"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12</w:t>
            </w:r>
          </w:p>
        </w:tc>
        <w:tc>
          <w:tcPr>
            <w:tcW w:w="334" w:type="pct"/>
            <w:vAlign w:val="center"/>
          </w:tcPr>
          <w:p w14:paraId="75214631"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54</w:t>
            </w:r>
          </w:p>
        </w:tc>
        <w:tc>
          <w:tcPr>
            <w:tcW w:w="334" w:type="pct"/>
            <w:vAlign w:val="center"/>
          </w:tcPr>
          <w:p w14:paraId="188EB632"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50</w:t>
            </w:r>
          </w:p>
        </w:tc>
        <w:tc>
          <w:tcPr>
            <w:tcW w:w="493" w:type="pct"/>
            <w:vAlign w:val="center"/>
          </w:tcPr>
          <w:p w14:paraId="35F06153"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40</w:t>
            </w:r>
          </w:p>
        </w:tc>
        <w:tc>
          <w:tcPr>
            <w:tcW w:w="334" w:type="pct"/>
            <w:vAlign w:val="center"/>
          </w:tcPr>
          <w:p w14:paraId="61D279BA"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16</w:t>
            </w:r>
          </w:p>
        </w:tc>
        <w:tc>
          <w:tcPr>
            <w:tcW w:w="334" w:type="pct"/>
            <w:vAlign w:val="center"/>
          </w:tcPr>
          <w:p w14:paraId="6294C6D6"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15</w:t>
            </w:r>
          </w:p>
        </w:tc>
        <w:tc>
          <w:tcPr>
            <w:tcW w:w="547" w:type="pct"/>
            <w:vAlign w:val="bottom"/>
          </w:tcPr>
          <w:p w14:paraId="009CD9A9" w14:textId="77777777" w:rsidR="00B75ACA" w:rsidRPr="00A7437A" w:rsidRDefault="00B75ACA" w:rsidP="003D3CA7">
            <w:pPr>
              <w:pStyle w:val="TableTextCentered"/>
              <w:spacing w:before="10" w:after="10"/>
              <w:rPr>
                <w:rFonts w:ascii="Franklin Gothic Book" w:hAnsi="Franklin Gothic Book"/>
              </w:rPr>
            </w:pPr>
            <w:r w:rsidRPr="00A7437A">
              <w:rPr>
                <w:rFonts w:ascii="Franklin Gothic Book" w:hAnsi="Franklin Gothic Book"/>
              </w:rPr>
              <w:t>48</w:t>
            </w:r>
          </w:p>
        </w:tc>
      </w:tr>
    </w:tbl>
    <w:p w14:paraId="38553F37" w14:textId="77777777" w:rsidR="00B75ACA" w:rsidRDefault="00B75ACA" w:rsidP="003D3CA7">
      <w:pPr>
        <w:pStyle w:val="TableTitle0"/>
        <w:spacing w:before="120"/>
      </w:pPr>
      <w:bookmarkStart w:id="191" w:name="_Toc158035169"/>
      <w:r w:rsidRPr="00B128C5">
        <w:t>Table E2. Next-Generation MCAS</w:t>
      </w:r>
      <w:r>
        <w:t xml:space="preserve"> ELA</w:t>
      </w:r>
      <w:r w:rsidRPr="00B128C5">
        <w:t xml:space="preserve"> </w:t>
      </w:r>
      <w:r>
        <w:t>Achievement</w:t>
      </w:r>
      <w:r w:rsidRPr="00B128C5">
        <w:t xml:space="preserve"> by Student Group, Grade 10, 202</w:t>
      </w:r>
      <w:r>
        <w:t>2</w:t>
      </w:r>
      <w:r w:rsidRPr="00B128C5">
        <w:t>-2023</w:t>
      </w:r>
      <w:bookmarkEnd w:id="191"/>
    </w:p>
    <w:tbl>
      <w:tblPr>
        <w:tblStyle w:val="MSVTable1"/>
        <w:tblW w:w="5003" w:type="pct"/>
        <w:tblLook w:val="0420" w:firstRow="1" w:lastRow="0" w:firstColumn="0" w:lastColumn="0" w:noHBand="0" w:noVBand="1"/>
      </w:tblPr>
      <w:tblGrid>
        <w:gridCol w:w="2838"/>
        <w:gridCol w:w="1065"/>
        <w:gridCol w:w="850"/>
        <w:gridCol w:w="873"/>
        <w:gridCol w:w="1197"/>
        <w:gridCol w:w="816"/>
        <w:gridCol w:w="901"/>
        <w:gridCol w:w="1262"/>
        <w:gridCol w:w="873"/>
        <w:gridCol w:w="855"/>
        <w:gridCol w:w="1422"/>
      </w:tblGrid>
      <w:tr w:rsidR="00B75ACA" w:rsidRPr="003979D4" w14:paraId="670C3011" w14:textId="77777777" w:rsidTr="003D3CA7">
        <w:trPr>
          <w:cnfStyle w:val="100000000000" w:firstRow="1" w:lastRow="0" w:firstColumn="0" w:lastColumn="0" w:oddVBand="0" w:evenVBand="0" w:oddHBand="0" w:evenHBand="0" w:firstRowFirstColumn="0" w:firstRowLastColumn="0" w:lastRowFirstColumn="0" w:lastRowLastColumn="0"/>
          <w:tblHeader/>
        </w:trPr>
        <w:tc>
          <w:tcPr>
            <w:tcW w:w="1096" w:type="pct"/>
            <w:vMerge w:val="restart"/>
            <w:vAlign w:val="center"/>
          </w:tcPr>
          <w:p w14:paraId="3966F7E6" w14:textId="77777777" w:rsidR="00B75ACA" w:rsidRPr="00EA0A36" w:rsidRDefault="00B75ACA" w:rsidP="003D3CA7">
            <w:pPr>
              <w:pStyle w:val="TableColHeadingLeft"/>
              <w:spacing w:before="10" w:after="10"/>
              <w:jc w:val="center"/>
            </w:pPr>
            <w:r w:rsidRPr="00EA0A36">
              <w:t>Group</w:t>
            </w:r>
          </w:p>
        </w:tc>
        <w:tc>
          <w:tcPr>
            <w:tcW w:w="411" w:type="pct"/>
            <w:vMerge w:val="restart"/>
            <w:vAlign w:val="center"/>
          </w:tcPr>
          <w:p w14:paraId="3E410101" w14:textId="53476FC3" w:rsidR="00B75ACA" w:rsidRPr="00EA0A36" w:rsidRDefault="00B75ACA" w:rsidP="003D3CA7">
            <w:pPr>
              <w:pStyle w:val="TableColHeadingCenter"/>
              <w:spacing w:before="10" w:after="10"/>
            </w:pPr>
            <w:r>
              <w:t xml:space="preserve"># </w:t>
            </w:r>
            <w:r w:rsidR="008E5BF5">
              <w:t>i</w:t>
            </w:r>
            <w:r>
              <w:t>ncluded</w:t>
            </w:r>
            <w:r w:rsidRPr="00EA0A36">
              <w:t xml:space="preserve"> (2023)</w:t>
            </w:r>
          </w:p>
        </w:tc>
        <w:tc>
          <w:tcPr>
            <w:tcW w:w="1127" w:type="pct"/>
            <w:gridSpan w:val="3"/>
            <w:vAlign w:val="bottom"/>
          </w:tcPr>
          <w:p w14:paraId="5ED06405" w14:textId="075DF635" w:rsidR="00B75ACA" w:rsidRPr="00EA0A36" w:rsidRDefault="00B75ACA" w:rsidP="003D3CA7">
            <w:pPr>
              <w:pStyle w:val="TableColHeadingCenter"/>
              <w:spacing w:before="10" w:after="10"/>
            </w:pPr>
            <w:r>
              <w:t>Percent</w:t>
            </w:r>
            <w:r w:rsidR="008E5BF5">
              <w:t>age</w:t>
            </w:r>
            <w:r>
              <w:t xml:space="preserve"> meeting or exceeding expectations</w:t>
            </w:r>
          </w:p>
        </w:tc>
        <w:tc>
          <w:tcPr>
            <w:tcW w:w="1150" w:type="pct"/>
            <w:gridSpan w:val="3"/>
            <w:vAlign w:val="center"/>
          </w:tcPr>
          <w:p w14:paraId="7B99F9CA" w14:textId="183C07A1" w:rsidR="00B75ACA" w:rsidRPr="00EA0A36" w:rsidRDefault="00B75ACA" w:rsidP="003D3CA7">
            <w:pPr>
              <w:pStyle w:val="TableColHeadingCenter"/>
              <w:spacing w:before="10" w:after="10"/>
            </w:pPr>
            <w:r>
              <w:t>Percent</w:t>
            </w:r>
            <w:r w:rsidR="008E5BF5">
              <w:t>age</w:t>
            </w:r>
            <w:r>
              <w:t xml:space="preserve"> partially meeting expectations</w:t>
            </w:r>
          </w:p>
        </w:tc>
        <w:tc>
          <w:tcPr>
            <w:tcW w:w="1216" w:type="pct"/>
            <w:gridSpan w:val="3"/>
            <w:vAlign w:val="center"/>
          </w:tcPr>
          <w:p w14:paraId="5D10C2C0" w14:textId="14E1F563" w:rsidR="00B75ACA" w:rsidRDefault="00B75ACA" w:rsidP="003D3CA7">
            <w:pPr>
              <w:pStyle w:val="TableColHeadingCenter"/>
              <w:spacing w:before="10" w:after="10"/>
            </w:pPr>
            <w:r>
              <w:t>Percent</w:t>
            </w:r>
            <w:r w:rsidR="008E5BF5">
              <w:t>age</w:t>
            </w:r>
            <w:r>
              <w:t xml:space="preserve"> not meeting expectations</w:t>
            </w:r>
          </w:p>
        </w:tc>
      </w:tr>
      <w:tr w:rsidR="003D3CA7" w:rsidRPr="003979D4" w14:paraId="13804A81" w14:textId="77777777" w:rsidTr="003D3CA7">
        <w:trPr>
          <w:cnfStyle w:val="100000000000" w:firstRow="1" w:lastRow="0" w:firstColumn="0" w:lastColumn="0" w:oddVBand="0" w:evenVBand="0" w:oddHBand="0" w:evenHBand="0" w:firstRowFirstColumn="0" w:firstRowLastColumn="0" w:lastRowFirstColumn="0" w:lastRowLastColumn="0"/>
          <w:tblHeader/>
        </w:trPr>
        <w:tc>
          <w:tcPr>
            <w:tcW w:w="1096" w:type="pct"/>
            <w:vMerge/>
            <w:vAlign w:val="bottom"/>
          </w:tcPr>
          <w:p w14:paraId="599CE0BA" w14:textId="77777777" w:rsidR="00B75ACA" w:rsidRPr="00EA0A36" w:rsidRDefault="00B75ACA" w:rsidP="003D3CA7">
            <w:pPr>
              <w:pStyle w:val="TableColHeadingCenter"/>
              <w:spacing w:before="10" w:after="10"/>
            </w:pPr>
          </w:p>
        </w:tc>
        <w:tc>
          <w:tcPr>
            <w:tcW w:w="411" w:type="pct"/>
            <w:vMerge/>
            <w:vAlign w:val="bottom"/>
          </w:tcPr>
          <w:p w14:paraId="726636A1" w14:textId="77777777" w:rsidR="00B75ACA" w:rsidRPr="00EA0A36" w:rsidRDefault="00B75ACA" w:rsidP="003D3CA7">
            <w:pPr>
              <w:pStyle w:val="TableColHeadingCenter"/>
              <w:spacing w:before="10" w:after="10"/>
            </w:pPr>
          </w:p>
        </w:tc>
        <w:tc>
          <w:tcPr>
            <w:tcW w:w="328" w:type="pct"/>
            <w:tcMar>
              <w:left w:w="14" w:type="dxa"/>
              <w:right w:w="14" w:type="dxa"/>
            </w:tcMar>
            <w:vAlign w:val="center"/>
          </w:tcPr>
          <w:p w14:paraId="564AB061" w14:textId="77777777" w:rsidR="00B75ACA" w:rsidRPr="00EA0A36" w:rsidRDefault="00B75ACA" w:rsidP="003D3CA7">
            <w:pPr>
              <w:pStyle w:val="TableColHeadingCenter"/>
              <w:spacing w:before="10" w:after="10"/>
            </w:pPr>
            <w:r w:rsidRPr="00EA0A36">
              <w:t>2022</w:t>
            </w:r>
          </w:p>
        </w:tc>
        <w:tc>
          <w:tcPr>
            <w:tcW w:w="337" w:type="pct"/>
            <w:tcMar>
              <w:left w:w="14" w:type="dxa"/>
              <w:right w:w="14" w:type="dxa"/>
            </w:tcMar>
            <w:vAlign w:val="center"/>
          </w:tcPr>
          <w:p w14:paraId="0A5D56AD" w14:textId="77777777" w:rsidR="00B75ACA" w:rsidRPr="00EA0A36" w:rsidRDefault="00B75ACA" w:rsidP="003D3CA7">
            <w:pPr>
              <w:pStyle w:val="TableColHeadingCenter"/>
              <w:spacing w:before="10" w:after="10"/>
            </w:pPr>
            <w:r w:rsidRPr="00EA0A36">
              <w:t>2023</w:t>
            </w:r>
          </w:p>
        </w:tc>
        <w:tc>
          <w:tcPr>
            <w:tcW w:w="462" w:type="pct"/>
            <w:tcMar>
              <w:left w:w="14" w:type="dxa"/>
              <w:right w:w="14" w:type="dxa"/>
            </w:tcMar>
            <w:vAlign w:val="center"/>
          </w:tcPr>
          <w:p w14:paraId="39D2F1BB" w14:textId="77777777" w:rsidR="00B75ACA" w:rsidRPr="00EA0A36" w:rsidRDefault="00B75ACA" w:rsidP="003D3CA7">
            <w:pPr>
              <w:pStyle w:val="TableColHeadingCenter"/>
              <w:spacing w:before="10" w:after="10"/>
            </w:pPr>
            <w:r w:rsidRPr="00EA0A36">
              <w:t>State (2023)</w:t>
            </w:r>
          </w:p>
        </w:tc>
        <w:tc>
          <w:tcPr>
            <w:tcW w:w="315" w:type="pct"/>
            <w:tcMar>
              <w:left w:w="14" w:type="dxa"/>
              <w:right w:w="14" w:type="dxa"/>
            </w:tcMar>
            <w:vAlign w:val="center"/>
          </w:tcPr>
          <w:p w14:paraId="6C906654" w14:textId="77777777" w:rsidR="00B75ACA" w:rsidRPr="00EA0A36" w:rsidRDefault="00B75ACA" w:rsidP="003D3CA7">
            <w:pPr>
              <w:pStyle w:val="TableColHeadingCenter"/>
              <w:spacing w:before="10" w:after="10"/>
            </w:pPr>
            <w:r w:rsidRPr="00EA0A36">
              <w:t>2022</w:t>
            </w:r>
          </w:p>
        </w:tc>
        <w:tc>
          <w:tcPr>
            <w:tcW w:w="348" w:type="pct"/>
            <w:tcMar>
              <w:left w:w="14" w:type="dxa"/>
              <w:right w:w="14" w:type="dxa"/>
            </w:tcMar>
            <w:vAlign w:val="center"/>
          </w:tcPr>
          <w:p w14:paraId="7AB284B8" w14:textId="77777777" w:rsidR="00B75ACA" w:rsidRPr="00EA0A36" w:rsidRDefault="00B75ACA" w:rsidP="003D3CA7">
            <w:pPr>
              <w:pStyle w:val="TableColHeadingCenter"/>
              <w:spacing w:before="10" w:after="10"/>
            </w:pPr>
            <w:r w:rsidRPr="00EA0A36">
              <w:t>2023</w:t>
            </w:r>
          </w:p>
        </w:tc>
        <w:tc>
          <w:tcPr>
            <w:tcW w:w="486" w:type="pct"/>
            <w:tcMar>
              <w:left w:w="14" w:type="dxa"/>
              <w:right w:w="14" w:type="dxa"/>
            </w:tcMar>
            <w:vAlign w:val="center"/>
          </w:tcPr>
          <w:p w14:paraId="2D9A8FBD" w14:textId="77777777" w:rsidR="00B75ACA" w:rsidRPr="00EA0A36" w:rsidRDefault="00B75ACA" w:rsidP="003D3CA7">
            <w:pPr>
              <w:pStyle w:val="TableColHeadingCenter"/>
              <w:spacing w:before="10" w:after="10"/>
            </w:pPr>
            <w:r w:rsidRPr="00EA0A36">
              <w:t>State (2023)</w:t>
            </w:r>
          </w:p>
        </w:tc>
        <w:tc>
          <w:tcPr>
            <w:tcW w:w="337" w:type="pct"/>
            <w:tcMar>
              <w:left w:w="14" w:type="dxa"/>
              <w:right w:w="14" w:type="dxa"/>
            </w:tcMar>
            <w:vAlign w:val="center"/>
          </w:tcPr>
          <w:p w14:paraId="1D891A1B" w14:textId="77777777" w:rsidR="00B75ACA" w:rsidRPr="00EA0A36" w:rsidRDefault="00B75ACA" w:rsidP="003D3CA7">
            <w:pPr>
              <w:pStyle w:val="TableColHeadingCenter"/>
              <w:spacing w:before="10" w:after="10"/>
            </w:pPr>
            <w:r w:rsidRPr="00EA0A36">
              <w:t>2022</w:t>
            </w:r>
          </w:p>
        </w:tc>
        <w:tc>
          <w:tcPr>
            <w:tcW w:w="330" w:type="pct"/>
            <w:tcMar>
              <w:left w:w="14" w:type="dxa"/>
              <w:right w:w="14" w:type="dxa"/>
            </w:tcMar>
            <w:vAlign w:val="center"/>
          </w:tcPr>
          <w:p w14:paraId="2FBB4C7C" w14:textId="77777777" w:rsidR="00B75ACA" w:rsidRPr="00EA0A36" w:rsidRDefault="00B75ACA" w:rsidP="003D3CA7">
            <w:pPr>
              <w:pStyle w:val="TableColHeadingCenter"/>
              <w:spacing w:before="10" w:after="10"/>
            </w:pPr>
            <w:r w:rsidRPr="00EA0A36">
              <w:t>2023</w:t>
            </w:r>
          </w:p>
        </w:tc>
        <w:tc>
          <w:tcPr>
            <w:tcW w:w="549" w:type="pct"/>
            <w:tcMar>
              <w:left w:w="14" w:type="dxa"/>
              <w:right w:w="14" w:type="dxa"/>
            </w:tcMar>
            <w:vAlign w:val="center"/>
          </w:tcPr>
          <w:p w14:paraId="3F72003F" w14:textId="77777777" w:rsidR="00B75ACA" w:rsidRPr="00EA0A36" w:rsidRDefault="00B75ACA" w:rsidP="003D3CA7">
            <w:pPr>
              <w:pStyle w:val="TableColHeadingCenter"/>
              <w:spacing w:before="10" w:after="10"/>
            </w:pPr>
            <w:r w:rsidRPr="00EA0A36">
              <w:t>State (2023)</w:t>
            </w:r>
          </w:p>
        </w:tc>
      </w:tr>
      <w:tr w:rsidR="003D3CA7" w:rsidRPr="003979D4" w14:paraId="73D70036"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3BB6F3A1"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All</w:t>
            </w:r>
          </w:p>
        </w:tc>
        <w:tc>
          <w:tcPr>
            <w:tcW w:w="411" w:type="pct"/>
            <w:vAlign w:val="center"/>
          </w:tcPr>
          <w:p w14:paraId="74AD4D3D"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270</w:t>
            </w:r>
          </w:p>
        </w:tc>
        <w:tc>
          <w:tcPr>
            <w:tcW w:w="328" w:type="pct"/>
            <w:vAlign w:val="center"/>
          </w:tcPr>
          <w:p w14:paraId="377910A0"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90</w:t>
            </w:r>
          </w:p>
        </w:tc>
        <w:tc>
          <w:tcPr>
            <w:tcW w:w="337" w:type="pct"/>
            <w:vAlign w:val="center"/>
          </w:tcPr>
          <w:p w14:paraId="3A7FA085"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87</w:t>
            </w:r>
          </w:p>
        </w:tc>
        <w:tc>
          <w:tcPr>
            <w:tcW w:w="462" w:type="pct"/>
            <w:vAlign w:val="center"/>
          </w:tcPr>
          <w:p w14:paraId="4D3DD25A"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58</w:t>
            </w:r>
          </w:p>
        </w:tc>
        <w:tc>
          <w:tcPr>
            <w:tcW w:w="315" w:type="pct"/>
            <w:vAlign w:val="center"/>
          </w:tcPr>
          <w:p w14:paraId="57BB9DD6"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9</w:t>
            </w:r>
          </w:p>
        </w:tc>
        <w:tc>
          <w:tcPr>
            <w:tcW w:w="348" w:type="pct"/>
            <w:vAlign w:val="center"/>
          </w:tcPr>
          <w:p w14:paraId="53A2FE19"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11</w:t>
            </w:r>
          </w:p>
        </w:tc>
        <w:tc>
          <w:tcPr>
            <w:tcW w:w="486" w:type="pct"/>
            <w:vAlign w:val="center"/>
          </w:tcPr>
          <w:p w14:paraId="2EFAD961"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30</w:t>
            </w:r>
          </w:p>
        </w:tc>
        <w:tc>
          <w:tcPr>
            <w:tcW w:w="337" w:type="pct"/>
            <w:vAlign w:val="center"/>
          </w:tcPr>
          <w:p w14:paraId="68721EF9"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w:t>
            </w:r>
          </w:p>
        </w:tc>
        <w:tc>
          <w:tcPr>
            <w:tcW w:w="330" w:type="pct"/>
            <w:vAlign w:val="center"/>
          </w:tcPr>
          <w:p w14:paraId="7D1B3442"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w:t>
            </w:r>
          </w:p>
        </w:tc>
        <w:tc>
          <w:tcPr>
            <w:tcW w:w="549" w:type="pct"/>
            <w:vAlign w:val="bottom"/>
          </w:tcPr>
          <w:p w14:paraId="17B0C735"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11</w:t>
            </w:r>
          </w:p>
        </w:tc>
      </w:tr>
      <w:tr w:rsidR="003D3CA7" w:rsidRPr="003979D4" w14:paraId="0C0420C8" w14:textId="77777777" w:rsidTr="003D3CA7">
        <w:tc>
          <w:tcPr>
            <w:tcW w:w="1096" w:type="pct"/>
          </w:tcPr>
          <w:p w14:paraId="1A300E28"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1" w:type="pct"/>
            <w:vAlign w:val="center"/>
          </w:tcPr>
          <w:p w14:paraId="409BD5CB" w14:textId="77777777" w:rsidR="00B75ACA" w:rsidRPr="000554E6" w:rsidRDefault="00B75ACA" w:rsidP="003D3CA7">
            <w:pPr>
              <w:pStyle w:val="TableTextCentered"/>
              <w:spacing w:before="10" w:after="10"/>
              <w:rPr>
                <w:rFonts w:ascii="Franklin Gothic Book" w:hAnsi="Franklin Gothic Book"/>
              </w:rPr>
            </w:pPr>
            <w:r>
              <w:rPr>
                <w:rFonts w:ascii="Franklin Gothic Book" w:hAnsi="Franklin Gothic Book"/>
              </w:rPr>
              <w:t>7</w:t>
            </w:r>
          </w:p>
        </w:tc>
        <w:tc>
          <w:tcPr>
            <w:tcW w:w="328" w:type="pct"/>
            <w:vAlign w:val="center"/>
          </w:tcPr>
          <w:p w14:paraId="3565AE9A" w14:textId="76977A35"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18E82C54" w14:textId="2C383273"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62" w:type="pct"/>
            <w:vAlign w:val="center"/>
          </w:tcPr>
          <w:p w14:paraId="1DF958F3"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42</w:t>
            </w:r>
          </w:p>
        </w:tc>
        <w:tc>
          <w:tcPr>
            <w:tcW w:w="315" w:type="pct"/>
            <w:vAlign w:val="center"/>
          </w:tcPr>
          <w:p w14:paraId="01D6323B" w14:textId="02F42E89"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48" w:type="pct"/>
            <w:vAlign w:val="center"/>
          </w:tcPr>
          <w:p w14:paraId="1151ADA5" w14:textId="6CA9FF8E"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86" w:type="pct"/>
            <w:vAlign w:val="center"/>
          </w:tcPr>
          <w:p w14:paraId="057F4CDE"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41</w:t>
            </w:r>
          </w:p>
        </w:tc>
        <w:tc>
          <w:tcPr>
            <w:tcW w:w="337" w:type="pct"/>
            <w:vAlign w:val="center"/>
          </w:tcPr>
          <w:p w14:paraId="7FB4946C" w14:textId="50BDD6DC"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4DAEE0C7" w14:textId="1DE89276"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549" w:type="pct"/>
            <w:vAlign w:val="bottom"/>
          </w:tcPr>
          <w:p w14:paraId="48F221B6"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17</w:t>
            </w:r>
          </w:p>
        </w:tc>
      </w:tr>
      <w:tr w:rsidR="003D3CA7" w:rsidRPr="003979D4" w14:paraId="18829074"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156A4E15"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Asian</w:t>
            </w:r>
          </w:p>
        </w:tc>
        <w:tc>
          <w:tcPr>
            <w:tcW w:w="411" w:type="pct"/>
            <w:vAlign w:val="center"/>
          </w:tcPr>
          <w:p w14:paraId="2A4242AA"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14</w:t>
            </w:r>
          </w:p>
        </w:tc>
        <w:tc>
          <w:tcPr>
            <w:tcW w:w="328" w:type="pct"/>
            <w:vAlign w:val="center"/>
          </w:tcPr>
          <w:p w14:paraId="4B042EBA" w14:textId="7E4778DA"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7A816D88"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93</w:t>
            </w:r>
          </w:p>
        </w:tc>
        <w:tc>
          <w:tcPr>
            <w:tcW w:w="462" w:type="pct"/>
            <w:vAlign w:val="center"/>
          </w:tcPr>
          <w:p w14:paraId="5254040C"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79</w:t>
            </w:r>
          </w:p>
        </w:tc>
        <w:tc>
          <w:tcPr>
            <w:tcW w:w="315" w:type="pct"/>
            <w:vAlign w:val="center"/>
          </w:tcPr>
          <w:p w14:paraId="7C2C341F" w14:textId="16F4480C"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48" w:type="pct"/>
            <w:vAlign w:val="center"/>
          </w:tcPr>
          <w:p w14:paraId="46D87B74"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7</w:t>
            </w:r>
          </w:p>
        </w:tc>
        <w:tc>
          <w:tcPr>
            <w:tcW w:w="486" w:type="pct"/>
            <w:vAlign w:val="center"/>
          </w:tcPr>
          <w:p w14:paraId="7A04E415"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16</w:t>
            </w:r>
          </w:p>
        </w:tc>
        <w:tc>
          <w:tcPr>
            <w:tcW w:w="337" w:type="pct"/>
            <w:vAlign w:val="center"/>
          </w:tcPr>
          <w:p w14:paraId="28AEFCC1" w14:textId="347CA9C9"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5C234D28"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0</w:t>
            </w:r>
          </w:p>
        </w:tc>
        <w:tc>
          <w:tcPr>
            <w:tcW w:w="549" w:type="pct"/>
            <w:vAlign w:val="bottom"/>
          </w:tcPr>
          <w:p w14:paraId="5153D797"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5</w:t>
            </w:r>
          </w:p>
        </w:tc>
      </w:tr>
      <w:tr w:rsidR="003D3CA7" w:rsidRPr="003979D4" w14:paraId="71E4A1D1" w14:textId="77777777" w:rsidTr="003D3CA7">
        <w:tc>
          <w:tcPr>
            <w:tcW w:w="1096" w:type="pct"/>
          </w:tcPr>
          <w:p w14:paraId="63EC6863"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Hispanic/Latino</w:t>
            </w:r>
          </w:p>
        </w:tc>
        <w:tc>
          <w:tcPr>
            <w:tcW w:w="411" w:type="pct"/>
            <w:vAlign w:val="center"/>
          </w:tcPr>
          <w:p w14:paraId="7F6D8B48"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13</w:t>
            </w:r>
          </w:p>
        </w:tc>
        <w:tc>
          <w:tcPr>
            <w:tcW w:w="328" w:type="pct"/>
            <w:vAlign w:val="center"/>
          </w:tcPr>
          <w:p w14:paraId="288549E3" w14:textId="2D8A4B0E"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1C703F57"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62</w:t>
            </w:r>
          </w:p>
        </w:tc>
        <w:tc>
          <w:tcPr>
            <w:tcW w:w="462" w:type="pct"/>
            <w:vAlign w:val="center"/>
          </w:tcPr>
          <w:p w14:paraId="193AB716"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36</w:t>
            </w:r>
          </w:p>
        </w:tc>
        <w:tc>
          <w:tcPr>
            <w:tcW w:w="315" w:type="pct"/>
            <w:vAlign w:val="center"/>
          </w:tcPr>
          <w:p w14:paraId="7C8E8F98" w14:textId="2D6E130E"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48" w:type="pct"/>
            <w:vAlign w:val="center"/>
          </w:tcPr>
          <w:p w14:paraId="0427BACD"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31</w:t>
            </w:r>
          </w:p>
        </w:tc>
        <w:tc>
          <w:tcPr>
            <w:tcW w:w="486" w:type="pct"/>
            <w:vAlign w:val="center"/>
          </w:tcPr>
          <w:p w14:paraId="0335F243"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39</w:t>
            </w:r>
          </w:p>
        </w:tc>
        <w:tc>
          <w:tcPr>
            <w:tcW w:w="337" w:type="pct"/>
            <w:vAlign w:val="center"/>
          </w:tcPr>
          <w:p w14:paraId="479BB920" w14:textId="72DDD80D"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3C19D0BA"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8</w:t>
            </w:r>
          </w:p>
        </w:tc>
        <w:tc>
          <w:tcPr>
            <w:tcW w:w="549" w:type="pct"/>
            <w:vAlign w:val="bottom"/>
          </w:tcPr>
          <w:p w14:paraId="456940B8"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24</w:t>
            </w:r>
          </w:p>
        </w:tc>
      </w:tr>
      <w:tr w:rsidR="003D3CA7" w:rsidRPr="003979D4" w14:paraId="1EFA5E6E"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6B20B9FF"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1" w:type="pct"/>
            <w:vAlign w:val="center"/>
          </w:tcPr>
          <w:p w14:paraId="618C5B34"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10</w:t>
            </w:r>
          </w:p>
        </w:tc>
        <w:tc>
          <w:tcPr>
            <w:tcW w:w="328" w:type="pct"/>
            <w:vAlign w:val="center"/>
          </w:tcPr>
          <w:p w14:paraId="6093C590" w14:textId="43B64E01"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200EFFD4"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90</w:t>
            </w:r>
          </w:p>
        </w:tc>
        <w:tc>
          <w:tcPr>
            <w:tcW w:w="462" w:type="pct"/>
            <w:vAlign w:val="center"/>
          </w:tcPr>
          <w:p w14:paraId="7A792BAC"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63</w:t>
            </w:r>
          </w:p>
        </w:tc>
        <w:tc>
          <w:tcPr>
            <w:tcW w:w="315" w:type="pct"/>
            <w:vAlign w:val="center"/>
          </w:tcPr>
          <w:p w14:paraId="158D6684" w14:textId="43DB49C4"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48" w:type="pct"/>
            <w:vAlign w:val="center"/>
          </w:tcPr>
          <w:p w14:paraId="6CA28156"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0</w:t>
            </w:r>
          </w:p>
        </w:tc>
        <w:tc>
          <w:tcPr>
            <w:tcW w:w="486" w:type="pct"/>
            <w:vAlign w:val="center"/>
          </w:tcPr>
          <w:p w14:paraId="3148A09A"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29</w:t>
            </w:r>
          </w:p>
        </w:tc>
        <w:tc>
          <w:tcPr>
            <w:tcW w:w="337" w:type="pct"/>
            <w:vAlign w:val="center"/>
          </w:tcPr>
          <w:p w14:paraId="4A45FE33" w14:textId="4EA9B008"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7A35C497"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10</w:t>
            </w:r>
          </w:p>
        </w:tc>
        <w:tc>
          <w:tcPr>
            <w:tcW w:w="549" w:type="pct"/>
            <w:vAlign w:val="bottom"/>
          </w:tcPr>
          <w:p w14:paraId="7BC3BB6E"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9</w:t>
            </w:r>
          </w:p>
        </w:tc>
      </w:tr>
      <w:tr w:rsidR="003D3CA7" w:rsidRPr="003979D4" w14:paraId="46505FF2" w14:textId="77777777" w:rsidTr="003D3CA7">
        <w:tc>
          <w:tcPr>
            <w:tcW w:w="1096" w:type="pct"/>
          </w:tcPr>
          <w:p w14:paraId="060551FE"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Native American</w:t>
            </w:r>
          </w:p>
        </w:tc>
        <w:tc>
          <w:tcPr>
            <w:tcW w:w="411" w:type="pct"/>
            <w:vAlign w:val="center"/>
          </w:tcPr>
          <w:p w14:paraId="15274150" w14:textId="77777777" w:rsidR="00B75ACA" w:rsidRPr="000554E6" w:rsidRDefault="00B75ACA" w:rsidP="003D3CA7">
            <w:pPr>
              <w:pStyle w:val="TableTextCentered"/>
              <w:spacing w:before="10" w:after="10"/>
              <w:rPr>
                <w:rFonts w:ascii="Franklin Gothic Book" w:hAnsi="Franklin Gothic Book"/>
              </w:rPr>
            </w:pPr>
            <w:r>
              <w:rPr>
                <w:rFonts w:ascii="Franklin Gothic Book" w:hAnsi="Franklin Gothic Book"/>
              </w:rPr>
              <w:t>1</w:t>
            </w:r>
          </w:p>
        </w:tc>
        <w:tc>
          <w:tcPr>
            <w:tcW w:w="328" w:type="pct"/>
            <w:vAlign w:val="center"/>
          </w:tcPr>
          <w:p w14:paraId="1E014AD8" w14:textId="5ED2F5DA"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32A0FD76" w14:textId="5E2E88F4"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62" w:type="pct"/>
            <w:vAlign w:val="center"/>
          </w:tcPr>
          <w:p w14:paraId="65286C29"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42</w:t>
            </w:r>
          </w:p>
        </w:tc>
        <w:tc>
          <w:tcPr>
            <w:tcW w:w="315" w:type="pct"/>
            <w:vAlign w:val="center"/>
          </w:tcPr>
          <w:p w14:paraId="5ACA47FF" w14:textId="3A48F3E6"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48" w:type="pct"/>
            <w:vAlign w:val="center"/>
          </w:tcPr>
          <w:p w14:paraId="1D38D915" w14:textId="1BC190AE"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86" w:type="pct"/>
            <w:vAlign w:val="center"/>
          </w:tcPr>
          <w:p w14:paraId="28ECAD22"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41</w:t>
            </w:r>
          </w:p>
        </w:tc>
        <w:tc>
          <w:tcPr>
            <w:tcW w:w="337" w:type="pct"/>
            <w:vAlign w:val="center"/>
          </w:tcPr>
          <w:p w14:paraId="1ABAB52A" w14:textId="6BD819AE"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07C4CE80" w14:textId="5C5E2A6F"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549" w:type="pct"/>
            <w:vAlign w:val="bottom"/>
          </w:tcPr>
          <w:p w14:paraId="2432A77E"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18</w:t>
            </w:r>
          </w:p>
        </w:tc>
      </w:tr>
      <w:tr w:rsidR="003D3CA7" w:rsidRPr="003979D4" w14:paraId="04EB0D21"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147D9238" w14:textId="77777777" w:rsidR="00B75ACA" w:rsidRPr="00350442" w:rsidRDefault="00B75ACA" w:rsidP="003D3CA7">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1" w:type="pct"/>
            <w:vAlign w:val="center"/>
          </w:tcPr>
          <w:p w14:paraId="305F36E0" w14:textId="238ED8D7"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28" w:type="pct"/>
            <w:vAlign w:val="center"/>
          </w:tcPr>
          <w:p w14:paraId="4FC9029F" w14:textId="3A2174E4"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6D766008" w14:textId="308E1EEE"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62" w:type="pct"/>
            <w:vAlign w:val="center"/>
          </w:tcPr>
          <w:p w14:paraId="714EFDAD"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41</w:t>
            </w:r>
          </w:p>
        </w:tc>
        <w:tc>
          <w:tcPr>
            <w:tcW w:w="315" w:type="pct"/>
            <w:vAlign w:val="center"/>
          </w:tcPr>
          <w:p w14:paraId="7E66CFE7" w14:textId="57454A9B"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48" w:type="pct"/>
            <w:vAlign w:val="center"/>
          </w:tcPr>
          <w:p w14:paraId="4942CD13" w14:textId="184BF45A"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86" w:type="pct"/>
            <w:vAlign w:val="center"/>
          </w:tcPr>
          <w:p w14:paraId="22C22AFF"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47</w:t>
            </w:r>
          </w:p>
        </w:tc>
        <w:tc>
          <w:tcPr>
            <w:tcW w:w="337" w:type="pct"/>
            <w:vAlign w:val="center"/>
          </w:tcPr>
          <w:p w14:paraId="0DF82AFE" w14:textId="34E9E495"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04960827" w14:textId="0BF2F156"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549" w:type="pct"/>
            <w:vAlign w:val="bottom"/>
          </w:tcPr>
          <w:p w14:paraId="0AC36449"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11</w:t>
            </w:r>
          </w:p>
        </w:tc>
      </w:tr>
      <w:tr w:rsidR="003D3CA7" w:rsidRPr="003979D4" w14:paraId="5414630F" w14:textId="77777777" w:rsidTr="003D3CA7">
        <w:tc>
          <w:tcPr>
            <w:tcW w:w="1096" w:type="pct"/>
          </w:tcPr>
          <w:p w14:paraId="48635ED7"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White</w:t>
            </w:r>
          </w:p>
        </w:tc>
        <w:tc>
          <w:tcPr>
            <w:tcW w:w="411" w:type="pct"/>
            <w:vAlign w:val="center"/>
          </w:tcPr>
          <w:p w14:paraId="273A2C42"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225</w:t>
            </w:r>
          </w:p>
        </w:tc>
        <w:tc>
          <w:tcPr>
            <w:tcW w:w="328" w:type="pct"/>
            <w:vAlign w:val="center"/>
          </w:tcPr>
          <w:p w14:paraId="7DC0A4C2"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92</w:t>
            </w:r>
          </w:p>
        </w:tc>
        <w:tc>
          <w:tcPr>
            <w:tcW w:w="337" w:type="pct"/>
            <w:vAlign w:val="center"/>
          </w:tcPr>
          <w:p w14:paraId="627D9CF0"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88</w:t>
            </w:r>
          </w:p>
        </w:tc>
        <w:tc>
          <w:tcPr>
            <w:tcW w:w="462" w:type="pct"/>
            <w:vAlign w:val="center"/>
          </w:tcPr>
          <w:p w14:paraId="07FA83C6"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67</w:t>
            </w:r>
          </w:p>
        </w:tc>
        <w:tc>
          <w:tcPr>
            <w:tcW w:w="315" w:type="pct"/>
            <w:vAlign w:val="center"/>
          </w:tcPr>
          <w:p w14:paraId="309DFB94"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7</w:t>
            </w:r>
          </w:p>
        </w:tc>
        <w:tc>
          <w:tcPr>
            <w:tcW w:w="348" w:type="pct"/>
            <w:vAlign w:val="center"/>
          </w:tcPr>
          <w:p w14:paraId="37C91C88"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10</w:t>
            </w:r>
          </w:p>
        </w:tc>
        <w:tc>
          <w:tcPr>
            <w:tcW w:w="486" w:type="pct"/>
            <w:vAlign w:val="center"/>
          </w:tcPr>
          <w:p w14:paraId="395856FD"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27</w:t>
            </w:r>
          </w:p>
        </w:tc>
        <w:tc>
          <w:tcPr>
            <w:tcW w:w="337" w:type="pct"/>
            <w:vAlign w:val="center"/>
          </w:tcPr>
          <w:p w14:paraId="0D0DE9A0"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w:t>
            </w:r>
          </w:p>
        </w:tc>
        <w:tc>
          <w:tcPr>
            <w:tcW w:w="330" w:type="pct"/>
            <w:vAlign w:val="center"/>
          </w:tcPr>
          <w:p w14:paraId="69C85E10"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w:t>
            </w:r>
          </w:p>
        </w:tc>
        <w:tc>
          <w:tcPr>
            <w:tcW w:w="549" w:type="pct"/>
            <w:vAlign w:val="bottom"/>
          </w:tcPr>
          <w:p w14:paraId="46CD7BD5"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6</w:t>
            </w:r>
          </w:p>
        </w:tc>
      </w:tr>
      <w:tr w:rsidR="003D3CA7" w:rsidRPr="003979D4" w14:paraId="6F17A702"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2D2917A2"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High needs</w:t>
            </w:r>
          </w:p>
        </w:tc>
        <w:tc>
          <w:tcPr>
            <w:tcW w:w="411" w:type="pct"/>
            <w:vAlign w:val="center"/>
          </w:tcPr>
          <w:p w14:paraId="1C7C6BE2"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53</w:t>
            </w:r>
          </w:p>
        </w:tc>
        <w:tc>
          <w:tcPr>
            <w:tcW w:w="328" w:type="pct"/>
            <w:vAlign w:val="center"/>
          </w:tcPr>
          <w:p w14:paraId="6C438242"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59</w:t>
            </w:r>
          </w:p>
        </w:tc>
        <w:tc>
          <w:tcPr>
            <w:tcW w:w="337" w:type="pct"/>
            <w:vAlign w:val="center"/>
          </w:tcPr>
          <w:p w14:paraId="74E910EA"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58</w:t>
            </w:r>
          </w:p>
        </w:tc>
        <w:tc>
          <w:tcPr>
            <w:tcW w:w="462" w:type="pct"/>
            <w:vAlign w:val="center"/>
          </w:tcPr>
          <w:p w14:paraId="2C3AD36D"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37</w:t>
            </w:r>
          </w:p>
        </w:tc>
        <w:tc>
          <w:tcPr>
            <w:tcW w:w="315" w:type="pct"/>
            <w:vAlign w:val="center"/>
          </w:tcPr>
          <w:p w14:paraId="67CDBE28"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33</w:t>
            </w:r>
          </w:p>
        </w:tc>
        <w:tc>
          <w:tcPr>
            <w:tcW w:w="348" w:type="pct"/>
            <w:vAlign w:val="center"/>
          </w:tcPr>
          <w:p w14:paraId="5B050242"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30</w:t>
            </w:r>
          </w:p>
        </w:tc>
        <w:tc>
          <w:tcPr>
            <w:tcW w:w="486" w:type="pct"/>
            <w:vAlign w:val="center"/>
          </w:tcPr>
          <w:p w14:paraId="6A34963C"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42</w:t>
            </w:r>
          </w:p>
        </w:tc>
        <w:tc>
          <w:tcPr>
            <w:tcW w:w="337" w:type="pct"/>
            <w:vAlign w:val="center"/>
          </w:tcPr>
          <w:p w14:paraId="7E746A16"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9</w:t>
            </w:r>
          </w:p>
        </w:tc>
        <w:tc>
          <w:tcPr>
            <w:tcW w:w="330" w:type="pct"/>
            <w:vAlign w:val="center"/>
          </w:tcPr>
          <w:p w14:paraId="5316DC94"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11</w:t>
            </w:r>
          </w:p>
        </w:tc>
        <w:tc>
          <w:tcPr>
            <w:tcW w:w="549" w:type="pct"/>
            <w:vAlign w:val="bottom"/>
          </w:tcPr>
          <w:p w14:paraId="2F190D15"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21</w:t>
            </w:r>
          </w:p>
        </w:tc>
      </w:tr>
      <w:tr w:rsidR="003D3CA7" w:rsidRPr="003979D4" w14:paraId="76D20F5F" w14:textId="77777777" w:rsidTr="003D3CA7">
        <w:tc>
          <w:tcPr>
            <w:tcW w:w="1096" w:type="pct"/>
          </w:tcPr>
          <w:p w14:paraId="796EE365"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Low income</w:t>
            </w:r>
          </w:p>
        </w:tc>
        <w:tc>
          <w:tcPr>
            <w:tcW w:w="411" w:type="pct"/>
            <w:vAlign w:val="center"/>
          </w:tcPr>
          <w:p w14:paraId="2E169AA5"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30</w:t>
            </w:r>
          </w:p>
        </w:tc>
        <w:tc>
          <w:tcPr>
            <w:tcW w:w="328" w:type="pct"/>
            <w:vAlign w:val="center"/>
          </w:tcPr>
          <w:p w14:paraId="343776A5"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74</w:t>
            </w:r>
          </w:p>
        </w:tc>
        <w:tc>
          <w:tcPr>
            <w:tcW w:w="337" w:type="pct"/>
            <w:vAlign w:val="center"/>
          </w:tcPr>
          <w:p w14:paraId="4ECF7574"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67</w:t>
            </w:r>
          </w:p>
        </w:tc>
        <w:tc>
          <w:tcPr>
            <w:tcW w:w="462" w:type="pct"/>
            <w:vAlign w:val="center"/>
          </w:tcPr>
          <w:p w14:paraId="07D9B0FF"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39</w:t>
            </w:r>
          </w:p>
        </w:tc>
        <w:tc>
          <w:tcPr>
            <w:tcW w:w="315" w:type="pct"/>
            <w:vAlign w:val="center"/>
          </w:tcPr>
          <w:p w14:paraId="4567CF8C"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19</w:t>
            </w:r>
          </w:p>
        </w:tc>
        <w:tc>
          <w:tcPr>
            <w:tcW w:w="348" w:type="pct"/>
            <w:vAlign w:val="center"/>
          </w:tcPr>
          <w:p w14:paraId="3A920E71"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30</w:t>
            </w:r>
          </w:p>
        </w:tc>
        <w:tc>
          <w:tcPr>
            <w:tcW w:w="486" w:type="pct"/>
            <w:vAlign w:val="center"/>
          </w:tcPr>
          <w:p w14:paraId="1040E410"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40</w:t>
            </w:r>
          </w:p>
        </w:tc>
        <w:tc>
          <w:tcPr>
            <w:tcW w:w="337" w:type="pct"/>
            <w:vAlign w:val="center"/>
          </w:tcPr>
          <w:p w14:paraId="2479F994"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7</w:t>
            </w:r>
          </w:p>
        </w:tc>
        <w:tc>
          <w:tcPr>
            <w:tcW w:w="330" w:type="pct"/>
            <w:vAlign w:val="center"/>
          </w:tcPr>
          <w:p w14:paraId="76686C58"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w:t>
            </w:r>
          </w:p>
        </w:tc>
        <w:tc>
          <w:tcPr>
            <w:tcW w:w="549" w:type="pct"/>
            <w:vAlign w:val="bottom"/>
          </w:tcPr>
          <w:p w14:paraId="1F11540C"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21</w:t>
            </w:r>
          </w:p>
        </w:tc>
      </w:tr>
      <w:tr w:rsidR="003D3CA7" w:rsidRPr="003979D4" w14:paraId="479D2F9F"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73A4A67F" w14:textId="77777777" w:rsidR="00B75ACA" w:rsidRPr="00350442" w:rsidRDefault="00B75ACA" w:rsidP="003D3CA7">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1" w:type="pct"/>
            <w:vAlign w:val="center"/>
          </w:tcPr>
          <w:p w14:paraId="0E944110" w14:textId="77777777" w:rsidR="00B75ACA" w:rsidRPr="000554E6" w:rsidRDefault="00B75ACA" w:rsidP="003D3CA7">
            <w:pPr>
              <w:pStyle w:val="TableTextCentered"/>
              <w:spacing w:before="10" w:after="10"/>
              <w:rPr>
                <w:rFonts w:ascii="Franklin Gothic Book" w:hAnsi="Franklin Gothic Book"/>
              </w:rPr>
            </w:pPr>
            <w:r>
              <w:rPr>
                <w:rFonts w:ascii="Franklin Gothic Book" w:hAnsi="Franklin Gothic Book"/>
              </w:rPr>
              <w:t>2</w:t>
            </w:r>
          </w:p>
        </w:tc>
        <w:tc>
          <w:tcPr>
            <w:tcW w:w="328" w:type="pct"/>
            <w:vAlign w:val="center"/>
          </w:tcPr>
          <w:p w14:paraId="6890BE14" w14:textId="0221357B"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13D8F91C" w14:textId="4F0D5CDD"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62" w:type="pct"/>
            <w:vAlign w:val="center"/>
          </w:tcPr>
          <w:p w14:paraId="05D9539C"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16</w:t>
            </w:r>
          </w:p>
        </w:tc>
        <w:tc>
          <w:tcPr>
            <w:tcW w:w="315" w:type="pct"/>
            <w:vAlign w:val="center"/>
          </w:tcPr>
          <w:p w14:paraId="7D693021" w14:textId="4EB0786E"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48" w:type="pct"/>
            <w:vAlign w:val="center"/>
          </w:tcPr>
          <w:p w14:paraId="4768657D" w14:textId="63090540"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86" w:type="pct"/>
            <w:vAlign w:val="center"/>
          </w:tcPr>
          <w:p w14:paraId="0B0A3DDC"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39</w:t>
            </w:r>
          </w:p>
        </w:tc>
        <w:tc>
          <w:tcPr>
            <w:tcW w:w="337" w:type="pct"/>
            <w:vAlign w:val="center"/>
          </w:tcPr>
          <w:p w14:paraId="22F3E569" w14:textId="6C1B5AAA"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01B4A160" w14:textId="7072139B" w:rsidR="00B75ACA" w:rsidRPr="000554E6"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549" w:type="pct"/>
            <w:vAlign w:val="bottom"/>
          </w:tcPr>
          <w:p w14:paraId="099F8425"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45</w:t>
            </w:r>
          </w:p>
        </w:tc>
      </w:tr>
      <w:tr w:rsidR="003D3CA7" w:rsidRPr="003979D4" w14:paraId="002B0588" w14:textId="77777777" w:rsidTr="003D3CA7">
        <w:tc>
          <w:tcPr>
            <w:tcW w:w="1096" w:type="pct"/>
          </w:tcPr>
          <w:p w14:paraId="7438CFB9"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1" w:type="pct"/>
            <w:vAlign w:val="center"/>
          </w:tcPr>
          <w:p w14:paraId="4285EF7B"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29</w:t>
            </w:r>
          </w:p>
        </w:tc>
        <w:tc>
          <w:tcPr>
            <w:tcW w:w="328" w:type="pct"/>
            <w:vAlign w:val="center"/>
          </w:tcPr>
          <w:p w14:paraId="27412484"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38</w:t>
            </w:r>
          </w:p>
        </w:tc>
        <w:tc>
          <w:tcPr>
            <w:tcW w:w="337" w:type="pct"/>
            <w:vAlign w:val="center"/>
          </w:tcPr>
          <w:p w14:paraId="0922A5D6"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45</w:t>
            </w:r>
          </w:p>
        </w:tc>
        <w:tc>
          <w:tcPr>
            <w:tcW w:w="462" w:type="pct"/>
            <w:vAlign w:val="center"/>
          </w:tcPr>
          <w:p w14:paraId="1140B9F8"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22</w:t>
            </w:r>
          </w:p>
        </w:tc>
        <w:tc>
          <w:tcPr>
            <w:tcW w:w="315" w:type="pct"/>
            <w:vAlign w:val="center"/>
          </w:tcPr>
          <w:p w14:paraId="7B2B0D8C"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46</w:t>
            </w:r>
          </w:p>
        </w:tc>
        <w:tc>
          <w:tcPr>
            <w:tcW w:w="348" w:type="pct"/>
            <w:vAlign w:val="center"/>
          </w:tcPr>
          <w:p w14:paraId="3DB3A560"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34</w:t>
            </w:r>
          </w:p>
        </w:tc>
        <w:tc>
          <w:tcPr>
            <w:tcW w:w="486" w:type="pct"/>
            <w:vAlign w:val="center"/>
          </w:tcPr>
          <w:p w14:paraId="2FDC34E9"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47</w:t>
            </w:r>
          </w:p>
        </w:tc>
        <w:tc>
          <w:tcPr>
            <w:tcW w:w="337" w:type="pct"/>
            <w:vAlign w:val="center"/>
          </w:tcPr>
          <w:p w14:paraId="2DE68ABD"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17</w:t>
            </w:r>
          </w:p>
        </w:tc>
        <w:tc>
          <w:tcPr>
            <w:tcW w:w="330" w:type="pct"/>
            <w:vAlign w:val="center"/>
          </w:tcPr>
          <w:p w14:paraId="00654211"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21</w:t>
            </w:r>
          </w:p>
        </w:tc>
        <w:tc>
          <w:tcPr>
            <w:tcW w:w="549" w:type="pct"/>
            <w:vAlign w:val="bottom"/>
          </w:tcPr>
          <w:p w14:paraId="47A42BA4" w14:textId="77777777" w:rsidR="00B75ACA" w:rsidRPr="000554E6" w:rsidRDefault="00B75ACA" w:rsidP="003D3CA7">
            <w:pPr>
              <w:pStyle w:val="TableTextCentered"/>
              <w:spacing w:before="10" w:after="10"/>
              <w:rPr>
                <w:rFonts w:ascii="Franklin Gothic Book" w:hAnsi="Franklin Gothic Book"/>
              </w:rPr>
            </w:pPr>
            <w:r w:rsidRPr="000554E6">
              <w:rPr>
                <w:rFonts w:ascii="Franklin Gothic Book" w:hAnsi="Franklin Gothic Book"/>
              </w:rPr>
              <w:t>31</w:t>
            </w:r>
          </w:p>
        </w:tc>
      </w:tr>
    </w:tbl>
    <w:p w14:paraId="0D7FD0D5" w14:textId="77777777" w:rsidR="00B75ACA" w:rsidRDefault="00B75ACA" w:rsidP="00B75ACA">
      <w:pPr>
        <w:pStyle w:val="TableTitle0"/>
      </w:pPr>
      <w:bookmarkStart w:id="192" w:name="_Toc158035170"/>
      <w:r>
        <w:lastRenderedPageBreak/>
        <w:t>T</w:t>
      </w:r>
      <w:r w:rsidRPr="003C1C59">
        <w:t xml:space="preserve">able E3. Next-Generation MCAS Mathematics </w:t>
      </w:r>
      <w:r w:rsidRPr="003979D4">
        <w:t>Achievement by Student Group</w:t>
      </w:r>
      <w:r w:rsidRPr="003C1C59">
        <w:t>, Grades 3-8, 202</w:t>
      </w:r>
      <w:r>
        <w:t>2</w:t>
      </w:r>
      <w:r w:rsidRPr="003C1C59">
        <w:t>-2023</w:t>
      </w:r>
      <w:bookmarkEnd w:id="192"/>
    </w:p>
    <w:tbl>
      <w:tblPr>
        <w:tblStyle w:val="MSVTable1"/>
        <w:tblW w:w="5003" w:type="pct"/>
        <w:tblLook w:val="0420" w:firstRow="1" w:lastRow="0" w:firstColumn="0" w:lastColumn="0" w:noHBand="0" w:noVBand="1"/>
      </w:tblPr>
      <w:tblGrid>
        <w:gridCol w:w="2838"/>
        <w:gridCol w:w="1065"/>
        <w:gridCol w:w="850"/>
        <w:gridCol w:w="873"/>
        <w:gridCol w:w="1197"/>
        <w:gridCol w:w="829"/>
        <w:gridCol w:w="909"/>
        <w:gridCol w:w="1243"/>
        <w:gridCol w:w="873"/>
        <w:gridCol w:w="855"/>
        <w:gridCol w:w="1420"/>
      </w:tblGrid>
      <w:tr w:rsidR="00B75ACA" w:rsidRPr="003979D4" w14:paraId="2FD3E52C" w14:textId="77777777" w:rsidTr="003D3CA7">
        <w:trPr>
          <w:cnfStyle w:val="100000000000" w:firstRow="1" w:lastRow="0" w:firstColumn="0" w:lastColumn="0" w:oddVBand="0" w:evenVBand="0" w:oddHBand="0" w:evenHBand="0" w:firstRowFirstColumn="0" w:firstRowLastColumn="0" w:lastRowFirstColumn="0" w:lastRowLastColumn="0"/>
          <w:tblHeader/>
        </w:trPr>
        <w:tc>
          <w:tcPr>
            <w:tcW w:w="1096" w:type="pct"/>
            <w:vMerge w:val="restart"/>
            <w:vAlign w:val="center"/>
          </w:tcPr>
          <w:p w14:paraId="7B7B251D" w14:textId="77777777" w:rsidR="00B75ACA" w:rsidRPr="00EA0A36" w:rsidRDefault="00B75ACA" w:rsidP="003D3CA7">
            <w:pPr>
              <w:pStyle w:val="TableColHeadingLeft"/>
              <w:spacing w:before="10" w:after="10"/>
              <w:jc w:val="center"/>
            </w:pPr>
            <w:r w:rsidRPr="00EA0A36">
              <w:t>Group</w:t>
            </w:r>
          </w:p>
        </w:tc>
        <w:tc>
          <w:tcPr>
            <w:tcW w:w="411" w:type="pct"/>
            <w:vMerge w:val="restart"/>
            <w:vAlign w:val="center"/>
          </w:tcPr>
          <w:p w14:paraId="3E4BB869" w14:textId="63671838" w:rsidR="00B75ACA" w:rsidRPr="00EA0A36" w:rsidRDefault="00B75ACA" w:rsidP="003D3CA7">
            <w:pPr>
              <w:pStyle w:val="TableColHeadingCenter"/>
              <w:spacing w:before="10" w:after="10"/>
            </w:pPr>
            <w:r>
              <w:t xml:space="preserve"># </w:t>
            </w:r>
            <w:r w:rsidR="008E5BF5">
              <w:t>i</w:t>
            </w:r>
            <w:r>
              <w:t>ncluded</w:t>
            </w:r>
            <w:r w:rsidRPr="00EA0A36">
              <w:t xml:space="preserve"> (2023)</w:t>
            </w:r>
          </w:p>
        </w:tc>
        <w:tc>
          <w:tcPr>
            <w:tcW w:w="1127" w:type="pct"/>
            <w:gridSpan w:val="3"/>
            <w:vAlign w:val="bottom"/>
          </w:tcPr>
          <w:p w14:paraId="79EE6F54" w14:textId="40803A4C" w:rsidR="00B75ACA" w:rsidRPr="00EA0A36" w:rsidRDefault="00B75ACA" w:rsidP="003D3CA7">
            <w:pPr>
              <w:pStyle w:val="TableColHeadingCenter"/>
              <w:spacing w:before="10" w:after="10"/>
            </w:pPr>
            <w:r>
              <w:t>Percent</w:t>
            </w:r>
            <w:r w:rsidR="008E5BF5">
              <w:t>age</w:t>
            </w:r>
            <w:r>
              <w:t xml:space="preserve"> meeting or exceeding expectations</w:t>
            </w:r>
          </w:p>
        </w:tc>
        <w:tc>
          <w:tcPr>
            <w:tcW w:w="1151" w:type="pct"/>
            <w:gridSpan w:val="3"/>
            <w:vAlign w:val="center"/>
          </w:tcPr>
          <w:p w14:paraId="4B31EBE4" w14:textId="4D3743BD" w:rsidR="00B75ACA" w:rsidRPr="00EA0A36" w:rsidRDefault="00B75ACA" w:rsidP="003D3CA7">
            <w:pPr>
              <w:pStyle w:val="TableColHeadingCenter"/>
              <w:spacing w:before="10" w:after="10"/>
            </w:pPr>
            <w:r>
              <w:t>Percent</w:t>
            </w:r>
            <w:r w:rsidR="008E5BF5">
              <w:t>age</w:t>
            </w:r>
            <w:r>
              <w:t xml:space="preserve"> partially meeting expectations</w:t>
            </w:r>
          </w:p>
        </w:tc>
        <w:tc>
          <w:tcPr>
            <w:tcW w:w="1216" w:type="pct"/>
            <w:gridSpan w:val="3"/>
            <w:vAlign w:val="center"/>
          </w:tcPr>
          <w:p w14:paraId="553365C4" w14:textId="4ECCE83A" w:rsidR="00B75ACA" w:rsidRDefault="00B75ACA" w:rsidP="003D3CA7">
            <w:pPr>
              <w:pStyle w:val="TableColHeadingCenter"/>
              <w:spacing w:before="10" w:after="10"/>
            </w:pPr>
            <w:r>
              <w:t>Percent</w:t>
            </w:r>
            <w:r w:rsidR="008E5BF5">
              <w:t>age</w:t>
            </w:r>
            <w:r>
              <w:t xml:space="preserve"> not meeting expectations</w:t>
            </w:r>
          </w:p>
        </w:tc>
      </w:tr>
      <w:tr w:rsidR="003D3CA7" w:rsidRPr="003979D4" w14:paraId="572027AD" w14:textId="77777777" w:rsidTr="003D3CA7">
        <w:trPr>
          <w:cnfStyle w:val="100000000000" w:firstRow="1" w:lastRow="0" w:firstColumn="0" w:lastColumn="0" w:oddVBand="0" w:evenVBand="0" w:oddHBand="0" w:evenHBand="0" w:firstRowFirstColumn="0" w:firstRowLastColumn="0" w:lastRowFirstColumn="0" w:lastRowLastColumn="0"/>
          <w:tblHeader/>
        </w:trPr>
        <w:tc>
          <w:tcPr>
            <w:tcW w:w="1096" w:type="pct"/>
            <w:vMerge/>
            <w:vAlign w:val="bottom"/>
          </w:tcPr>
          <w:p w14:paraId="6F0BA212" w14:textId="77777777" w:rsidR="00B75ACA" w:rsidRPr="00EA0A36" w:rsidRDefault="00B75ACA" w:rsidP="003D3CA7">
            <w:pPr>
              <w:pStyle w:val="TableColHeadingCenter"/>
              <w:spacing w:before="10" w:after="10"/>
            </w:pPr>
          </w:p>
        </w:tc>
        <w:tc>
          <w:tcPr>
            <w:tcW w:w="411" w:type="pct"/>
            <w:vMerge/>
            <w:vAlign w:val="bottom"/>
          </w:tcPr>
          <w:p w14:paraId="2C558B9E" w14:textId="77777777" w:rsidR="00B75ACA" w:rsidRPr="00EA0A36" w:rsidRDefault="00B75ACA" w:rsidP="003D3CA7">
            <w:pPr>
              <w:pStyle w:val="TableColHeadingCenter"/>
              <w:spacing w:before="10" w:after="10"/>
            </w:pPr>
          </w:p>
        </w:tc>
        <w:tc>
          <w:tcPr>
            <w:tcW w:w="328" w:type="pct"/>
            <w:tcMar>
              <w:left w:w="14" w:type="dxa"/>
              <w:right w:w="14" w:type="dxa"/>
            </w:tcMar>
            <w:vAlign w:val="center"/>
          </w:tcPr>
          <w:p w14:paraId="68DA08A2" w14:textId="77777777" w:rsidR="00B75ACA" w:rsidRPr="00EA0A36" w:rsidRDefault="00B75ACA" w:rsidP="003D3CA7">
            <w:pPr>
              <w:pStyle w:val="TableColHeadingCenter"/>
              <w:spacing w:before="10" w:after="10"/>
            </w:pPr>
            <w:r w:rsidRPr="00EA0A36">
              <w:t>2022</w:t>
            </w:r>
          </w:p>
        </w:tc>
        <w:tc>
          <w:tcPr>
            <w:tcW w:w="337" w:type="pct"/>
            <w:tcMar>
              <w:left w:w="14" w:type="dxa"/>
              <w:right w:w="14" w:type="dxa"/>
            </w:tcMar>
            <w:vAlign w:val="center"/>
          </w:tcPr>
          <w:p w14:paraId="0F8A1FB2" w14:textId="77777777" w:rsidR="00B75ACA" w:rsidRPr="00EA0A36" w:rsidRDefault="00B75ACA" w:rsidP="003D3CA7">
            <w:pPr>
              <w:pStyle w:val="TableColHeadingCenter"/>
              <w:spacing w:before="10" w:after="10"/>
            </w:pPr>
            <w:r w:rsidRPr="00EA0A36">
              <w:t>2023</w:t>
            </w:r>
          </w:p>
        </w:tc>
        <w:tc>
          <w:tcPr>
            <w:tcW w:w="462" w:type="pct"/>
            <w:tcMar>
              <w:left w:w="14" w:type="dxa"/>
              <w:right w:w="14" w:type="dxa"/>
            </w:tcMar>
            <w:vAlign w:val="center"/>
          </w:tcPr>
          <w:p w14:paraId="40EEB845" w14:textId="77777777" w:rsidR="00B75ACA" w:rsidRPr="00EA0A36" w:rsidRDefault="00B75ACA" w:rsidP="003D3CA7">
            <w:pPr>
              <w:pStyle w:val="TableColHeadingCenter"/>
              <w:spacing w:before="10" w:after="10"/>
            </w:pPr>
            <w:r w:rsidRPr="00EA0A36">
              <w:t>State (2023)</w:t>
            </w:r>
          </w:p>
        </w:tc>
        <w:tc>
          <w:tcPr>
            <w:tcW w:w="320" w:type="pct"/>
            <w:tcMar>
              <w:left w:w="14" w:type="dxa"/>
              <w:right w:w="14" w:type="dxa"/>
            </w:tcMar>
            <w:vAlign w:val="center"/>
          </w:tcPr>
          <w:p w14:paraId="21200948" w14:textId="77777777" w:rsidR="00B75ACA" w:rsidRPr="00EA0A36" w:rsidRDefault="00B75ACA" w:rsidP="003D3CA7">
            <w:pPr>
              <w:pStyle w:val="TableColHeadingCenter"/>
              <w:spacing w:before="10" w:after="10"/>
            </w:pPr>
            <w:r w:rsidRPr="00EA0A36">
              <w:t>2022</w:t>
            </w:r>
          </w:p>
        </w:tc>
        <w:tc>
          <w:tcPr>
            <w:tcW w:w="351" w:type="pct"/>
            <w:tcMar>
              <w:left w:w="14" w:type="dxa"/>
              <w:right w:w="14" w:type="dxa"/>
            </w:tcMar>
            <w:vAlign w:val="center"/>
          </w:tcPr>
          <w:p w14:paraId="6510DD4E" w14:textId="77777777" w:rsidR="00B75ACA" w:rsidRPr="00EA0A36" w:rsidRDefault="00B75ACA" w:rsidP="003D3CA7">
            <w:pPr>
              <w:pStyle w:val="TableColHeadingCenter"/>
              <w:spacing w:before="10" w:after="10"/>
            </w:pPr>
            <w:r w:rsidRPr="00EA0A36">
              <w:t>2023</w:t>
            </w:r>
          </w:p>
        </w:tc>
        <w:tc>
          <w:tcPr>
            <w:tcW w:w="480" w:type="pct"/>
            <w:tcMar>
              <w:left w:w="14" w:type="dxa"/>
              <w:right w:w="14" w:type="dxa"/>
            </w:tcMar>
            <w:vAlign w:val="center"/>
          </w:tcPr>
          <w:p w14:paraId="5306E47C" w14:textId="77777777" w:rsidR="00B75ACA" w:rsidRPr="00EA0A36" w:rsidRDefault="00B75ACA" w:rsidP="003D3CA7">
            <w:pPr>
              <w:pStyle w:val="TableColHeadingCenter"/>
              <w:spacing w:before="10" w:after="10"/>
            </w:pPr>
            <w:r w:rsidRPr="00EA0A36">
              <w:t>State (2023)</w:t>
            </w:r>
          </w:p>
        </w:tc>
        <w:tc>
          <w:tcPr>
            <w:tcW w:w="337" w:type="pct"/>
            <w:tcMar>
              <w:left w:w="14" w:type="dxa"/>
              <w:right w:w="14" w:type="dxa"/>
            </w:tcMar>
            <w:vAlign w:val="center"/>
          </w:tcPr>
          <w:p w14:paraId="4A783925" w14:textId="77777777" w:rsidR="00B75ACA" w:rsidRPr="00EA0A36" w:rsidRDefault="00B75ACA" w:rsidP="003D3CA7">
            <w:pPr>
              <w:pStyle w:val="TableColHeadingCenter"/>
              <w:spacing w:before="10" w:after="10"/>
            </w:pPr>
            <w:r w:rsidRPr="00EA0A36">
              <w:t>2022</w:t>
            </w:r>
          </w:p>
        </w:tc>
        <w:tc>
          <w:tcPr>
            <w:tcW w:w="330" w:type="pct"/>
            <w:tcMar>
              <w:left w:w="14" w:type="dxa"/>
              <w:right w:w="14" w:type="dxa"/>
            </w:tcMar>
            <w:vAlign w:val="center"/>
          </w:tcPr>
          <w:p w14:paraId="013520F4" w14:textId="77777777" w:rsidR="00B75ACA" w:rsidRPr="00EA0A36" w:rsidRDefault="00B75ACA" w:rsidP="003D3CA7">
            <w:pPr>
              <w:pStyle w:val="TableColHeadingCenter"/>
              <w:spacing w:before="10" w:after="10"/>
            </w:pPr>
            <w:r w:rsidRPr="00EA0A36">
              <w:t>2023</w:t>
            </w:r>
          </w:p>
        </w:tc>
        <w:tc>
          <w:tcPr>
            <w:tcW w:w="549" w:type="pct"/>
            <w:tcMar>
              <w:left w:w="14" w:type="dxa"/>
              <w:right w:w="14" w:type="dxa"/>
            </w:tcMar>
            <w:vAlign w:val="center"/>
          </w:tcPr>
          <w:p w14:paraId="6E3DE251" w14:textId="77777777" w:rsidR="00B75ACA" w:rsidRPr="00EA0A36" w:rsidRDefault="00B75ACA" w:rsidP="003D3CA7">
            <w:pPr>
              <w:pStyle w:val="TableColHeadingCenter"/>
              <w:spacing w:before="10" w:after="10"/>
            </w:pPr>
            <w:r w:rsidRPr="00EA0A36">
              <w:t>State (2023)</w:t>
            </w:r>
          </w:p>
        </w:tc>
      </w:tr>
      <w:tr w:rsidR="003D3CA7" w:rsidRPr="003979D4" w14:paraId="102DFDE3"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079EEC98"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All</w:t>
            </w:r>
          </w:p>
        </w:tc>
        <w:tc>
          <w:tcPr>
            <w:tcW w:w="411" w:type="pct"/>
            <w:vAlign w:val="center"/>
          </w:tcPr>
          <w:p w14:paraId="76E74767"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1,712</w:t>
            </w:r>
          </w:p>
        </w:tc>
        <w:tc>
          <w:tcPr>
            <w:tcW w:w="328" w:type="pct"/>
            <w:vAlign w:val="center"/>
          </w:tcPr>
          <w:p w14:paraId="21AB1F8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67</w:t>
            </w:r>
          </w:p>
        </w:tc>
        <w:tc>
          <w:tcPr>
            <w:tcW w:w="337" w:type="pct"/>
            <w:vAlign w:val="center"/>
          </w:tcPr>
          <w:p w14:paraId="3CE42653"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71</w:t>
            </w:r>
          </w:p>
        </w:tc>
        <w:tc>
          <w:tcPr>
            <w:tcW w:w="462" w:type="pct"/>
            <w:vAlign w:val="center"/>
          </w:tcPr>
          <w:p w14:paraId="179F1A2B"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41</w:t>
            </w:r>
          </w:p>
        </w:tc>
        <w:tc>
          <w:tcPr>
            <w:tcW w:w="320" w:type="pct"/>
            <w:vAlign w:val="center"/>
          </w:tcPr>
          <w:p w14:paraId="4DBB9932"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29</w:t>
            </w:r>
          </w:p>
        </w:tc>
        <w:tc>
          <w:tcPr>
            <w:tcW w:w="351" w:type="pct"/>
            <w:vAlign w:val="center"/>
          </w:tcPr>
          <w:p w14:paraId="30F0E822"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26</w:t>
            </w:r>
          </w:p>
        </w:tc>
        <w:tc>
          <w:tcPr>
            <w:tcW w:w="480" w:type="pct"/>
            <w:vAlign w:val="center"/>
          </w:tcPr>
          <w:p w14:paraId="2506397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41</w:t>
            </w:r>
          </w:p>
        </w:tc>
        <w:tc>
          <w:tcPr>
            <w:tcW w:w="337" w:type="pct"/>
            <w:vAlign w:val="center"/>
          </w:tcPr>
          <w:p w14:paraId="7AD67CC3"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w:t>
            </w:r>
          </w:p>
        </w:tc>
        <w:tc>
          <w:tcPr>
            <w:tcW w:w="330" w:type="pct"/>
            <w:vAlign w:val="center"/>
          </w:tcPr>
          <w:p w14:paraId="117D477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w:t>
            </w:r>
          </w:p>
        </w:tc>
        <w:tc>
          <w:tcPr>
            <w:tcW w:w="549" w:type="pct"/>
            <w:vAlign w:val="center"/>
          </w:tcPr>
          <w:p w14:paraId="0E2A849C"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18</w:t>
            </w:r>
          </w:p>
        </w:tc>
      </w:tr>
      <w:tr w:rsidR="003D3CA7" w:rsidRPr="003979D4" w14:paraId="152A477A" w14:textId="77777777" w:rsidTr="003D3CA7">
        <w:tc>
          <w:tcPr>
            <w:tcW w:w="1096" w:type="pct"/>
          </w:tcPr>
          <w:p w14:paraId="4F719D32"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1" w:type="pct"/>
            <w:vAlign w:val="center"/>
          </w:tcPr>
          <w:p w14:paraId="54A855B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29</w:t>
            </w:r>
          </w:p>
        </w:tc>
        <w:tc>
          <w:tcPr>
            <w:tcW w:w="328" w:type="pct"/>
            <w:vAlign w:val="center"/>
          </w:tcPr>
          <w:p w14:paraId="58EC289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40</w:t>
            </w:r>
          </w:p>
        </w:tc>
        <w:tc>
          <w:tcPr>
            <w:tcW w:w="337" w:type="pct"/>
            <w:vAlign w:val="center"/>
          </w:tcPr>
          <w:p w14:paraId="76DCFE2A"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45</w:t>
            </w:r>
          </w:p>
        </w:tc>
        <w:tc>
          <w:tcPr>
            <w:tcW w:w="462" w:type="pct"/>
            <w:vAlign w:val="center"/>
          </w:tcPr>
          <w:p w14:paraId="170F9A0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21</w:t>
            </w:r>
          </w:p>
        </w:tc>
        <w:tc>
          <w:tcPr>
            <w:tcW w:w="320" w:type="pct"/>
            <w:vAlign w:val="center"/>
          </w:tcPr>
          <w:p w14:paraId="4C93DEDF"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46</w:t>
            </w:r>
          </w:p>
        </w:tc>
        <w:tc>
          <w:tcPr>
            <w:tcW w:w="351" w:type="pct"/>
            <w:vAlign w:val="center"/>
          </w:tcPr>
          <w:p w14:paraId="5FD9E7ED"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45</w:t>
            </w:r>
          </w:p>
        </w:tc>
        <w:tc>
          <w:tcPr>
            <w:tcW w:w="480" w:type="pct"/>
            <w:vAlign w:val="center"/>
          </w:tcPr>
          <w:p w14:paraId="45A363E9"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47</w:t>
            </w:r>
          </w:p>
        </w:tc>
        <w:tc>
          <w:tcPr>
            <w:tcW w:w="337" w:type="pct"/>
            <w:vAlign w:val="center"/>
          </w:tcPr>
          <w:p w14:paraId="283CC24E"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14</w:t>
            </w:r>
          </w:p>
        </w:tc>
        <w:tc>
          <w:tcPr>
            <w:tcW w:w="330" w:type="pct"/>
            <w:vAlign w:val="center"/>
          </w:tcPr>
          <w:p w14:paraId="3DF6E9F3"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10</w:t>
            </w:r>
          </w:p>
        </w:tc>
        <w:tc>
          <w:tcPr>
            <w:tcW w:w="549" w:type="pct"/>
            <w:vAlign w:val="center"/>
          </w:tcPr>
          <w:p w14:paraId="4479F149"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32</w:t>
            </w:r>
          </w:p>
        </w:tc>
      </w:tr>
      <w:tr w:rsidR="003D3CA7" w:rsidRPr="003979D4" w14:paraId="0A1C1F35"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1204D184"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Asian</w:t>
            </w:r>
          </w:p>
        </w:tc>
        <w:tc>
          <w:tcPr>
            <w:tcW w:w="411" w:type="pct"/>
            <w:vAlign w:val="center"/>
          </w:tcPr>
          <w:p w14:paraId="5DE65F49"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50</w:t>
            </w:r>
          </w:p>
        </w:tc>
        <w:tc>
          <w:tcPr>
            <w:tcW w:w="328" w:type="pct"/>
            <w:vAlign w:val="center"/>
          </w:tcPr>
          <w:p w14:paraId="69E26569"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85</w:t>
            </w:r>
          </w:p>
        </w:tc>
        <w:tc>
          <w:tcPr>
            <w:tcW w:w="337" w:type="pct"/>
            <w:vAlign w:val="center"/>
          </w:tcPr>
          <w:p w14:paraId="2D594A95"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88</w:t>
            </w:r>
          </w:p>
        </w:tc>
        <w:tc>
          <w:tcPr>
            <w:tcW w:w="462" w:type="pct"/>
            <w:vAlign w:val="center"/>
          </w:tcPr>
          <w:p w14:paraId="558EFD03"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71</w:t>
            </w:r>
          </w:p>
        </w:tc>
        <w:tc>
          <w:tcPr>
            <w:tcW w:w="320" w:type="pct"/>
            <w:vAlign w:val="center"/>
          </w:tcPr>
          <w:p w14:paraId="698D2F7C"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15</w:t>
            </w:r>
          </w:p>
        </w:tc>
        <w:tc>
          <w:tcPr>
            <w:tcW w:w="351" w:type="pct"/>
            <w:vAlign w:val="center"/>
          </w:tcPr>
          <w:p w14:paraId="6863884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10</w:t>
            </w:r>
          </w:p>
        </w:tc>
        <w:tc>
          <w:tcPr>
            <w:tcW w:w="480" w:type="pct"/>
            <w:vAlign w:val="center"/>
          </w:tcPr>
          <w:p w14:paraId="4D6F0825"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23</w:t>
            </w:r>
          </w:p>
        </w:tc>
        <w:tc>
          <w:tcPr>
            <w:tcW w:w="337" w:type="pct"/>
            <w:vAlign w:val="center"/>
          </w:tcPr>
          <w:p w14:paraId="379847D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0</w:t>
            </w:r>
          </w:p>
        </w:tc>
        <w:tc>
          <w:tcPr>
            <w:tcW w:w="330" w:type="pct"/>
            <w:vAlign w:val="center"/>
          </w:tcPr>
          <w:p w14:paraId="6807BE44"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w:t>
            </w:r>
          </w:p>
        </w:tc>
        <w:tc>
          <w:tcPr>
            <w:tcW w:w="549" w:type="pct"/>
            <w:vAlign w:val="center"/>
          </w:tcPr>
          <w:p w14:paraId="0C1B3064"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6</w:t>
            </w:r>
          </w:p>
        </w:tc>
      </w:tr>
      <w:tr w:rsidR="003D3CA7" w:rsidRPr="003979D4" w14:paraId="56B38666" w14:textId="77777777" w:rsidTr="003D3CA7">
        <w:tc>
          <w:tcPr>
            <w:tcW w:w="1096" w:type="pct"/>
          </w:tcPr>
          <w:p w14:paraId="73E5F48A"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Hispanic/Latino</w:t>
            </w:r>
          </w:p>
        </w:tc>
        <w:tc>
          <w:tcPr>
            <w:tcW w:w="411" w:type="pct"/>
            <w:vAlign w:val="center"/>
          </w:tcPr>
          <w:p w14:paraId="57E34C7D"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71</w:t>
            </w:r>
          </w:p>
        </w:tc>
        <w:tc>
          <w:tcPr>
            <w:tcW w:w="328" w:type="pct"/>
            <w:vAlign w:val="center"/>
          </w:tcPr>
          <w:p w14:paraId="45FA4914"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62</w:t>
            </w:r>
          </w:p>
        </w:tc>
        <w:tc>
          <w:tcPr>
            <w:tcW w:w="337" w:type="pct"/>
            <w:vAlign w:val="center"/>
          </w:tcPr>
          <w:p w14:paraId="2DD24CCC"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70</w:t>
            </w:r>
          </w:p>
        </w:tc>
        <w:tc>
          <w:tcPr>
            <w:tcW w:w="462" w:type="pct"/>
            <w:vAlign w:val="center"/>
          </w:tcPr>
          <w:p w14:paraId="77D9015A"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19</w:t>
            </w:r>
          </w:p>
        </w:tc>
        <w:tc>
          <w:tcPr>
            <w:tcW w:w="320" w:type="pct"/>
            <w:vAlign w:val="center"/>
          </w:tcPr>
          <w:p w14:paraId="5B15D254"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31</w:t>
            </w:r>
          </w:p>
        </w:tc>
        <w:tc>
          <w:tcPr>
            <w:tcW w:w="351" w:type="pct"/>
            <w:vAlign w:val="center"/>
          </w:tcPr>
          <w:p w14:paraId="6F32CB7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27</w:t>
            </w:r>
          </w:p>
        </w:tc>
        <w:tc>
          <w:tcPr>
            <w:tcW w:w="480" w:type="pct"/>
            <w:vAlign w:val="center"/>
          </w:tcPr>
          <w:p w14:paraId="0AB3693F"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47</w:t>
            </w:r>
          </w:p>
        </w:tc>
        <w:tc>
          <w:tcPr>
            <w:tcW w:w="337" w:type="pct"/>
            <w:vAlign w:val="center"/>
          </w:tcPr>
          <w:p w14:paraId="1FD95C8C"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7</w:t>
            </w:r>
          </w:p>
        </w:tc>
        <w:tc>
          <w:tcPr>
            <w:tcW w:w="330" w:type="pct"/>
            <w:vAlign w:val="center"/>
          </w:tcPr>
          <w:p w14:paraId="70C02559"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w:t>
            </w:r>
          </w:p>
        </w:tc>
        <w:tc>
          <w:tcPr>
            <w:tcW w:w="549" w:type="pct"/>
            <w:vAlign w:val="center"/>
          </w:tcPr>
          <w:p w14:paraId="1665B3E8"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34</w:t>
            </w:r>
          </w:p>
        </w:tc>
      </w:tr>
      <w:tr w:rsidR="003D3CA7" w:rsidRPr="003979D4" w14:paraId="60D2C644"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4037DCF5"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1" w:type="pct"/>
            <w:vAlign w:val="center"/>
          </w:tcPr>
          <w:p w14:paraId="3A247E0B"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67</w:t>
            </w:r>
          </w:p>
        </w:tc>
        <w:tc>
          <w:tcPr>
            <w:tcW w:w="328" w:type="pct"/>
            <w:vAlign w:val="center"/>
          </w:tcPr>
          <w:p w14:paraId="25043A13"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68</w:t>
            </w:r>
          </w:p>
        </w:tc>
        <w:tc>
          <w:tcPr>
            <w:tcW w:w="337" w:type="pct"/>
            <w:vAlign w:val="center"/>
          </w:tcPr>
          <w:p w14:paraId="2E34A8B8"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69</w:t>
            </w:r>
          </w:p>
        </w:tc>
        <w:tc>
          <w:tcPr>
            <w:tcW w:w="462" w:type="pct"/>
            <w:vAlign w:val="center"/>
          </w:tcPr>
          <w:p w14:paraId="35396F1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46</w:t>
            </w:r>
          </w:p>
        </w:tc>
        <w:tc>
          <w:tcPr>
            <w:tcW w:w="320" w:type="pct"/>
            <w:vAlign w:val="center"/>
          </w:tcPr>
          <w:p w14:paraId="776698F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28</w:t>
            </w:r>
          </w:p>
        </w:tc>
        <w:tc>
          <w:tcPr>
            <w:tcW w:w="351" w:type="pct"/>
            <w:vAlign w:val="center"/>
          </w:tcPr>
          <w:p w14:paraId="3606577A"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27</w:t>
            </w:r>
          </w:p>
        </w:tc>
        <w:tc>
          <w:tcPr>
            <w:tcW w:w="480" w:type="pct"/>
            <w:vAlign w:val="center"/>
          </w:tcPr>
          <w:p w14:paraId="2C56BBF6"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38</w:t>
            </w:r>
          </w:p>
        </w:tc>
        <w:tc>
          <w:tcPr>
            <w:tcW w:w="337" w:type="pct"/>
            <w:vAlign w:val="center"/>
          </w:tcPr>
          <w:p w14:paraId="1675A1A3"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w:t>
            </w:r>
          </w:p>
        </w:tc>
        <w:tc>
          <w:tcPr>
            <w:tcW w:w="330" w:type="pct"/>
            <w:vAlign w:val="center"/>
          </w:tcPr>
          <w:p w14:paraId="39C6B8D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w:t>
            </w:r>
          </w:p>
        </w:tc>
        <w:tc>
          <w:tcPr>
            <w:tcW w:w="549" w:type="pct"/>
            <w:vAlign w:val="center"/>
          </w:tcPr>
          <w:p w14:paraId="17ACF229"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16</w:t>
            </w:r>
          </w:p>
        </w:tc>
      </w:tr>
      <w:tr w:rsidR="003D3CA7" w:rsidRPr="003979D4" w14:paraId="7E353D65" w14:textId="77777777" w:rsidTr="003D3CA7">
        <w:tc>
          <w:tcPr>
            <w:tcW w:w="1096" w:type="pct"/>
          </w:tcPr>
          <w:p w14:paraId="110D0176"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Native American</w:t>
            </w:r>
          </w:p>
        </w:tc>
        <w:tc>
          <w:tcPr>
            <w:tcW w:w="411" w:type="pct"/>
            <w:vAlign w:val="center"/>
          </w:tcPr>
          <w:p w14:paraId="3AFDCEC7" w14:textId="05190060"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28" w:type="pct"/>
            <w:vAlign w:val="center"/>
          </w:tcPr>
          <w:p w14:paraId="35F28A00" w14:textId="2B302929"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34A4F672" w14:textId="71A7CBE7"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62" w:type="pct"/>
            <w:vAlign w:val="center"/>
          </w:tcPr>
          <w:p w14:paraId="378F4217"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28</w:t>
            </w:r>
          </w:p>
        </w:tc>
        <w:tc>
          <w:tcPr>
            <w:tcW w:w="320" w:type="pct"/>
            <w:vAlign w:val="center"/>
          </w:tcPr>
          <w:p w14:paraId="0DE73B8F" w14:textId="4D465E18"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51" w:type="pct"/>
            <w:vAlign w:val="center"/>
          </w:tcPr>
          <w:p w14:paraId="7AE49032" w14:textId="1F949E41"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80" w:type="pct"/>
            <w:vAlign w:val="center"/>
          </w:tcPr>
          <w:p w14:paraId="2D7CD7A9"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46</w:t>
            </w:r>
          </w:p>
        </w:tc>
        <w:tc>
          <w:tcPr>
            <w:tcW w:w="337" w:type="pct"/>
            <w:vAlign w:val="center"/>
          </w:tcPr>
          <w:p w14:paraId="296A2DDC" w14:textId="2387EDCB"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696E24FD" w14:textId="30BA57D8"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549" w:type="pct"/>
            <w:vAlign w:val="center"/>
          </w:tcPr>
          <w:p w14:paraId="418DF678"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26</w:t>
            </w:r>
          </w:p>
        </w:tc>
      </w:tr>
      <w:tr w:rsidR="003D3CA7" w:rsidRPr="003979D4" w14:paraId="3F3FEEB9"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5B8149CB" w14:textId="77777777" w:rsidR="00B75ACA" w:rsidRPr="00350442" w:rsidRDefault="00B75ACA" w:rsidP="003D3CA7">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1" w:type="pct"/>
            <w:vAlign w:val="center"/>
          </w:tcPr>
          <w:p w14:paraId="09F8E59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w:t>
            </w:r>
          </w:p>
        </w:tc>
        <w:tc>
          <w:tcPr>
            <w:tcW w:w="328" w:type="pct"/>
            <w:vAlign w:val="center"/>
          </w:tcPr>
          <w:p w14:paraId="2C8B7F9C" w14:textId="77C8BDCD"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7EAB4348" w14:textId="6B26547C"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62" w:type="pct"/>
            <w:vAlign w:val="center"/>
          </w:tcPr>
          <w:p w14:paraId="0B412987"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41</w:t>
            </w:r>
          </w:p>
        </w:tc>
        <w:tc>
          <w:tcPr>
            <w:tcW w:w="320" w:type="pct"/>
            <w:vAlign w:val="center"/>
          </w:tcPr>
          <w:p w14:paraId="5DE2E9FF" w14:textId="3884125B"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51" w:type="pct"/>
            <w:vAlign w:val="center"/>
          </w:tcPr>
          <w:p w14:paraId="6537C030" w14:textId="3DC109E5"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480" w:type="pct"/>
            <w:vAlign w:val="center"/>
          </w:tcPr>
          <w:p w14:paraId="26D4E88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43</w:t>
            </w:r>
          </w:p>
        </w:tc>
        <w:tc>
          <w:tcPr>
            <w:tcW w:w="337" w:type="pct"/>
            <w:vAlign w:val="center"/>
          </w:tcPr>
          <w:p w14:paraId="50E84207" w14:textId="31A5720E"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7939E3FA" w14:textId="33155116" w:rsidR="00B75ACA" w:rsidRPr="00350442" w:rsidRDefault="008E5BF5" w:rsidP="003D3CA7">
            <w:pPr>
              <w:pStyle w:val="TableTextCentered"/>
              <w:spacing w:before="10" w:after="10"/>
              <w:rPr>
                <w:rFonts w:ascii="Franklin Gothic Book" w:hAnsi="Franklin Gothic Book"/>
              </w:rPr>
            </w:pPr>
            <w:r>
              <w:rPr>
                <w:rFonts w:ascii="Franklin Gothic Book" w:hAnsi="Franklin Gothic Book"/>
              </w:rPr>
              <w:t>—</w:t>
            </w:r>
          </w:p>
        </w:tc>
        <w:tc>
          <w:tcPr>
            <w:tcW w:w="549" w:type="pct"/>
            <w:vAlign w:val="center"/>
          </w:tcPr>
          <w:p w14:paraId="3CEBDB1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16</w:t>
            </w:r>
          </w:p>
        </w:tc>
      </w:tr>
      <w:tr w:rsidR="003D3CA7" w:rsidRPr="003979D4" w14:paraId="7BAA5891" w14:textId="77777777" w:rsidTr="003D3CA7">
        <w:tc>
          <w:tcPr>
            <w:tcW w:w="1096" w:type="pct"/>
          </w:tcPr>
          <w:p w14:paraId="12B5F6FE"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White</w:t>
            </w:r>
          </w:p>
        </w:tc>
        <w:tc>
          <w:tcPr>
            <w:tcW w:w="411" w:type="pct"/>
            <w:vAlign w:val="center"/>
          </w:tcPr>
          <w:p w14:paraId="69D12232"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1,494</w:t>
            </w:r>
          </w:p>
        </w:tc>
        <w:tc>
          <w:tcPr>
            <w:tcW w:w="328" w:type="pct"/>
            <w:vAlign w:val="center"/>
          </w:tcPr>
          <w:p w14:paraId="1719D3A6"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67</w:t>
            </w:r>
          </w:p>
        </w:tc>
        <w:tc>
          <w:tcPr>
            <w:tcW w:w="337" w:type="pct"/>
            <w:vAlign w:val="center"/>
          </w:tcPr>
          <w:p w14:paraId="54D947F8"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71</w:t>
            </w:r>
          </w:p>
        </w:tc>
        <w:tc>
          <w:tcPr>
            <w:tcW w:w="462" w:type="pct"/>
            <w:vAlign w:val="center"/>
          </w:tcPr>
          <w:p w14:paraId="2EAAC59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49</w:t>
            </w:r>
          </w:p>
        </w:tc>
        <w:tc>
          <w:tcPr>
            <w:tcW w:w="320" w:type="pct"/>
            <w:vAlign w:val="center"/>
          </w:tcPr>
          <w:p w14:paraId="686A28A9"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29</w:t>
            </w:r>
          </w:p>
        </w:tc>
        <w:tc>
          <w:tcPr>
            <w:tcW w:w="351" w:type="pct"/>
            <w:vAlign w:val="center"/>
          </w:tcPr>
          <w:p w14:paraId="4BA6C53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26</w:t>
            </w:r>
          </w:p>
        </w:tc>
        <w:tc>
          <w:tcPr>
            <w:tcW w:w="480" w:type="pct"/>
            <w:vAlign w:val="center"/>
          </w:tcPr>
          <w:p w14:paraId="57E7D4EC"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40</w:t>
            </w:r>
          </w:p>
        </w:tc>
        <w:tc>
          <w:tcPr>
            <w:tcW w:w="337" w:type="pct"/>
            <w:vAlign w:val="center"/>
          </w:tcPr>
          <w:p w14:paraId="73E03FB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w:t>
            </w:r>
          </w:p>
        </w:tc>
        <w:tc>
          <w:tcPr>
            <w:tcW w:w="330" w:type="pct"/>
            <w:vAlign w:val="center"/>
          </w:tcPr>
          <w:p w14:paraId="7CF860F5"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w:t>
            </w:r>
          </w:p>
        </w:tc>
        <w:tc>
          <w:tcPr>
            <w:tcW w:w="549" w:type="pct"/>
            <w:vAlign w:val="center"/>
          </w:tcPr>
          <w:p w14:paraId="5FAC9A5A"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11</w:t>
            </w:r>
          </w:p>
        </w:tc>
      </w:tr>
      <w:tr w:rsidR="003D3CA7" w:rsidRPr="003979D4" w14:paraId="736F40A1"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5114A5C4"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High needs</w:t>
            </w:r>
          </w:p>
        </w:tc>
        <w:tc>
          <w:tcPr>
            <w:tcW w:w="411" w:type="pct"/>
            <w:vAlign w:val="center"/>
          </w:tcPr>
          <w:p w14:paraId="20282A0B"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456</w:t>
            </w:r>
          </w:p>
        </w:tc>
        <w:tc>
          <w:tcPr>
            <w:tcW w:w="328" w:type="pct"/>
            <w:vAlign w:val="center"/>
          </w:tcPr>
          <w:p w14:paraId="3FE1B9AB"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38</w:t>
            </w:r>
          </w:p>
        </w:tc>
        <w:tc>
          <w:tcPr>
            <w:tcW w:w="337" w:type="pct"/>
            <w:vAlign w:val="center"/>
          </w:tcPr>
          <w:p w14:paraId="519CAE83"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40</w:t>
            </w:r>
          </w:p>
        </w:tc>
        <w:tc>
          <w:tcPr>
            <w:tcW w:w="462" w:type="pct"/>
            <w:vAlign w:val="center"/>
          </w:tcPr>
          <w:p w14:paraId="02DFA5D2"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23</w:t>
            </w:r>
          </w:p>
        </w:tc>
        <w:tc>
          <w:tcPr>
            <w:tcW w:w="320" w:type="pct"/>
            <w:vAlign w:val="center"/>
          </w:tcPr>
          <w:p w14:paraId="58E90EAD"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50</w:t>
            </w:r>
          </w:p>
        </w:tc>
        <w:tc>
          <w:tcPr>
            <w:tcW w:w="351" w:type="pct"/>
            <w:vAlign w:val="center"/>
          </w:tcPr>
          <w:p w14:paraId="7FE4F53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50</w:t>
            </w:r>
          </w:p>
        </w:tc>
        <w:tc>
          <w:tcPr>
            <w:tcW w:w="480" w:type="pct"/>
            <w:vAlign w:val="center"/>
          </w:tcPr>
          <w:p w14:paraId="0D9F2A53"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47</w:t>
            </w:r>
          </w:p>
        </w:tc>
        <w:tc>
          <w:tcPr>
            <w:tcW w:w="337" w:type="pct"/>
            <w:vAlign w:val="center"/>
          </w:tcPr>
          <w:p w14:paraId="2E277D9B"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12</w:t>
            </w:r>
          </w:p>
        </w:tc>
        <w:tc>
          <w:tcPr>
            <w:tcW w:w="330" w:type="pct"/>
            <w:vAlign w:val="center"/>
          </w:tcPr>
          <w:p w14:paraId="3C0A79C7"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10</w:t>
            </w:r>
          </w:p>
        </w:tc>
        <w:tc>
          <w:tcPr>
            <w:tcW w:w="549" w:type="pct"/>
            <w:vAlign w:val="center"/>
          </w:tcPr>
          <w:p w14:paraId="78EE924B"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30</w:t>
            </w:r>
          </w:p>
        </w:tc>
      </w:tr>
      <w:tr w:rsidR="003D3CA7" w:rsidRPr="003979D4" w14:paraId="3E5D529F" w14:textId="77777777" w:rsidTr="003D3CA7">
        <w:tc>
          <w:tcPr>
            <w:tcW w:w="1096" w:type="pct"/>
          </w:tcPr>
          <w:p w14:paraId="0E0F4439"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Low income</w:t>
            </w:r>
          </w:p>
        </w:tc>
        <w:tc>
          <w:tcPr>
            <w:tcW w:w="411" w:type="pct"/>
            <w:vAlign w:val="center"/>
          </w:tcPr>
          <w:p w14:paraId="7AB8E93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142</w:t>
            </w:r>
          </w:p>
        </w:tc>
        <w:tc>
          <w:tcPr>
            <w:tcW w:w="328" w:type="pct"/>
            <w:vAlign w:val="center"/>
          </w:tcPr>
          <w:p w14:paraId="22D6D644"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41</w:t>
            </w:r>
          </w:p>
        </w:tc>
        <w:tc>
          <w:tcPr>
            <w:tcW w:w="337" w:type="pct"/>
            <w:vAlign w:val="center"/>
          </w:tcPr>
          <w:p w14:paraId="26E6C40C"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43</w:t>
            </w:r>
          </w:p>
        </w:tc>
        <w:tc>
          <w:tcPr>
            <w:tcW w:w="462" w:type="pct"/>
            <w:vAlign w:val="center"/>
          </w:tcPr>
          <w:p w14:paraId="7DFBD5ED"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21</w:t>
            </w:r>
          </w:p>
        </w:tc>
        <w:tc>
          <w:tcPr>
            <w:tcW w:w="320" w:type="pct"/>
            <w:vAlign w:val="center"/>
          </w:tcPr>
          <w:p w14:paraId="414ACF92"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46</w:t>
            </w:r>
          </w:p>
        </w:tc>
        <w:tc>
          <w:tcPr>
            <w:tcW w:w="351" w:type="pct"/>
            <w:vAlign w:val="center"/>
          </w:tcPr>
          <w:p w14:paraId="6E09F239"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47</w:t>
            </w:r>
          </w:p>
        </w:tc>
        <w:tc>
          <w:tcPr>
            <w:tcW w:w="480" w:type="pct"/>
            <w:vAlign w:val="center"/>
          </w:tcPr>
          <w:p w14:paraId="0E9E5AEA"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48</w:t>
            </w:r>
          </w:p>
        </w:tc>
        <w:tc>
          <w:tcPr>
            <w:tcW w:w="337" w:type="pct"/>
            <w:vAlign w:val="center"/>
          </w:tcPr>
          <w:p w14:paraId="6C126D3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13</w:t>
            </w:r>
          </w:p>
        </w:tc>
        <w:tc>
          <w:tcPr>
            <w:tcW w:w="330" w:type="pct"/>
            <w:vAlign w:val="center"/>
          </w:tcPr>
          <w:p w14:paraId="19F3D4C2"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10</w:t>
            </w:r>
          </w:p>
        </w:tc>
        <w:tc>
          <w:tcPr>
            <w:tcW w:w="549" w:type="pct"/>
            <w:vAlign w:val="center"/>
          </w:tcPr>
          <w:p w14:paraId="3A35D5F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31</w:t>
            </w:r>
          </w:p>
        </w:tc>
      </w:tr>
      <w:tr w:rsidR="003D3CA7" w:rsidRPr="003979D4" w14:paraId="6DA1A423" w14:textId="77777777" w:rsidTr="003D3CA7">
        <w:trPr>
          <w:cnfStyle w:val="000000100000" w:firstRow="0" w:lastRow="0" w:firstColumn="0" w:lastColumn="0" w:oddVBand="0" w:evenVBand="0" w:oddHBand="1" w:evenHBand="0" w:firstRowFirstColumn="0" w:firstRowLastColumn="0" w:lastRowFirstColumn="0" w:lastRowLastColumn="0"/>
        </w:trPr>
        <w:tc>
          <w:tcPr>
            <w:tcW w:w="1096" w:type="pct"/>
          </w:tcPr>
          <w:p w14:paraId="1D376FF6" w14:textId="77777777" w:rsidR="00B75ACA" w:rsidRPr="00350442" w:rsidRDefault="00B75ACA" w:rsidP="003D3CA7">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1" w:type="pct"/>
            <w:vAlign w:val="center"/>
          </w:tcPr>
          <w:p w14:paraId="72CEEDCE"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22</w:t>
            </w:r>
          </w:p>
        </w:tc>
        <w:tc>
          <w:tcPr>
            <w:tcW w:w="328" w:type="pct"/>
            <w:vAlign w:val="center"/>
          </w:tcPr>
          <w:p w14:paraId="0785F5F2"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64</w:t>
            </w:r>
          </w:p>
        </w:tc>
        <w:tc>
          <w:tcPr>
            <w:tcW w:w="337" w:type="pct"/>
            <w:vAlign w:val="center"/>
          </w:tcPr>
          <w:p w14:paraId="3938ED0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59</w:t>
            </w:r>
          </w:p>
        </w:tc>
        <w:tc>
          <w:tcPr>
            <w:tcW w:w="462" w:type="pct"/>
            <w:vAlign w:val="center"/>
          </w:tcPr>
          <w:p w14:paraId="57E8F9A8"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21</w:t>
            </w:r>
          </w:p>
        </w:tc>
        <w:tc>
          <w:tcPr>
            <w:tcW w:w="320" w:type="pct"/>
            <w:vAlign w:val="center"/>
          </w:tcPr>
          <w:p w14:paraId="1FBE8803"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27</w:t>
            </w:r>
          </w:p>
        </w:tc>
        <w:tc>
          <w:tcPr>
            <w:tcW w:w="351" w:type="pct"/>
            <w:vAlign w:val="center"/>
          </w:tcPr>
          <w:p w14:paraId="6B7496BB"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27</w:t>
            </w:r>
          </w:p>
        </w:tc>
        <w:tc>
          <w:tcPr>
            <w:tcW w:w="480" w:type="pct"/>
            <w:vAlign w:val="center"/>
          </w:tcPr>
          <w:p w14:paraId="72C7744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44</w:t>
            </w:r>
          </w:p>
        </w:tc>
        <w:tc>
          <w:tcPr>
            <w:tcW w:w="337" w:type="pct"/>
            <w:vAlign w:val="center"/>
          </w:tcPr>
          <w:p w14:paraId="68C39FE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9</w:t>
            </w:r>
          </w:p>
        </w:tc>
        <w:tc>
          <w:tcPr>
            <w:tcW w:w="330" w:type="pct"/>
            <w:vAlign w:val="center"/>
          </w:tcPr>
          <w:p w14:paraId="33D9527B"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14</w:t>
            </w:r>
          </w:p>
        </w:tc>
        <w:tc>
          <w:tcPr>
            <w:tcW w:w="549" w:type="pct"/>
            <w:vAlign w:val="center"/>
          </w:tcPr>
          <w:p w14:paraId="333E070F"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34</w:t>
            </w:r>
          </w:p>
        </w:tc>
      </w:tr>
      <w:tr w:rsidR="003D3CA7" w:rsidRPr="003979D4" w14:paraId="0631D217" w14:textId="77777777" w:rsidTr="003D3CA7">
        <w:tc>
          <w:tcPr>
            <w:tcW w:w="1096" w:type="pct"/>
          </w:tcPr>
          <w:p w14:paraId="6D22BCD0" w14:textId="77777777" w:rsidR="00B75ACA" w:rsidRPr="00350442" w:rsidRDefault="00B75ACA" w:rsidP="003D3CA7">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1" w:type="pct"/>
            <w:vAlign w:val="center"/>
          </w:tcPr>
          <w:p w14:paraId="68B25931"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353</w:t>
            </w:r>
          </w:p>
        </w:tc>
        <w:tc>
          <w:tcPr>
            <w:tcW w:w="328" w:type="pct"/>
            <w:vAlign w:val="center"/>
          </w:tcPr>
          <w:p w14:paraId="1D14A0B8"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32</w:t>
            </w:r>
          </w:p>
        </w:tc>
        <w:tc>
          <w:tcPr>
            <w:tcW w:w="337" w:type="pct"/>
            <w:vAlign w:val="center"/>
          </w:tcPr>
          <w:p w14:paraId="3B66663F"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34</w:t>
            </w:r>
          </w:p>
        </w:tc>
        <w:tc>
          <w:tcPr>
            <w:tcW w:w="462" w:type="pct"/>
            <w:vAlign w:val="center"/>
          </w:tcPr>
          <w:p w14:paraId="626D4997"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13</w:t>
            </w:r>
          </w:p>
        </w:tc>
        <w:tc>
          <w:tcPr>
            <w:tcW w:w="320" w:type="pct"/>
            <w:vAlign w:val="center"/>
          </w:tcPr>
          <w:p w14:paraId="15AD035E"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53</w:t>
            </w:r>
          </w:p>
        </w:tc>
        <w:tc>
          <w:tcPr>
            <w:tcW w:w="351" w:type="pct"/>
            <w:vAlign w:val="center"/>
          </w:tcPr>
          <w:p w14:paraId="2966FB00"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54</w:t>
            </w:r>
          </w:p>
        </w:tc>
        <w:tc>
          <w:tcPr>
            <w:tcW w:w="480" w:type="pct"/>
            <w:vAlign w:val="center"/>
          </w:tcPr>
          <w:p w14:paraId="6EB7FE46"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41</w:t>
            </w:r>
          </w:p>
        </w:tc>
        <w:tc>
          <w:tcPr>
            <w:tcW w:w="337" w:type="pct"/>
            <w:vAlign w:val="center"/>
          </w:tcPr>
          <w:p w14:paraId="23A2A404"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15</w:t>
            </w:r>
          </w:p>
        </w:tc>
        <w:tc>
          <w:tcPr>
            <w:tcW w:w="330" w:type="pct"/>
            <w:vAlign w:val="center"/>
          </w:tcPr>
          <w:p w14:paraId="317AE62D"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12</w:t>
            </w:r>
          </w:p>
        </w:tc>
        <w:tc>
          <w:tcPr>
            <w:tcW w:w="549" w:type="pct"/>
            <w:vAlign w:val="center"/>
          </w:tcPr>
          <w:p w14:paraId="52DD1314" w14:textId="77777777" w:rsidR="00B75ACA" w:rsidRPr="00350442" w:rsidRDefault="00B75ACA" w:rsidP="003D3CA7">
            <w:pPr>
              <w:pStyle w:val="TableTextCentered"/>
              <w:spacing w:before="10" w:after="10"/>
              <w:rPr>
                <w:rFonts w:ascii="Franklin Gothic Book" w:hAnsi="Franklin Gothic Book"/>
              </w:rPr>
            </w:pPr>
            <w:r>
              <w:rPr>
                <w:rFonts w:ascii="Franklin Gothic Book" w:hAnsi="Franklin Gothic Book"/>
              </w:rPr>
              <w:t>46</w:t>
            </w:r>
          </w:p>
        </w:tc>
      </w:tr>
    </w:tbl>
    <w:p w14:paraId="2AE096D5" w14:textId="77777777" w:rsidR="00B75ACA" w:rsidRPr="003C1C59" w:rsidRDefault="00B75ACA" w:rsidP="003D3CA7">
      <w:pPr>
        <w:pStyle w:val="TableTitle0"/>
        <w:spacing w:before="120"/>
      </w:pPr>
      <w:bookmarkStart w:id="193" w:name="_Toc158035171"/>
      <w:r w:rsidRPr="005055D7">
        <w:t xml:space="preserve">Table E4. Next-Generation MCAS Mathematics </w:t>
      </w:r>
      <w:r w:rsidRPr="003979D4">
        <w:t>Achievement by Student Group</w:t>
      </w:r>
      <w:r>
        <w:t xml:space="preserve">, </w:t>
      </w:r>
      <w:r w:rsidRPr="005055D7">
        <w:t>Grade 10, 202</w:t>
      </w:r>
      <w:r>
        <w:t>2</w:t>
      </w:r>
      <w:r w:rsidRPr="005055D7">
        <w:t>-2023</w:t>
      </w:r>
      <w:bookmarkEnd w:id="193"/>
    </w:p>
    <w:tbl>
      <w:tblPr>
        <w:tblStyle w:val="MSVTable1"/>
        <w:tblW w:w="5003" w:type="pct"/>
        <w:tblLook w:val="0420" w:firstRow="1" w:lastRow="0" w:firstColumn="0" w:lastColumn="0" w:noHBand="0" w:noVBand="1"/>
      </w:tblPr>
      <w:tblGrid>
        <w:gridCol w:w="2842"/>
        <w:gridCol w:w="1065"/>
        <w:gridCol w:w="857"/>
        <w:gridCol w:w="808"/>
        <w:gridCol w:w="1251"/>
        <w:gridCol w:w="829"/>
        <w:gridCol w:w="909"/>
        <w:gridCol w:w="1238"/>
        <w:gridCol w:w="876"/>
        <w:gridCol w:w="855"/>
        <w:gridCol w:w="1422"/>
      </w:tblGrid>
      <w:tr w:rsidR="00B75ACA" w:rsidRPr="003979D4" w14:paraId="3658452E" w14:textId="77777777" w:rsidTr="003C1333">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050744CC" w14:textId="77777777" w:rsidR="00B75ACA" w:rsidRPr="00EA0A36" w:rsidRDefault="00B75ACA" w:rsidP="003C1333">
            <w:pPr>
              <w:pStyle w:val="TableColHeadingLeft"/>
              <w:spacing w:before="10" w:after="10"/>
              <w:jc w:val="center"/>
            </w:pPr>
            <w:r w:rsidRPr="00EA0A36">
              <w:t>Group</w:t>
            </w:r>
          </w:p>
        </w:tc>
        <w:tc>
          <w:tcPr>
            <w:tcW w:w="411" w:type="pct"/>
            <w:vMerge w:val="restart"/>
            <w:vAlign w:val="center"/>
          </w:tcPr>
          <w:p w14:paraId="02E6EA4E" w14:textId="53D49634" w:rsidR="00B75ACA" w:rsidRPr="00EA0A36" w:rsidRDefault="00B75ACA" w:rsidP="003C1333">
            <w:pPr>
              <w:pStyle w:val="TableColHeadingCenter"/>
              <w:spacing w:before="10" w:after="10"/>
            </w:pPr>
            <w:r>
              <w:t xml:space="preserve"># </w:t>
            </w:r>
            <w:r w:rsidR="008E5BF5">
              <w:t>i</w:t>
            </w:r>
            <w:r>
              <w:t>ncluded</w:t>
            </w:r>
            <w:r w:rsidRPr="00EA0A36">
              <w:t xml:space="preserve"> (2023)</w:t>
            </w:r>
          </w:p>
        </w:tc>
        <w:tc>
          <w:tcPr>
            <w:tcW w:w="1126" w:type="pct"/>
            <w:gridSpan w:val="3"/>
            <w:vAlign w:val="bottom"/>
          </w:tcPr>
          <w:p w14:paraId="6FB75B8B" w14:textId="05646190" w:rsidR="00B75ACA" w:rsidRPr="00EA0A36" w:rsidRDefault="00B75ACA" w:rsidP="003C1333">
            <w:pPr>
              <w:pStyle w:val="TableColHeadingCenter"/>
              <w:spacing w:before="10" w:after="10"/>
            </w:pPr>
            <w:r>
              <w:t>Percent</w:t>
            </w:r>
            <w:r w:rsidR="008E5BF5">
              <w:t>age</w:t>
            </w:r>
            <w:r>
              <w:t xml:space="preserve"> meeting or exceeding expectations</w:t>
            </w:r>
          </w:p>
        </w:tc>
        <w:tc>
          <w:tcPr>
            <w:tcW w:w="1149" w:type="pct"/>
            <w:gridSpan w:val="3"/>
            <w:vAlign w:val="center"/>
          </w:tcPr>
          <w:p w14:paraId="683FDFF4" w14:textId="1EF65A25" w:rsidR="00B75ACA" w:rsidRPr="00EA0A36" w:rsidRDefault="00B75ACA" w:rsidP="003C1333">
            <w:pPr>
              <w:pStyle w:val="TableColHeadingCenter"/>
              <w:spacing w:before="10" w:after="10"/>
            </w:pPr>
            <w:r>
              <w:t>Percent</w:t>
            </w:r>
            <w:r w:rsidR="008E5BF5">
              <w:t>age</w:t>
            </w:r>
            <w:r>
              <w:t xml:space="preserve"> partially meeting expectations</w:t>
            </w:r>
          </w:p>
        </w:tc>
        <w:tc>
          <w:tcPr>
            <w:tcW w:w="1216" w:type="pct"/>
            <w:gridSpan w:val="3"/>
            <w:vAlign w:val="center"/>
          </w:tcPr>
          <w:p w14:paraId="757F792A" w14:textId="6C9792B2" w:rsidR="00B75ACA" w:rsidRDefault="00B75ACA" w:rsidP="003C1333">
            <w:pPr>
              <w:pStyle w:val="TableColHeadingCenter"/>
              <w:spacing w:before="10" w:after="10"/>
            </w:pPr>
            <w:r>
              <w:t>Percent</w:t>
            </w:r>
            <w:r w:rsidR="008E5BF5">
              <w:t>age</w:t>
            </w:r>
            <w:r>
              <w:t xml:space="preserve"> not meeting expectations</w:t>
            </w:r>
          </w:p>
        </w:tc>
      </w:tr>
      <w:tr w:rsidR="003C1333" w:rsidRPr="003979D4" w14:paraId="2C1E19D4" w14:textId="77777777" w:rsidTr="003C1333">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7362D88A" w14:textId="77777777" w:rsidR="00B75ACA" w:rsidRPr="00EA0A36" w:rsidRDefault="00B75ACA" w:rsidP="003C1333">
            <w:pPr>
              <w:pStyle w:val="TableColHeadingCenter"/>
              <w:spacing w:before="10" w:after="10"/>
            </w:pPr>
          </w:p>
        </w:tc>
        <w:tc>
          <w:tcPr>
            <w:tcW w:w="411" w:type="pct"/>
            <w:vMerge/>
            <w:vAlign w:val="bottom"/>
          </w:tcPr>
          <w:p w14:paraId="321A1660" w14:textId="77777777" w:rsidR="00B75ACA" w:rsidRPr="00EA0A36" w:rsidRDefault="00B75ACA" w:rsidP="003C1333">
            <w:pPr>
              <w:pStyle w:val="TableColHeadingCenter"/>
              <w:spacing w:before="10" w:after="10"/>
            </w:pPr>
          </w:p>
        </w:tc>
        <w:tc>
          <w:tcPr>
            <w:tcW w:w="331" w:type="pct"/>
            <w:tcMar>
              <w:left w:w="14" w:type="dxa"/>
              <w:right w:w="14" w:type="dxa"/>
            </w:tcMar>
            <w:vAlign w:val="center"/>
          </w:tcPr>
          <w:p w14:paraId="2DD93E9D" w14:textId="77777777" w:rsidR="00B75ACA" w:rsidRPr="00EA0A36" w:rsidRDefault="00B75ACA" w:rsidP="003C1333">
            <w:pPr>
              <w:pStyle w:val="TableColHeadingCenter"/>
              <w:spacing w:before="10" w:after="10"/>
            </w:pPr>
            <w:r w:rsidRPr="00EA0A36">
              <w:t>2022</w:t>
            </w:r>
          </w:p>
        </w:tc>
        <w:tc>
          <w:tcPr>
            <w:tcW w:w="312" w:type="pct"/>
            <w:tcMar>
              <w:left w:w="14" w:type="dxa"/>
              <w:right w:w="14" w:type="dxa"/>
            </w:tcMar>
            <w:vAlign w:val="center"/>
          </w:tcPr>
          <w:p w14:paraId="0243C96E" w14:textId="77777777" w:rsidR="00B75ACA" w:rsidRPr="00EA0A36" w:rsidRDefault="00B75ACA" w:rsidP="003C1333">
            <w:pPr>
              <w:pStyle w:val="TableColHeadingCenter"/>
              <w:spacing w:before="10" w:after="10"/>
            </w:pPr>
            <w:r w:rsidRPr="00EA0A36">
              <w:t>2023</w:t>
            </w:r>
          </w:p>
        </w:tc>
        <w:tc>
          <w:tcPr>
            <w:tcW w:w="483" w:type="pct"/>
            <w:tcMar>
              <w:left w:w="14" w:type="dxa"/>
              <w:right w:w="14" w:type="dxa"/>
            </w:tcMar>
            <w:vAlign w:val="center"/>
          </w:tcPr>
          <w:p w14:paraId="7D9343DE" w14:textId="77777777" w:rsidR="00B75ACA" w:rsidRPr="00EA0A36" w:rsidRDefault="00B75ACA" w:rsidP="003C1333">
            <w:pPr>
              <w:pStyle w:val="TableColHeadingCenter"/>
              <w:spacing w:before="10" w:after="10"/>
            </w:pPr>
            <w:r w:rsidRPr="00EA0A36">
              <w:t>State (2023)</w:t>
            </w:r>
          </w:p>
        </w:tc>
        <w:tc>
          <w:tcPr>
            <w:tcW w:w="320" w:type="pct"/>
            <w:tcMar>
              <w:left w:w="14" w:type="dxa"/>
              <w:right w:w="14" w:type="dxa"/>
            </w:tcMar>
            <w:vAlign w:val="center"/>
          </w:tcPr>
          <w:p w14:paraId="159FA3B9" w14:textId="77777777" w:rsidR="00B75ACA" w:rsidRPr="00EA0A36" w:rsidRDefault="00B75ACA" w:rsidP="003C1333">
            <w:pPr>
              <w:pStyle w:val="TableColHeadingCenter"/>
              <w:spacing w:before="10" w:after="10"/>
            </w:pPr>
            <w:r w:rsidRPr="00EA0A36">
              <w:t>2022</w:t>
            </w:r>
          </w:p>
        </w:tc>
        <w:tc>
          <w:tcPr>
            <w:tcW w:w="351" w:type="pct"/>
            <w:tcMar>
              <w:left w:w="14" w:type="dxa"/>
              <w:right w:w="14" w:type="dxa"/>
            </w:tcMar>
            <w:vAlign w:val="center"/>
          </w:tcPr>
          <w:p w14:paraId="2858B55E" w14:textId="77777777" w:rsidR="00B75ACA" w:rsidRPr="00EA0A36" w:rsidRDefault="00B75ACA" w:rsidP="003C1333">
            <w:pPr>
              <w:pStyle w:val="TableColHeadingCenter"/>
              <w:spacing w:before="10" w:after="10"/>
            </w:pPr>
            <w:r w:rsidRPr="00EA0A36">
              <w:t>2023</w:t>
            </w:r>
          </w:p>
        </w:tc>
        <w:tc>
          <w:tcPr>
            <w:tcW w:w="478" w:type="pct"/>
            <w:tcMar>
              <w:left w:w="14" w:type="dxa"/>
              <w:right w:w="14" w:type="dxa"/>
            </w:tcMar>
            <w:vAlign w:val="center"/>
          </w:tcPr>
          <w:p w14:paraId="6E32A3B9" w14:textId="77777777" w:rsidR="00B75ACA" w:rsidRPr="00EA0A36" w:rsidRDefault="00B75ACA" w:rsidP="003C1333">
            <w:pPr>
              <w:pStyle w:val="TableColHeadingCenter"/>
              <w:spacing w:before="10" w:after="10"/>
            </w:pPr>
            <w:r w:rsidRPr="00EA0A36">
              <w:t>State (2023)</w:t>
            </w:r>
          </w:p>
        </w:tc>
        <w:tc>
          <w:tcPr>
            <w:tcW w:w="338" w:type="pct"/>
            <w:tcMar>
              <w:left w:w="14" w:type="dxa"/>
              <w:right w:w="14" w:type="dxa"/>
            </w:tcMar>
            <w:vAlign w:val="center"/>
          </w:tcPr>
          <w:p w14:paraId="27BFE279" w14:textId="77777777" w:rsidR="00B75ACA" w:rsidRPr="00EA0A36" w:rsidRDefault="00B75ACA" w:rsidP="003C1333">
            <w:pPr>
              <w:pStyle w:val="TableColHeadingCenter"/>
              <w:spacing w:before="10" w:after="10"/>
            </w:pPr>
            <w:r w:rsidRPr="00EA0A36">
              <w:t>2022</w:t>
            </w:r>
          </w:p>
        </w:tc>
        <w:tc>
          <w:tcPr>
            <w:tcW w:w="330" w:type="pct"/>
            <w:tcMar>
              <w:left w:w="14" w:type="dxa"/>
              <w:right w:w="14" w:type="dxa"/>
            </w:tcMar>
            <w:vAlign w:val="center"/>
          </w:tcPr>
          <w:p w14:paraId="076015F3" w14:textId="77777777" w:rsidR="00B75ACA" w:rsidRPr="00EA0A36" w:rsidRDefault="00B75ACA" w:rsidP="003C1333">
            <w:pPr>
              <w:pStyle w:val="TableColHeadingCenter"/>
              <w:spacing w:before="10" w:after="10"/>
            </w:pPr>
            <w:r w:rsidRPr="00EA0A36">
              <w:t>2023</w:t>
            </w:r>
          </w:p>
        </w:tc>
        <w:tc>
          <w:tcPr>
            <w:tcW w:w="549" w:type="pct"/>
            <w:tcMar>
              <w:left w:w="14" w:type="dxa"/>
              <w:right w:w="14" w:type="dxa"/>
            </w:tcMar>
            <w:vAlign w:val="center"/>
          </w:tcPr>
          <w:p w14:paraId="0C36C487" w14:textId="77777777" w:rsidR="00B75ACA" w:rsidRPr="00EA0A36" w:rsidRDefault="00B75ACA" w:rsidP="003C1333">
            <w:pPr>
              <w:pStyle w:val="TableColHeadingCenter"/>
              <w:spacing w:before="10" w:after="10"/>
            </w:pPr>
            <w:r w:rsidRPr="00EA0A36">
              <w:t>State (2023)</w:t>
            </w:r>
          </w:p>
        </w:tc>
      </w:tr>
      <w:tr w:rsidR="003C1333" w:rsidRPr="003979D4" w14:paraId="31BBC0EC" w14:textId="77777777" w:rsidTr="003C1333">
        <w:trPr>
          <w:cnfStyle w:val="000000100000" w:firstRow="0" w:lastRow="0" w:firstColumn="0" w:lastColumn="0" w:oddVBand="0" w:evenVBand="0" w:oddHBand="1" w:evenHBand="0" w:firstRowFirstColumn="0" w:firstRowLastColumn="0" w:lastRowFirstColumn="0" w:lastRowLastColumn="0"/>
        </w:trPr>
        <w:tc>
          <w:tcPr>
            <w:tcW w:w="1097" w:type="pct"/>
          </w:tcPr>
          <w:p w14:paraId="19D1A8FE"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All</w:t>
            </w:r>
          </w:p>
        </w:tc>
        <w:tc>
          <w:tcPr>
            <w:tcW w:w="411" w:type="pct"/>
            <w:vAlign w:val="center"/>
          </w:tcPr>
          <w:p w14:paraId="1B4CDCFC"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268</w:t>
            </w:r>
          </w:p>
        </w:tc>
        <w:tc>
          <w:tcPr>
            <w:tcW w:w="331" w:type="pct"/>
            <w:vAlign w:val="center"/>
          </w:tcPr>
          <w:p w14:paraId="6EC678AD"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81</w:t>
            </w:r>
          </w:p>
        </w:tc>
        <w:tc>
          <w:tcPr>
            <w:tcW w:w="312" w:type="pct"/>
            <w:vAlign w:val="center"/>
          </w:tcPr>
          <w:p w14:paraId="4F10697A"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82</w:t>
            </w:r>
          </w:p>
        </w:tc>
        <w:tc>
          <w:tcPr>
            <w:tcW w:w="483" w:type="pct"/>
            <w:vAlign w:val="center"/>
          </w:tcPr>
          <w:p w14:paraId="43AB4510"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50</w:t>
            </w:r>
          </w:p>
        </w:tc>
        <w:tc>
          <w:tcPr>
            <w:tcW w:w="320" w:type="pct"/>
            <w:vAlign w:val="center"/>
          </w:tcPr>
          <w:p w14:paraId="1C854531"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17</w:t>
            </w:r>
          </w:p>
        </w:tc>
        <w:tc>
          <w:tcPr>
            <w:tcW w:w="351" w:type="pct"/>
            <w:vAlign w:val="center"/>
          </w:tcPr>
          <w:p w14:paraId="3FBC1C21"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17</w:t>
            </w:r>
          </w:p>
        </w:tc>
        <w:tc>
          <w:tcPr>
            <w:tcW w:w="478" w:type="pct"/>
            <w:vAlign w:val="center"/>
          </w:tcPr>
          <w:p w14:paraId="2E8FE1BA"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42</w:t>
            </w:r>
          </w:p>
        </w:tc>
        <w:tc>
          <w:tcPr>
            <w:tcW w:w="338" w:type="pct"/>
            <w:vAlign w:val="center"/>
          </w:tcPr>
          <w:p w14:paraId="60D357D6"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w:t>
            </w:r>
          </w:p>
        </w:tc>
        <w:tc>
          <w:tcPr>
            <w:tcW w:w="330" w:type="pct"/>
            <w:vAlign w:val="center"/>
          </w:tcPr>
          <w:p w14:paraId="26DDA095"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w:t>
            </w:r>
          </w:p>
        </w:tc>
        <w:tc>
          <w:tcPr>
            <w:tcW w:w="549" w:type="pct"/>
            <w:vAlign w:val="bottom"/>
          </w:tcPr>
          <w:p w14:paraId="1F6646ED"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9</w:t>
            </w:r>
          </w:p>
        </w:tc>
      </w:tr>
      <w:tr w:rsidR="003C1333" w:rsidRPr="003979D4" w14:paraId="68D90EB5" w14:textId="77777777" w:rsidTr="003C1333">
        <w:tc>
          <w:tcPr>
            <w:tcW w:w="1097" w:type="pct"/>
          </w:tcPr>
          <w:p w14:paraId="0AE4FAE0"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African American/Black</w:t>
            </w:r>
          </w:p>
        </w:tc>
        <w:tc>
          <w:tcPr>
            <w:tcW w:w="411" w:type="pct"/>
            <w:vAlign w:val="center"/>
          </w:tcPr>
          <w:p w14:paraId="0D790E63" w14:textId="77777777" w:rsidR="00B75ACA" w:rsidRPr="00AF1E8F" w:rsidRDefault="00B75ACA" w:rsidP="003C1333">
            <w:pPr>
              <w:pStyle w:val="TableTextCentered"/>
              <w:spacing w:before="10" w:after="10"/>
              <w:rPr>
                <w:rFonts w:ascii="Franklin Gothic Book" w:hAnsi="Franklin Gothic Book"/>
              </w:rPr>
            </w:pPr>
            <w:r>
              <w:rPr>
                <w:rFonts w:ascii="Franklin Gothic Book" w:hAnsi="Franklin Gothic Book"/>
              </w:rPr>
              <w:t>7</w:t>
            </w:r>
          </w:p>
        </w:tc>
        <w:tc>
          <w:tcPr>
            <w:tcW w:w="331" w:type="pct"/>
            <w:vAlign w:val="center"/>
          </w:tcPr>
          <w:p w14:paraId="7829A97A" w14:textId="1D93213C"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12" w:type="pct"/>
            <w:vAlign w:val="center"/>
          </w:tcPr>
          <w:p w14:paraId="7157B264" w14:textId="306EB431"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3" w:type="pct"/>
            <w:vAlign w:val="center"/>
          </w:tcPr>
          <w:p w14:paraId="4C6396F2"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27</w:t>
            </w:r>
          </w:p>
        </w:tc>
        <w:tc>
          <w:tcPr>
            <w:tcW w:w="320" w:type="pct"/>
            <w:vAlign w:val="center"/>
          </w:tcPr>
          <w:p w14:paraId="23A29C0E" w14:textId="22039AE3"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51" w:type="pct"/>
            <w:vAlign w:val="center"/>
          </w:tcPr>
          <w:p w14:paraId="30498C45" w14:textId="7F59BD32"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8" w:type="pct"/>
            <w:vAlign w:val="center"/>
          </w:tcPr>
          <w:p w14:paraId="1096FBFA"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58</w:t>
            </w:r>
          </w:p>
        </w:tc>
        <w:tc>
          <w:tcPr>
            <w:tcW w:w="338" w:type="pct"/>
            <w:vAlign w:val="center"/>
          </w:tcPr>
          <w:p w14:paraId="0B4D4F2F" w14:textId="30BC12FD"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2FE37BBE" w14:textId="3A313613"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549" w:type="pct"/>
            <w:vAlign w:val="bottom"/>
          </w:tcPr>
          <w:p w14:paraId="450EEE4E"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15</w:t>
            </w:r>
          </w:p>
        </w:tc>
      </w:tr>
      <w:tr w:rsidR="003C1333" w:rsidRPr="003979D4" w14:paraId="7E337F42" w14:textId="77777777" w:rsidTr="003C1333">
        <w:trPr>
          <w:cnfStyle w:val="000000100000" w:firstRow="0" w:lastRow="0" w:firstColumn="0" w:lastColumn="0" w:oddVBand="0" w:evenVBand="0" w:oddHBand="1" w:evenHBand="0" w:firstRowFirstColumn="0" w:firstRowLastColumn="0" w:lastRowFirstColumn="0" w:lastRowLastColumn="0"/>
        </w:trPr>
        <w:tc>
          <w:tcPr>
            <w:tcW w:w="1097" w:type="pct"/>
          </w:tcPr>
          <w:p w14:paraId="6A1636EE"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Asian</w:t>
            </w:r>
          </w:p>
        </w:tc>
        <w:tc>
          <w:tcPr>
            <w:tcW w:w="411" w:type="pct"/>
            <w:vAlign w:val="center"/>
          </w:tcPr>
          <w:p w14:paraId="714627FE"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14</w:t>
            </w:r>
          </w:p>
        </w:tc>
        <w:tc>
          <w:tcPr>
            <w:tcW w:w="331" w:type="pct"/>
            <w:vAlign w:val="center"/>
          </w:tcPr>
          <w:p w14:paraId="2B792BD1" w14:textId="0CF4394B"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12" w:type="pct"/>
            <w:vAlign w:val="center"/>
          </w:tcPr>
          <w:p w14:paraId="6292C42B"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100</w:t>
            </w:r>
          </w:p>
        </w:tc>
        <w:tc>
          <w:tcPr>
            <w:tcW w:w="483" w:type="pct"/>
            <w:vAlign w:val="center"/>
          </w:tcPr>
          <w:p w14:paraId="337C9E42"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80</w:t>
            </w:r>
          </w:p>
        </w:tc>
        <w:tc>
          <w:tcPr>
            <w:tcW w:w="320" w:type="pct"/>
            <w:vAlign w:val="center"/>
          </w:tcPr>
          <w:p w14:paraId="4ED00E63" w14:textId="1046A32D"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51" w:type="pct"/>
            <w:vAlign w:val="center"/>
          </w:tcPr>
          <w:p w14:paraId="1EC4BF96"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0</w:t>
            </w:r>
          </w:p>
        </w:tc>
        <w:tc>
          <w:tcPr>
            <w:tcW w:w="478" w:type="pct"/>
            <w:vAlign w:val="center"/>
          </w:tcPr>
          <w:p w14:paraId="7CF6AC3D"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17</w:t>
            </w:r>
          </w:p>
        </w:tc>
        <w:tc>
          <w:tcPr>
            <w:tcW w:w="338" w:type="pct"/>
            <w:vAlign w:val="center"/>
          </w:tcPr>
          <w:p w14:paraId="1E3A9CB2" w14:textId="00EEC048"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499A07F2"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0</w:t>
            </w:r>
          </w:p>
        </w:tc>
        <w:tc>
          <w:tcPr>
            <w:tcW w:w="549" w:type="pct"/>
            <w:vAlign w:val="bottom"/>
          </w:tcPr>
          <w:p w14:paraId="352F99FE"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3</w:t>
            </w:r>
          </w:p>
        </w:tc>
      </w:tr>
      <w:tr w:rsidR="003C1333" w:rsidRPr="003979D4" w14:paraId="4F71CB2B" w14:textId="77777777" w:rsidTr="003C1333">
        <w:tc>
          <w:tcPr>
            <w:tcW w:w="1097" w:type="pct"/>
          </w:tcPr>
          <w:p w14:paraId="18A60CF3"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Hispanic/Latino</w:t>
            </w:r>
          </w:p>
        </w:tc>
        <w:tc>
          <w:tcPr>
            <w:tcW w:w="411" w:type="pct"/>
            <w:vAlign w:val="center"/>
          </w:tcPr>
          <w:p w14:paraId="354B976D"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13</w:t>
            </w:r>
          </w:p>
        </w:tc>
        <w:tc>
          <w:tcPr>
            <w:tcW w:w="331" w:type="pct"/>
            <w:vAlign w:val="center"/>
          </w:tcPr>
          <w:p w14:paraId="2FFCFF93" w14:textId="62532FD8"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12" w:type="pct"/>
            <w:vAlign w:val="center"/>
          </w:tcPr>
          <w:p w14:paraId="17E56F1D"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62</w:t>
            </w:r>
          </w:p>
        </w:tc>
        <w:tc>
          <w:tcPr>
            <w:tcW w:w="483" w:type="pct"/>
            <w:vAlign w:val="center"/>
          </w:tcPr>
          <w:p w14:paraId="57E474AA"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25</w:t>
            </w:r>
          </w:p>
        </w:tc>
        <w:tc>
          <w:tcPr>
            <w:tcW w:w="320" w:type="pct"/>
            <w:vAlign w:val="center"/>
          </w:tcPr>
          <w:p w14:paraId="725C8262" w14:textId="2C5F5952"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51" w:type="pct"/>
            <w:vAlign w:val="center"/>
          </w:tcPr>
          <w:p w14:paraId="6202E7A1"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31</w:t>
            </w:r>
          </w:p>
        </w:tc>
        <w:tc>
          <w:tcPr>
            <w:tcW w:w="478" w:type="pct"/>
            <w:vAlign w:val="center"/>
          </w:tcPr>
          <w:p w14:paraId="247CF969"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57</w:t>
            </w:r>
          </w:p>
        </w:tc>
        <w:tc>
          <w:tcPr>
            <w:tcW w:w="338" w:type="pct"/>
            <w:vAlign w:val="center"/>
          </w:tcPr>
          <w:p w14:paraId="6978F687" w14:textId="60F27AA6"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60967A86"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8</w:t>
            </w:r>
          </w:p>
        </w:tc>
        <w:tc>
          <w:tcPr>
            <w:tcW w:w="549" w:type="pct"/>
            <w:vAlign w:val="bottom"/>
          </w:tcPr>
          <w:p w14:paraId="07E74C96"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18</w:t>
            </w:r>
          </w:p>
        </w:tc>
      </w:tr>
      <w:tr w:rsidR="003C1333" w:rsidRPr="003979D4" w14:paraId="35019998" w14:textId="77777777" w:rsidTr="003C1333">
        <w:trPr>
          <w:cnfStyle w:val="000000100000" w:firstRow="0" w:lastRow="0" w:firstColumn="0" w:lastColumn="0" w:oddVBand="0" w:evenVBand="0" w:oddHBand="1" w:evenHBand="0" w:firstRowFirstColumn="0" w:firstRowLastColumn="0" w:lastRowFirstColumn="0" w:lastRowLastColumn="0"/>
        </w:trPr>
        <w:tc>
          <w:tcPr>
            <w:tcW w:w="1097" w:type="pct"/>
          </w:tcPr>
          <w:p w14:paraId="5B8BFEB2"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11" w:type="pct"/>
            <w:vAlign w:val="center"/>
          </w:tcPr>
          <w:p w14:paraId="24B6D6D8"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10</w:t>
            </w:r>
          </w:p>
        </w:tc>
        <w:tc>
          <w:tcPr>
            <w:tcW w:w="331" w:type="pct"/>
            <w:vAlign w:val="center"/>
          </w:tcPr>
          <w:p w14:paraId="155CF0B1" w14:textId="515826AB"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12" w:type="pct"/>
            <w:vAlign w:val="center"/>
          </w:tcPr>
          <w:p w14:paraId="298A7012"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90</w:t>
            </w:r>
          </w:p>
        </w:tc>
        <w:tc>
          <w:tcPr>
            <w:tcW w:w="483" w:type="pct"/>
            <w:vAlign w:val="center"/>
          </w:tcPr>
          <w:p w14:paraId="3EFA3E1A"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54</w:t>
            </w:r>
          </w:p>
        </w:tc>
        <w:tc>
          <w:tcPr>
            <w:tcW w:w="320" w:type="pct"/>
            <w:vAlign w:val="center"/>
          </w:tcPr>
          <w:p w14:paraId="212D43F0" w14:textId="3DD04B55"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51" w:type="pct"/>
            <w:vAlign w:val="center"/>
          </w:tcPr>
          <w:p w14:paraId="60941584"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10</w:t>
            </w:r>
          </w:p>
        </w:tc>
        <w:tc>
          <w:tcPr>
            <w:tcW w:w="478" w:type="pct"/>
            <w:vAlign w:val="center"/>
          </w:tcPr>
          <w:p w14:paraId="2C0A6629"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39</w:t>
            </w:r>
          </w:p>
        </w:tc>
        <w:tc>
          <w:tcPr>
            <w:tcW w:w="338" w:type="pct"/>
            <w:vAlign w:val="center"/>
          </w:tcPr>
          <w:p w14:paraId="25FDFA61" w14:textId="7AE6D437"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1B7B19A8"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0</w:t>
            </w:r>
          </w:p>
        </w:tc>
        <w:tc>
          <w:tcPr>
            <w:tcW w:w="549" w:type="pct"/>
            <w:vAlign w:val="bottom"/>
          </w:tcPr>
          <w:p w14:paraId="5C940145"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8</w:t>
            </w:r>
          </w:p>
        </w:tc>
      </w:tr>
      <w:tr w:rsidR="003C1333" w:rsidRPr="003979D4" w14:paraId="02FDCCEA" w14:textId="77777777" w:rsidTr="003C1333">
        <w:tc>
          <w:tcPr>
            <w:tcW w:w="1097" w:type="pct"/>
          </w:tcPr>
          <w:p w14:paraId="196E3AC8"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Native American</w:t>
            </w:r>
          </w:p>
        </w:tc>
        <w:tc>
          <w:tcPr>
            <w:tcW w:w="411" w:type="pct"/>
            <w:vAlign w:val="center"/>
          </w:tcPr>
          <w:p w14:paraId="34D1C6F9" w14:textId="77777777" w:rsidR="00B75ACA" w:rsidRPr="00AF1E8F" w:rsidRDefault="00B75ACA" w:rsidP="003C1333">
            <w:pPr>
              <w:pStyle w:val="TableTextCentered"/>
              <w:spacing w:before="10" w:after="10"/>
              <w:rPr>
                <w:rFonts w:ascii="Franklin Gothic Book" w:hAnsi="Franklin Gothic Book"/>
              </w:rPr>
            </w:pPr>
            <w:r>
              <w:rPr>
                <w:rFonts w:ascii="Franklin Gothic Book" w:hAnsi="Franklin Gothic Book"/>
              </w:rPr>
              <w:t>1</w:t>
            </w:r>
          </w:p>
        </w:tc>
        <w:tc>
          <w:tcPr>
            <w:tcW w:w="331" w:type="pct"/>
            <w:vAlign w:val="center"/>
          </w:tcPr>
          <w:p w14:paraId="6ECB20C3" w14:textId="0468481B"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12" w:type="pct"/>
            <w:vAlign w:val="center"/>
          </w:tcPr>
          <w:p w14:paraId="01B4BEAC" w14:textId="2FA2ECAE"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3" w:type="pct"/>
            <w:vAlign w:val="center"/>
          </w:tcPr>
          <w:p w14:paraId="0E037A45"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32</w:t>
            </w:r>
          </w:p>
        </w:tc>
        <w:tc>
          <w:tcPr>
            <w:tcW w:w="320" w:type="pct"/>
            <w:vAlign w:val="center"/>
          </w:tcPr>
          <w:p w14:paraId="36765BDF" w14:textId="185EA3E2"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51" w:type="pct"/>
            <w:vAlign w:val="center"/>
          </w:tcPr>
          <w:p w14:paraId="75AF4A55" w14:textId="01C1D252"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8" w:type="pct"/>
            <w:vAlign w:val="center"/>
          </w:tcPr>
          <w:p w14:paraId="60C3944A"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59</w:t>
            </w:r>
          </w:p>
        </w:tc>
        <w:tc>
          <w:tcPr>
            <w:tcW w:w="338" w:type="pct"/>
            <w:vAlign w:val="center"/>
          </w:tcPr>
          <w:p w14:paraId="4A1CCD00" w14:textId="03AE56A1"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4DF144FA" w14:textId="523E12DD"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549" w:type="pct"/>
            <w:vAlign w:val="bottom"/>
          </w:tcPr>
          <w:p w14:paraId="3BF00BB4"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10</w:t>
            </w:r>
          </w:p>
        </w:tc>
      </w:tr>
      <w:tr w:rsidR="003C1333" w:rsidRPr="003979D4" w14:paraId="38252575" w14:textId="77777777" w:rsidTr="003C1333">
        <w:trPr>
          <w:cnfStyle w:val="000000100000" w:firstRow="0" w:lastRow="0" w:firstColumn="0" w:lastColumn="0" w:oddVBand="0" w:evenVBand="0" w:oddHBand="1" w:evenHBand="0" w:firstRowFirstColumn="0" w:firstRowLastColumn="0" w:lastRowFirstColumn="0" w:lastRowLastColumn="0"/>
        </w:trPr>
        <w:tc>
          <w:tcPr>
            <w:tcW w:w="1097" w:type="pct"/>
          </w:tcPr>
          <w:p w14:paraId="5DAADC49" w14:textId="77777777" w:rsidR="00B75ACA" w:rsidRPr="00350442" w:rsidRDefault="00B75ACA" w:rsidP="003C1333">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11" w:type="pct"/>
            <w:vAlign w:val="center"/>
          </w:tcPr>
          <w:p w14:paraId="7ED1CDF6" w14:textId="326697D8"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1" w:type="pct"/>
            <w:vAlign w:val="center"/>
          </w:tcPr>
          <w:p w14:paraId="51D7475C" w14:textId="24DC15C8"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12" w:type="pct"/>
            <w:vAlign w:val="center"/>
          </w:tcPr>
          <w:p w14:paraId="4AD96AF7" w14:textId="2A3C6B1B"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3" w:type="pct"/>
            <w:vAlign w:val="center"/>
          </w:tcPr>
          <w:p w14:paraId="11E957B5"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36</w:t>
            </w:r>
          </w:p>
        </w:tc>
        <w:tc>
          <w:tcPr>
            <w:tcW w:w="320" w:type="pct"/>
            <w:vAlign w:val="center"/>
          </w:tcPr>
          <w:p w14:paraId="3FD6634A" w14:textId="6AE5AF4A"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51" w:type="pct"/>
            <w:vAlign w:val="center"/>
          </w:tcPr>
          <w:p w14:paraId="1EABF1FD" w14:textId="0882AAD7"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8" w:type="pct"/>
            <w:vAlign w:val="center"/>
          </w:tcPr>
          <w:p w14:paraId="456F4429"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57</w:t>
            </w:r>
          </w:p>
        </w:tc>
        <w:tc>
          <w:tcPr>
            <w:tcW w:w="338" w:type="pct"/>
            <w:vAlign w:val="center"/>
          </w:tcPr>
          <w:p w14:paraId="5896BD26" w14:textId="17E09E73"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29E335FE" w14:textId="1F2B58ED"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549" w:type="pct"/>
            <w:vAlign w:val="bottom"/>
          </w:tcPr>
          <w:p w14:paraId="0C9B2D4A"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7</w:t>
            </w:r>
          </w:p>
        </w:tc>
      </w:tr>
      <w:tr w:rsidR="003C1333" w:rsidRPr="003979D4" w14:paraId="25CA9BB9" w14:textId="77777777" w:rsidTr="003C1333">
        <w:tc>
          <w:tcPr>
            <w:tcW w:w="1097" w:type="pct"/>
          </w:tcPr>
          <w:p w14:paraId="041ACE7A"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White</w:t>
            </w:r>
          </w:p>
        </w:tc>
        <w:tc>
          <w:tcPr>
            <w:tcW w:w="411" w:type="pct"/>
            <w:vAlign w:val="center"/>
          </w:tcPr>
          <w:p w14:paraId="136FD10D"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223</w:t>
            </w:r>
          </w:p>
        </w:tc>
        <w:tc>
          <w:tcPr>
            <w:tcW w:w="331" w:type="pct"/>
            <w:vAlign w:val="center"/>
          </w:tcPr>
          <w:p w14:paraId="43B39213"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83</w:t>
            </w:r>
          </w:p>
        </w:tc>
        <w:tc>
          <w:tcPr>
            <w:tcW w:w="312" w:type="pct"/>
            <w:vAlign w:val="center"/>
          </w:tcPr>
          <w:p w14:paraId="5AF7BF23"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83</w:t>
            </w:r>
          </w:p>
        </w:tc>
        <w:tc>
          <w:tcPr>
            <w:tcW w:w="483" w:type="pct"/>
            <w:vAlign w:val="center"/>
          </w:tcPr>
          <w:p w14:paraId="6D6C928E"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60</w:t>
            </w:r>
          </w:p>
        </w:tc>
        <w:tc>
          <w:tcPr>
            <w:tcW w:w="320" w:type="pct"/>
            <w:vAlign w:val="center"/>
          </w:tcPr>
          <w:p w14:paraId="793F408D"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15</w:t>
            </w:r>
          </w:p>
        </w:tc>
        <w:tc>
          <w:tcPr>
            <w:tcW w:w="351" w:type="pct"/>
            <w:vAlign w:val="center"/>
          </w:tcPr>
          <w:p w14:paraId="0A9C61E1"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15</w:t>
            </w:r>
          </w:p>
        </w:tc>
        <w:tc>
          <w:tcPr>
            <w:tcW w:w="478" w:type="pct"/>
            <w:vAlign w:val="center"/>
          </w:tcPr>
          <w:p w14:paraId="2C63A392"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36</w:t>
            </w:r>
          </w:p>
        </w:tc>
        <w:tc>
          <w:tcPr>
            <w:tcW w:w="338" w:type="pct"/>
            <w:vAlign w:val="center"/>
          </w:tcPr>
          <w:p w14:paraId="0586DFAD"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w:t>
            </w:r>
          </w:p>
        </w:tc>
        <w:tc>
          <w:tcPr>
            <w:tcW w:w="330" w:type="pct"/>
            <w:vAlign w:val="center"/>
          </w:tcPr>
          <w:p w14:paraId="223F95D7"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w:t>
            </w:r>
          </w:p>
        </w:tc>
        <w:tc>
          <w:tcPr>
            <w:tcW w:w="549" w:type="pct"/>
            <w:vAlign w:val="bottom"/>
          </w:tcPr>
          <w:p w14:paraId="7C641019"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4</w:t>
            </w:r>
          </w:p>
        </w:tc>
      </w:tr>
      <w:tr w:rsidR="003C1333" w:rsidRPr="003979D4" w14:paraId="400DE6CF" w14:textId="77777777" w:rsidTr="003C1333">
        <w:trPr>
          <w:cnfStyle w:val="000000100000" w:firstRow="0" w:lastRow="0" w:firstColumn="0" w:lastColumn="0" w:oddVBand="0" w:evenVBand="0" w:oddHBand="1" w:evenHBand="0" w:firstRowFirstColumn="0" w:firstRowLastColumn="0" w:lastRowFirstColumn="0" w:lastRowLastColumn="0"/>
        </w:trPr>
        <w:tc>
          <w:tcPr>
            <w:tcW w:w="1097" w:type="pct"/>
          </w:tcPr>
          <w:p w14:paraId="68C4DFCC"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High needs</w:t>
            </w:r>
          </w:p>
        </w:tc>
        <w:tc>
          <w:tcPr>
            <w:tcW w:w="411" w:type="pct"/>
            <w:vAlign w:val="center"/>
          </w:tcPr>
          <w:p w14:paraId="63CA7BE9"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51</w:t>
            </w:r>
          </w:p>
        </w:tc>
        <w:tc>
          <w:tcPr>
            <w:tcW w:w="331" w:type="pct"/>
            <w:vAlign w:val="center"/>
          </w:tcPr>
          <w:p w14:paraId="6A007B93"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50</w:t>
            </w:r>
          </w:p>
        </w:tc>
        <w:tc>
          <w:tcPr>
            <w:tcW w:w="312" w:type="pct"/>
            <w:vAlign w:val="center"/>
          </w:tcPr>
          <w:p w14:paraId="2F919FC1"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45</w:t>
            </w:r>
          </w:p>
        </w:tc>
        <w:tc>
          <w:tcPr>
            <w:tcW w:w="483" w:type="pct"/>
            <w:vAlign w:val="center"/>
          </w:tcPr>
          <w:p w14:paraId="00AA716E"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27</w:t>
            </w:r>
          </w:p>
        </w:tc>
        <w:tc>
          <w:tcPr>
            <w:tcW w:w="320" w:type="pct"/>
            <w:vAlign w:val="center"/>
          </w:tcPr>
          <w:p w14:paraId="25CE32EC"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37</w:t>
            </w:r>
          </w:p>
        </w:tc>
        <w:tc>
          <w:tcPr>
            <w:tcW w:w="351" w:type="pct"/>
            <w:vAlign w:val="center"/>
          </w:tcPr>
          <w:p w14:paraId="728456C8"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47</w:t>
            </w:r>
          </w:p>
        </w:tc>
        <w:tc>
          <w:tcPr>
            <w:tcW w:w="478" w:type="pct"/>
            <w:vAlign w:val="center"/>
          </w:tcPr>
          <w:p w14:paraId="5A023433"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57</w:t>
            </w:r>
          </w:p>
        </w:tc>
        <w:tc>
          <w:tcPr>
            <w:tcW w:w="338" w:type="pct"/>
            <w:vAlign w:val="center"/>
          </w:tcPr>
          <w:p w14:paraId="21995C39"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13</w:t>
            </w:r>
          </w:p>
        </w:tc>
        <w:tc>
          <w:tcPr>
            <w:tcW w:w="330" w:type="pct"/>
            <w:vAlign w:val="center"/>
          </w:tcPr>
          <w:p w14:paraId="1373CC6E"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8</w:t>
            </w:r>
          </w:p>
        </w:tc>
        <w:tc>
          <w:tcPr>
            <w:tcW w:w="549" w:type="pct"/>
            <w:vAlign w:val="bottom"/>
          </w:tcPr>
          <w:p w14:paraId="5C7643A5"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16</w:t>
            </w:r>
          </w:p>
        </w:tc>
      </w:tr>
      <w:tr w:rsidR="003C1333" w:rsidRPr="003979D4" w14:paraId="5E0A4E2E" w14:textId="77777777" w:rsidTr="003C1333">
        <w:tc>
          <w:tcPr>
            <w:tcW w:w="1097" w:type="pct"/>
          </w:tcPr>
          <w:p w14:paraId="705C732E"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Low income</w:t>
            </w:r>
          </w:p>
        </w:tc>
        <w:tc>
          <w:tcPr>
            <w:tcW w:w="411" w:type="pct"/>
            <w:vAlign w:val="center"/>
          </w:tcPr>
          <w:p w14:paraId="25BB9FB4"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29</w:t>
            </w:r>
          </w:p>
        </w:tc>
        <w:tc>
          <w:tcPr>
            <w:tcW w:w="331" w:type="pct"/>
            <w:vAlign w:val="center"/>
          </w:tcPr>
          <w:p w14:paraId="29EA76C3"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63</w:t>
            </w:r>
          </w:p>
        </w:tc>
        <w:tc>
          <w:tcPr>
            <w:tcW w:w="312" w:type="pct"/>
            <w:vAlign w:val="center"/>
          </w:tcPr>
          <w:p w14:paraId="22DADD6D"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52</w:t>
            </w:r>
          </w:p>
        </w:tc>
        <w:tc>
          <w:tcPr>
            <w:tcW w:w="483" w:type="pct"/>
            <w:vAlign w:val="center"/>
          </w:tcPr>
          <w:p w14:paraId="416D561F"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27</w:t>
            </w:r>
          </w:p>
        </w:tc>
        <w:tc>
          <w:tcPr>
            <w:tcW w:w="320" w:type="pct"/>
            <w:vAlign w:val="center"/>
          </w:tcPr>
          <w:p w14:paraId="1A8DAD98"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26</w:t>
            </w:r>
          </w:p>
        </w:tc>
        <w:tc>
          <w:tcPr>
            <w:tcW w:w="351" w:type="pct"/>
            <w:vAlign w:val="center"/>
          </w:tcPr>
          <w:p w14:paraId="48495AE3"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45</w:t>
            </w:r>
          </w:p>
        </w:tc>
        <w:tc>
          <w:tcPr>
            <w:tcW w:w="478" w:type="pct"/>
            <w:vAlign w:val="center"/>
          </w:tcPr>
          <w:p w14:paraId="413098EC"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57</w:t>
            </w:r>
          </w:p>
        </w:tc>
        <w:tc>
          <w:tcPr>
            <w:tcW w:w="338" w:type="pct"/>
            <w:vAlign w:val="center"/>
          </w:tcPr>
          <w:p w14:paraId="00676324"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11</w:t>
            </w:r>
          </w:p>
        </w:tc>
        <w:tc>
          <w:tcPr>
            <w:tcW w:w="330" w:type="pct"/>
            <w:vAlign w:val="center"/>
          </w:tcPr>
          <w:p w14:paraId="1953018C"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3</w:t>
            </w:r>
          </w:p>
        </w:tc>
        <w:tc>
          <w:tcPr>
            <w:tcW w:w="549" w:type="pct"/>
            <w:vAlign w:val="bottom"/>
          </w:tcPr>
          <w:p w14:paraId="206F0472"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16</w:t>
            </w:r>
          </w:p>
        </w:tc>
      </w:tr>
      <w:tr w:rsidR="003C1333" w:rsidRPr="003979D4" w14:paraId="2BECED5F" w14:textId="77777777" w:rsidTr="003C1333">
        <w:trPr>
          <w:cnfStyle w:val="000000100000" w:firstRow="0" w:lastRow="0" w:firstColumn="0" w:lastColumn="0" w:oddVBand="0" w:evenVBand="0" w:oddHBand="1" w:evenHBand="0" w:firstRowFirstColumn="0" w:firstRowLastColumn="0" w:lastRowFirstColumn="0" w:lastRowLastColumn="0"/>
        </w:trPr>
        <w:tc>
          <w:tcPr>
            <w:tcW w:w="1097" w:type="pct"/>
          </w:tcPr>
          <w:p w14:paraId="4C6612AD" w14:textId="77777777" w:rsidR="00B75ACA" w:rsidRPr="00350442" w:rsidRDefault="00B75ACA" w:rsidP="003C1333">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11" w:type="pct"/>
            <w:vAlign w:val="center"/>
          </w:tcPr>
          <w:p w14:paraId="02E75A22" w14:textId="77777777" w:rsidR="00B75ACA" w:rsidRPr="00AF1E8F" w:rsidRDefault="00B75ACA" w:rsidP="003C1333">
            <w:pPr>
              <w:pStyle w:val="TableTextCentered"/>
              <w:spacing w:before="10" w:after="10"/>
              <w:rPr>
                <w:rFonts w:ascii="Franklin Gothic Book" w:hAnsi="Franklin Gothic Book"/>
              </w:rPr>
            </w:pPr>
            <w:r>
              <w:rPr>
                <w:rFonts w:ascii="Franklin Gothic Book" w:hAnsi="Franklin Gothic Book"/>
              </w:rPr>
              <w:t>2</w:t>
            </w:r>
          </w:p>
        </w:tc>
        <w:tc>
          <w:tcPr>
            <w:tcW w:w="331" w:type="pct"/>
            <w:vAlign w:val="center"/>
          </w:tcPr>
          <w:p w14:paraId="00797152" w14:textId="5CFF49F2"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12" w:type="pct"/>
            <w:vAlign w:val="center"/>
          </w:tcPr>
          <w:p w14:paraId="4DFCF549" w14:textId="48C4BE8D"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3" w:type="pct"/>
            <w:vAlign w:val="center"/>
          </w:tcPr>
          <w:p w14:paraId="7C5ADF94"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14</w:t>
            </w:r>
          </w:p>
        </w:tc>
        <w:tc>
          <w:tcPr>
            <w:tcW w:w="320" w:type="pct"/>
            <w:vAlign w:val="center"/>
          </w:tcPr>
          <w:p w14:paraId="45403DB5" w14:textId="3ECF07CE"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51" w:type="pct"/>
            <w:vAlign w:val="center"/>
          </w:tcPr>
          <w:p w14:paraId="4C8C15DB" w14:textId="276B48D9"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8" w:type="pct"/>
            <w:vAlign w:val="center"/>
          </w:tcPr>
          <w:p w14:paraId="352F48E1"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58</w:t>
            </w:r>
          </w:p>
        </w:tc>
        <w:tc>
          <w:tcPr>
            <w:tcW w:w="338" w:type="pct"/>
            <w:vAlign w:val="center"/>
          </w:tcPr>
          <w:p w14:paraId="720B9CCD" w14:textId="59D66C98"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0" w:type="pct"/>
            <w:vAlign w:val="center"/>
          </w:tcPr>
          <w:p w14:paraId="428B6619" w14:textId="1210F32A" w:rsidR="00B75ACA" w:rsidRPr="00AF1E8F"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549" w:type="pct"/>
            <w:vAlign w:val="bottom"/>
          </w:tcPr>
          <w:p w14:paraId="78D8B036"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28</w:t>
            </w:r>
          </w:p>
        </w:tc>
      </w:tr>
      <w:tr w:rsidR="003C1333" w:rsidRPr="003979D4" w14:paraId="0D2FE1E0" w14:textId="77777777" w:rsidTr="003C1333">
        <w:tc>
          <w:tcPr>
            <w:tcW w:w="1097" w:type="pct"/>
          </w:tcPr>
          <w:p w14:paraId="3B5B22C3"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11" w:type="pct"/>
            <w:vAlign w:val="center"/>
          </w:tcPr>
          <w:p w14:paraId="32517718"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28</w:t>
            </w:r>
          </w:p>
        </w:tc>
        <w:tc>
          <w:tcPr>
            <w:tcW w:w="331" w:type="pct"/>
            <w:vAlign w:val="center"/>
          </w:tcPr>
          <w:p w14:paraId="7A52AEE7"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29</w:t>
            </w:r>
          </w:p>
        </w:tc>
        <w:tc>
          <w:tcPr>
            <w:tcW w:w="312" w:type="pct"/>
            <w:vAlign w:val="center"/>
          </w:tcPr>
          <w:p w14:paraId="510CD64B"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36</w:t>
            </w:r>
          </w:p>
        </w:tc>
        <w:tc>
          <w:tcPr>
            <w:tcW w:w="483" w:type="pct"/>
            <w:vAlign w:val="center"/>
          </w:tcPr>
          <w:p w14:paraId="7485D72E"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16</w:t>
            </w:r>
          </w:p>
        </w:tc>
        <w:tc>
          <w:tcPr>
            <w:tcW w:w="320" w:type="pct"/>
            <w:vAlign w:val="center"/>
          </w:tcPr>
          <w:p w14:paraId="4D9CFB0B"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50</w:t>
            </w:r>
          </w:p>
        </w:tc>
        <w:tc>
          <w:tcPr>
            <w:tcW w:w="351" w:type="pct"/>
            <w:vAlign w:val="center"/>
          </w:tcPr>
          <w:p w14:paraId="1A57AE3D"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50</w:t>
            </w:r>
          </w:p>
        </w:tc>
        <w:tc>
          <w:tcPr>
            <w:tcW w:w="478" w:type="pct"/>
            <w:vAlign w:val="center"/>
          </w:tcPr>
          <w:p w14:paraId="30C41A73"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59</w:t>
            </w:r>
          </w:p>
        </w:tc>
        <w:tc>
          <w:tcPr>
            <w:tcW w:w="338" w:type="pct"/>
            <w:vAlign w:val="center"/>
          </w:tcPr>
          <w:p w14:paraId="6E3781C5"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21</w:t>
            </w:r>
          </w:p>
        </w:tc>
        <w:tc>
          <w:tcPr>
            <w:tcW w:w="330" w:type="pct"/>
            <w:vAlign w:val="center"/>
          </w:tcPr>
          <w:p w14:paraId="627A5428"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14</w:t>
            </w:r>
          </w:p>
        </w:tc>
        <w:tc>
          <w:tcPr>
            <w:tcW w:w="549" w:type="pct"/>
            <w:vAlign w:val="bottom"/>
          </w:tcPr>
          <w:p w14:paraId="09FB6A76" w14:textId="77777777" w:rsidR="00B75ACA" w:rsidRPr="00AF1E8F" w:rsidRDefault="00B75ACA" w:rsidP="003C1333">
            <w:pPr>
              <w:pStyle w:val="TableTextCentered"/>
              <w:spacing w:before="10" w:after="10"/>
              <w:rPr>
                <w:rFonts w:ascii="Franklin Gothic Book" w:hAnsi="Franklin Gothic Book"/>
              </w:rPr>
            </w:pPr>
            <w:r w:rsidRPr="00AF1E8F">
              <w:rPr>
                <w:rFonts w:ascii="Franklin Gothic Book" w:hAnsi="Franklin Gothic Book"/>
              </w:rPr>
              <w:t>25</w:t>
            </w:r>
          </w:p>
        </w:tc>
      </w:tr>
    </w:tbl>
    <w:p w14:paraId="00F8F9EA" w14:textId="77777777" w:rsidR="00B75ACA" w:rsidRPr="00E54927" w:rsidRDefault="00B75ACA" w:rsidP="00B75ACA">
      <w:pPr>
        <w:pStyle w:val="TableTitle0"/>
      </w:pPr>
      <w:bookmarkStart w:id="194" w:name="_Toc158035172"/>
      <w:r w:rsidRPr="00D139D1">
        <w:lastRenderedPageBreak/>
        <w:t xml:space="preserve">Table E5. Next-Generation MCAS Science </w:t>
      </w:r>
      <w:r w:rsidRPr="003979D4">
        <w:t>Achievement by Student Group</w:t>
      </w:r>
      <w:r w:rsidRPr="00D139D1">
        <w:t>, Grades 5 and 8, 202</w:t>
      </w:r>
      <w:r>
        <w:t>2</w:t>
      </w:r>
      <w:r w:rsidRPr="00D139D1">
        <w:t>-2023</w:t>
      </w:r>
      <w:bookmarkEnd w:id="194"/>
    </w:p>
    <w:tbl>
      <w:tblPr>
        <w:tblStyle w:val="MSVTable1"/>
        <w:tblW w:w="5124" w:type="pct"/>
        <w:tblLook w:val="0420" w:firstRow="1" w:lastRow="0" w:firstColumn="0" w:lastColumn="0" w:noHBand="0" w:noVBand="1"/>
      </w:tblPr>
      <w:tblGrid>
        <w:gridCol w:w="2842"/>
        <w:gridCol w:w="1064"/>
        <w:gridCol w:w="1008"/>
        <w:gridCol w:w="963"/>
        <w:gridCol w:w="1252"/>
        <w:gridCol w:w="886"/>
        <w:gridCol w:w="894"/>
        <w:gridCol w:w="1324"/>
        <w:gridCol w:w="846"/>
        <w:gridCol w:w="894"/>
        <w:gridCol w:w="1292"/>
      </w:tblGrid>
      <w:tr w:rsidR="00B75ACA" w:rsidRPr="003979D4" w14:paraId="45EBB543" w14:textId="77777777" w:rsidTr="003C1333">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6A982793" w14:textId="77777777" w:rsidR="00B75ACA" w:rsidRPr="00EA0A36" w:rsidRDefault="00B75ACA" w:rsidP="003C1333">
            <w:pPr>
              <w:pStyle w:val="TableColHeadingLeft"/>
              <w:spacing w:before="10" w:after="10"/>
              <w:jc w:val="center"/>
            </w:pPr>
            <w:r w:rsidRPr="00EA0A36">
              <w:t>Group</w:t>
            </w:r>
          </w:p>
        </w:tc>
        <w:tc>
          <w:tcPr>
            <w:tcW w:w="401" w:type="pct"/>
            <w:vMerge w:val="restart"/>
            <w:vAlign w:val="center"/>
          </w:tcPr>
          <w:p w14:paraId="6A331AA0" w14:textId="2F4D53F9" w:rsidR="00B75ACA" w:rsidRPr="00EA0A36" w:rsidRDefault="00B75ACA" w:rsidP="003C1333">
            <w:pPr>
              <w:pStyle w:val="TableColHeadingCenter"/>
              <w:spacing w:before="10" w:after="10"/>
            </w:pPr>
            <w:r>
              <w:t xml:space="preserve"># </w:t>
            </w:r>
            <w:r w:rsidR="008E5BF5">
              <w:t>i</w:t>
            </w:r>
            <w:r>
              <w:t>ncluded</w:t>
            </w:r>
            <w:r w:rsidRPr="00EA0A36">
              <w:t xml:space="preserve"> (2023)</w:t>
            </w:r>
          </w:p>
        </w:tc>
        <w:tc>
          <w:tcPr>
            <w:tcW w:w="1215" w:type="pct"/>
            <w:gridSpan w:val="3"/>
            <w:vAlign w:val="bottom"/>
          </w:tcPr>
          <w:p w14:paraId="45916AD4" w14:textId="42C15BA0" w:rsidR="00B75ACA" w:rsidRPr="00EA0A36" w:rsidRDefault="00B75ACA" w:rsidP="003C1333">
            <w:pPr>
              <w:pStyle w:val="TableColHeadingCenter"/>
              <w:spacing w:before="10" w:after="10"/>
            </w:pPr>
            <w:r>
              <w:t>Percent</w:t>
            </w:r>
            <w:r w:rsidR="008E5BF5">
              <w:t>age</w:t>
            </w:r>
            <w:r>
              <w:t xml:space="preserve"> meeting or exceeding expectations</w:t>
            </w:r>
          </w:p>
        </w:tc>
        <w:tc>
          <w:tcPr>
            <w:tcW w:w="1170" w:type="pct"/>
            <w:gridSpan w:val="3"/>
            <w:vAlign w:val="center"/>
          </w:tcPr>
          <w:p w14:paraId="76BC26C5" w14:textId="6DB4E528" w:rsidR="00B75ACA" w:rsidRPr="00EA0A36" w:rsidRDefault="00B75ACA" w:rsidP="003C1333">
            <w:pPr>
              <w:pStyle w:val="TableColHeadingCenter"/>
              <w:spacing w:before="10" w:after="10"/>
            </w:pPr>
            <w:r>
              <w:t>Percent</w:t>
            </w:r>
            <w:r w:rsidR="008E5BF5">
              <w:t>age</w:t>
            </w:r>
            <w:r>
              <w:t xml:space="preserve"> partially meeting expectations</w:t>
            </w:r>
          </w:p>
        </w:tc>
        <w:tc>
          <w:tcPr>
            <w:tcW w:w="1143" w:type="pct"/>
            <w:gridSpan w:val="3"/>
            <w:vAlign w:val="center"/>
          </w:tcPr>
          <w:p w14:paraId="2B285904" w14:textId="2A20151B" w:rsidR="00B75ACA" w:rsidRDefault="00B75ACA" w:rsidP="003C1333">
            <w:pPr>
              <w:pStyle w:val="TableColHeadingCenter"/>
              <w:spacing w:before="10" w:after="10"/>
            </w:pPr>
            <w:r>
              <w:t>Percent</w:t>
            </w:r>
            <w:r w:rsidR="008E5BF5">
              <w:t>age</w:t>
            </w:r>
            <w:r>
              <w:t xml:space="preserve"> not meeting expectations</w:t>
            </w:r>
          </w:p>
        </w:tc>
      </w:tr>
      <w:tr w:rsidR="003C1333" w:rsidRPr="003979D4" w14:paraId="6EF66DAE" w14:textId="77777777" w:rsidTr="003C1333">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7E9597C3" w14:textId="77777777" w:rsidR="00B75ACA" w:rsidRPr="00EA0A36" w:rsidRDefault="00B75ACA" w:rsidP="003C1333">
            <w:pPr>
              <w:pStyle w:val="TableColHeadingCenter"/>
              <w:spacing w:before="10" w:after="10"/>
            </w:pPr>
          </w:p>
        </w:tc>
        <w:tc>
          <w:tcPr>
            <w:tcW w:w="401" w:type="pct"/>
            <w:vMerge/>
            <w:vAlign w:val="bottom"/>
          </w:tcPr>
          <w:p w14:paraId="4BEC1E88" w14:textId="77777777" w:rsidR="00B75ACA" w:rsidRPr="00EA0A36" w:rsidRDefault="00B75ACA" w:rsidP="003C1333">
            <w:pPr>
              <w:pStyle w:val="TableColHeadingCenter"/>
              <w:spacing w:before="10" w:after="10"/>
            </w:pPr>
          </w:p>
        </w:tc>
        <w:tc>
          <w:tcPr>
            <w:tcW w:w="380" w:type="pct"/>
            <w:tcMar>
              <w:left w:w="14" w:type="dxa"/>
              <w:right w:w="14" w:type="dxa"/>
            </w:tcMar>
            <w:vAlign w:val="center"/>
          </w:tcPr>
          <w:p w14:paraId="3C5C29A3" w14:textId="77777777" w:rsidR="00B75ACA" w:rsidRPr="00EA0A36" w:rsidRDefault="00B75ACA" w:rsidP="003C1333">
            <w:pPr>
              <w:pStyle w:val="TableColHeadingCenter"/>
              <w:spacing w:before="10" w:after="10"/>
            </w:pPr>
            <w:r w:rsidRPr="00EA0A36">
              <w:t>2022</w:t>
            </w:r>
          </w:p>
        </w:tc>
        <w:tc>
          <w:tcPr>
            <w:tcW w:w="363" w:type="pct"/>
            <w:tcMar>
              <w:left w:w="14" w:type="dxa"/>
              <w:right w:w="14" w:type="dxa"/>
            </w:tcMar>
            <w:vAlign w:val="center"/>
          </w:tcPr>
          <w:p w14:paraId="36B63113" w14:textId="77777777" w:rsidR="00B75ACA" w:rsidRPr="00EA0A36" w:rsidRDefault="00B75ACA" w:rsidP="003C1333">
            <w:pPr>
              <w:pStyle w:val="TableColHeadingCenter"/>
              <w:spacing w:before="10" w:after="10"/>
            </w:pPr>
            <w:r w:rsidRPr="00EA0A36">
              <w:t>2023</w:t>
            </w:r>
          </w:p>
        </w:tc>
        <w:tc>
          <w:tcPr>
            <w:tcW w:w="472" w:type="pct"/>
            <w:tcMar>
              <w:left w:w="14" w:type="dxa"/>
              <w:right w:w="14" w:type="dxa"/>
            </w:tcMar>
            <w:vAlign w:val="center"/>
          </w:tcPr>
          <w:p w14:paraId="06857E19" w14:textId="77777777" w:rsidR="00B75ACA" w:rsidRPr="00EA0A36" w:rsidRDefault="00B75ACA" w:rsidP="003C1333">
            <w:pPr>
              <w:pStyle w:val="TableColHeadingCenter"/>
              <w:spacing w:before="10" w:after="10"/>
            </w:pPr>
            <w:r w:rsidRPr="00EA0A36">
              <w:t>State (2023)</w:t>
            </w:r>
          </w:p>
        </w:tc>
        <w:tc>
          <w:tcPr>
            <w:tcW w:w="334" w:type="pct"/>
            <w:tcMar>
              <w:left w:w="14" w:type="dxa"/>
              <w:right w:w="14" w:type="dxa"/>
            </w:tcMar>
            <w:vAlign w:val="center"/>
          </w:tcPr>
          <w:p w14:paraId="4A43308A" w14:textId="77777777" w:rsidR="00B75ACA" w:rsidRPr="00EA0A36" w:rsidRDefault="00B75ACA" w:rsidP="003C1333">
            <w:pPr>
              <w:pStyle w:val="TableColHeadingCenter"/>
              <w:spacing w:before="10" w:after="10"/>
            </w:pPr>
            <w:r w:rsidRPr="00EA0A36">
              <w:t>2022</w:t>
            </w:r>
          </w:p>
        </w:tc>
        <w:tc>
          <w:tcPr>
            <w:tcW w:w="337" w:type="pct"/>
            <w:tcMar>
              <w:left w:w="14" w:type="dxa"/>
              <w:right w:w="14" w:type="dxa"/>
            </w:tcMar>
            <w:vAlign w:val="center"/>
          </w:tcPr>
          <w:p w14:paraId="0EAA0576" w14:textId="77777777" w:rsidR="00B75ACA" w:rsidRPr="00EA0A36" w:rsidRDefault="00B75ACA" w:rsidP="003C1333">
            <w:pPr>
              <w:pStyle w:val="TableColHeadingCenter"/>
              <w:spacing w:before="10" w:after="10"/>
            </w:pPr>
            <w:r w:rsidRPr="00EA0A36">
              <w:t>2023</w:t>
            </w:r>
          </w:p>
        </w:tc>
        <w:tc>
          <w:tcPr>
            <w:tcW w:w="499" w:type="pct"/>
            <w:tcMar>
              <w:left w:w="14" w:type="dxa"/>
              <w:right w:w="14" w:type="dxa"/>
            </w:tcMar>
            <w:vAlign w:val="center"/>
          </w:tcPr>
          <w:p w14:paraId="2BA045DA" w14:textId="77777777" w:rsidR="00B75ACA" w:rsidRPr="00EA0A36" w:rsidRDefault="00B75ACA" w:rsidP="003C1333">
            <w:pPr>
              <w:pStyle w:val="TableColHeadingCenter"/>
              <w:spacing w:before="10" w:after="10"/>
            </w:pPr>
            <w:r w:rsidRPr="00EA0A36">
              <w:t>State (2023)</w:t>
            </w:r>
          </w:p>
        </w:tc>
        <w:tc>
          <w:tcPr>
            <w:tcW w:w="319" w:type="pct"/>
            <w:tcMar>
              <w:left w:w="14" w:type="dxa"/>
              <w:right w:w="14" w:type="dxa"/>
            </w:tcMar>
            <w:vAlign w:val="center"/>
          </w:tcPr>
          <w:p w14:paraId="3EA488B3" w14:textId="77777777" w:rsidR="00B75ACA" w:rsidRPr="00EA0A36" w:rsidRDefault="00B75ACA" w:rsidP="003C1333">
            <w:pPr>
              <w:pStyle w:val="TableColHeadingCenter"/>
              <w:spacing w:before="10" w:after="10"/>
            </w:pPr>
            <w:r w:rsidRPr="00EA0A36">
              <w:t>2022</w:t>
            </w:r>
          </w:p>
        </w:tc>
        <w:tc>
          <w:tcPr>
            <w:tcW w:w="337" w:type="pct"/>
            <w:tcMar>
              <w:left w:w="14" w:type="dxa"/>
              <w:right w:w="14" w:type="dxa"/>
            </w:tcMar>
            <w:vAlign w:val="center"/>
          </w:tcPr>
          <w:p w14:paraId="491CFFF6" w14:textId="77777777" w:rsidR="00B75ACA" w:rsidRPr="00EA0A36" w:rsidRDefault="00B75ACA" w:rsidP="003C1333">
            <w:pPr>
              <w:pStyle w:val="TableColHeadingCenter"/>
              <w:spacing w:before="10" w:after="10"/>
            </w:pPr>
            <w:r w:rsidRPr="00EA0A36">
              <w:t>2023</w:t>
            </w:r>
          </w:p>
        </w:tc>
        <w:tc>
          <w:tcPr>
            <w:tcW w:w="487" w:type="pct"/>
            <w:tcMar>
              <w:left w:w="14" w:type="dxa"/>
              <w:right w:w="14" w:type="dxa"/>
            </w:tcMar>
            <w:vAlign w:val="center"/>
          </w:tcPr>
          <w:p w14:paraId="78945E66" w14:textId="77777777" w:rsidR="00B75ACA" w:rsidRPr="00EA0A36" w:rsidRDefault="00B75ACA" w:rsidP="003C1333">
            <w:pPr>
              <w:pStyle w:val="TableColHeadingCenter"/>
              <w:spacing w:before="10" w:after="10"/>
            </w:pPr>
            <w:r w:rsidRPr="00EA0A36">
              <w:t>State (2023)</w:t>
            </w:r>
          </w:p>
        </w:tc>
      </w:tr>
      <w:tr w:rsidR="003C1333" w:rsidRPr="003979D4" w14:paraId="2B905275" w14:textId="77777777" w:rsidTr="003C1333">
        <w:trPr>
          <w:cnfStyle w:val="000000100000" w:firstRow="0" w:lastRow="0" w:firstColumn="0" w:lastColumn="0" w:oddVBand="0" w:evenVBand="0" w:oddHBand="1" w:evenHBand="0" w:firstRowFirstColumn="0" w:firstRowLastColumn="0" w:lastRowFirstColumn="0" w:lastRowLastColumn="0"/>
        </w:trPr>
        <w:tc>
          <w:tcPr>
            <w:tcW w:w="1071" w:type="pct"/>
          </w:tcPr>
          <w:p w14:paraId="7EDAAB83"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All</w:t>
            </w:r>
          </w:p>
        </w:tc>
        <w:tc>
          <w:tcPr>
            <w:tcW w:w="401" w:type="pct"/>
            <w:vAlign w:val="center"/>
          </w:tcPr>
          <w:p w14:paraId="25F2B1CF"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547</w:t>
            </w:r>
          </w:p>
        </w:tc>
        <w:tc>
          <w:tcPr>
            <w:tcW w:w="380" w:type="pct"/>
            <w:vAlign w:val="center"/>
          </w:tcPr>
          <w:p w14:paraId="6A9C175B"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69</w:t>
            </w:r>
          </w:p>
        </w:tc>
        <w:tc>
          <w:tcPr>
            <w:tcW w:w="363" w:type="pct"/>
            <w:vAlign w:val="center"/>
          </w:tcPr>
          <w:p w14:paraId="0138F101"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71</w:t>
            </w:r>
          </w:p>
        </w:tc>
        <w:tc>
          <w:tcPr>
            <w:tcW w:w="472" w:type="pct"/>
            <w:vAlign w:val="center"/>
          </w:tcPr>
          <w:p w14:paraId="008258E8"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41</w:t>
            </w:r>
          </w:p>
        </w:tc>
        <w:tc>
          <w:tcPr>
            <w:tcW w:w="334" w:type="pct"/>
            <w:vAlign w:val="center"/>
          </w:tcPr>
          <w:p w14:paraId="23996FD6"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28</w:t>
            </w:r>
          </w:p>
        </w:tc>
        <w:tc>
          <w:tcPr>
            <w:tcW w:w="337" w:type="pct"/>
            <w:vAlign w:val="center"/>
          </w:tcPr>
          <w:p w14:paraId="50642284"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26</w:t>
            </w:r>
          </w:p>
        </w:tc>
        <w:tc>
          <w:tcPr>
            <w:tcW w:w="499" w:type="pct"/>
            <w:vAlign w:val="center"/>
          </w:tcPr>
          <w:p w14:paraId="2C8D153B"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40</w:t>
            </w:r>
          </w:p>
        </w:tc>
        <w:tc>
          <w:tcPr>
            <w:tcW w:w="319" w:type="pct"/>
            <w:vAlign w:val="center"/>
          </w:tcPr>
          <w:p w14:paraId="3B74508D"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w:t>
            </w:r>
          </w:p>
        </w:tc>
        <w:tc>
          <w:tcPr>
            <w:tcW w:w="337" w:type="pct"/>
            <w:vAlign w:val="center"/>
          </w:tcPr>
          <w:p w14:paraId="7842FC13"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w:t>
            </w:r>
          </w:p>
        </w:tc>
        <w:tc>
          <w:tcPr>
            <w:tcW w:w="487" w:type="pct"/>
            <w:vAlign w:val="bottom"/>
          </w:tcPr>
          <w:p w14:paraId="3CCD505A"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19</w:t>
            </w:r>
          </w:p>
        </w:tc>
      </w:tr>
      <w:tr w:rsidR="00B75ACA" w:rsidRPr="003979D4" w14:paraId="3E220CD0" w14:textId="77777777" w:rsidTr="003C1333">
        <w:tc>
          <w:tcPr>
            <w:tcW w:w="1071" w:type="pct"/>
          </w:tcPr>
          <w:p w14:paraId="5AB80A19"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African American/Black</w:t>
            </w:r>
          </w:p>
        </w:tc>
        <w:tc>
          <w:tcPr>
            <w:tcW w:w="401" w:type="pct"/>
            <w:vAlign w:val="center"/>
          </w:tcPr>
          <w:p w14:paraId="616858BE" w14:textId="77777777" w:rsidR="00B75ACA" w:rsidRPr="007C0865" w:rsidRDefault="00B75ACA" w:rsidP="003C1333">
            <w:pPr>
              <w:pStyle w:val="TableTextCentered"/>
              <w:spacing w:before="10" w:after="10"/>
              <w:rPr>
                <w:rFonts w:ascii="Franklin Gothic Book" w:hAnsi="Franklin Gothic Book"/>
              </w:rPr>
            </w:pPr>
            <w:r>
              <w:rPr>
                <w:rFonts w:ascii="Franklin Gothic Book" w:hAnsi="Franklin Gothic Book"/>
              </w:rPr>
              <w:t>9</w:t>
            </w:r>
          </w:p>
        </w:tc>
        <w:tc>
          <w:tcPr>
            <w:tcW w:w="380" w:type="pct"/>
            <w:vAlign w:val="center"/>
          </w:tcPr>
          <w:p w14:paraId="7B214DEE"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36</w:t>
            </w:r>
          </w:p>
        </w:tc>
        <w:tc>
          <w:tcPr>
            <w:tcW w:w="363" w:type="pct"/>
            <w:vAlign w:val="center"/>
          </w:tcPr>
          <w:p w14:paraId="47B7ACA8" w14:textId="449B3666"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2" w:type="pct"/>
            <w:vAlign w:val="center"/>
          </w:tcPr>
          <w:p w14:paraId="6C6772FC"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21</w:t>
            </w:r>
          </w:p>
        </w:tc>
        <w:tc>
          <w:tcPr>
            <w:tcW w:w="334" w:type="pct"/>
            <w:vAlign w:val="center"/>
          </w:tcPr>
          <w:p w14:paraId="57B31219"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55</w:t>
            </w:r>
          </w:p>
        </w:tc>
        <w:tc>
          <w:tcPr>
            <w:tcW w:w="337" w:type="pct"/>
            <w:vAlign w:val="center"/>
          </w:tcPr>
          <w:p w14:paraId="0BCA404C" w14:textId="1182B0B6"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99" w:type="pct"/>
            <w:vAlign w:val="center"/>
          </w:tcPr>
          <w:p w14:paraId="691156B5"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47</w:t>
            </w:r>
          </w:p>
        </w:tc>
        <w:tc>
          <w:tcPr>
            <w:tcW w:w="319" w:type="pct"/>
            <w:vAlign w:val="center"/>
          </w:tcPr>
          <w:p w14:paraId="5938594F"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9</w:t>
            </w:r>
          </w:p>
        </w:tc>
        <w:tc>
          <w:tcPr>
            <w:tcW w:w="337" w:type="pct"/>
            <w:vAlign w:val="center"/>
          </w:tcPr>
          <w:p w14:paraId="61C719B1" w14:textId="5DC1FECC"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7" w:type="pct"/>
            <w:vAlign w:val="bottom"/>
          </w:tcPr>
          <w:p w14:paraId="2E318E04"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32</w:t>
            </w:r>
          </w:p>
        </w:tc>
      </w:tr>
      <w:tr w:rsidR="003C1333" w:rsidRPr="003979D4" w14:paraId="1AF6707E" w14:textId="77777777" w:rsidTr="003C1333">
        <w:trPr>
          <w:cnfStyle w:val="000000100000" w:firstRow="0" w:lastRow="0" w:firstColumn="0" w:lastColumn="0" w:oddVBand="0" w:evenVBand="0" w:oddHBand="1" w:evenHBand="0" w:firstRowFirstColumn="0" w:firstRowLastColumn="0" w:lastRowFirstColumn="0" w:lastRowLastColumn="0"/>
        </w:trPr>
        <w:tc>
          <w:tcPr>
            <w:tcW w:w="1071" w:type="pct"/>
          </w:tcPr>
          <w:p w14:paraId="3B526DD7"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Asian</w:t>
            </w:r>
          </w:p>
        </w:tc>
        <w:tc>
          <w:tcPr>
            <w:tcW w:w="401" w:type="pct"/>
            <w:vAlign w:val="center"/>
          </w:tcPr>
          <w:p w14:paraId="644CA89F"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15</w:t>
            </w:r>
          </w:p>
        </w:tc>
        <w:tc>
          <w:tcPr>
            <w:tcW w:w="380" w:type="pct"/>
            <w:vAlign w:val="center"/>
          </w:tcPr>
          <w:p w14:paraId="6BEDBB98"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85</w:t>
            </w:r>
          </w:p>
        </w:tc>
        <w:tc>
          <w:tcPr>
            <w:tcW w:w="363" w:type="pct"/>
            <w:vAlign w:val="center"/>
          </w:tcPr>
          <w:p w14:paraId="1A429C46"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93</w:t>
            </w:r>
          </w:p>
        </w:tc>
        <w:tc>
          <w:tcPr>
            <w:tcW w:w="472" w:type="pct"/>
            <w:vAlign w:val="center"/>
          </w:tcPr>
          <w:p w14:paraId="0871EC32"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65</w:t>
            </w:r>
          </w:p>
        </w:tc>
        <w:tc>
          <w:tcPr>
            <w:tcW w:w="334" w:type="pct"/>
            <w:vAlign w:val="center"/>
          </w:tcPr>
          <w:p w14:paraId="157EE793"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10</w:t>
            </w:r>
          </w:p>
        </w:tc>
        <w:tc>
          <w:tcPr>
            <w:tcW w:w="337" w:type="pct"/>
            <w:vAlign w:val="center"/>
          </w:tcPr>
          <w:p w14:paraId="4086A8BA"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7</w:t>
            </w:r>
          </w:p>
        </w:tc>
        <w:tc>
          <w:tcPr>
            <w:tcW w:w="499" w:type="pct"/>
            <w:vAlign w:val="center"/>
          </w:tcPr>
          <w:p w14:paraId="0903B580"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27</w:t>
            </w:r>
          </w:p>
        </w:tc>
        <w:tc>
          <w:tcPr>
            <w:tcW w:w="319" w:type="pct"/>
            <w:vAlign w:val="center"/>
          </w:tcPr>
          <w:p w14:paraId="6E569F60"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5</w:t>
            </w:r>
          </w:p>
        </w:tc>
        <w:tc>
          <w:tcPr>
            <w:tcW w:w="337" w:type="pct"/>
            <w:vAlign w:val="center"/>
          </w:tcPr>
          <w:p w14:paraId="0C2D28B4"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0</w:t>
            </w:r>
          </w:p>
        </w:tc>
        <w:tc>
          <w:tcPr>
            <w:tcW w:w="487" w:type="pct"/>
            <w:vAlign w:val="bottom"/>
          </w:tcPr>
          <w:p w14:paraId="3B7F3A90"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8</w:t>
            </w:r>
          </w:p>
        </w:tc>
      </w:tr>
      <w:tr w:rsidR="00B75ACA" w:rsidRPr="003979D4" w14:paraId="5F30217D" w14:textId="77777777" w:rsidTr="003C1333">
        <w:tc>
          <w:tcPr>
            <w:tcW w:w="1071" w:type="pct"/>
          </w:tcPr>
          <w:p w14:paraId="7B4664DE"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Hispanic/Latino</w:t>
            </w:r>
          </w:p>
        </w:tc>
        <w:tc>
          <w:tcPr>
            <w:tcW w:w="401" w:type="pct"/>
            <w:vAlign w:val="center"/>
          </w:tcPr>
          <w:p w14:paraId="56988358"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26</w:t>
            </w:r>
          </w:p>
        </w:tc>
        <w:tc>
          <w:tcPr>
            <w:tcW w:w="380" w:type="pct"/>
            <w:vAlign w:val="center"/>
          </w:tcPr>
          <w:p w14:paraId="33F3B9FC"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68</w:t>
            </w:r>
          </w:p>
        </w:tc>
        <w:tc>
          <w:tcPr>
            <w:tcW w:w="363" w:type="pct"/>
            <w:vAlign w:val="center"/>
          </w:tcPr>
          <w:p w14:paraId="2832CB6B"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73</w:t>
            </w:r>
          </w:p>
        </w:tc>
        <w:tc>
          <w:tcPr>
            <w:tcW w:w="472" w:type="pct"/>
            <w:vAlign w:val="center"/>
          </w:tcPr>
          <w:p w14:paraId="3FB29DAA"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20</w:t>
            </w:r>
          </w:p>
        </w:tc>
        <w:tc>
          <w:tcPr>
            <w:tcW w:w="334" w:type="pct"/>
            <w:vAlign w:val="center"/>
          </w:tcPr>
          <w:p w14:paraId="42575BC6"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24</w:t>
            </w:r>
          </w:p>
        </w:tc>
        <w:tc>
          <w:tcPr>
            <w:tcW w:w="337" w:type="pct"/>
            <w:vAlign w:val="center"/>
          </w:tcPr>
          <w:p w14:paraId="2C688CAE"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23</w:t>
            </w:r>
          </w:p>
        </w:tc>
        <w:tc>
          <w:tcPr>
            <w:tcW w:w="499" w:type="pct"/>
            <w:vAlign w:val="center"/>
          </w:tcPr>
          <w:p w14:paraId="41E9A935"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45</w:t>
            </w:r>
          </w:p>
        </w:tc>
        <w:tc>
          <w:tcPr>
            <w:tcW w:w="319" w:type="pct"/>
            <w:vAlign w:val="center"/>
          </w:tcPr>
          <w:p w14:paraId="3C0D205C"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8</w:t>
            </w:r>
          </w:p>
        </w:tc>
        <w:tc>
          <w:tcPr>
            <w:tcW w:w="337" w:type="pct"/>
            <w:vAlign w:val="center"/>
          </w:tcPr>
          <w:p w14:paraId="5E9F358C"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w:t>
            </w:r>
          </w:p>
        </w:tc>
        <w:tc>
          <w:tcPr>
            <w:tcW w:w="487" w:type="pct"/>
            <w:vAlign w:val="bottom"/>
          </w:tcPr>
          <w:p w14:paraId="1CD62AAE"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35</w:t>
            </w:r>
          </w:p>
        </w:tc>
      </w:tr>
      <w:tr w:rsidR="003C1333" w:rsidRPr="003979D4" w14:paraId="3B9B9A02" w14:textId="77777777" w:rsidTr="003C1333">
        <w:trPr>
          <w:cnfStyle w:val="000000100000" w:firstRow="0" w:lastRow="0" w:firstColumn="0" w:lastColumn="0" w:oddVBand="0" w:evenVBand="0" w:oddHBand="1" w:evenHBand="0" w:firstRowFirstColumn="0" w:firstRowLastColumn="0" w:lastRowFirstColumn="0" w:lastRowLastColumn="0"/>
        </w:trPr>
        <w:tc>
          <w:tcPr>
            <w:tcW w:w="1071" w:type="pct"/>
          </w:tcPr>
          <w:p w14:paraId="54818ECD"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01" w:type="pct"/>
            <w:vAlign w:val="center"/>
          </w:tcPr>
          <w:p w14:paraId="095038E0"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17</w:t>
            </w:r>
          </w:p>
        </w:tc>
        <w:tc>
          <w:tcPr>
            <w:tcW w:w="380" w:type="pct"/>
            <w:vAlign w:val="center"/>
          </w:tcPr>
          <w:p w14:paraId="65A29A27"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87</w:t>
            </w:r>
          </w:p>
        </w:tc>
        <w:tc>
          <w:tcPr>
            <w:tcW w:w="363" w:type="pct"/>
            <w:vAlign w:val="center"/>
          </w:tcPr>
          <w:p w14:paraId="2A00AD86"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71</w:t>
            </w:r>
          </w:p>
        </w:tc>
        <w:tc>
          <w:tcPr>
            <w:tcW w:w="472" w:type="pct"/>
            <w:vAlign w:val="center"/>
          </w:tcPr>
          <w:p w14:paraId="770DC1F9"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47</w:t>
            </w:r>
          </w:p>
        </w:tc>
        <w:tc>
          <w:tcPr>
            <w:tcW w:w="334" w:type="pct"/>
            <w:vAlign w:val="center"/>
          </w:tcPr>
          <w:p w14:paraId="65D7548E"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13</w:t>
            </w:r>
          </w:p>
        </w:tc>
        <w:tc>
          <w:tcPr>
            <w:tcW w:w="337" w:type="pct"/>
            <w:vAlign w:val="center"/>
          </w:tcPr>
          <w:p w14:paraId="10D3C965"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29</w:t>
            </w:r>
          </w:p>
        </w:tc>
        <w:tc>
          <w:tcPr>
            <w:tcW w:w="499" w:type="pct"/>
            <w:vAlign w:val="center"/>
          </w:tcPr>
          <w:p w14:paraId="27E1DA32"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37</w:t>
            </w:r>
          </w:p>
        </w:tc>
        <w:tc>
          <w:tcPr>
            <w:tcW w:w="319" w:type="pct"/>
            <w:vAlign w:val="center"/>
          </w:tcPr>
          <w:p w14:paraId="1E7C73FA"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0</w:t>
            </w:r>
          </w:p>
        </w:tc>
        <w:tc>
          <w:tcPr>
            <w:tcW w:w="337" w:type="pct"/>
            <w:vAlign w:val="center"/>
          </w:tcPr>
          <w:p w14:paraId="277A000F"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0</w:t>
            </w:r>
          </w:p>
        </w:tc>
        <w:tc>
          <w:tcPr>
            <w:tcW w:w="487" w:type="pct"/>
            <w:vAlign w:val="bottom"/>
          </w:tcPr>
          <w:p w14:paraId="0E6108CF"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15</w:t>
            </w:r>
          </w:p>
        </w:tc>
      </w:tr>
      <w:tr w:rsidR="00B75ACA" w:rsidRPr="003979D4" w14:paraId="65544638" w14:textId="77777777" w:rsidTr="003C1333">
        <w:tc>
          <w:tcPr>
            <w:tcW w:w="1071" w:type="pct"/>
          </w:tcPr>
          <w:p w14:paraId="5B700A07"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Native American</w:t>
            </w:r>
          </w:p>
        </w:tc>
        <w:tc>
          <w:tcPr>
            <w:tcW w:w="401" w:type="pct"/>
            <w:vAlign w:val="center"/>
          </w:tcPr>
          <w:p w14:paraId="743D9D6F" w14:textId="7658B94A"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80" w:type="pct"/>
            <w:vAlign w:val="center"/>
          </w:tcPr>
          <w:p w14:paraId="7ACDA4EE" w14:textId="44C93C46"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63" w:type="pct"/>
            <w:vAlign w:val="center"/>
          </w:tcPr>
          <w:p w14:paraId="3E3D372C" w14:textId="771A34F3"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2" w:type="pct"/>
            <w:vAlign w:val="center"/>
          </w:tcPr>
          <w:p w14:paraId="4D7A5E70"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31</w:t>
            </w:r>
          </w:p>
        </w:tc>
        <w:tc>
          <w:tcPr>
            <w:tcW w:w="334" w:type="pct"/>
            <w:vAlign w:val="center"/>
          </w:tcPr>
          <w:p w14:paraId="6A85C527" w14:textId="436E4138"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28E95A89" w14:textId="77C8CD65"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99" w:type="pct"/>
            <w:vAlign w:val="center"/>
          </w:tcPr>
          <w:p w14:paraId="1B430CCB"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44</w:t>
            </w:r>
          </w:p>
        </w:tc>
        <w:tc>
          <w:tcPr>
            <w:tcW w:w="319" w:type="pct"/>
            <w:vAlign w:val="center"/>
          </w:tcPr>
          <w:p w14:paraId="764E851C" w14:textId="6D7C838A"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3D557A4F" w14:textId="5CCF3C0B"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7" w:type="pct"/>
            <w:vAlign w:val="bottom"/>
          </w:tcPr>
          <w:p w14:paraId="1341FB59"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25</w:t>
            </w:r>
          </w:p>
        </w:tc>
      </w:tr>
      <w:tr w:rsidR="003C1333" w:rsidRPr="003979D4" w14:paraId="6DE2C797" w14:textId="77777777" w:rsidTr="003C1333">
        <w:trPr>
          <w:cnfStyle w:val="000000100000" w:firstRow="0" w:lastRow="0" w:firstColumn="0" w:lastColumn="0" w:oddVBand="0" w:evenVBand="0" w:oddHBand="1" w:evenHBand="0" w:firstRowFirstColumn="0" w:firstRowLastColumn="0" w:lastRowFirstColumn="0" w:lastRowLastColumn="0"/>
        </w:trPr>
        <w:tc>
          <w:tcPr>
            <w:tcW w:w="1071" w:type="pct"/>
          </w:tcPr>
          <w:p w14:paraId="6D16B7B8" w14:textId="77777777" w:rsidR="00B75ACA" w:rsidRPr="00350442" w:rsidRDefault="00B75ACA" w:rsidP="003C1333">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01" w:type="pct"/>
            <w:vAlign w:val="center"/>
          </w:tcPr>
          <w:p w14:paraId="1B9304D5" w14:textId="153F5607"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80" w:type="pct"/>
            <w:vAlign w:val="center"/>
          </w:tcPr>
          <w:p w14:paraId="722D23F0" w14:textId="39D410D4"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63" w:type="pct"/>
            <w:vAlign w:val="center"/>
          </w:tcPr>
          <w:p w14:paraId="48C88FBE" w14:textId="17965708"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2" w:type="pct"/>
            <w:vAlign w:val="center"/>
          </w:tcPr>
          <w:p w14:paraId="513F590B"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43</w:t>
            </w:r>
          </w:p>
        </w:tc>
        <w:tc>
          <w:tcPr>
            <w:tcW w:w="334" w:type="pct"/>
            <w:vAlign w:val="center"/>
          </w:tcPr>
          <w:p w14:paraId="0647DFDA" w14:textId="7D95825A"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0E637468" w14:textId="6BB6BC97"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99" w:type="pct"/>
            <w:vAlign w:val="center"/>
          </w:tcPr>
          <w:p w14:paraId="187574D4"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41</w:t>
            </w:r>
          </w:p>
        </w:tc>
        <w:tc>
          <w:tcPr>
            <w:tcW w:w="319" w:type="pct"/>
            <w:vAlign w:val="center"/>
          </w:tcPr>
          <w:p w14:paraId="6D0FA196" w14:textId="5C6DDD79"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0BB6D6A8" w14:textId="7DD64518"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7" w:type="pct"/>
            <w:vAlign w:val="bottom"/>
          </w:tcPr>
          <w:p w14:paraId="00559286"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16</w:t>
            </w:r>
          </w:p>
        </w:tc>
      </w:tr>
      <w:tr w:rsidR="00B75ACA" w:rsidRPr="003979D4" w14:paraId="082610FC" w14:textId="77777777" w:rsidTr="003C1333">
        <w:tc>
          <w:tcPr>
            <w:tcW w:w="1071" w:type="pct"/>
          </w:tcPr>
          <w:p w14:paraId="300FCC71"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White</w:t>
            </w:r>
          </w:p>
        </w:tc>
        <w:tc>
          <w:tcPr>
            <w:tcW w:w="401" w:type="pct"/>
            <w:vAlign w:val="center"/>
          </w:tcPr>
          <w:p w14:paraId="6922D228"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480</w:t>
            </w:r>
          </w:p>
        </w:tc>
        <w:tc>
          <w:tcPr>
            <w:tcW w:w="380" w:type="pct"/>
            <w:vAlign w:val="center"/>
          </w:tcPr>
          <w:p w14:paraId="77E530D4"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68</w:t>
            </w:r>
          </w:p>
        </w:tc>
        <w:tc>
          <w:tcPr>
            <w:tcW w:w="363" w:type="pct"/>
            <w:vAlign w:val="center"/>
          </w:tcPr>
          <w:p w14:paraId="2E8F2F3A"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71</w:t>
            </w:r>
          </w:p>
        </w:tc>
        <w:tc>
          <w:tcPr>
            <w:tcW w:w="472" w:type="pct"/>
            <w:vAlign w:val="center"/>
          </w:tcPr>
          <w:p w14:paraId="46138170"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50</w:t>
            </w:r>
          </w:p>
        </w:tc>
        <w:tc>
          <w:tcPr>
            <w:tcW w:w="334" w:type="pct"/>
            <w:vAlign w:val="center"/>
          </w:tcPr>
          <w:p w14:paraId="75597675"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29</w:t>
            </w:r>
          </w:p>
        </w:tc>
        <w:tc>
          <w:tcPr>
            <w:tcW w:w="337" w:type="pct"/>
            <w:vAlign w:val="center"/>
          </w:tcPr>
          <w:p w14:paraId="04225F5E"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26</w:t>
            </w:r>
          </w:p>
        </w:tc>
        <w:tc>
          <w:tcPr>
            <w:tcW w:w="499" w:type="pct"/>
            <w:vAlign w:val="center"/>
          </w:tcPr>
          <w:p w14:paraId="35B14C2D"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38</w:t>
            </w:r>
          </w:p>
        </w:tc>
        <w:tc>
          <w:tcPr>
            <w:tcW w:w="319" w:type="pct"/>
            <w:vAlign w:val="center"/>
          </w:tcPr>
          <w:p w14:paraId="6DC42892"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w:t>
            </w:r>
          </w:p>
        </w:tc>
        <w:tc>
          <w:tcPr>
            <w:tcW w:w="337" w:type="pct"/>
            <w:vAlign w:val="center"/>
          </w:tcPr>
          <w:p w14:paraId="19555B28"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w:t>
            </w:r>
          </w:p>
        </w:tc>
        <w:tc>
          <w:tcPr>
            <w:tcW w:w="487" w:type="pct"/>
            <w:vAlign w:val="bottom"/>
          </w:tcPr>
          <w:p w14:paraId="7A96D995"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11</w:t>
            </w:r>
          </w:p>
        </w:tc>
      </w:tr>
      <w:tr w:rsidR="003C1333" w:rsidRPr="003979D4" w14:paraId="05929D40" w14:textId="77777777" w:rsidTr="003C1333">
        <w:trPr>
          <w:cnfStyle w:val="000000100000" w:firstRow="0" w:lastRow="0" w:firstColumn="0" w:lastColumn="0" w:oddVBand="0" w:evenVBand="0" w:oddHBand="1" w:evenHBand="0" w:firstRowFirstColumn="0" w:firstRowLastColumn="0" w:lastRowFirstColumn="0" w:lastRowLastColumn="0"/>
        </w:trPr>
        <w:tc>
          <w:tcPr>
            <w:tcW w:w="1071" w:type="pct"/>
          </w:tcPr>
          <w:p w14:paraId="37663DBB"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High needs</w:t>
            </w:r>
          </w:p>
        </w:tc>
        <w:tc>
          <w:tcPr>
            <w:tcW w:w="401" w:type="pct"/>
            <w:vAlign w:val="center"/>
          </w:tcPr>
          <w:p w14:paraId="685B12E3"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137</w:t>
            </w:r>
          </w:p>
        </w:tc>
        <w:tc>
          <w:tcPr>
            <w:tcW w:w="380" w:type="pct"/>
            <w:vAlign w:val="center"/>
          </w:tcPr>
          <w:p w14:paraId="08F07425"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39</w:t>
            </w:r>
          </w:p>
        </w:tc>
        <w:tc>
          <w:tcPr>
            <w:tcW w:w="363" w:type="pct"/>
            <w:vAlign w:val="center"/>
          </w:tcPr>
          <w:p w14:paraId="0BA47594"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36</w:t>
            </w:r>
          </w:p>
        </w:tc>
        <w:tc>
          <w:tcPr>
            <w:tcW w:w="472" w:type="pct"/>
            <w:vAlign w:val="center"/>
          </w:tcPr>
          <w:p w14:paraId="3F3F62D7"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23</w:t>
            </w:r>
          </w:p>
        </w:tc>
        <w:tc>
          <w:tcPr>
            <w:tcW w:w="334" w:type="pct"/>
            <w:vAlign w:val="center"/>
          </w:tcPr>
          <w:p w14:paraId="7DBFB528"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49</w:t>
            </w:r>
          </w:p>
        </w:tc>
        <w:tc>
          <w:tcPr>
            <w:tcW w:w="337" w:type="pct"/>
            <w:vAlign w:val="center"/>
          </w:tcPr>
          <w:p w14:paraId="3E95C4AE"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53</w:t>
            </w:r>
          </w:p>
        </w:tc>
        <w:tc>
          <w:tcPr>
            <w:tcW w:w="499" w:type="pct"/>
            <w:vAlign w:val="center"/>
          </w:tcPr>
          <w:p w14:paraId="12A71883"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46</w:t>
            </w:r>
          </w:p>
        </w:tc>
        <w:tc>
          <w:tcPr>
            <w:tcW w:w="319" w:type="pct"/>
            <w:vAlign w:val="center"/>
          </w:tcPr>
          <w:p w14:paraId="2F641024"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13</w:t>
            </w:r>
          </w:p>
        </w:tc>
        <w:tc>
          <w:tcPr>
            <w:tcW w:w="337" w:type="pct"/>
            <w:vAlign w:val="center"/>
          </w:tcPr>
          <w:p w14:paraId="2CCBF18C"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12</w:t>
            </w:r>
          </w:p>
        </w:tc>
        <w:tc>
          <w:tcPr>
            <w:tcW w:w="487" w:type="pct"/>
            <w:vAlign w:val="bottom"/>
          </w:tcPr>
          <w:p w14:paraId="26FE51BE"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31</w:t>
            </w:r>
          </w:p>
        </w:tc>
      </w:tr>
      <w:tr w:rsidR="00B75ACA" w:rsidRPr="003979D4" w14:paraId="0B57E2AD" w14:textId="77777777" w:rsidTr="003C1333">
        <w:tc>
          <w:tcPr>
            <w:tcW w:w="1071" w:type="pct"/>
          </w:tcPr>
          <w:p w14:paraId="64A74EB4"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Low income</w:t>
            </w:r>
          </w:p>
        </w:tc>
        <w:tc>
          <w:tcPr>
            <w:tcW w:w="401" w:type="pct"/>
            <w:vAlign w:val="center"/>
          </w:tcPr>
          <w:p w14:paraId="018340E9"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50</w:t>
            </w:r>
          </w:p>
        </w:tc>
        <w:tc>
          <w:tcPr>
            <w:tcW w:w="380" w:type="pct"/>
            <w:vAlign w:val="center"/>
          </w:tcPr>
          <w:p w14:paraId="235DE53E"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44</w:t>
            </w:r>
          </w:p>
        </w:tc>
        <w:tc>
          <w:tcPr>
            <w:tcW w:w="363" w:type="pct"/>
            <w:vAlign w:val="center"/>
          </w:tcPr>
          <w:p w14:paraId="643030A6"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28</w:t>
            </w:r>
          </w:p>
        </w:tc>
        <w:tc>
          <w:tcPr>
            <w:tcW w:w="472" w:type="pct"/>
            <w:vAlign w:val="center"/>
          </w:tcPr>
          <w:p w14:paraId="27C72D54"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22</w:t>
            </w:r>
          </w:p>
        </w:tc>
        <w:tc>
          <w:tcPr>
            <w:tcW w:w="334" w:type="pct"/>
            <w:vAlign w:val="center"/>
          </w:tcPr>
          <w:p w14:paraId="1F22C995"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44</w:t>
            </w:r>
          </w:p>
        </w:tc>
        <w:tc>
          <w:tcPr>
            <w:tcW w:w="337" w:type="pct"/>
            <w:vAlign w:val="center"/>
          </w:tcPr>
          <w:p w14:paraId="149C1958"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60</w:t>
            </w:r>
          </w:p>
        </w:tc>
        <w:tc>
          <w:tcPr>
            <w:tcW w:w="499" w:type="pct"/>
            <w:vAlign w:val="center"/>
          </w:tcPr>
          <w:p w14:paraId="438511FF"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46</w:t>
            </w:r>
          </w:p>
        </w:tc>
        <w:tc>
          <w:tcPr>
            <w:tcW w:w="319" w:type="pct"/>
            <w:vAlign w:val="center"/>
          </w:tcPr>
          <w:p w14:paraId="631032FC"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11</w:t>
            </w:r>
          </w:p>
        </w:tc>
        <w:tc>
          <w:tcPr>
            <w:tcW w:w="337" w:type="pct"/>
            <w:vAlign w:val="center"/>
          </w:tcPr>
          <w:p w14:paraId="7F80D518"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12</w:t>
            </w:r>
          </w:p>
        </w:tc>
        <w:tc>
          <w:tcPr>
            <w:tcW w:w="487" w:type="pct"/>
            <w:vAlign w:val="bottom"/>
          </w:tcPr>
          <w:p w14:paraId="0C7BFAF9"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32</w:t>
            </w:r>
          </w:p>
        </w:tc>
      </w:tr>
      <w:tr w:rsidR="003C1333" w:rsidRPr="003979D4" w14:paraId="1703A80A" w14:textId="77777777" w:rsidTr="003C1333">
        <w:trPr>
          <w:cnfStyle w:val="000000100000" w:firstRow="0" w:lastRow="0" w:firstColumn="0" w:lastColumn="0" w:oddVBand="0" w:evenVBand="0" w:oddHBand="1" w:evenHBand="0" w:firstRowFirstColumn="0" w:firstRowLastColumn="0" w:lastRowFirstColumn="0" w:lastRowLastColumn="0"/>
        </w:trPr>
        <w:tc>
          <w:tcPr>
            <w:tcW w:w="1071" w:type="pct"/>
          </w:tcPr>
          <w:p w14:paraId="459FAD83" w14:textId="77777777" w:rsidR="00B75ACA" w:rsidRPr="00350442" w:rsidRDefault="00B75ACA" w:rsidP="003C1333">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01" w:type="pct"/>
            <w:vAlign w:val="center"/>
          </w:tcPr>
          <w:p w14:paraId="19D049F1" w14:textId="77777777" w:rsidR="00B75ACA" w:rsidRPr="007C0865" w:rsidRDefault="00B75ACA" w:rsidP="003C1333">
            <w:pPr>
              <w:pStyle w:val="TableTextCentered"/>
              <w:spacing w:before="10" w:after="10"/>
              <w:rPr>
                <w:rFonts w:ascii="Franklin Gothic Book" w:hAnsi="Franklin Gothic Book"/>
              </w:rPr>
            </w:pPr>
            <w:r>
              <w:rPr>
                <w:rFonts w:ascii="Franklin Gothic Book" w:hAnsi="Franklin Gothic Book"/>
              </w:rPr>
              <w:t>8</w:t>
            </w:r>
          </w:p>
        </w:tc>
        <w:tc>
          <w:tcPr>
            <w:tcW w:w="380" w:type="pct"/>
            <w:vAlign w:val="center"/>
          </w:tcPr>
          <w:p w14:paraId="66B163BD" w14:textId="20259744"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63" w:type="pct"/>
            <w:vAlign w:val="center"/>
          </w:tcPr>
          <w:p w14:paraId="3E4C248C" w14:textId="5D28D4C2"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2" w:type="pct"/>
            <w:vAlign w:val="center"/>
          </w:tcPr>
          <w:p w14:paraId="0A22F55D"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18</w:t>
            </w:r>
          </w:p>
        </w:tc>
        <w:tc>
          <w:tcPr>
            <w:tcW w:w="334" w:type="pct"/>
            <w:vAlign w:val="center"/>
          </w:tcPr>
          <w:p w14:paraId="7A2BB6D7" w14:textId="0276F424"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7A124FF0" w14:textId="2880BE81"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99" w:type="pct"/>
            <w:vAlign w:val="center"/>
          </w:tcPr>
          <w:p w14:paraId="2B919184"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43</w:t>
            </w:r>
          </w:p>
        </w:tc>
        <w:tc>
          <w:tcPr>
            <w:tcW w:w="319" w:type="pct"/>
            <w:vAlign w:val="center"/>
          </w:tcPr>
          <w:p w14:paraId="0A883B04" w14:textId="6E1921E5"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274CB590" w14:textId="55364686" w:rsidR="00B75ACA" w:rsidRPr="007C0865"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7" w:type="pct"/>
            <w:vAlign w:val="bottom"/>
          </w:tcPr>
          <w:p w14:paraId="44DE1620"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39</w:t>
            </w:r>
          </w:p>
        </w:tc>
      </w:tr>
      <w:tr w:rsidR="00B75ACA" w:rsidRPr="003979D4" w14:paraId="50C3396C" w14:textId="77777777" w:rsidTr="003C1333">
        <w:tc>
          <w:tcPr>
            <w:tcW w:w="1071" w:type="pct"/>
          </w:tcPr>
          <w:p w14:paraId="02523604"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01" w:type="pct"/>
            <w:vAlign w:val="center"/>
          </w:tcPr>
          <w:p w14:paraId="26EEFBA4"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97</w:t>
            </w:r>
          </w:p>
        </w:tc>
        <w:tc>
          <w:tcPr>
            <w:tcW w:w="380" w:type="pct"/>
            <w:vAlign w:val="center"/>
          </w:tcPr>
          <w:p w14:paraId="3938814C"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33</w:t>
            </w:r>
          </w:p>
        </w:tc>
        <w:tc>
          <w:tcPr>
            <w:tcW w:w="363" w:type="pct"/>
            <w:vAlign w:val="center"/>
          </w:tcPr>
          <w:p w14:paraId="47C50C5D"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32</w:t>
            </w:r>
          </w:p>
        </w:tc>
        <w:tc>
          <w:tcPr>
            <w:tcW w:w="472" w:type="pct"/>
            <w:vAlign w:val="center"/>
          </w:tcPr>
          <w:p w14:paraId="6D7817C3"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14</w:t>
            </w:r>
          </w:p>
        </w:tc>
        <w:tc>
          <w:tcPr>
            <w:tcW w:w="334" w:type="pct"/>
            <w:vAlign w:val="center"/>
          </w:tcPr>
          <w:p w14:paraId="333474B9"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52</w:t>
            </w:r>
          </w:p>
        </w:tc>
        <w:tc>
          <w:tcPr>
            <w:tcW w:w="337" w:type="pct"/>
            <w:vAlign w:val="center"/>
          </w:tcPr>
          <w:p w14:paraId="7E6EB1CC"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53</w:t>
            </w:r>
          </w:p>
        </w:tc>
        <w:tc>
          <w:tcPr>
            <w:tcW w:w="499" w:type="pct"/>
            <w:vAlign w:val="center"/>
          </w:tcPr>
          <w:p w14:paraId="77A7E215"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40</w:t>
            </w:r>
          </w:p>
        </w:tc>
        <w:tc>
          <w:tcPr>
            <w:tcW w:w="319" w:type="pct"/>
            <w:vAlign w:val="center"/>
          </w:tcPr>
          <w:p w14:paraId="7E992CF2"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15</w:t>
            </w:r>
          </w:p>
        </w:tc>
        <w:tc>
          <w:tcPr>
            <w:tcW w:w="337" w:type="pct"/>
            <w:vAlign w:val="center"/>
          </w:tcPr>
          <w:p w14:paraId="555E40B7"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15</w:t>
            </w:r>
          </w:p>
        </w:tc>
        <w:tc>
          <w:tcPr>
            <w:tcW w:w="487" w:type="pct"/>
            <w:vAlign w:val="bottom"/>
          </w:tcPr>
          <w:p w14:paraId="1BE58F9D" w14:textId="77777777" w:rsidR="00B75ACA" w:rsidRPr="007C0865" w:rsidRDefault="00B75ACA" w:rsidP="003C1333">
            <w:pPr>
              <w:pStyle w:val="TableTextCentered"/>
              <w:spacing w:before="10" w:after="10"/>
              <w:rPr>
                <w:rFonts w:ascii="Franklin Gothic Book" w:hAnsi="Franklin Gothic Book"/>
              </w:rPr>
            </w:pPr>
            <w:r w:rsidRPr="007C0865">
              <w:rPr>
                <w:rFonts w:ascii="Franklin Gothic Book" w:hAnsi="Franklin Gothic Book"/>
              </w:rPr>
              <w:t>45</w:t>
            </w:r>
          </w:p>
        </w:tc>
      </w:tr>
    </w:tbl>
    <w:p w14:paraId="5925C458" w14:textId="77777777" w:rsidR="00B75ACA" w:rsidRPr="003C1C59" w:rsidRDefault="00B75ACA" w:rsidP="003C1333">
      <w:pPr>
        <w:pStyle w:val="TableTitle0"/>
        <w:spacing w:before="120"/>
      </w:pPr>
      <w:bookmarkStart w:id="195" w:name="_Toc158035173"/>
      <w:r w:rsidRPr="00520E5F">
        <w:t xml:space="preserve">Table E6. Next-Generation MCAS Science </w:t>
      </w:r>
      <w:r w:rsidRPr="003979D4">
        <w:t>Achievement by Student Group</w:t>
      </w:r>
      <w:r w:rsidRPr="00520E5F">
        <w:t>, Grade 10, 202</w:t>
      </w:r>
      <w:r>
        <w:t>2</w:t>
      </w:r>
      <w:r w:rsidRPr="00520E5F">
        <w:t>-2023</w:t>
      </w:r>
      <w:bookmarkEnd w:id="195"/>
    </w:p>
    <w:tbl>
      <w:tblPr>
        <w:tblStyle w:val="MSVTable1"/>
        <w:tblW w:w="5124" w:type="pct"/>
        <w:tblLook w:val="0420" w:firstRow="1" w:lastRow="0" w:firstColumn="0" w:lastColumn="0" w:noHBand="0" w:noVBand="1"/>
      </w:tblPr>
      <w:tblGrid>
        <w:gridCol w:w="2840"/>
        <w:gridCol w:w="1064"/>
        <w:gridCol w:w="1008"/>
        <w:gridCol w:w="963"/>
        <w:gridCol w:w="1252"/>
        <w:gridCol w:w="886"/>
        <w:gridCol w:w="894"/>
        <w:gridCol w:w="1329"/>
        <w:gridCol w:w="846"/>
        <w:gridCol w:w="894"/>
        <w:gridCol w:w="1289"/>
      </w:tblGrid>
      <w:tr w:rsidR="00B75ACA" w:rsidRPr="003979D4" w14:paraId="26B50F8F" w14:textId="77777777" w:rsidTr="003C1333">
        <w:trPr>
          <w:cnfStyle w:val="100000000000" w:firstRow="1" w:lastRow="0" w:firstColumn="0" w:lastColumn="0" w:oddVBand="0" w:evenVBand="0" w:oddHBand="0" w:evenHBand="0" w:firstRowFirstColumn="0" w:firstRowLastColumn="0" w:lastRowFirstColumn="0" w:lastRowLastColumn="0"/>
          <w:tblHeader/>
        </w:trPr>
        <w:tc>
          <w:tcPr>
            <w:tcW w:w="1070" w:type="pct"/>
            <w:vMerge w:val="restart"/>
            <w:vAlign w:val="center"/>
          </w:tcPr>
          <w:p w14:paraId="18EA4767" w14:textId="77777777" w:rsidR="00B75ACA" w:rsidRPr="00EA0A36" w:rsidRDefault="00B75ACA" w:rsidP="003C1333">
            <w:pPr>
              <w:pStyle w:val="TableColHeadingLeft"/>
              <w:spacing w:before="10" w:after="10"/>
              <w:jc w:val="center"/>
            </w:pPr>
            <w:bookmarkStart w:id="196" w:name="_Hlk138323146"/>
            <w:r w:rsidRPr="00EA0A36">
              <w:t>Group</w:t>
            </w:r>
          </w:p>
        </w:tc>
        <w:tc>
          <w:tcPr>
            <w:tcW w:w="401" w:type="pct"/>
            <w:vMerge w:val="restart"/>
            <w:vAlign w:val="center"/>
          </w:tcPr>
          <w:p w14:paraId="6EC1EF51" w14:textId="1E3C7818" w:rsidR="00B75ACA" w:rsidRPr="00EA0A36" w:rsidRDefault="00B75ACA" w:rsidP="003C1333">
            <w:pPr>
              <w:pStyle w:val="TableColHeadingCenter"/>
              <w:spacing w:before="10" w:after="10"/>
            </w:pPr>
            <w:r>
              <w:t xml:space="preserve"># </w:t>
            </w:r>
            <w:r w:rsidR="008E5BF5">
              <w:t>i</w:t>
            </w:r>
            <w:r>
              <w:t>ncluded</w:t>
            </w:r>
            <w:r w:rsidRPr="00EA0A36">
              <w:t xml:space="preserve"> (2023)</w:t>
            </w:r>
          </w:p>
        </w:tc>
        <w:tc>
          <w:tcPr>
            <w:tcW w:w="1215" w:type="pct"/>
            <w:gridSpan w:val="3"/>
            <w:vAlign w:val="bottom"/>
          </w:tcPr>
          <w:p w14:paraId="2106D969" w14:textId="50EEB20A" w:rsidR="00B75ACA" w:rsidRPr="00EA0A36" w:rsidRDefault="00B75ACA" w:rsidP="003C1333">
            <w:pPr>
              <w:pStyle w:val="TableColHeadingCenter"/>
              <w:spacing w:before="10" w:after="10"/>
            </w:pPr>
            <w:r>
              <w:t>Percent</w:t>
            </w:r>
            <w:r w:rsidR="008E5BF5">
              <w:t>age</w:t>
            </w:r>
            <w:r>
              <w:t xml:space="preserve"> meeting or exceeding expectations</w:t>
            </w:r>
          </w:p>
        </w:tc>
        <w:tc>
          <w:tcPr>
            <w:tcW w:w="1172" w:type="pct"/>
            <w:gridSpan w:val="3"/>
            <w:vAlign w:val="center"/>
          </w:tcPr>
          <w:p w14:paraId="1ECF42AD" w14:textId="0FE961AB" w:rsidR="00B75ACA" w:rsidRPr="00EA0A36" w:rsidRDefault="00B75ACA" w:rsidP="003C1333">
            <w:pPr>
              <w:pStyle w:val="TableColHeadingCenter"/>
              <w:spacing w:before="10" w:after="10"/>
            </w:pPr>
            <w:r>
              <w:t>Percent</w:t>
            </w:r>
            <w:r w:rsidR="008E5BF5">
              <w:t>age</w:t>
            </w:r>
            <w:r>
              <w:t xml:space="preserve"> partially meeting expectations</w:t>
            </w:r>
          </w:p>
        </w:tc>
        <w:tc>
          <w:tcPr>
            <w:tcW w:w="1143" w:type="pct"/>
            <w:gridSpan w:val="3"/>
            <w:vAlign w:val="center"/>
          </w:tcPr>
          <w:p w14:paraId="103D9CCD" w14:textId="127501DD" w:rsidR="00B75ACA" w:rsidRDefault="00B75ACA" w:rsidP="003C1333">
            <w:pPr>
              <w:pStyle w:val="TableColHeadingCenter"/>
              <w:spacing w:before="10" w:after="10"/>
            </w:pPr>
            <w:r>
              <w:t>Percent</w:t>
            </w:r>
            <w:r w:rsidR="008E5BF5">
              <w:t>age</w:t>
            </w:r>
            <w:r>
              <w:t xml:space="preserve"> not meeting expectations</w:t>
            </w:r>
          </w:p>
        </w:tc>
      </w:tr>
      <w:tr w:rsidR="003C1333" w:rsidRPr="003979D4" w14:paraId="42A78C90" w14:textId="77777777" w:rsidTr="003C1333">
        <w:trPr>
          <w:cnfStyle w:val="100000000000" w:firstRow="1" w:lastRow="0" w:firstColumn="0" w:lastColumn="0" w:oddVBand="0" w:evenVBand="0" w:oddHBand="0" w:evenHBand="0" w:firstRowFirstColumn="0" w:firstRowLastColumn="0" w:lastRowFirstColumn="0" w:lastRowLastColumn="0"/>
          <w:tblHeader/>
        </w:trPr>
        <w:tc>
          <w:tcPr>
            <w:tcW w:w="1070" w:type="pct"/>
            <w:vMerge/>
            <w:vAlign w:val="bottom"/>
          </w:tcPr>
          <w:p w14:paraId="0B22A570" w14:textId="77777777" w:rsidR="00B75ACA" w:rsidRPr="00EA0A36" w:rsidRDefault="00B75ACA" w:rsidP="003C1333">
            <w:pPr>
              <w:pStyle w:val="TableColHeadingCenter"/>
              <w:spacing w:before="10" w:after="10"/>
            </w:pPr>
          </w:p>
        </w:tc>
        <w:tc>
          <w:tcPr>
            <w:tcW w:w="401" w:type="pct"/>
            <w:vMerge/>
            <w:vAlign w:val="bottom"/>
          </w:tcPr>
          <w:p w14:paraId="4B316DEA" w14:textId="77777777" w:rsidR="00B75ACA" w:rsidRPr="00EA0A36" w:rsidRDefault="00B75ACA" w:rsidP="003C1333">
            <w:pPr>
              <w:pStyle w:val="TableColHeadingCenter"/>
              <w:spacing w:before="10" w:after="10"/>
            </w:pPr>
          </w:p>
        </w:tc>
        <w:tc>
          <w:tcPr>
            <w:tcW w:w="380" w:type="pct"/>
            <w:tcMar>
              <w:left w:w="14" w:type="dxa"/>
              <w:right w:w="14" w:type="dxa"/>
            </w:tcMar>
            <w:vAlign w:val="center"/>
          </w:tcPr>
          <w:p w14:paraId="425274A3" w14:textId="77777777" w:rsidR="00B75ACA" w:rsidRPr="00EA0A36" w:rsidRDefault="00B75ACA" w:rsidP="003C1333">
            <w:pPr>
              <w:pStyle w:val="TableColHeadingCenter"/>
              <w:spacing w:before="10" w:after="10"/>
            </w:pPr>
            <w:r w:rsidRPr="00EA0A36">
              <w:t>2022</w:t>
            </w:r>
          </w:p>
        </w:tc>
        <w:tc>
          <w:tcPr>
            <w:tcW w:w="363" w:type="pct"/>
            <w:tcMar>
              <w:left w:w="14" w:type="dxa"/>
              <w:right w:w="14" w:type="dxa"/>
            </w:tcMar>
            <w:vAlign w:val="center"/>
          </w:tcPr>
          <w:p w14:paraId="705167C1" w14:textId="77777777" w:rsidR="00B75ACA" w:rsidRPr="00EA0A36" w:rsidRDefault="00B75ACA" w:rsidP="003C1333">
            <w:pPr>
              <w:pStyle w:val="TableColHeadingCenter"/>
              <w:spacing w:before="10" w:after="10"/>
            </w:pPr>
            <w:r w:rsidRPr="00EA0A36">
              <w:t>2023</w:t>
            </w:r>
          </w:p>
        </w:tc>
        <w:tc>
          <w:tcPr>
            <w:tcW w:w="472" w:type="pct"/>
            <w:tcMar>
              <w:left w:w="14" w:type="dxa"/>
              <w:right w:w="14" w:type="dxa"/>
            </w:tcMar>
            <w:vAlign w:val="center"/>
          </w:tcPr>
          <w:p w14:paraId="7E064F72" w14:textId="77777777" w:rsidR="00B75ACA" w:rsidRPr="00EA0A36" w:rsidRDefault="00B75ACA" w:rsidP="003C1333">
            <w:pPr>
              <w:pStyle w:val="TableColHeadingCenter"/>
              <w:spacing w:before="10" w:after="10"/>
            </w:pPr>
            <w:r w:rsidRPr="00EA0A36">
              <w:t>State (2023)</w:t>
            </w:r>
          </w:p>
        </w:tc>
        <w:tc>
          <w:tcPr>
            <w:tcW w:w="334" w:type="pct"/>
            <w:tcMar>
              <w:left w:w="14" w:type="dxa"/>
              <w:right w:w="14" w:type="dxa"/>
            </w:tcMar>
            <w:vAlign w:val="center"/>
          </w:tcPr>
          <w:p w14:paraId="5322BDD3" w14:textId="77777777" w:rsidR="00B75ACA" w:rsidRPr="00EA0A36" w:rsidRDefault="00B75ACA" w:rsidP="003C1333">
            <w:pPr>
              <w:pStyle w:val="TableColHeadingCenter"/>
              <w:spacing w:before="10" w:after="10"/>
            </w:pPr>
            <w:r w:rsidRPr="00EA0A36">
              <w:t>2022</w:t>
            </w:r>
          </w:p>
        </w:tc>
        <w:tc>
          <w:tcPr>
            <w:tcW w:w="337" w:type="pct"/>
            <w:tcMar>
              <w:left w:w="14" w:type="dxa"/>
              <w:right w:w="14" w:type="dxa"/>
            </w:tcMar>
            <w:vAlign w:val="center"/>
          </w:tcPr>
          <w:p w14:paraId="76D939C4" w14:textId="77777777" w:rsidR="00B75ACA" w:rsidRPr="00EA0A36" w:rsidRDefault="00B75ACA" w:rsidP="003C1333">
            <w:pPr>
              <w:pStyle w:val="TableColHeadingCenter"/>
              <w:spacing w:before="10" w:after="10"/>
            </w:pPr>
            <w:r w:rsidRPr="00EA0A36">
              <w:t>2023</w:t>
            </w:r>
          </w:p>
        </w:tc>
        <w:tc>
          <w:tcPr>
            <w:tcW w:w="500" w:type="pct"/>
            <w:tcMar>
              <w:left w:w="14" w:type="dxa"/>
              <w:right w:w="14" w:type="dxa"/>
            </w:tcMar>
            <w:vAlign w:val="center"/>
          </w:tcPr>
          <w:p w14:paraId="068A068C" w14:textId="77777777" w:rsidR="00B75ACA" w:rsidRPr="00EA0A36" w:rsidRDefault="00B75ACA" w:rsidP="003C1333">
            <w:pPr>
              <w:pStyle w:val="TableColHeadingCenter"/>
              <w:spacing w:before="10" w:after="10"/>
            </w:pPr>
            <w:r w:rsidRPr="00EA0A36">
              <w:t>State (2023)</w:t>
            </w:r>
          </w:p>
        </w:tc>
        <w:tc>
          <w:tcPr>
            <w:tcW w:w="319" w:type="pct"/>
            <w:tcMar>
              <w:left w:w="14" w:type="dxa"/>
              <w:right w:w="14" w:type="dxa"/>
            </w:tcMar>
            <w:vAlign w:val="center"/>
          </w:tcPr>
          <w:p w14:paraId="7829E386" w14:textId="77777777" w:rsidR="00B75ACA" w:rsidRPr="00EA0A36" w:rsidRDefault="00B75ACA" w:rsidP="003C1333">
            <w:pPr>
              <w:pStyle w:val="TableColHeadingCenter"/>
              <w:spacing w:before="10" w:after="10"/>
            </w:pPr>
            <w:r w:rsidRPr="00EA0A36">
              <w:t>2022</w:t>
            </w:r>
          </w:p>
        </w:tc>
        <w:tc>
          <w:tcPr>
            <w:tcW w:w="337" w:type="pct"/>
            <w:tcMar>
              <w:left w:w="14" w:type="dxa"/>
              <w:right w:w="14" w:type="dxa"/>
            </w:tcMar>
            <w:vAlign w:val="center"/>
          </w:tcPr>
          <w:p w14:paraId="7A0A947F" w14:textId="77777777" w:rsidR="00B75ACA" w:rsidRPr="00EA0A36" w:rsidRDefault="00B75ACA" w:rsidP="003C1333">
            <w:pPr>
              <w:pStyle w:val="TableColHeadingCenter"/>
              <w:spacing w:before="10" w:after="10"/>
            </w:pPr>
            <w:r w:rsidRPr="00EA0A36">
              <w:t>2023</w:t>
            </w:r>
          </w:p>
        </w:tc>
        <w:tc>
          <w:tcPr>
            <w:tcW w:w="487" w:type="pct"/>
            <w:tcMar>
              <w:left w:w="14" w:type="dxa"/>
              <w:right w:w="14" w:type="dxa"/>
            </w:tcMar>
            <w:vAlign w:val="center"/>
          </w:tcPr>
          <w:p w14:paraId="02EFC00E" w14:textId="77777777" w:rsidR="00B75ACA" w:rsidRPr="00EA0A36" w:rsidRDefault="00B75ACA" w:rsidP="003C1333">
            <w:pPr>
              <w:pStyle w:val="TableColHeadingCenter"/>
              <w:spacing w:before="10" w:after="10"/>
            </w:pPr>
            <w:r w:rsidRPr="00EA0A36">
              <w:t>State (2023)</w:t>
            </w:r>
          </w:p>
        </w:tc>
      </w:tr>
      <w:tr w:rsidR="003C1333" w:rsidRPr="003979D4" w14:paraId="76A6DD4A" w14:textId="77777777" w:rsidTr="003C1333">
        <w:trPr>
          <w:cnfStyle w:val="000000100000" w:firstRow="0" w:lastRow="0" w:firstColumn="0" w:lastColumn="0" w:oddVBand="0" w:evenVBand="0" w:oddHBand="1" w:evenHBand="0" w:firstRowFirstColumn="0" w:firstRowLastColumn="0" w:lastRowFirstColumn="0" w:lastRowLastColumn="0"/>
        </w:trPr>
        <w:tc>
          <w:tcPr>
            <w:tcW w:w="1070" w:type="pct"/>
          </w:tcPr>
          <w:p w14:paraId="30C841FD"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All</w:t>
            </w:r>
          </w:p>
        </w:tc>
        <w:tc>
          <w:tcPr>
            <w:tcW w:w="401" w:type="pct"/>
            <w:vAlign w:val="center"/>
          </w:tcPr>
          <w:p w14:paraId="0D9850F1"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255</w:t>
            </w:r>
          </w:p>
        </w:tc>
        <w:tc>
          <w:tcPr>
            <w:tcW w:w="380" w:type="pct"/>
            <w:vAlign w:val="center"/>
          </w:tcPr>
          <w:p w14:paraId="2765F2B6"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80</w:t>
            </w:r>
          </w:p>
        </w:tc>
        <w:tc>
          <w:tcPr>
            <w:tcW w:w="363" w:type="pct"/>
            <w:vAlign w:val="center"/>
          </w:tcPr>
          <w:p w14:paraId="0D1CFCB3"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76</w:t>
            </w:r>
          </w:p>
        </w:tc>
        <w:tc>
          <w:tcPr>
            <w:tcW w:w="472" w:type="pct"/>
            <w:vAlign w:val="center"/>
          </w:tcPr>
          <w:p w14:paraId="2C170491"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47</w:t>
            </w:r>
          </w:p>
        </w:tc>
        <w:tc>
          <w:tcPr>
            <w:tcW w:w="334" w:type="pct"/>
            <w:vAlign w:val="center"/>
          </w:tcPr>
          <w:p w14:paraId="0A170898"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18</w:t>
            </w:r>
          </w:p>
        </w:tc>
        <w:tc>
          <w:tcPr>
            <w:tcW w:w="337" w:type="pct"/>
            <w:vAlign w:val="center"/>
          </w:tcPr>
          <w:p w14:paraId="30B1617F"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20</w:t>
            </w:r>
          </w:p>
        </w:tc>
        <w:tc>
          <w:tcPr>
            <w:tcW w:w="500" w:type="pct"/>
            <w:vAlign w:val="center"/>
          </w:tcPr>
          <w:p w14:paraId="1FF61A68"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42</w:t>
            </w:r>
          </w:p>
        </w:tc>
        <w:tc>
          <w:tcPr>
            <w:tcW w:w="319" w:type="pct"/>
            <w:vAlign w:val="center"/>
          </w:tcPr>
          <w:p w14:paraId="3F5FD662"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w:t>
            </w:r>
          </w:p>
        </w:tc>
        <w:tc>
          <w:tcPr>
            <w:tcW w:w="337" w:type="pct"/>
            <w:vAlign w:val="center"/>
          </w:tcPr>
          <w:p w14:paraId="5AB035D5"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3</w:t>
            </w:r>
          </w:p>
        </w:tc>
        <w:tc>
          <w:tcPr>
            <w:tcW w:w="487" w:type="pct"/>
            <w:vAlign w:val="bottom"/>
          </w:tcPr>
          <w:p w14:paraId="350E0A1D"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11</w:t>
            </w:r>
          </w:p>
        </w:tc>
      </w:tr>
      <w:tr w:rsidR="003C1333" w:rsidRPr="003979D4" w14:paraId="1F406AEE" w14:textId="77777777" w:rsidTr="003C1333">
        <w:tc>
          <w:tcPr>
            <w:tcW w:w="1070" w:type="pct"/>
          </w:tcPr>
          <w:p w14:paraId="7A844927"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African American/Black</w:t>
            </w:r>
          </w:p>
        </w:tc>
        <w:tc>
          <w:tcPr>
            <w:tcW w:w="401" w:type="pct"/>
            <w:vAlign w:val="center"/>
          </w:tcPr>
          <w:p w14:paraId="3FF76550" w14:textId="77777777" w:rsidR="00B75ACA" w:rsidRPr="00CD0774" w:rsidRDefault="00B75ACA" w:rsidP="003C1333">
            <w:pPr>
              <w:pStyle w:val="TableTextCentered"/>
              <w:spacing w:before="10" w:after="10"/>
              <w:rPr>
                <w:rFonts w:ascii="Franklin Gothic Book" w:hAnsi="Franklin Gothic Book"/>
              </w:rPr>
            </w:pPr>
            <w:r>
              <w:rPr>
                <w:rFonts w:ascii="Franklin Gothic Book" w:hAnsi="Franklin Gothic Book"/>
              </w:rPr>
              <w:t>7</w:t>
            </w:r>
          </w:p>
        </w:tc>
        <w:tc>
          <w:tcPr>
            <w:tcW w:w="380" w:type="pct"/>
            <w:vAlign w:val="center"/>
          </w:tcPr>
          <w:p w14:paraId="10F6898E" w14:textId="10D7FC66"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63" w:type="pct"/>
            <w:vAlign w:val="center"/>
          </w:tcPr>
          <w:p w14:paraId="5D07B7BE" w14:textId="48FA9A10"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2" w:type="pct"/>
            <w:vAlign w:val="center"/>
          </w:tcPr>
          <w:p w14:paraId="0C20E5D8"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26</w:t>
            </w:r>
          </w:p>
        </w:tc>
        <w:tc>
          <w:tcPr>
            <w:tcW w:w="334" w:type="pct"/>
            <w:vAlign w:val="center"/>
          </w:tcPr>
          <w:p w14:paraId="651E3F92" w14:textId="50F53CD1"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5479B568" w14:textId="6B2AF211"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500" w:type="pct"/>
            <w:vAlign w:val="center"/>
          </w:tcPr>
          <w:p w14:paraId="5C3129CD"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55</w:t>
            </w:r>
          </w:p>
        </w:tc>
        <w:tc>
          <w:tcPr>
            <w:tcW w:w="319" w:type="pct"/>
            <w:vAlign w:val="center"/>
          </w:tcPr>
          <w:p w14:paraId="651D8133" w14:textId="699575B4"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37F278AA" w14:textId="25D15A3A"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7" w:type="pct"/>
            <w:vAlign w:val="bottom"/>
          </w:tcPr>
          <w:p w14:paraId="6C0BE440"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20</w:t>
            </w:r>
          </w:p>
        </w:tc>
      </w:tr>
      <w:tr w:rsidR="003C1333" w:rsidRPr="003979D4" w14:paraId="5D13B42A" w14:textId="77777777" w:rsidTr="003C1333">
        <w:trPr>
          <w:cnfStyle w:val="000000100000" w:firstRow="0" w:lastRow="0" w:firstColumn="0" w:lastColumn="0" w:oddVBand="0" w:evenVBand="0" w:oddHBand="1" w:evenHBand="0" w:firstRowFirstColumn="0" w:firstRowLastColumn="0" w:lastRowFirstColumn="0" w:lastRowLastColumn="0"/>
        </w:trPr>
        <w:tc>
          <w:tcPr>
            <w:tcW w:w="1070" w:type="pct"/>
          </w:tcPr>
          <w:p w14:paraId="0552F3B9"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Asian</w:t>
            </w:r>
          </w:p>
        </w:tc>
        <w:tc>
          <w:tcPr>
            <w:tcW w:w="401" w:type="pct"/>
            <w:vAlign w:val="center"/>
          </w:tcPr>
          <w:p w14:paraId="5A5CA9B7"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13</w:t>
            </w:r>
          </w:p>
        </w:tc>
        <w:tc>
          <w:tcPr>
            <w:tcW w:w="380" w:type="pct"/>
            <w:vAlign w:val="center"/>
          </w:tcPr>
          <w:p w14:paraId="2FE7C373" w14:textId="6B7F22C2"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63" w:type="pct"/>
            <w:vAlign w:val="center"/>
          </w:tcPr>
          <w:p w14:paraId="6941D0D1"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100</w:t>
            </w:r>
          </w:p>
        </w:tc>
        <w:tc>
          <w:tcPr>
            <w:tcW w:w="472" w:type="pct"/>
            <w:vAlign w:val="center"/>
          </w:tcPr>
          <w:p w14:paraId="1CF4CB0D"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75</w:t>
            </w:r>
          </w:p>
        </w:tc>
        <w:tc>
          <w:tcPr>
            <w:tcW w:w="334" w:type="pct"/>
            <w:vAlign w:val="center"/>
          </w:tcPr>
          <w:p w14:paraId="761E857D" w14:textId="07655574"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0BF40F77"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0</w:t>
            </w:r>
          </w:p>
        </w:tc>
        <w:tc>
          <w:tcPr>
            <w:tcW w:w="500" w:type="pct"/>
            <w:vAlign w:val="center"/>
          </w:tcPr>
          <w:p w14:paraId="2D01EFDE"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21</w:t>
            </w:r>
          </w:p>
        </w:tc>
        <w:tc>
          <w:tcPr>
            <w:tcW w:w="319" w:type="pct"/>
            <w:vAlign w:val="center"/>
          </w:tcPr>
          <w:p w14:paraId="3E5BF4DC" w14:textId="558C090C"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68CD7443"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0</w:t>
            </w:r>
          </w:p>
        </w:tc>
        <w:tc>
          <w:tcPr>
            <w:tcW w:w="487" w:type="pct"/>
            <w:vAlign w:val="bottom"/>
          </w:tcPr>
          <w:p w14:paraId="2CF20E1A"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4</w:t>
            </w:r>
          </w:p>
        </w:tc>
      </w:tr>
      <w:tr w:rsidR="003C1333" w:rsidRPr="003979D4" w14:paraId="1419D182" w14:textId="77777777" w:rsidTr="003C1333">
        <w:tc>
          <w:tcPr>
            <w:tcW w:w="1070" w:type="pct"/>
          </w:tcPr>
          <w:p w14:paraId="57F39C5A"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Hispanic/Latino</w:t>
            </w:r>
          </w:p>
        </w:tc>
        <w:tc>
          <w:tcPr>
            <w:tcW w:w="401" w:type="pct"/>
            <w:vAlign w:val="center"/>
          </w:tcPr>
          <w:p w14:paraId="37C21485" w14:textId="77777777" w:rsidR="00B75ACA" w:rsidRPr="00CD0774" w:rsidRDefault="00B75ACA" w:rsidP="003C1333">
            <w:pPr>
              <w:pStyle w:val="TableTextCentered"/>
              <w:spacing w:before="10" w:after="10"/>
              <w:rPr>
                <w:rFonts w:ascii="Franklin Gothic Book" w:hAnsi="Franklin Gothic Book"/>
              </w:rPr>
            </w:pPr>
            <w:r>
              <w:rPr>
                <w:rFonts w:ascii="Franklin Gothic Book" w:hAnsi="Franklin Gothic Book"/>
              </w:rPr>
              <w:t>8</w:t>
            </w:r>
          </w:p>
        </w:tc>
        <w:tc>
          <w:tcPr>
            <w:tcW w:w="380" w:type="pct"/>
            <w:vAlign w:val="center"/>
          </w:tcPr>
          <w:p w14:paraId="2B99F468" w14:textId="7843FD41"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63" w:type="pct"/>
            <w:vAlign w:val="center"/>
          </w:tcPr>
          <w:p w14:paraId="4C41F533" w14:textId="63579608"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2" w:type="pct"/>
            <w:vAlign w:val="center"/>
          </w:tcPr>
          <w:p w14:paraId="196880F1"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24</w:t>
            </w:r>
          </w:p>
        </w:tc>
        <w:tc>
          <w:tcPr>
            <w:tcW w:w="334" w:type="pct"/>
            <w:vAlign w:val="center"/>
          </w:tcPr>
          <w:p w14:paraId="5927681A" w14:textId="32238EA5"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57D1A362" w14:textId="19240C56"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500" w:type="pct"/>
            <w:vAlign w:val="center"/>
          </w:tcPr>
          <w:p w14:paraId="2075BCB2"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52</w:t>
            </w:r>
          </w:p>
        </w:tc>
        <w:tc>
          <w:tcPr>
            <w:tcW w:w="319" w:type="pct"/>
            <w:vAlign w:val="center"/>
          </w:tcPr>
          <w:p w14:paraId="5FD4C730" w14:textId="16FA0228"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00EA6411" w14:textId="103173E1"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7" w:type="pct"/>
            <w:vAlign w:val="bottom"/>
          </w:tcPr>
          <w:p w14:paraId="3B0D9BAB"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24</w:t>
            </w:r>
          </w:p>
        </w:tc>
      </w:tr>
      <w:tr w:rsidR="003C1333" w:rsidRPr="003979D4" w14:paraId="048B2448" w14:textId="77777777" w:rsidTr="003C1333">
        <w:trPr>
          <w:cnfStyle w:val="000000100000" w:firstRow="0" w:lastRow="0" w:firstColumn="0" w:lastColumn="0" w:oddVBand="0" w:evenVBand="0" w:oddHBand="1" w:evenHBand="0" w:firstRowFirstColumn="0" w:firstRowLastColumn="0" w:lastRowFirstColumn="0" w:lastRowLastColumn="0"/>
        </w:trPr>
        <w:tc>
          <w:tcPr>
            <w:tcW w:w="1070" w:type="pct"/>
          </w:tcPr>
          <w:p w14:paraId="3D8713C3"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cstheme="minorHAnsi"/>
              </w:rPr>
              <w:t>Multi-Race, non-Hispanic/Latino</w:t>
            </w:r>
          </w:p>
        </w:tc>
        <w:tc>
          <w:tcPr>
            <w:tcW w:w="401" w:type="pct"/>
            <w:vAlign w:val="center"/>
          </w:tcPr>
          <w:p w14:paraId="020DE7C6"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10</w:t>
            </w:r>
          </w:p>
        </w:tc>
        <w:tc>
          <w:tcPr>
            <w:tcW w:w="380" w:type="pct"/>
            <w:vAlign w:val="center"/>
          </w:tcPr>
          <w:p w14:paraId="6A8158CA" w14:textId="54372CD1"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63" w:type="pct"/>
            <w:vAlign w:val="center"/>
          </w:tcPr>
          <w:p w14:paraId="7F38309F"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90</w:t>
            </w:r>
          </w:p>
        </w:tc>
        <w:tc>
          <w:tcPr>
            <w:tcW w:w="472" w:type="pct"/>
            <w:vAlign w:val="center"/>
          </w:tcPr>
          <w:p w14:paraId="29AE428B"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51</w:t>
            </w:r>
          </w:p>
        </w:tc>
        <w:tc>
          <w:tcPr>
            <w:tcW w:w="334" w:type="pct"/>
            <w:vAlign w:val="center"/>
          </w:tcPr>
          <w:p w14:paraId="1D3B8EDD" w14:textId="63BF42F6"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10E468E3"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0</w:t>
            </w:r>
          </w:p>
        </w:tc>
        <w:tc>
          <w:tcPr>
            <w:tcW w:w="500" w:type="pct"/>
            <w:vAlign w:val="center"/>
          </w:tcPr>
          <w:p w14:paraId="25989393"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39</w:t>
            </w:r>
          </w:p>
        </w:tc>
        <w:tc>
          <w:tcPr>
            <w:tcW w:w="319" w:type="pct"/>
            <w:vAlign w:val="center"/>
          </w:tcPr>
          <w:p w14:paraId="69623056" w14:textId="3B78CCEE"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76E54D72"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10</w:t>
            </w:r>
          </w:p>
        </w:tc>
        <w:tc>
          <w:tcPr>
            <w:tcW w:w="487" w:type="pct"/>
            <w:vAlign w:val="bottom"/>
          </w:tcPr>
          <w:p w14:paraId="55D9186E"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10</w:t>
            </w:r>
          </w:p>
        </w:tc>
      </w:tr>
      <w:tr w:rsidR="003C1333" w:rsidRPr="003979D4" w14:paraId="155A4082" w14:textId="77777777" w:rsidTr="003C1333">
        <w:tc>
          <w:tcPr>
            <w:tcW w:w="1070" w:type="pct"/>
          </w:tcPr>
          <w:p w14:paraId="68FB9C58"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Native American</w:t>
            </w:r>
          </w:p>
        </w:tc>
        <w:tc>
          <w:tcPr>
            <w:tcW w:w="401" w:type="pct"/>
            <w:vAlign w:val="center"/>
          </w:tcPr>
          <w:p w14:paraId="17A9D308" w14:textId="77777777" w:rsidR="00B75ACA" w:rsidRPr="00CD0774" w:rsidRDefault="00B75ACA" w:rsidP="003C1333">
            <w:pPr>
              <w:pStyle w:val="TableTextCentered"/>
              <w:spacing w:before="10" w:after="10"/>
              <w:rPr>
                <w:rFonts w:ascii="Franklin Gothic Book" w:hAnsi="Franklin Gothic Book"/>
              </w:rPr>
            </w:pPr>
            <w:r>
              <w:rPr>
                <w:rFonts w:ascii="Franklin Gothic Book" w:hAnsi="Franklin Gothic Book"/>
              </w:rPr>
              <w:t>1</w:t>
            </w:r>
          </w:p>
        </w:tc>
        <w:tc>
          <w:tcPr>
            <w:tcW w:w="380" w:type="pct"/>
            <w:vAlign w:val="center"/>
          </w:tcPr>
          <w:p w14:paraId="6911A56F" w14:textId="245AA014"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63" w:type="pct"/>
            <w:vAlign w:val="center"/>
          </w:tcPr>
          <w:p w14:paraId="650470C2" w14:textId="43BBDC08"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2" w:type="pct"/>
            <w:vAlign w:val="center"/>
          </w:tcPr>
          <w:p w14:paraId="7666AFB8"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30</w:t>
            </w:r>
          </w:p>
        </w:tc>
        <w:tc>
          <w:tcPr>
            <w:tcW w:w="334" w:type="pct"/>
            <w:vAlign w:val="center"/>
          </w:tcPr>
          <w:p w14:paraId="5C701F9A" w14:textId="18F504A9"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5479373A" w14:textId="0AC09480"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500" w:type="pct"/>
            <w:vAlign w:val="center"/>
          </w:tcPr>
          <w:p w14:paraId="49489592"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58</w:t>
            </w:r>
          </w:p>
        </w:tc>
        <w:tc>
          <w:tcPr>
            <w:tcW w:w="319" w:type="pct"/>
            <w:vAlign w:val="center"/>
          </w:tcPr>
          <w:p w14:paraId="009ED24B" w14:textId="190DA275"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67F628F6" w14:textId="3B1E1F92"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7" w:type="pct"/>
            <w:vAlign w:val="bottom"/>
          </w:tcPr>
          <w:p w14:paraId="698E5B87"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12</w:t>
            </w:r>
          </w:p>
        </w:tc>
      </w:tr>
      <w:tr w:rsidR="003C1333" w:rsidRPr="003979D4" w14:paraId="4F33749A" w14:textId="77777777" w:rsidTr="003C1333">
        <w:trPr>
          <w:cnfStyle w:val="000000100000" w:firstRow="0" w:lastRow="0" w:firstColumn="0" w:lastColumn="0" w:oddVBand="0" w:evenVBand="0" w:oddHBand="1" w:evenHBand="0" w:firstRowFirstColumn="0" w:firstRowLastColumn="0" w:lastRowFirstColumn="0" w:lastRowLastColumn="0"/>
        </w:trPr>
        <w:tc>
          <w:tcPr>
            <w:tcW w:w="1070" w:type="pct"/>
          </w:tcPr>
          <w:p w14:paraId="4269755F" w14:textId="77777777" w:rsidR="00B75ACA" w:rsidRPr="00350442" w:rsidRDefault="00B75ACA" w:rsidP="003C1333">
            <w:pPr>
              <w:pStyle w:val="TableText"/>
              <w:spacing w:before="10" w:after="10"/>
              <w:rPr>
                <w:rFonts w:ascii="Franklin Gothic Book" w:hAnsi="Franklin Gothic Book"/>
                <w:spacing w:val="-4"/>
              </w:rPr>
            </w:pPr>
            <w:r w:rsidRPr="00350442">
              <w:rPr>
                <w:rFonts w:ascii="Franklin Gothic Book" w:hAnsi="Franklin Gothic Book"/>
                <w:spacing w:val="-4"/>
              </w:rPr>
              <w:t>Native Hawaiian, Pacific Islander</w:t>
            </w:r>
          </w:p>
        </w:tc>
        <w:tc>
          <w:tcPr>
            <w:tcW w:w="401" w:type="pct"/>
            <w:vAlign w:val="center"/>
          </w:tcPr>
          <w:p w14:paraId="62C8958D" w14:textId="0DADFF4E"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80" w:type="pct"/>
            <w:vAlign w:val="center"/>
          </w:tcPr>
          <w:p w14:paraId="441E2C79" w14:textId="67280FF3"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63" w:type="pct"/>
            <w:vAlign w:val="center"/>
          </w:tcPr>
          <w:p w14:paraId="549CE729" w14:textId="06F8DB76"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2" w:type="pct"/>
            <w:vAlign w:val="center"/>
          </w:tcPr>
          <w:p w14:paraId="225CFB7E"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31</w:t>
            </w:r>
          </w:p>
        </w:tc>
        <w:tc>
          <w:tcPr>
            <w:tcW w:w="334" w:type="pct"/>
            <w:vAlign w:val="center"/>
          </w:tcPr>
          <w:p w14:paraId="6428E451" w14:textId="1407ECDA"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0FCBE593" w14:textId="0F161667"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500" w:type="pct"/>
            <w:vAlign w:val="center"/>
          </w:tcPr>
          <w:p w14:paraId="1C32EC55"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54</w:t>
            </w:r>
          </w:p>
        </w:tc>
        <w:tc>
          <w:tcPr>
            <w:tcW w:w="319" w:type="pct"/>
            <w:vAlign w:val="center"/>
          </w:tcPr>
          <w:p w14:paraId="68A127A2" w14:textId="5D663187"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097A58E2" w14:textId="3486E627"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7" w:type="pct"/>
            <w:vAlign w:val="bottom"/>
          </w:tcPr>
          <w:p w14:paraId="35B08036"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15</w:t>
            </w:r>
          </w:p>
        </w:tc>
      </w:tr>
      <w:tr w:rsidR="003C1333" w:rsidRPr="003979D4" w14:paraId="5CC4F240" w14:textId="77777777" w:rsidTr="003C1333">
        <w:tc>
          <w:tcPr>
            <w:tcW w:w="1070" w:type="pct"/>
          </w:tcPr>
          <w:p w14:paraId="040D21BF"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White</w:t>
            </w:r>
          </w:p>
        </w:tc>
        <w:tc>
          <w:tcPr>
            <w:tcW w:w="401" w:type="pct"/>
            <w:vAlign w:val="center"/>
          </w:tcPr>
          <w:p w14:paraId="06D46226"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216</w:t>
            </w:r>
          </w:p>
        </w:tc>
        <w:tc>
          <w:tcPr>
            <w:tcW w:w="380" w:type="pct"/>
            <w:vAlign w:val="center"/>
          </w:tcPr>
          <w:p w14:paraId="1CC60367"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81</w:t>
            </w:r>
          </w:p>
        </w:tc>
        <w:tc>
          <w:tcPr>
            <w:tcW w:w="363" w:type="pct"/>
            <w:vAlign w:val="center"/>
          </w:tcPr>
          <w:p w14:paraId="737D57B6"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77</w:t>
            </w:r>
          </w:p>
        </w:tc>
        <w:tc>
          <w:tcPr>
            <w:tcW w:w="472" w:type="pct"/>
            <w:vAlign w:val="center"/>
          </w:tcPr>
          <w:p w14:paraId="2A9AE465"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55</w:t>
            </w:r>
          </w:p>
        </w:tc>
        <w:tc>
          <w:tcPr>
            <w:tcW w:w="334" w:type="pct"/>
            <w:vAlign w:val="center"/>
          </w:tcPr>
          <w:p w14:paraId="1338B329"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18</w:t>
            </w:r>
          </w:p>
        </w:tc>
        <w:tc>
          <w:tcPr>
            <w:tcW w:w="337" w:type="pct"/>
            <w:vAlign w:val="center"/>
          </w:tcPr>
          <w:p w14:paraId="013DF5C7"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21</w:t>
            </w:r>
          </w:p>
        </w:tc>
        <w:tc>
          <w:tcPr>
            <w:tcW w:w="500" w:type="pct"/>
            <w:vAlign w:val="center"/>
          </w:tcPr>
          <w:p w14:paraId="410A8A84"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39</w:t>
            </w:r>
          </w:p>
        </w:tc>
        <w:tc>
          <w:tcPr>
            <w:tcW w:w="319" w:type="pct"/>
            <w:vAlign w:val="center"/>
          </w:tcPr>
          <w:p w14:paraId="4C70BEC6"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w:t>
            </w:r>
          </w:p>
        </w:tc>
        <w:tc>
          <w:tcPr>
            <w:tcW w:w="337" w:type="pct"/>
            <w:vAlign w:val="center"/>
          </w:tcPr>
          <w:p w14:paraId="1C53888D"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w:t>
            </w:r>
          </w:p>
        </w:tc>
        <w:tc>
          <w:tcPr>
            <w:tcW w:w="487" w:type="pct"/>
            <w:vAlign w:val="bottom"/>
          </w:tcPr>
          <w:p w14:paraId="4BAA3BCD"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6</w:t>
            </w:r>
          </w:p>
        </w:tc>
      </w:tr>
      <w:tr w:rsidR="003C1333" w:rsidRPr="003979D4" w14:paraId="37765606" w14:textId="77777777" w:rsidTr="003C1333">
        <w:trPr>
          <w:cnfStyle w:val="000000100000" w:firstRow="0" w:lastRow="0" w:firstColumn="0" w:lastColumn="0" w:oddVBand="0" w:evenVBand="0" w:oddHBand="1" w:evenHBand="0" w:firstRowFirstColumn="0" w:firstRowLastColumn="0" w:lastRowFirstColumn="0" w:lastRowLastColumn="0"/>
        </w:trPr>
        <w:tc>
          <w:tcPr>
            <w:tcW w:w="1070" w:type="pct"/>
          </w:tcPr>
          <w:p w14:paraId="0A8E65BC"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High needs</w:t>
            </w:r>
          </w:p>
        </w:tc>
        <w:tc>
          <w:tcPr>
            <w:tcW w:w="401" w:type="pct"/>
            <w:vAlign w:val="center"/>
          </w:tcPr>
          <w:p w14:paraId="13E180AB"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46</w:t>
            </w:r>
          </w:p>
        </w:tc>
        <w:tc>
          <w:tcPr>
            <w:tcW w:w="380" w:type="pct"/>
            <w:vAlign w:val="center"/>
          </w:tcPr>
          <w:p w14:paraId="4D11C968"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50</w:t>
            </w:r>
          </w:p>
        </w:tc>
        <w:tc>
          <w:tcPr>
            <w:tcW w:w="363" w:type="pct"/>
            <w:vAlign w:val="center"/>
          </w:tcPr>
          <w:p w14:paraId="3E6877D8"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39</w:t>
            </w:r>
          </w:p>
        </w:tc>
        <w:tc>
          <w:tcPr>
            <w:tcW w:w="472" w:type="pct"/>
            <w:vAlign w:val="center"/>
          </w:tcPr>
          <w:p w14:paraId="48CA63DF"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26</w:t>
            </w:r>
          </w:p>
        </w:tc>
        <w:tc>
          <w:tcPr>
            <w:tcW w:w="334" w:type="pct"/>
            <w:vAlign w:val="center"/>
          </w:tcPr>
          <w:p w14:paraId="17664A04"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40</w:t>
            </w:r>
          </w:p>
        </w:tc>
        <w:tc>
          <w:tcPr>
            <w:tcW w:w="337" w:type="pct"/>
            <w:vAlign w:val="center"/>
          </w:tcPr>
          <w:p w14:paraId="4A32336D"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46</w:t>
            </w:r>
          </w:p>
        </w:tc>
        <w:tc>
          <w:tcPr>
            <w:tcW w:w="500" w:type="pct"/>
            <w:vAlign w:val="center"/>
          </w:tcPr>
          <w:p w14:paraId="02EBAA61"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54</w:t>
            </w:r>
          </w:p>
        </w:tc>
        <w:tc>
          <w:tcPr>
            <w:tcW w:w="319" w:type="pct"/>
            <w:vAlign w:val="center"/>
          </w:tcPr>
          <w:p w14:paraId="25F3ED2F"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10</w:t>
            </w:r>
          </w:p>
        </w:tc>
        <w:tc>
          <w:tcPr>
            <w:tcW w:w="337" w:type="pct"/>
            <w:vAlign w:val="center"/>
          </w:tcPr>
          <w:p w14:paraId="19DEE26B"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15</w:t>
            </w:r>
          </w:p>
        </w:tc>
        <w:tc>
          <w:tcPr>
            <w:tcW w:w="487" w:type="pct"/>
            <w:vAlign w:val="bottom"/>
          </w:tcPr>
          <w:p w14:paraId="16A0F226"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21</w:t>
            </w:r>
          </w:p>
        </w:tc>
      </w:tr>
      <w:tr w:rsidR="003C1333" w:rsidRPr="003979D4" w14:paraId="5624950F" w14:textId="77777777" w:rsidTr="003C1333">
        <w:tc>
          <w:tcPr>
            <w:tcW w:w="1070" w:type="pct"/>
          </w:tcPr>
          <w:p w14:paraId="51CF0330"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Low income</w:t>
            </w:r>
          </w:p>
        </w:tc>
        <w:tc>
          <w:tcPr>
            <w:tcW w:w="401" w:type="pct"/>
            <w:vAlign w:val="center"/>
          </w:tcPr>
          <w:p w14:paraId="0DBA2E91"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24</w:t>
            </w:r>
          </w:p>
        </w:tc>
        <w:tc>
          <w:tcPr>
            <w:tcW w:w="380" w:type="pct"/>
            <w:vAlign w:val="center"/>
          </w:tcPr>
          <w:p w14:paraId="3A993A42"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60</w:t>
            </w:r>
          </w:p>
        </w:tc>
        <w:tc>
          <w:tcPr>
            <w:tcW w:w="363" w:type="pct"/>
            <w:vAlign w:val="center"/>
          </w:tcPr>
          <w:p w14:paraId="235CB7B1"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50</w:t>
            </w:r>
          </w:p>
        </w:tc>
        <w:tc>
          <w:tcPr>
            <w:tcW w:w="472" w:type="pct"/>
            <w:vAlign w:val="center"/>
          </w:tcPr>
          <w:p w14:paraId="36FFC03E"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26</w:t>
            </w:r>
          </w:p>
        </w:tc>
        <w:tc>
          <w:tcPr>
            <w:tcW w:w="334" w:type="pct"/>
            <w:vAlign w:val="center"/>
          </w:tcPr>
          <w:p w14:paraId="0C7ED42E"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32</w:t>
            </w:r>
          </w:p>
        </w:tc>
        <w:tc>
          <w:tcPr>
            <w:tcW w:w="337" w:type="pct"/>
            <w:vAlign w:val="center"/>
          </w:tcPr>
          <w:p w14:paraId="789EB163"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42</w:t>
            </w:r>
          </w:p>
        </w:tc>
        <w:tc>
          <w:tcPr>
            <w:tcW w:w="500" w:type="pct"/>
            <w:vAlign w:val="center"/>
          </w:tcPr>
          <w:p w14:paraId="7B082A82"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53</w:t>
            </w:r>
          </w:p>
        </w:tc>
        <w:tc>
          <w:tcPr>
            <w:tcW w:w="319" w:type="pct"/>
            <w:vAlign w:val="center"/>
          </w:tcPr>
          <w:p w14:paraId="0353ADB3"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8</w:t>
            </w:r>
          </w:p>
        </w:tc>
        <w:tc>
          <w:tcPr>
            <w:tcW w:w="337" w:type="pct"/>
            <w:vAlign w:val="center"/>
          </w:tcPr>
          <w:p w14:paraId="3C3B51DE"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8</w:t>
            </w:r>
          </w:p>
        </w:tc>
        <w:tc>
          <w:tcPr>
            <w:tcW w:w="487" w:type="pct"/>
            <w:vAlign w:val="bottom"/>
          </w:tcPr>
          <w:p w14:paraId="4AC08113"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21</w:t>
            </w:r>
          </w:p>
        </w:tc>
      </w:tr>
      <w:tr w:rsidR="003C1333" w:rsidRPr="003979D4" w14:paraId="398A673B" w14:textId="77777777" w:rsidTr="003C1333">
        <w:trPr>
          <w:cnfStyle w:val="000000100000" w:firstRow="0" w:lastRow="0" w:firstColumn="0" w:lastColumn="0" w:oddVBand="0" w:evenVBand="0" w:oddHBand="1" w:evenHBand="0" w:firstRowFirstColumn="0" w:firstRowLastColumn="0" w:lastRowFirstColumn="0" w:lastRowLastColumn="0"/>
        </w:trPr>
        <w:tc>
          <w:tcPr>
            <w:tcW w:w="1070" w:type="pct"/>
          </w:tcPr>
          <w:p w14:paraId="54775483" w14:textId="77777777" w:rsidR="00B75ACA" w:rsidRPr="00350442" w:rsidRDefault="00B75ACA" w:rsidP="003C1333">
            <w:pPr>
              <w:pStyle w:val="TableText"/>
              <w:spacing w:before="10" w:after="10"/>
              <w:rPr>
                <w:rFonts w:ascii="Franklin Gothic Book" w:hAnsi="Franklin Gothic Book"/>
                <w:spacing w:val="-4"/>
              </w:rPr>
            </w:pPr>
            <w:r w:rsidRPr="00350442">
              <w:rPr>
                <w:rFonts w:ascii="Franklin Gothic Book" w:hAnsi="Franklin Gothic Book"/>
                <w:spacing w:val="-4"/>
              </w:rPr>
              <w:t>ELs and former ELs</w:t>
            </w:r>
          </w:p>
        </w:tc>
        <w:tc>
          <w:tcPr>
            <w:tcW w:w="401" w:type="pct"/>
            <w:vAlign w:val="center"/>
          </w:tcPr>
          <w:p w14:paraId="00F20D4B" w14:textId="77777777" w:rsidR="00B75ACA" w:rsidRPr="00CD0774" w:rsidRDefault="00B75ACA" w:rsidP="003C1333">
            <w:pPr>
              <w:pStyle w:val="TableTextCentered"/>
              <w:spacing w:before="10" w:after="10"/>
              <w:rPr>
                <w:rFonts w:ascii="Franklin Gothic Book" w:hAnsi="Franklin Gothic Book"/>
              </w:rPr>
            </w:pPr>
            <w:r>
              <w:rPr>
                <w:rFonts w:ascii="Franklin Gothic Book" w:hAnsi="Franklin Gothic Book"/>
              </w:rPr>
              <w:t>1</w:t>
            </w:r>
          </w:p>
        </w:tc>
        <w:tc>
          <w:tcPr>
            <w:tcW w:w="380" w:type="pct"/>
            <w:vAlign w:val="center"/>
          </w:tcPr>
          <w:p w14:paraId="60F4B8B5" w14:textId="36384567"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63" w:type="pct"/>
            <w:vAlign w:val="center"/>
          </w:tcPr>
          <w:p w14:paraId="275ED604" w14:textId="27CB5517"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72" w:type="pct"/>
            <w:vAlign w:val="center"/>
          </w:tcPr>
          <w:p w14:paraId="7C4529B9"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13</w:t>
            </w:r>
          </w:p>
        </w:tc>
        <w:tc>
          <w:tcPr>
            <w:tcW w:w="334" w:type="pct"/>
            <w:vAlign w:val="center"/>
          </w:tcPr>
          <w:p w14:paraId="045E88FC" w14:textId="3E8C1093"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39B9D8E1" w14:textId="1E649A3E"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500" w:type="pct"/>
            <w:vAlign w:val="center"/>
          </w:tcPr>
          <w:p w14:paraId="29C20575"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50</w:t>
            </w:r>
          </w:p>
        </w:tc>
        <w:tc>
          <w:tcPr>
            <w:tcW w:w="319" w:type="pct"/>
            <w:vAlign w:val="center"/>
          </w:tcPr>
          <w:p w14:paraId="13582B8E" w14:textId="147DF0E7"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337" w:type="pct"/>
            <w:vAlign w:val="center"/>
          </w:tcPr>
          <w:p w14:paraId="388B9617" w14:textId="3E8F801F" w:rsidR="00B75ACA" w:rsidRPr="00CD0774" w:rsidRDefault="008E5BF5" w:rsidP="003C1333">
            <w:pPr>
              <w:pStyle w:val="TableTextCentered"/>
              <w:spacing w:before="10" w:after="10"/>
              <w:rPr>
                <w:rFonts w:ascii="Franklin Gothic Book" w:hAnsi="Franklin Gothic Book"/>
              </w:rPr>
            </w:pPr>
            <w:r>
              <w:rPr>
                <w:rFonts w:ascii="Franklin Gothic Book" w:hAnsi="Franklin Gothic Book"/>
              </w:rPr>
              <w:t>—</w:t>
            </w:r>
          </w:p>
        </w:tc>
        <w:tc>
          <w:tcPr>
            <w:tcW w:w="487" w:type="pct"/>
            <w:vAlign w:val="bottom"/>
          </w:tcPr>
          <w:p w14:paraId="5E09D056"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38</w:t>
            </w:r>
          </w:p>
        </w:tc>
      </w:tr>
      <w:tr w:rsidR="003C1333" w:rsidRPr="003979D4" w14:paraId="58A40516" w14:textId="77777777" w:rsidTr="003C1333">
        <w:tc>
          <w:tcPr>
            <w:tcW w:w="1070" w:type="pct"/>
          </w:tcPr>
          <w:p w14:paraId="0DA7232B" w14:textId="77777777" w:rsidR="00B75ACA" w:rsidRPr="00350442" w:rsidRDefault="00B75ACA" w:rsidP="003C1333">
            <w:pPr>
              <w:pStyle w:val="TableText"/>
              <w:spacing w:before="10" w:after="10"/>
              <w:rPr>
                <w:rFonts w:ascii="Franklin Gothic Book" w:hAnsi="Franklin Gothic Book"/>
              </w:rPr>
            </w:pPr>
            <w:r w:rsidRPr="00350442">
              <w:rPr>
                <w:rFonts w:ascii="Franklin Gothic Book" w:hAnsi="Franklin Gothic Book"/>
              </w:rPr>
              <w:t>Students w/disabilities</w:t>
            </w:r>
          </w:p>
        </w:tc>
        <w:tc>
          <w:tcPr>
            <w:tcW w:w="401" w:type="pct"/>
            <w:vAlign w:val="center"/>
          </w:tcPr>
          <w:p w14:paraId="5FFCEF34"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26</w:t>
            </w:r>
          </w:p>
        </w:tc>
        <w:tc>
          <w:tcPr>
            <w:tcW w:w="380" w:type="pct"/>
            <w:vAlign w:val="center"/>
          </w:tcPr>
          <w:p w14:paraId="05717BC8"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33</w:t>
            </w:r>
          </w:p>
        </w:tc>
        <w:tc>
          <w:tcPr>
            <w:tcW w:w="363" w:type="pct"/>
            <w:vAlign w:val="center"/>
          </w:tcPr>
          <w:p w14:paraId="6DA64B9F"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27</w:t>
            </w:r>
          </w:p>
        </w:tc>
        <w:tc>
          <w:tcPr>
            <w:tcW w:w="472" w:type="pct"/>
            <w:vAlign w:val="center"/>
          </w:tcPr>
          <w:p w14:paraId="1FAFF3CC"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16</w:t>
            </w:r>
          </w:p>
        </w:tc>
        <w:tc>
          <w:tcPr>
            <w:tcW w:w="334" w:type="pct"/>
            <w:vAlign w:val="center"/>
          </w:tcPr>
          <w:p w14:paraId="3C289547"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48</w:t>
            </w:r>
          </w:p>
        </w:tc>
        <w:tc>
          <w:tcPr>
            <w:tcW w:w="337" w:type="pct"/>
            <w:vAlign w:val="center"/>
          </w:tcPr>
          <w:p w14:paraId="7BF39929"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50</w:t>
            </w:r>
          </w:p>
        </w:tc>
        <w:tc>
          <w:tcPr>
            <w:tcW w:w="500" w:type="pct"/>
            <w:vAlign w:val="center"/>
          </w:tcPr>
          <w:p w14:paraId="4B47A7F7"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53</w:t>
            </w:r>
          </w:p>
        </w:tc>
        <w:tc>
          <w:tcPr>
            <w:tcW w:w="319" w:type="pct"/>
            <w:vAlign w:val="center"/>
          </w:tcPr>
          <w:p w14:paraId="17038221"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19</w:t>
            </w:r>
          </w:p>
        </w:tc>
        <w:tc>
          <w:tcPr>
            <w:tcW w:w="337" w:type="pct"/>
            <w:vAlign w:val="center"/>
          </w:tcPr>
          <w:p w14:paraId="7CA3E5D4"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23</w:t>
            </w:r>
          </w:p>
        </w:tc>
        <w:tc>
          <w:tcPr>
            <w:tcW w:w="487" w:type="pct"/>
            <w:vAlign w:val="bottom"/>
          </w:tcPr>
          <w:p w14:paraId="36B4FEE9" w14:textId="77777777" w:rsidR="00B75ACA" w:rsidRPr="00CD0774" w:rsidRDefault="00B75ACA" w:rsidP="003C1333">
            <w:pPr>
              <w:pStyle w:val="TableTextCentered"/>
              <w:spacing w:before="10" w:after="10"/>
              <w:rPr>
                <w:rFonts w:ascii="Franklin Gothic Book" w:hAnsi="Franklin Gothic Book"/>
              </w:rPr>
            </w:pPr>
            <w:r w:rsidRPr="00CD0774">
              <w:rPr>
                <w:rFonts w:ascii="Franklin Gothic Book" w:hAnsi="Franklin Gothic Book"/>
              </w:rPr>
              <w:t>31</w:t>
            </w:r>
          </w:p>
        </w:tc>
      </w:tr>
    </w:tbl>
    <w:p w14:paraId="27641208" w14:textId="77777777" w:rsidR="00B75ACA" w:rsidRPr="003C1C59" w:rsidRDefault="00B75ACA" w:rsidP="00B75ACA">
      <w:pPr>
        <w:pStyle w:val="TableTitle0"/>
      </w:pPr>
      <w:bookmarkStart w:id="197" w:name="_Toc158035174"/>
      <w:r w:rsidRPr="00A2069A">
        <w:lastRenderedPageBreak/>
        <w:t>Table E</w:t>
      </w:r>
      <w:r>
        <w:t>7</w:t>
      </w:r>
      <w:r w:rsidRPr="00A2069A">
        <w:t xml:space="preserve">. Next-Generation MCAS ELA </w:t>
      </w:r>
      <w:r>
        <w:t>Achievement</w:t>
      </w:r>
      <w:r w:rsidRPr="00B128C5">
        <w:t xml:space="preserve"> by </w:t>
      </w:r>
      <w:r w:rsidRPr="00A2069A">
        <w:t>Grade, 202</w:t>
      </w:r>
      <w:r>
        <w:t>2</w:t>
      </w:r>
      <w:r w:rsidRPr="00A2069A">
        <w:t>-2023</w:t>
      </w:r>
      <w:bookmarkEnd w:id="197"/>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75ACA" w:rsidRPr="003979D4" w14:paraId="3C38AB1D"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45148C1B" w14:textId="77777777" w:rsidR="00B75ACA" w:rsidRPr="00EA0A36" w:rsidRDefault="00B75ACA" w:rsidP="003C1333">
            <w:pPr>
              <w:pStyle w:val="TableColHeadingLeft"/>
              <w:spacing w:before="0" w:after="0"/>
              <w:jc w:val="center"/>
            </w:pPr>
            <w:bookmarkStart w:id="198" w:name="_Hlk139011901"/>
            <w:r w:rsidRPr="00EA0A36">
              <w:t>G</w:t>
            </w:r>
            <w:r>
              <w:t>rade</w:t>
            </w:r>
          </w:p>
        </w:tc>
        <w:tc>
          <w:tcPr>
            <w:tcW w:w="458" w:type="pct"/>
            <w:vMerge w:val="restart"/>
            <w:vAlign w:val="center"/>
          </w:tcPr>
          <w:p w14:paraId="404FC16C" w14:textId="2232F390" w:rsidR="00B75ACA" w:rsidRPr="00EA0A36" w:rsidRDefault="00B75ACA" w:rsidP="003C1333">
            <w:pPr>
              <w:pStyle w:val="TableColHeadingCenter"/>
              <w:spacing w:before="0" w:after="0"/>
            </w:pPr>
            <w:r>
              <w:t xml:space="preserve"># </w:t>
            </w:r>
            <w:r w:rsidR="008E5BF5">
              <w:t>i</w:t>
            </w:r>
            <w:r>
              <w:t>ncluded (2023)</w:t>
            </w:r>
          </w:p>
        </w:tc>
        <w:tc>
          <w:tcPr>
            <w:tcW w:w="1375" w:type="pct"/>
            <w:gridSpan w:val="3"/>
            <w:vAlign w:val="bottom"/>
          </w:tcPr>
          <w:p w14:paraId="4EBC2F5D" w14:textId="77ADB48F" w:rsidR="00B75ACA" w:rsidRPr="00EA0A36" w:rsidRDefault="00B75ACA" w:rsidP="003C1333">
            <w:pPr>
              <w:pStyle w:val="TableColHeadingCenter"/>
              <w:spacing w:before="0" w:after="0"/>
            </w:pPr>
            <w:r>
              <w:t>Percent</w:t>
            </w:r>
            <w:r w:rsidR="008E5BF5">
              <w:t>age</w:t>
            </w:r>
            <w:r>
              <w:t xml:space="preserve"> meeting or exceeding expectations</w:t>
            </w:r>
          </w:p>
        </w:tc>
        <w:tc>
          <w:tcPr>
            <w:tcW w:w="1374" w:type="pct"/>
            <w:gridSpan w:val="3"/>
            <w:vAlign w:val="center"/>
          </w:tcPr>
          <w:p w14:paraId="2471E88A" w14:textId="5101132C" w:rsidR="00B75ACA" w:rsidRPr="00EA0A36" w:rsidRDefault="00B75ACA" w:rsidP="003C1333">
            <w:pPr>
              <w:pStyle w:val="TableColHeadingCenter"/>
              <w:spacing w:before="0" w:after="0"/>
            </w:pPr>
            <w:r>
              <w:t>Percent</w:t>
            </w:r>
            <w:r w:rsidR="008E5BF5">
              <w:t>age</w:t>
            </w:r>
            <w:r>
              <w:t xml:space="preserve"> partially meeting expectations</w:t>
            </w:r>
          </w:p>
        </w:tc>
        <w:tc>
          <w:tcPr>
            <w:tcW w:w="1374" w:type="pct"/>
            <w:gridSpan w:val="3"/>
            <w:vAlign w:val="center"/>
          </w:tcPr>
          <w:p w14:paraId="40F2C33C" w14:textId="42C50A92" w:rsidR="00B75ACA" w:rsidRPr="00EA0A36" w:rsidRDefault="00B75ACA" w:rsidP="003C1333">
            <w:pPr>
              <w:pStyle w:val="TableColHeadingCenter"/>
              <w:spacing w:before="0" w:after="0"/>
            </w:pPr>
            <w:r>
              <w:t>Percent</w:t>
            </w:r>
            <w:r w:rsidR="008E5BF5">
              <w:t>age</w:t>
            </w:r>
            <w:r>
              <w:t xml:space="preserve"> not meeting expectations</w:t>
            </w:r>
          </w:p>
        </w:tc>
      </w:tr>
      <w:tr w:rsidR="00B75ACA" w:rsidRPr="003979D4" w14:paraId="79561E93" w14:textId="77777777" w:rsidTr="003C1333">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65095AF7" w14:textId="77777777" w:rsidR="00B75ACA" w:rsidRPr="00EA0A36" w:rsidRDefault="00B75ACA" w:rsidP="003C1333">
            <w:pPr>
              <w:pStyle w:val="TableColHeadingCenter"/>
              <w:spacing w:before="0" w:after="0"/>
            </w:pPr>
          </w:p>
        </w:tc>
        <w:tc>
          <w:tcPr>
            <w:tcW w:w="458" w:type="pct"/>
            <w:vMerge/>
            <w:vAlign w:val="bottom"/>
          </w:tcPr>
          <w:p w14:paraId="32F390FF" w14:textId="77777777" w:rsidR="00B75ACA" w:rsidRPr="00EA0A36" w:rsidRDefault="00B75ACA" w:rsidP="003C1333">
            <w:pPr>
              <w:pStyle w:val="TableColHeadingCenter"/>
              <w:spacing w:before="0" w:after="0"/>
            </w:pPr>
          </w:p>
        </w:tc>
        <w:tc>
          <w:tcPr>
            <w:tcW w:w="458" w:type="pct"/>
            <w:tcMar>
              <w:left w:w="14" w:type="dxa"/>
              <w:right w:w="14" w:type="dxa"/>
            </w:tcMar>
            <w:vAlign w:val="center"/>
          </w:tcPr>
          <w:p w14:paraId="450E4341" w14:textId="77777777" w:rsidR="00B75ACA" w:rsidRPr="00EA0A36" w:rsidRDefault="00B75ACA" w:rsidP="003C1333">
            <w:pPr>
              <w:pStyle w:val="TableColHeadingCenter"/>
              <w:spacing w:before="0" w:after="0"/>
            </w:pPr>
            <w:r w:rsidRPr="00EA0A36">
              <w:t>2022</w:t>
            </w:r>
          </w:p>
        </w:tc>
        <w:tc>
          <w:tcPr>
            <w:tcW w:w="458" w:type="pct"/>
            <w:tcMar>
              <w:left w:w="14" w:type="dxa"/>
              <w:right w:w="14" w:type="dxa"/>
            </w:tcMar>
            <w:vAlign w:val="center"/>
          </w:tcPr>
          <w:p w14:paraId="4F36EC6E" w14:textId="77777777" w:rsidR="00B75ACA" w:rsidRPr="00EA0A36" w:rsidRDefault="00B75ACA" w:rsidP="003C1333">
            <w:pPr>
              <w:pStyle w:val="TableColHeadingCenter"/>
              <w:spacing w:before="0" w:after="0"/>
            </w:pPr>
            <w:r w:rsidRPr="00EA0A36">
              <w:t>2023</w:t>
            </w:r>
          </w:p>
        </w:tc>
        <w:tc>
          <w:tcPr>
            <w:tcW w:w="459" w:type="pct"/>
            <w:tcMar>
              <w:left w:w="14" w:type="dxa"/>
              <w:right w:w="14" w:type="dxa"/>
            </w:tcMar>
            <w:vAlign w:val="center"/>
          </w:tcPr>
          <w:p w14:paraId="09190D4F" w14:textId="77777777" w:rsidR="00B75ACA" w:rsidRPr="00EA0A36" w:rsidRDefault="00B75ACA" w:rsidP="003C1333">
            <w:pPr>
              <w:pStyle w:val="TableColHeadingCenter"/>
              <w:spacing w:before="0" w:after="0"/>
            </w:pPr>
            <w:r w:rsidRPr="00EA0A36">
              <w:t>State (2023)</w:t>
            </w:r>
          </w:p>
        </w:tc>
        <w:tc>
          <w:tcPr>
            <w:tcW w:w="458" w:type="pct"/>
            <w:tcMar>
              <w:left w:w="14" w:type="dxa"/>
              <w:right w:w="14" w:type="dxa"/>
            </w:tcMar>
            <w:vAlign w:val="center"/>
          </w:tcPr>
          <w:p w14:paraId="21203EE8" w14:textId="77777777" w:rsidR="00B75ACA" w:rsidRPr="00EA0A36" w:rsidRDefault="00B75ACA" w:rsidP="003C1333">
            <w:pPr>
              <w:pStyle w:val="TableColHeadingCenter"/>
              <w:spacing w:before="0" w:after="0"/>
            </w:pPr>
            <w:r w:rsidRPr="00EA0A36">
              <w:t>2022</w:t>
            </w:r>
          </w:p>
        </w:tc>
        <w:tc>
          <w:tcPr>
            <w:tcW w:w="458" w:type="pct"/>
            <w:tcMar>
              <w:left w:w="14" w:type="dxa"/>
              <w:right w:w="14" w:type="dxa"/>
            </w:tcMar>
            <w:vAlign w:val="center"/>
          </w:tcPr>
          <w:p w14:paraId="6D1A0E63" w14:textId="77777777" w:rsidR="00B75ACA" w:rsidRPr="00EA0A36" w:rsidRDefault="00B75ACA" w:rsidP="003C1333">
            <w:pPr>
              <w:pStyle w:val="TableColHeadingCenter"/>
              <w:spacing w:before="0" w:after="0"/>
            </w:pPr>
            <w:r w:rsidRPr="00EA0A36">
              <w:t>2023</w:t>
            </w:r>
          </w:p>
        </w:tc>
        <w:tc>
          <w:tcPr>
            <w:tcW w:w="458" w:type="pct"/>
            <w:tcMar>
              <w:left w:w="14" w:type="dxa"/>
              <w:right w:w="14" w:type="dxa"/>
            </w:tcMar>
            <w:vAlign w:val="center"/>
          </w:tcPr>
          <w:p w14:paraId="1BA6F071" w14:textId="77777777" w:rsidR="00B75ACA" w:rsidRPr="00EA0A36" w:rsidRDefault="00B75ACA" w:rsidP="003C1333">
            <w:pPr>
              <w:pStyle w:val="TableColHeadingCenter"/>
              <w:spacing w:before="0" w:after="0"/>
            </w:pPr>
            <w:r w:rsidRPr="00EA0A36">
              <w:t>State (2023)</w:t>
            </w:r>
          </w:p>
        </w:tc>
        <w:tc>
          <w:tcPr>
            <w:tcW w:w="458" w:type="pct"/>
            <w:tcMar>
              <w:left w:w="14" w:type="dxa"/>
              <w:right w:w="14" w:type="dxa"/>
            </w:tcMar>
            <w:vAlign w:val="center"/>
          </w:tcPr>
          <w:p w14:paraId="6E62D7EB" w14:textId="77777777" w:rsidR="00B75ACA" w:rsidRPr="00EA0A36" w:rsidRDefault="00B75ACA" w:rsidP="003C1333">
            <w:pPr>
              <w:pStyle w:val="TableColHeadingCenter"/>
              <w:spacing w:before="0" w:after="0"/>
            </w:pPr>
            <w:r w:rsidRPr="00EA0A36">
              <w:t>2022</w:t>
            </w:r>
          </w:p>
        </w:tc>
        <w:tc>
          <w:tcPr>
            <w:tcW w:w="458" w:type="pct"/>
            <w:tcMar>
              <w:left w:w="14" w:type="dxa"/>
              <w:right w:w="14" w:type="dxa"/>
            </w:tcMar>
            <w:vAlign w:val="center"/>
          </w:tcPr>
          <w:p w14:paraId="61024D67" w14:textId="77777777" w:rsidR="00B75ACA" w:rsidRPr="00EA0A36" w:rsidRDefault="00B75ACA" w:rsidP="003C1333">
            <w:pPr>
              <w:pStyle w:val="TableColHeadingCenter"/>
              <w:spacing w:before="0" w:after="0"/>
            </w:pPr>
            <w:r w:rsidRPr="00EA0A36">
              <w:t>2023</w:t>
            </w:r>
          </w:p>
        </w:tc>
        <w:tc>
          <w:tcPr>
            <w:tcW w:w="458" w:type="pct"/>
            <w:tcMar>
              <w:left w:w="14" w:type="dxa"/>
              <w:right w:w="14" w:type="dxa"/>
            </w:tcMar>
            <w:vAlign w:val="center"/>
          </w:tcPr>
          <w:p w14:paraId="30604C26" w14:textId="77777777" w:rsidR="00B75ACA" w:rsidRPr="00EA0A36" w:rsidRDefault="00B75ACA" w:rsidP="003C1333">
            <w:pPr>
              <w:pStyle w:val="TableColHeadingCenter"/>
              <w:spacing w:before="0" w:after="0"/>
            </w:pPr>
            <w:r w:rsidRPr="00EA0A36">
              <w:t>State (2023)</w:t>
            </w:r>
          </w:p>
        </w:tc>
      </w:tr>
      <w:tr w:rsidR="00B75ACA" w:rsidRPr="003979D4" w14:paraId="20D8119B"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7DFE642"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3</w:t>
            </w:r>
          </w:p>
        </w:tc>
        <w:tc>
          <w:tcPr>
            <w:tcW w:w="458" w:type="pct"/>
            <w:vAlign w:val="center"/>
          </w:tcPr>
          <w:p w14:paraId="639171BA"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298</w:t>
            </w:r>
          </w:p>
        </w:tc>
        <w:tc>
          <w:tcPr>
            <w:tcW w:w="458" w:type="pct"/>
            <w:vAlign w:val="center"/>
          </w:tcPr>
          <w:p w14:paraId="5DC4E13B"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71</w:t>
            </w:r>
          </w:p>
        </w:tc>
        <w:tc>
          <w:tcPr>
            <w:tcW w:w="458" w:type="pct"/>
            <w:vAlign w:val="center"/>
          </w:tcPr>
          <w:p w14:paraId="65018D84"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75</w:t>
            </w:r>
          </w:p>
        </w:tc>
        <w:tc>
          <w:tcPr>
            <w:tcW w:w="459" w:type="pct"/>
            <w:vAlign w:val="center"/>
          </w:tcPr>
          <w:p w14:paraId="079EEF2D"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44</w:t>
            </w:r>
          </w:p>
        </w:tc>
        <w:tc>
          <w:tcPr>
            <w:tcW w:w="458" w:type="pct"/>
            <w:vAlign w:val="center"/>
          </w:tcPr>
          <w:p w14:paraId="774A4C3D"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26</w:t>
            </w:r>
          </w:p>
        </w:tc>
        <w:tc>
          <w:tcPr>
            <w:tcW w:w="458" w:type="pct"/>
            <w:vAlign w:val="center"/>
          </w:tcPr>
          <w:p w14:paraId="785BB785"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22</w:t>
            </w:r>
          </w:p>
        </w:tc>
        <w:tc>
          <w:tcPr>
            <w:tcW w:w="458" w:type="pct"/>
            <w:vAlign w:val="center"/>
          </w:tcPr>
          <w:p w14:paraId="719C50CA"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40</w:t>
            </w:r>
          </w:p>
        </w:tc>
        <w:tc>
          <w:tcPr>
            <w:tcW w:w="458" w:type="pct"/>
            <w:vAlign w:val="center"/>
          </w:tcPr>
          <w:p w14:paraId="14D44FBE"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3</w:t>
            </w:r>
          </w:p>
        </w:tc>
        <w:tc>
          <w:tcPr>
            <w:tcW w:w="458" w:type="pct"/>
            <w:vAlign w:val="center"/>
          </w:tcPr>
          <w:p w14:paraId="3003F754"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3</w:t>
            </w:r>
          </w:p>
        </w:tc>
        <w:tc>
          <w:tcPr>
            <w:tcW w:w="458" w:type="pct"/>
            <w:vAlign w:val="bottom"/>
          </w:tcPr>
          <w:p w14:paraId="23341A0C"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16</w:t>
            </w:r>
          </w:p>
        </w:tc>
      </w:tr>
      <w:tr w:rsidR="00B75ACA" w:rsidRPr="003979D4" w14:paraId="7599376C" w14:textId="77777777">
        <w:tc>
          <w:tcPr>
            <w:tcW w:w="418" w:type="pct"/>
          </w:tcPr>
          <w:p w14:paraId="1C283995"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4</w:t>
            </w:r>
          </w:p>
        </w:tc>
        <w:tc>
          <w:tcPr>
            <w:tcW w:w="458" w:type="pct"/>
            <w:vAlign w:val="center"/>
          </w:tcPr>
          <w:p w14:paraId="4E35CD8A"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287</w:t>
            </w:r>
          </w:p>
        </w:tc>
        <w:tc>
          <w:tcPr>
            <w:tcW w:w="458" w:type="pct"/>
            <w:vAlign w:val="center"/>
          </w:tcPr>
          <w:p w14:paraId="011AFAC2"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72</w:t>
            </w:r>
          </w:p>
        </w:tc>
        <w:tc>
          <w:tcPr>
            <w:tcW w:w="458" w:type="pct"/>
            <w:vAlign w:val="center"/>
          </w:tcPr>
          <w:p w14:paraId="03128CDE"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69</w:t>
            </w:r>
          </w:p>
        </w:tc>
        <w:tc>
          <w:tcPr>
            <w:tcW w:w="459" w:type="pct"/>
            <w:vAlign w:val="center"/>
          </w:tcPr>
          <w:p w14:paraId="79B2D073"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40</w:t>
            </w:r>
          </w:p>
        </w:tc>
        <w:tc>
          <w:tcPr>
            <w:tcW w:w="458" w:type="pct"/>
            <w:vAlign w:val="center"/>
          </w:tcPr>
          <w:p w14:paraId="5BF3D322"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26</w:t>
            </w:r>
          </w:p>
        </w:tc>
        <w:tc>
          <w:tcPr>
            <w:tcW w:w="458" w:type="pct"/>
            <w:vAlign w:val="center"/>
          </w:tcPr>
          <w:p w14:paraId="33F79A8A"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26</w:t>
            </w:r>
          </w:p>
        </w:tc>
        <w:tc>
          <w:tcPr>
            <w:tcW w:w="458" w:type="pct"/>
            <w:vAlign w:val="center"/>
          </w:tcPr>
          <w:p w14:paraId="3CF07C25"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43</w:t>
            </w:r>
          </w:p>
        </w:tc>
        <w:tc>
          <w:tcPr>
            <w:tcW w:w="458" w:type="pct"/>
            <w:vAlign w:val="center"/>
          </w:tcPr>
          <w:p w14:paraId="70D77360"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w:t>
            </w:r>
          </w:p>
        </w:tc>
        <w:tc>
          <w:tcPr>
            <w:tcW w:w="458" w:type="pct"/>
            <w:vAlign w:val="center"/>
          </w:tcPr>
          <w:p w14:paraId="14722536"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5</w:t>
            </w:r>
          </w:p>
        </w:tc>
        <w:tc>
          <w:tcPr>
            <w:tcW w:w="458" w:type="pct"/>
            <w:vAlign w:val="bottom"/>
          </w:tcPr>
          <w:p w14:paraId="7A0A3B7E"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17</w:t>
            </w:r>
          </w:p>
        </w:tc>
      </w:tr>
      <w:tr w:rsidR="00B75ACA" w:rsidRPr="003979D4" w14:paraId="6762BD56"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1F024BF"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5</w:t>
            </w:r>
          </w:p>
        </w:tc>
        <w:tc>
          <w:tcPr>
            <w:tcW w:w="458" w:type="pct"/>
            <w:vAlign w:val="center"/>
          </w:tcPr>
          <w:p w14:paraId="44BE6643"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293</w:t>
            </w:r>
          </w:p>
        </w:tc>
        <w:tc>
          <w:tcPr>
            <w:tcW w:w="458" w:type="pct"/>
            <w:vAlign w:val="center"/>
          </w:tcPr>
          <w:p w14:paraId="5765FEFE"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72</w:t>
            </w:r>
          </w:p>
        </w:tc>
        <w:tc>
          <w:tcPr>
            <w:tcW w:w="458" w:type="pct"/>
            <w:vAlign w:val="center"/>
          </w:tcPr>
          <w:p w14:paraId="7EF42A44"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78</w:t>
            </w:r>
          </w:p>
        </w:tc>
        <w:tc>
          <w:tcPr>
            <w:tcW w:w="459" w:type="pct"/>
            <w:vAlign w:val="center"/>
          </w:tcPr>
          <w:p w14:paraId="7806644B"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44</w:t>
            </w:r>
          </w:p>
        </w:tc>
        <w:tc>
          <w:tcPr>
            <w:tcW w:w="458" w:type="pct"/>
            <w:vAlign w:val="center"/>
          </w:tcPr>
          <w:p w14:paraId="2842792C"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27</w:t>
            </w:r>
          </w:p>
        </w:tc>
        <w:tc>
          <w:tcPr>
            <w:tcW w:w="458" w:type="pct"/>
            <w:vAlign w:val="center"/>
          </w:tcPr>
          <w:p w14:paraId="192F646E"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20</w:t>
            </w:r>
          </w:p>
        </w:tc>
        <w:tc>
          <w:tcPr>
            <w:tcW w:w="458" w:type="pct"/>
            <w:vAlign w:val="center"/>
          </w:tcPr>
          <w:p w14:paraId="4A2C8276"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40</w:t>
            </w:r>
          </w:p>
        </w:tc>
        <w:tc>
          <w:tcPr>
            <w:tcW w:w="458" w:type="pct"/>
            <w:vAlign w:val="center"/>
          </w:tcPr>
          <w:p w14:paraId="2895D30B"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1</w:t>
            </w:r>
          </w:p>
        </w:tc>
        <w:tc>
          <w:tcPr>
            <w:tcW w:w="458" w:type="pct"/>
            <w:vAlign w:val="center"/>
          </w:tcPr>
          <w:p w14:paraId="16CE0F3C"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w:t>
            </w:r>
          </w:p>
        </w:tc>
        <w:tc>
          <w:tcPr>
            <w:tcW w:w="458" w:type="pct"/>
            <w:vAlign w:val="bottom"/>
          </w:tcPr>
          <w:p w14:paraId="7A2B3A26"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16</w:t>
            </w:r>
          </w:p>
        </w:tc>
      </w:tr>
      <w:tr w:rsidR="00B75ACA" w:rsidRPr="003979D4" w14:paraId="0FF8E3FF" w14:textId="77777777">
        <w:tc>
          <w:tcPr>
            <w:tcW w:w="418" w:type="pct"/>
          </w:tcPr>
          <w:p w14:paraId="52067E0F"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6</w:t>
            </w:r>
          </w:p>
        </w:tc>
        <w:tc>
          <w:tcPr>
            <w:tcW w:w="458" w:type="pct"/>
            <w:vAlign w:val="center"/>
          </w:tcPr>
          <w:p w14:paraId="5E1EDBEA"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290</w:t>
            </w:r>
          </w:p>
        </w:tc>
        <w:tc>
          <w:tcPr>
            <w:tcW w:w="458" w:type="pct"/>
            <w:vAlign w:val="center"/>
          </w:tcPr>
          <w:p w14:paraId="60E7915F"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77</w:t>
            </w:r>
          </w:p>
        </w:tc>
        <w:tc>
          <w:tcPr>
            <w:tcW w:w="458" w:type="pct"/>
            <w:vAlign w:val="center"/>
          </w:tcPr>
          <w:p w14:paraId="2EC0E2E6"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72</w:t>
            </w:r>
          </w:p>
        </w:tc>
        <w:tc>
          <w:tcPr>
            <w:tcW w:w="459" w:type="pct"/>
            <w:vAlign w:val="center"/>
          </w:tcPr>
          <w:p w14:paraId="38CD4EEC"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42</w:t>
            </w:r>
          </w:p>
        </w:tc>
        <w:tc>
          <w:tcPr>
            <w:tcW w:w="458" w:type="pct"/>
            <w:vAlign w:val="center"/>
          </w:tcPr>
          <w:p w14:paraId="37598482"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17</w:t>
            </w:r>
          </w:p>
        </w:tc>
        <w:tc>
          <w:tcPr>
            <w:tcW w:w="458" w:type="pct"/>
            <w:vAlign w:val="center"/>
          </w:tcPr>
          <w:p w14:paraId="003D41BA"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24</w:t>
            </w:r>
          </w:p>
        </w:tc>
        <w:tc>
          <w:tcPr>
            <w:tcW w:w="458" w:type="pct"/>
            <w:vAlign w:val="center"/>
          </w:tcPr>
          <w:p w14:paraId="490F2F85"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34</w:t>
            </w:r>
          </w:p>
        </w:tc>
        <w:tc>
          <w:tcPr>
            <w:tcW w:w="458" w:type="pct"/>
            <w:vAlign w:val="center"/>
          </w:tcPr>
          <w:p w14:paraId="669EEEF0"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5</w:t>
            </w:r>
          </w:p>
        </w:tc>
        <w:tc>
          <w:tcPr>
            <w:tcW w:w="458" w:type="pct"/>
            <w:vAlign w:val="center"/>
          </w:tcPr>
          <w:p w14:paraId="7A414B72"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3</w:t>
            </w:r>
          </w:p>
        </w:tc>
        <w:tc>
          <w:tcPr>
            <w:tcW w:w="458" w:type="pct"/>
            <w:vAlign w:val="bottom"/>
          </w:tcPr>
          <w:p w14:paraId="35F84196"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24</w:t>
            </w:r>
          </w:p>
        </w:tc>
      </w:tr>
      <w:tr w:rsidR="00B75ACA" w:rsidRPr="003979D4" w14:paraId="14EA7679"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A4F7292"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7</w:t>
            </w:r>
          </w:p>
        </w:tc>
        <w:tc>
          <w:tcPr>
            <w:tcW w:w="458" w:type="pct"/>
            <w:vAlign w:val="center"/>
          </w:tcPr>
          <w:p w14:paraId="34EB2913"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287</w:t>
            </w:r>
          </w:p>
        </w:tc>
        <w:tc>
          <w:tcPr>
            <w:tcW w:w="458" w:type="pct"/>
            <w:vAlign w:val="center"/>
          </w:tcPr>
          <w:p w14:paraId="3C93962B"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74</w:t>
            </w:r>
          </w:p>
        </w:tc>
        <w:tc>
          <w:tcPr>
            <w:tcW w:w="458" w:type="pct"/>
            <w:vAlign w:val="center"/>
          </w:tcPr>
          <w:p w14:paraId="04F4C86A"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79</w:t>
            </w:r>
          </w:p>
        </w:tc>
        <w:tc>
          <w:tcPr>
            <w:tcW w:w="459" w:type="pct"/>
            <w:vAlign w:val="center"/>
          </w:tcPr>
          <w:p w14:paraId="3DB9475A"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40</w:t>
            </w:r>
          </w:p>
        </w:tc>
        <w:tc>
          <w:tcPr>
            <w:tcW w:w="458" w:type="pct"/>
            <w:vAlign w:val="center"/>
          </w:tcPr>
          <w:p w14:paraId="07F30E0F"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23</w:t>
            </w:r>
          </w:p>
        </w:tc>
        <w:tc>
          <w:tcPr>
            <w:tcW w:w="458" w:type="pct"/>
            <w:vAlign w:val="center"/>
          </w:tcPr>
          <w:p w14:paraId="126EF812"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18</w:t>
            </w:r>
          </w:p>
        </w:tc>
        <w:tc>
          <w:tcPr>
            <w:tcW w:w="458" w:type="pct"/>
            <w:vAlign w:val="center"/>
          </w:tcPr>
          <w:p w14:paraId="462F7ADE"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40</w:t>
            </w:r>
          </w:p>
        </w:tc>
        <w:tc>
          <w:tcPr>
            <w:tcW w:w="458" w:type="pct"/>
            <w:vAlign w:val="center"/>
          </w:tcPr>
          <w:p w14:paraId="2689768F"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3</w:t>
            </w:r>
          </w:p>
        </w:tc>
        <w:tc>
          <w:tcPr>
            <w:tcW w:w="458" w:type="pct"/>
            <w:vAlign w:val="center"/>
          </w:tcPr>
          <w:p w14:paraId="0296129C"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3</w:t>
            </w:r>
          </w:p>
        </w:tc>
        <w:tc>
          <w:tcPr>
            <w:tcW w:w="458" w:type="pct"/>
            <w:vAlign w:val="bottom"/>
          </w:tcPr>
          <w:p w14:paraId="5254A929"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19</w:t>
            </w:r>
          </w:p>
        </w:tc>
      </w:tr>
      <w:tr w:rsidR="00B75ACA" w:rsidRPr="003979D4" w14:paraId="2C2C9A55" w14:textId="77777777">
        <w:tc>
          <w:tcPr>
            <w:tcW w:w="418" w:type="pct"/>
          </w:tcPr>
          <w:p w14:paraId="01CFABA5"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8</w:t>
            </w:r>
          </w:p>
        </w:tc>
        <w:tc>
          <w:tcPr>
            <w:tcW w:w="458" w:type="pct"/>
            <w:vAlign w:val="center"/>
          </w:tcPr>
          <w:p w14:paraId="16F88873"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256</w:t>
            </w:r>
          </w:p>
        </w:tc>
        <w:tc>
          <w:tcPr>
            <w:tcW w:w="458" w:type="pct"/>
            <w:vAlign w:val="center"/>
          </w:tcPr>
          <w:p w14:paraId="57975D66"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71</w:t>
            </w:r>
          </w:p>
        </w:tc>
        <w:tc>
          <w:tcPr>
            <w:tcW w:w="458" w:type="pct"/>
            <w:vAlign w:val="center"/>
          </w:tcPr>
          <w:p w14:paraId="64E6F6AE"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73</w:t>
            </w:r>
          </w:p>
        </w:tc>
        <w:tc>
          <w:tcPr>
            <w:tcW w:w="459" w:type="pct"/>
            <w:vAlign w:val="center"/>
          </w:tcPr>
          <w:p w14:paraId="0B926F3E"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44</w:t>
            </w:r>
          </w:p>
        </w:tc>
        <w:tc>
          <w:tcPr>
            <w:tcW w:w="458" w:type="pct"/>
            <w:vAlign w:val="center"/>
          </w:tcPr>
          <w:p w14:paraId="0BC264EF"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24</w:t>
            </w:r>
          </w:p>
        </w:tc>
        <w:tc>
          <w:tcPr>
            <w:tcW w:w="458" w:type="pct"/>
            <w:vAlign w:val="center"/>
          </w:tcPr>
          <w:p w14:paraId="3BA6DC46"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21</w:t>
            </w:r>
          </w:p>
        </w:tc>
        <w:tc>
          <w:tcPr>
            <w:tcW w:w="458" w:type="pct"/>
            <w:vAlign w:val="center"/>
          </w:tcPr>
          <w:p w14:paraId="0B5D2CCB"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34</w:t>
            </w:r>
          </w:p>
        </w:tc>
        <w:tc>
          <w:tcPr>
            <w:tcW w:w="458" w:type="pct"/>
            <w:vAlign w:val="center"/>
          </w:tcPr>
          <w:p w14:paraId="108C268A"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5</w:t>
            </w:r>
          </w:p>
        </w:tc>
        <w:tc>
          <w:tcPr>
            <w:tcW w:w="458" w:type="pct"/>
            <w:vAlign w:val="center"/>
          </w:tcPr>
          <w:p w14:paraId="6BAF37D9"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6</w:t>
            </w:r>
          </w:p>
        </w:tc>
        <w:tc>
          <w:tcPr>
            <w:tcW w:w="458" w:type="pct"/>
            <w:vAlign w:val="bottom"/>
          </w:tcPr>
          <w:p w14:paraId="3BFE771E"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22</w:t>
            </w:r>
          </w:p>
        </w:tc>
      </w:tr>
      <w:tr w:rsidR="00B75ACA" w:rsidRPr="003979D4" w14:paraId="04EBD423"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6297FF4" w14:textId="77777777" w:rsidR="00B75ACA" w:rsidRPr="006F5135" w:rsidRDefault="00B75ACA" w:rsidP="003C1333">
            <w:pPr>
              <w:pStyle w:val="TableText"/>
              <w:spacing w:before="0" w:after="0"/>
              <w:jc w:val="center"/>
              <w:rPr>
                <w:rFonts w:ascii="Franklin Gothic Book" w:hAnsi="Franklin Gothic Book"/>
                <w:spacing w:val="-4"/>
              </w:rPr>
            </w:pPr>
            <w:r w:rsidRPr="006F5135">
              <w:rPr>
                <w:rFonts w:ascii="Franklin Gothic Book" w:hAnsi="Franklin Gothic Book"/>
                <w:spacing w:val="-4"/>
              </w:rPr>
              <w:t>3-8</w:t>
            </w:r>
          </w:p>
        </w:tc>
        <w:tc>
          <w:tcPr>
            <w:tcW w:w="458" w:type="pct"/>
            <w:vAlign w:val="center"/>
          </w:tcPr>
          <w:p w14:paraId="411E7BA6"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1,711</w:t>
            </w:r>
          </w:p>
        </w:tc>
        <w:tc>
          <w:tcPr>
            <w:tcW w:w="458" w:type="pct"/>
            <w:vAlign w:val="center"/>
          </w:tcPr>
          <w:p w14:paraId="497A5822"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73</w:t>
            </w:r>
          </w:p>
        </w:tc>
        <w:tc>
          <w:tcPr>
            <w:tcW w:w="458" w:type="pct"/>
            <w:vAlign w:val="center"/>
          </w:tcPr>
          <w:p w14:paraId="7593FF78"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74</w:t>
            </w:r>
          </w:p>
        </w:tc>
        <w:tc>
          <w:tcPr>
            <w:tcW w:w="459" w:type="pct"/>
            <w:vAlign w:val="center"/>
          </w:tcPr>
          <w:p w14:paraId="49BC86BE"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42</w:t>
            </w:r>
          </w:p>
        </w:tc>
        <w:tc>
          <w:tcPr>
            <w:tcW w:w="458" w:type="pct"/>
            <w:vAlign w:val="center"/>
          </w:tcPr>
          <w:p w14:paraId="608A1371"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24</w:t>
            </w:r>
          </w:p>
        </w:tc>
        <w:tc>
          <w:tcPr>
            <w:tcW w:w="458" w:type="pct"/>
            <w:vAlign w:val="center"/>
          </w:tcPr>
          <w:p w14:paraId="2C18CFE3"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22</w:t>
            </w:r>
          </w:p>
        </w:tc>
        <w:tc>
          <w:tcPr>
            <w:tcW w:w="458" w:type="pct"/>
            <w:vAlign w:val="center"/>
          </w:tcPr>
          <w:p w14:paraId="4EEBF847"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39</w:t>
            </w:r>
          </w:p>
        </w:tc>
        <w:tc>
          <w:tcPr>
            <w:tcW w:w="458" w:type="pct"/>
            <w:vAlign w:val="center"/>
          </w:tcPr>
          <w:p w14:paraId="4DA09A34"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3</w:t>
            </w:r>
          </w:p>
        </w:tc>
        <w:tc>
          <w:tcPr>
            <w:tcW w:w="458" w:type="pct"/>
            <w:vAlign w:val="center"/>
          </w:tcPr>
          <w:p w14:paraId="254891A3"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4</w:t>
            </w:r>
          </w:p>
        </w:tc>
        <w:tc>
          <w:tcPr>
            <w:tcW w:w="458" w:type="pct"/>
            <w:vAlign w:val="bottom"/>
          </w:tcPr>
          <w:p w14:paraId="6C07DE66"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19</w:t>
            </w:r>
          </w:p>
        </w:tc>
      </w:tr>
      <w:tr w:rsidR="00B75ACA" w:rsidRPr="003979D4" w14:paraId="1DE7D32C" w14:textId="77777777">
        <w:tc>
          <w:tcPr>
            <w:tcW w:w="418" w:type="pct"/>
          </w:tcPr>
          <w:p w14:paraId="6635F78A"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10</w:t>
            </w:r>
          </w:p>
        </w:tc>
        <w:tc>
          <w:tcPr>
            <w:tcW w:w="458" w:type="pct"/>
            <w:vAlign w:val="center"/>
          </w:tcPr>
          <w:p w14:paraId="3F664525"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270</w:t>
            </w:r>
          </w:p>
        </w:tc>
        <w:tc>
          <w:tcPr>
            <w:tcW w:w="458" w:type="pct"/>
            <w:vAlign w:val="center"/>
          </w:tcPr>
          <w:p w14:paraId="51777861"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90</w:t>
            </w:r>
          </w:p>
        </w:tc>
        <w:tc>
          <w:tcPr>
            <w:tcW w:w="458" w:type="pct"/>
            <w:vAlign w:val="center"/>
          </w:tcPr>
          <w:p w14:paraId="6F51F634"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87</w:t>
            </w:r>
          </w:p>
        </w:tc>
        <w:tc>
          <w:tcPr>
            <w:tcW w:w="459" w:type="pct"/>
            <w:vAlign w:val="center"/>
          </w:tcPr>
          <w:p w14:paraId="365F2858"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58</w:t>
            </w:r>
          </w:p>
        </w:tc>
        <w:tc>
          <w:tcPr>
            <w:tcW w:w="458" w:type="pct"/>
            <w:vAlign w:val="center"/>
          </w:tcPr>
          <w:p w14:paraId="7B9B90C1"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9</w:t>
            </w:r>
          </w:p>
        </w:tc>
        <w:tc>
          <w:tcPr>
            <w:tcW w:w="458" w:type="pct"/>
            <w:vAlign w:val="center"/>
          </w:tcPr>
          <w:p w14:paraId="1A0D45AF"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11</w:t>
            </w:r>
          </w:p>
        </w:tc>
        <w:tc>
          <w:tcPr>
            <w:tcW w:w="458" w:type="pct"/>
            <w:vAlign w:val="center"/>
          </w:tcPr>
          <w:p w14:paraId="0A3710EF"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30</w:t>
            </w:r>
          </w:p>
        </w:tc>
        <w:tc>
          <w:tcPr>
            <w:tcW w:w="458" w:type="pct"/>
            <w:vAlign w:val="center"/>
          </w:tcPr>
          <w:p w14:paraId="7D9169CD"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1</w:t>
            </w:r>
          </w:p>
        </w:tc>
        <w:tc>
          <w:tcPr>
            <w:tcW w:w="458" w:type="pct"/>
            <w:vAlign w:val="center"/>
          </w:tcPr>
          <w:p w14:paraId="4E94DA87"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cs="Calibri"/>
              </w:rPr>
              <w:t>2</w:t>
            </w:r>
          </w:p>
        </w:tc>
        <w:tc>
          <w:tcPr>
            <w:tcW w:w="458" w:type="pct"/>
            <w:vAlign w:val="bottom"/>
          </w:tcPr>
          <w:p w14:paraId="3F904D07" w14:textId="77777777" w:rsidR="00B75ACA" w:rsidRPr="00A815B2" w:rsidRDefault="00B75ACA" w:rsidP="003C1333">
            <w:pPr>
              <w:pStyle w:val="TableTextCentered"/>
              <w:spacing w:before="0" w:after="0"/>
              <w:rPr>
                <w:rFonts w:ascii="Franklin Gothic Book" w:hAnsi="Franklin Gothic Book"/>
              </w:rPr>
            </w:pPr>
            <w:r w:rsidRPr="00A815B2">
              <w:rPr>
                <w:rFonts w:ascii="Franklin Gothic Book" w:hAnsi="Franklin Gothic Book"/>
              </w:rPr>
              <w:t>11</w:t>
            </w:r>
          </w:p>
        </w:tc>
      </w:tr>
    </w:tbl>
    <w:p w14:paraId="5E16DEA4" w14:textId="77777777" w:rsidR="00B75ACA" w:rsidRPr="003C1C59" w:rsidRDefault="00B75ACA" w:rsidP="003C1333">
      <w:pPr>
        <w:pStyle w:val="TableTitle0"/>
        <w:spacing w:before="120"/>
      </w:pPr>
      <w:bookmarkStart w:id="199" w:name="_Toc158035175"/>
      <w:r w:rsidRPr="00A2069A">
        <w:t>Table E</w:t>
      </w:r>
      <w:r>
        <w:t>8</w:t>
      </w:r>
      <w:r w:rsidRPr="00A2069A">
        <w:t xml:space="preserve">. Next-Generation MCAS </w:t>
      </w:r>
      <w:r>
        <w:t>Mathematics</w:t>
      </w:r>
      <w:r w:rsidRPr="00A2069A">
        <w:t xml:space="preserve"> </w:t>
      </w:r>
      <w:r>
        <w:t>Achievement</w:t>
      </w:r>
      <w:r w:rsidRPr="00A2069A">
        <w:t xml:space="preserve"> by Grade, 202</w:t>
      </w:r>
      <w:r>
        <w:t>2</w:t>
      </w:r>
      <w:r w:rsidRPr="00A2069A">
        <w:t>-2023</w:t>
      </w:r>
      <w:bookmarkEnd w:id="199"/>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75ACA" w:rsidRPr="003979D4" w14:paraId="654A5FC0"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2E681777" w14:textId="77777777" w:rsidR="00B75ACA" w:rsidRPr="00EA0A36" w:rsidRDefault="00B75ACA" w:rsidP="003C1333">
            <w:pPr>
              <w:pStyle w:val="TableColHeadingLeft"/>
              <w:spacing w:before="0" w:after="0"/>
              <w:jc w:val="center"/>
            </w:pPr>
            <w:r w:rsidRPr="00EA0A36">
              <w:t>G</w:t>
            </w:r>
            <w:r>
              <w:t>rade</w:t>
            </w:r>
          </w:p>
        </w:tc>
        <w:tc>
          <w:tcPr>
            <w:tcW w:w="458" w:type="pct"/>
            <w:vMerge w:val="restart"/>
            <w:vAlign w:val="center"/>
          </w:tcPr>
          <w:p w14:paraId="6A58FA8F" w14:textId="17B6AE09" w:rsidR="00B75ACA" w:rsidRPr="00EA0A36" w:rsidRDefault="00B75ACA" w:rsidP="003C1333">
            <w:pPr>
              <w:pStyle w:val="TableColHeadingCenter"/>
              <w:spacing w:before="0" w:after="0"/>
            </w:pPr>
            <w:r>
              <w:t xml:space="preserve"># </w:t>
            </w:r>
            <w:r w:rsidR="00C6447D">
              <w:t>i</w:t>
            </w:r>
            <w:r>
              <w:t>ncluded (2023)</w:t>
            </w:r>
          </w:p>
        </w:tc>
        <w:tc>
          <w:tcPr>
            <w:tcW w:w="1375" w:type="pct"/>
            <w:gridSpan w:val="3"/>
            <w:vAlign w:val="bottom"/>
          </w:tcPr>
          <w:p w14:paraId="729120FB" w14:textId="1DEF1DE7" w:rsidR="00B75ACA" w:rsidRPr="00EA0A36" w:rsidRDefault="00B75ACA" w:rsidP="003C1333">
            <w:pPr>
              <w:pStyle w:val="TableColHeadingCenter"/>
              <w:spacing w:before="0" w:after="0"/>
            </w:pPr>
            <w:r>
              <w:t>Percent</w:t>
            </w:r>
            <w:r w:rsidR="00C6447D">
              <w:t>age</w:t>
            </w:r>
            <w:r>
              <w:t xml:space="preserve"> meeting or exceeding expectations</w:t>
            </w:r>
          </w:p>
        </w:tc>
        <w:tc>
          <w:tcPr>
            <w:tcW w:w="1374" w:type="pct"/>
            <w:gridSpan w:val="3"/>
            <w:vAlign w:val="center"/>
          </w:tcPr>
          <w:p w14:paraId="44AB1FA4" w14:textId="4060F8F7" w:rsidR="00B75ACA" w:rsidRPr="00EA0A36" w:rsidRDefault="00B75ACA" w:rsidP="003C1333">
            <w:pPr>
              <w:pStyle w:val="TableColHeadingCenter"/>
              <w:spacing w:before="0" w:after="0"/>
            </w:pPr>
            <w:r>
              <w:t>Percent</w:t>
            </w:r>
            <w:r w:rsidR="00C6447D">
              <w:t>age</w:t>
            </w:r>
            <w:r>
              <w:t xml:space="preserve"> partially meeting expectations</w:t>
            </w:r>
          </w:p>
        </w:tc>
        <w:tc>
          <w:tcPr>
            <w:tcW w:w="1374" w:type="pct"/>
            <w:gridSpan w:val="3"/>
            <w:vAlign w:val="center"/>
          </w:tcPr>
          <w:p w14:paraId="73E9A420" w14:textId="7477C13E" w:rsidR="00B75ACA" w:rsidRPr="00EA0A36" w:rsidRDefault="00B75ACA" w:rsidP="003C1333">
            <w:pPr>
              <w:pStyle w:val="TableColHeadingCenter"/>
              <w:spacing w:before="0" w:after="0"/>
            </w:pPr>
            <w:r>
              <w:t>Percent</w:t>
            </w:r>
            <w:r w:rsidR="00C6447D">
              <w:t>age</w:t>
            </w:r>
            <w:r>
              <w:t xml:space="preserve"> not meeting expectations</w:t>
            </w:r>
          </w:p>
        </w:tc>
      </w:tr>
      <w:tr w:rsidR="00B75ACA" w:rsidRPr="003979D4" w14:paraId="3D53D814" w14:textId="77777777" w:rsidTr="003C1333">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714839F7" w14:textId="77777777" w:rsidR="00B75ACA" w:rsidRPr="00EA0A36" w:rsidRDefault="00B75ACA" w:rsidP="003C1333">
            <w:pPr>
              <w:pStyle w:val="TableColHeadingCenter"/>
              <w:spacing w:before="0" w:after="0"/>
            </w:pPr>
          </w:p>
        </w:tc>
        <w:tc>
          <w:tcPr>
            <w:tcW w:w="458" w:type="pct"/>
            <w:vMerge/>
            <w:vAlign w:val="bottom"/>
          </w:tcPr>
          <w:p w14:paraId="7AE4A42D" w14:textId="77777777" w:rsidR="00B75ACA" w:rsidRPr="00EA0A36" w:rsidRDefault="00B75ACA" w:rsidP="003C1333">
            <w:pPr>
              <w:pStyle w:val="TableColHeadingCenter"/>
              <w:spacing w:before="0" w:after="0"/>
            </w:pPr>
          </w:p>
        </w:tc>
        <w:tc>
          <w:tcPr>
            <w:tcW w:w="458" w:type="pct"/>
            <w:tcMar>
              <w:left w:w="14" w:type="dxa"/>
              <w:right w:w="14" w:type="dxa"/>
            </w:tcMar>
            <w:vAlign w:val="center"/>
          </w:tcPr>
          <w:p w14:paraId="307B3E78" w14:textId="77777777" w:rsidR="00B75ACA" w:rsidRPr="00EA0A36" w:rsidRDefault="00B75ACA" w:rsidP="003C1333">
            <w:pPr>
              <w:pStyle w:val="TableColHeadingCenter"/>
              <w:spacing w:before="0" w:after="0"/>
            </w:pPr>
            <w:r w:rsidRPr="00EA0A36">
              <w:t>2022</w:t>
            </w:r>
          </w:p>
        </w:tc>
        <w:tc>
          <w:tcPr>
            <w:tcW w:w="458" w:type="pct"/>
            <w:tcMar>
              <w:left w:w="14" w:type="dxa"/>
              <w:right w:w="14" w:type="dxa"/>
            </w:tcMar>
            <w:vAlign w:val="center"/>
          </w:tcPr>
          <w:p w14:paraId="03185FA2" w14:textId="77777777" w:rsidR="00B75ACA" w:rsidRPr="00EA0A36" w:rsidRDefault="00B75ACA" w:rsidP="003C1333">
            <w:pPr>
              <w:pStyle w:val="TableColHeadingCenter"/>
              <w:spacing w:before="0" w:after="0"/>
            </w:pPr>
            <w:r w:rsidRPr="00EA0A36">
              <w:t>2023</w:t>
            </w:r>
          </w:p>
        </w:tc>
        <w:tc>
          <w:tcPr>
            <w:tcW w:w="459" w:type="pct"/>
            <w:tcMar>
              <w:left w:w="14" w:type="dxa"/>
              <w:right w:w="14" w:type="dxa"/>
            </w:tcMar>
            <w:vAlign w:val="center"/>
          </w:tcPr>
          <w:p w14:paraId="59197BC1" w14:textId="77777777" w:rsidR="00B75ACA" w:rsidRPr="00EA0A36" w:rsidRDefault="00B75ACA" w:rsidP="003C1333">
            <w:pPr>
              <w:pStyle w:val="TableColHeadingCenter"/>
              <w:spacing w:before="0" w:after="0"/>
            </w:pPr>
            <w:r w:rsidRPr="00EA0A36">
              <w:t>State (2023)</w:t>
            </w:r>
          </w:p>
        </w:tc>
        <w:tc>
          <w:tcPr>
            <w:tcW w:w="458" w:type="pct"/>
            <w:tcMar>
              <w:left w:w="14" w:type="dxa"/>
              <w:right w:w="14" w:type="dxa"/>
            </w:tcMar>
            <w:vAlign w:val="center"/>
          </w:tcPr>
          <w:p w14:paraId="41AD73E8" w14:textId="77777777" w:rsidR="00B75ACA" w:rsidRPr="00EA0A36" w:rsidRDefault="00B75ACA" w:rsidP="003C1333">
            <w:pPr>
              <w:pStyle w:val="TableColHeadingCenter"/>
              <w:spacing w:before="0" w:after="0"/>
            </w:pPr>
            <w:r w:rsidRPr="00EA0A36">
              <w:t>2022</w:t>
            </w:r>
          </w:p>
        </w:tc>
        <w:tc>
          <w:tcPr>
            <w:tcW w:w="458" w:type="pct"/>
            <w:tcMar>
              <w:left w:w="14" w:type="dxa"/>
              <w:right w:w="14" w:type="dxa"/>
            </w:tcMar>
            <w:vAlign w:val="center"/>
          </w:tcPr>
          <w:p w14:paraId="36445F20" w14:textId="77777777" w:rsidR="00B75ACA" w:rsidRPr="00EA0A36" w:rsidRDefault="00B75ACA" w:rsidP="003C1333">
            <w:pPr>
              <w:pStyle w:val="TableColHeadingCenter"/>
              <w:spacing w:before="0" w:after="0"/>
            </w:pPr>
            <w:r w:rsidRPr="00EA0A36">
              <w:t>2023</w:t>
            </w:r>
          </w:p>
        </w:tc>
        <w:tc>
          <w:tcPr>
            <w:tcW w:w="458" w:type="pct"/>
            <w:tcMar>
              <w:left w:w="14" w:type="dxa"/>
              <w:right w:w="14" w:type="dxa"/>
            </w:tcMar>
            <w:vAlign w:val="center"/>
          </w:tcPr>
          <w:p w14:paraId="78023247" w14:textId="77777777" w:rsidR="00B75ACA" w:rsidRPr="00EA0A36" w:rsidRDefault="00B75ACA" w:rsidP="003C1333">
            <w:pPr>
              <w:pStyle w:val="TableColHeadingCenter"/>
              <w:spacing w:before="0" w:after="0"/>
            </w:pPr>
            <w:r w:rsidRPr="00EA0A36">
              <w:t>State (2023)</w:t>
            </w:r>
          </w:p>
        </w:tc>
        <w:tc>
          <w:tcPr>
            <w:tcW w:w="458" w:type="pct"/>
            <w:tcMar>
              <w:left w:w="14" w:type="dxa"/>
              <w:right w:w="14" w:type="dxa"/>
            </w:tcMar>
            <w:vAlign w:val="center"/>
          </w:tcPr>
          <w:p w14:paraId="074FBDF7" w14:textId="77777777" w:rsidR="00B75ACA" w:rsidRPr="00EA0A36" w:rsidRDefault="00B75ACA" w:rsidP="003C1333">
            <w:pPr>
              <w:pStyle w:val="TableColHeadingCenter"/>
              <w:spacing w:before="0" w:after="0"/>
            </w:pPr>
            <w:r w:rsidRPr="00EA0A36">
              <w:t>2022</w:t>
            </w:r>
          </w:p>
        </w:tc>
        <w:tc>
          <w:tcPr>
            <w:tcW w:w="458" w:type="pct"/>
            <w:tcMar>
              <w:left w:w="14" w:type="dxa"/>
              <w:right w:w="14" w:type="dxa"/>
            </w:tcMar>
            <w:vAlign w:val="center"/>
          </w:tcPr>
          <w:p w14:paraId="19375D10" w14:textId="77777777" w:rsidR="00B75ACA" w:rsidRPr="00EA0A36" w:rsidRDefault="00B75ACA" w:rsidP="003C1333">
            <w:pPr>
              <w:pStyle w:val="TableColHeadingCenter"/>
              <w:spacing w:before="0" w:after="0"/>
            </w:pPr>
            <w:r w:rsidRPr="00EA0A36">
              <w:t>2023</w:t>
            </w:r>
          </w:p>
        </w:tc>
        <w:tc>
          <w:tcPr>
            <w:tcW w:w="458" w:type="pct"/>
            <w:tcMar>
              <w:left w:w="14" w:type="dxa"/>
              <w:right w:w="14" w:type="dxa"/>
            </w:tcMar>
            <w:vAlign w:val="center"/>
          </w:tcPr>
          <w:p w14:paraId="7BF9E85B" w14:textId="77777777" w:rsidR="00B75ACA" w:rsidRPr="00EA0A36" w:rsidRDefault="00B75ACA" w:rsidP="003C1333">
            <w:pPr>
              <w:pStyle w:val="TableColHeadingCenter"/>
              <w:spacing w:before="0" w:after="0"/>
            </w:pPr>
            <w:r w:rsidRPr="00EA0A36">
              <w:t>State (2023)</w:t>
            </w:r>
          </w:p>
        </w:tc>
      </w:tr>
      <w:tr w:rsidR="00B75ACA" w:rsidRPr="003979D4" w14:paraId="2F8B89B9"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4955C31"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3</w:t>
            </w:r>
          </w:p>
        </w:tc>
        <w:tc>
          <w:tcPr>
            <w:tcW w:w="458" w:type="pct"/>
            <w:vAlign w:val="center"/>
          </w:tcPr>
          <w:p w14:paraId="00FEB758"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300</w:t>
            </w:r>
          </w:p>
        </w:tc>
        <w:tc>
          <w:tcPr>
            <w:tcW w:w="458" w:type="pct"/>
            <w:vAlign w:val="center"/>
          </w:tcPr>
          <w:p w14:paraId="46CC61E4"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65</w:t>
            </w:r>
          </w:p>
        </w:tc>
        <w:tc>
          <w:tcPr>
            <w:tcW w:w="458" w:type="pct"/>
            <w:vAlign w:val="center"/>
          </w:tcPr>
          <w:p w14:paraId="29D44724"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69</w:t>
            </w:r>
          </w:p>
        </w:tc>
        <w:tc>
          <w:tcPr>
            <w:tcW w:w="459" w:type="pct"/>
            <w:vAlign w:val="center"/>
          </w:tcPr>
          <w:p w14:paraId="4FB9F0D1"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41</w:t>
            </w:r>
          </w:p>
        </w:tc>
        <w:tc>
          <w:tcPr>
            <w:tcW w:w="458" w:type="pct"/>
            <w:vAlign w:val="center"/>
          </w:tcPr>
          <w:p w14:paraId="2B58595E"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31</w:t>
            </w:r>
          </w:p>
        </w:tc>
        <w:tc>
          <w:tcPr>
            <w:tcW w:w="458" w:type="pct"/>
            <w:vAlign w:val="center"/>
          </w:tcPr>
          <w:p w14:paraId="77694403"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28</w:t>
            </w:r>
          </w:p>
        </w:tc>
        <w:tc>
          <w:tcPr>
            <w:tcW w:w="458" w:type="pct"/>
            <w:vAlign w:val="center"/>
          </w:tcPr>
          <w:p w14:paraId="1C631144"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39</w:t>
            </w:r>
          </w:p>
        </w:tc>
        <w:tc>
          <w:tcPr>
            <w:tcW w:w="458" w:type="pct"/>
            <w:vAlign w:val="center"/>
          </w:tcPr>
          <w:p w14:paraId="1F9A2004"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4</w:t>
            </w:r>
          </w:p>
        </w:tc>
        <w:tc>
          <w:tcPr>
            <w:tcW w:w="458" w:type="pct"/>
            <w:vAlign w:val="center"/>
          </w:tcPr>
          <w:p w14:paraId="76CB09C6"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w:t>
            </w:r>
          </w:p>
        </w:tc>
        <w:tc>
          <w:tcPr>
            <w:tcW w:w="458" w:type="pct"/>
            <w:vAlign w:val="bottom"/>
          </w:tcPr>
          <w:p w14:paraId="6642E657"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20</w:t>
            </w:r>
          </w:p>
        </w:tc>
      </w:tr>
      <w:tr w:rsidR="00B75ACA" w:rsidRPr="003979D4" w14:paraId="13FAF04D" w14:textId="77777777">
        <w:tc>
          <w:tcPr>
            <w:tcW w:w="418" w:type="pct"/>
          </w:tcPr>
          <w:p w14:paraId="172F4A30"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4</w:t>
            </w:r>
          </w:p>
        </w:tc>
        <w:tc>
          <w:tcPr>
            <w:tcW w:w="458" w:type="pct"/>
            <w:vAlign w:val="center"/>
          </w:tcPr>
          <w:p w14:paraId="0C3DCDF6"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287</w:t>
            </w:r>
          </w:p>
        </w:tc>
        <w:tc>
          <w:tcPr>
            <w:tcW w:w="458" w:type="pct"/>
            <w:vAlign w:val="center"/>
          </w:tcPr>
          <w:p w14:paraId="3A130486"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76</w:t>
            </w:r>
          </w:p>
        </w:tc>
        <w:tc>
          <w:tcPr>
            <w:tcW w:w="458" w:type="pct"/>
            <w:vAlign w:val="center"/>
          </w:tcPr>
          <w:p w14:paraId="06A15E54"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78</w:t>
            </w:r>
          </w:p>
        </w:tc>
        <w:tc>
          <w:tcPr>
            <w:tcW w:w="459" w:type="pct"/>
            <w:vAlign w:val="center"/>
          </w:tcPr>
          <w:p w14:paraId="77AC613A"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45</w:t>
            </w:r>
          </w:p>
        </w:tc>
        <w:tc>
          <w:tcPr>
            <w:tcW w:w="458" w:type="pct"/>
            <w:vAlign w:val="center"/>
          </w:tcPr>
          <w:p w14:paraId="2B1AEE6D"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22</w:t>
            </w:r>
          </w:p>
        </w:tc>
        <w:tc>
          <w:tcPr>
            <w:tcW w:w="458" w:type="pct"/>
            <w:vAlign w:val="center"/>
          </w:tcPr>
          <w:p w14:paraId="433984EB"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20</w:t>
            </w:r>
          </w:p>
        </w:tc>
        <w:tc>
          <w:tcPr>
            <w:tcW w:w="458" w:type="pct"/>
            <w:vAlign w:val="center"/>
          </w:tcPr>
          <w:p w14:paraId="10AD037D"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37</w:t>
            </w:r>
          </w:p>
        </w:tc>
        <w:tc>
          <w:tcPr>
            <w:tcW w:w="458" w:type="pct"/>
            <w:vAlign w:val="center"/>
          </w:tcPr>
          <w:p w14:paraId="586B9D43"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1</w:t>
            </w:r>
          </w:p>
        </w:tc>
        <w:tc>
          <w:tcPr>
            <w:tcW w:w="458" w:type="pct"/>
            <w:vAlign w:val="center"/>
          </w:tcPr>
          <w:p w14:paraId="337CFECA"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w:t>
            </w:r>
          </w:p>
        </w:tc>
        <w:tc>
          <w:tcPr>
            <w:tcW w:w="458" w:type="pct"/>
            <w:vAlign w:val="bottom"/>
          </w:tcPr>
          <w:p w14:paraId="5D4750FD"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18</w:t>
            </w:r>
          </w:p>
        </w:tc>
      </w:tr>
      <w:tr w:rsidR="00B75ACA" w:rsidRPr="003979D4" w14:paraId="59A43E97"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CE16D27"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5</w:t>
            </w:r>
          </w:p>
        </w:tc>
        <w:tc>
          <w:tcPr>
            <w:tcW w:w="458" w:type="pct"/>
            <w:vAlign w:val="center"/>
          </w:tcPr>
          <w:p w14:paraId="0F2526F8"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288</w:t>
            </w:r>
          </w:p>
        </w:tc>
        <w:tc>
          <w:tcPr>
            <w:tcW w:w="458" w:type="pct"/>
            <w:vAlign w:val="center"/>
          </w:tcPr>
          <w:p w14:paraId="1F54BB9B"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71</w:t>
            </w:r>
          </w:p>
        </w:tc>
        <w:tc>
          <w:tcPr>
            <w:tcW w:w="458" w:type="pct"/>
            <w:vAlign w:val="center"/>
          </w:tcPr>
          <w:p w14:paraId="10ADF60A"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79</w:t>
            </w:r>
          </w:p>
        </w:tc>
        <w:tc>
          <w:tcPr>
            <w:tcW w:w="459" w:type="pct"/>
            <w:vAlign w:val="center"/>
          </w:tcPr>
          <w:p w14:paraId="7CC4911B"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41</w:t>
            </w:r>
          </w:p>
        </w:tc>
        <w:tc>
          <w:tcPr>
            <w:tcW w:w="458" w:type="pct"/>
            <w:vAlign w:val="center"/>
          </w:tcPr>
          <w:p w14:paraId="1BFFB0D9"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26</w:t>
            </w:r>
          </w:p>
        </w:tc>
        <w:tc>
          <w:tcPr>
            <w:tcW w:w="458" w:type="pct"/>
            <w:vAlign w:val="center"/>
          </w:tcPr>
          <w:p w14:paraId="3B302802"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20</w:t>
            </w:r>
          </w:p>
        </w:tc>
        <w:tc>
          <w:tcPr>
            <w:tcW w:w="458" w:type="pct"/>
            <w:vAlign w:val="center"/>
          </w:tcPr>
          <w:p w14:paraId="417BB0E3"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46</w:t>
            </w:r>
          </w:p>
        </w:tc>
        <w:tc>
          <w:tcPr>
            <w:tcW w:w="458" w:type="pct"/>
            <w:vAlign w:val="center"/>
          </w:tcPr>
          <w:p w14:paraId="413DDE57"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w:t>
            </w:r>
          </w:p>
        </w:tc>
        <w:tc>
          <w:tcPr>
            <w:tcW w:w="458" w:type="pct"/>
            <w:vAlign w:val="center"/>
          </w:tcPr>
          <w:p w14:paraId="7D877C54"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1</w:t>
            </w:r>
          </w:p>
        </w:tc>
        <w:tc>
          <w:tcPr>
            <w:tcW w:w="458" w:type="pct"/>
            <w:vAlign w:val="bottom"/>
          </w:tcPr>
          <w:p w14:paraId="51B9A2B8"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13</w:t>
            </w:r>
          </w:p>
        </w:tc>
      </w:tr>
      <w:tr w:rsidR="00B75ACA" w:rsidRPr="003979D4" w14:paraId="39B3986B" w14:textId="77777777">
        <w:tc>
          <w:tcPr>
            <w:tcW w:w="418" w:type="pct"/>
          </w:tcPr>
          <w:p w14:paraId="0D020737"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6</w:t>
            </w:r>
          </w:p>
        </w:tc>
        <w:tc>
          <w:tcPr>
            <w:tcW w:w="458" w:type="pct"/>
            <w:vAlign w:val="center"/>
          </w:tcPr>
          <w:p w14:paraId="21DB9316"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291</w:t>
            </w:r>
          </w:p>
        </w:tc>
        <w:tc>
          <w:tcPr>
            <w:tcW w:w="458" w:type="pct"/>
            <w:vAlign w:val="center"/>
          </w:tcPr>
          <w:p w14:paraId="7FA67F1E"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75</w:t>
            </w:r>
          </w:p>
        </w:tc>
        <w:tc>
          <w:tcPr>
            <w:tcW w:w="458" w:type="pct"/>
            <w:vAlign w:val="center"/>
          </w:tcPr>
          <w:p w14:paraId="316790B8"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70</w:t>
            </w:r>
          </w:p>
        </w:tc>
        <w:tc>
          <w:tcPr>
            <w:tcW w:w="459" w:type="pct"/>
            <w:vAlign w:val="center"/>
          </w:tcPr>
          <w:p w14:paraId="6D27AF31"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41</w:t>
            </w:r>
          </w:p>
        </w:tc>
        <w:tc>
          <w:tcPr>
            <w:tcW w:w="458" w:type="pct"/>
            <w:vAlign w:val="center"/>
          </w:tcPr>
          <w:p w14:paraId="2678EE87"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22</w:t>
            </w:r>
          </w:p>
        </w:tc>
        <w:tc>
          <w:tcPr>
            <w:tcW w:w="458" w:type="pct"/>
            <w:vAlign w:val="center"/>
          </w:tcPr>
          <w:p w14:paraId="0863711C"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27</w:t>
            </w:r>
          </w:p>
        </w:tc>
        <w:tc>
          <w:tcPr>
            <w:tcW w:w="458" w:type="pct"/>
            <w:vAlign w:val="center"/>
          </w:tcPr>
          <w:p w14:paraId="69F6FE42"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42</w:t>
            </w:r>
          </w:p>
        </w:tc>
        <w:tc>
          <w:tcPr>
            <w:tcW w:w="458" w:type="pct"/>
            <w:vAlign w:val="center"/>
          </w:tcPr>
          <w:p w14:paraId="438527EE"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w:t>
            </w:r>
          </w:p>
        </w:tc>
        <w:tc>
          <w:tcPr>
            <w:tcW w:w="458" w:type="pct"/>
            <w:vAlign w:val="center"/>
          </w:tcPr>
          <w:p w14:paraId="6659BC43"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w:t>
            </w:r>
          </w:p>
        </w:tc>
        <w:tc>
          <w:tcPr>
            <w:tcW w:w="458" w:type="pct"/>
            <w:vAlign w:val="center"/>
          </w:tcPr>
          <w:p w14:paraId="1B983846"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17</w:t>
            </w:r>
          </w:p>
        </w:tc>
      </w:tr>
      <w:tr w:rsidR="00B75ACA" w:rsidRPr="003979D4" w14:paraId="4E8D9408"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39EB032F"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7</w:t>
            </w:r>
          </w:p>
        </w:tc>
        <w:tc>
          <w:tcPr>
            <w:tcW w:w="458" w:type="pct"/>
            <w:vAlign w:val="center"/>
          </w:tcPr>
          <w:p w14:paraId="07E5F267"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287</w:t>
            </w:r>
          </w:p>
        </w:tc>
        <w:tc>
          <w:tcPr>
            <w:tcW w:w="458" w:type="pct"/>
            <w:vAlign w:val="center"/>
          </w:tcPr>
          <w:p w14:paraId="1B91021B"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62</w:t>
            </w:r>
          </w:p>
        </w:tc>
        <w:tc>
          <w:tcPr>
            <w:tcW w:w="458" w:type="pct"/>
            <w:vAlign w:val="center"/>
          </w:tcPr>
          <w:p w14:paraId="250A917D"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68</w:t>
            </w:r>
          </w:p>
        </w:tc>
        <w:tc>
          <w:tcPr>
            <w:tcW w:w="459" w:type="pct"/>
            <w:vAlign w:val="center"/>
          </w:tcPr>
          <w:p w14:paraId="217C2D6C"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38</w:t>
            </w:r>
          </w:p>
        </w:tc>
        <w:tc>
          <w:tcPr>
            <w:tcW w:w="458" w:type="pct"/>
            <w:vAlign w:val="center"/>
          </w:tcPr>
          <w:p w14:paraId="33E746E0"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35</w:t>
            </w:r>
          </w:p>
        </w:tc>
        <w:tc>
          <w:tcPr>
            <w:tcW w:w="458" w:type="pct"/>
            <w:vAlign w:val="center"/>
          </w:tcPr>
          <w:p w14:paraId="4A96D385"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28</w:t>
            </w:r>
          </w:p>
        </w:tc>
        <w:tc>
          <w:tcPr>
            <w:tcW w:w="458" w:type="pct"/>
            <w:vAlign w:val="center"/>
          </w:tcPr>
          <w:p w14:paraId="173D6E7C"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40</w:t>
            </w:r>
          </w:p>
        </w:tc>
        <w:tc>
          <w:tcPr>
            <w:tcW w:w="458" w:type="pct"/>
            <w:vAlign w:val="center"/>
          </w:tcPr>
          <w:p w14:paraId="2AC4445E"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w:t>
            </w:r>
          </w:p>
        </w:tc>
        <w:tc>
          <w:tcPr>
            <w:tcW w:w="458" w:type="pct"/>
            <w:vAlign w:val="center"/>
          </w:tcPr>
          <w:p w14:paraId="467FA244"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5</w:t>
            </w:r>
          </w:p>
        </w:tc>
        <w:tc>
          <w:tcPr>
            <w:tcW w:w="458" w:type="pct"/>
            <w:vAlign w:val="bottom"/>
          </w:tcPr>
          <w:p w14:paraId="2980D58F"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22</w:t>
            </w:r>
          </w:p>
        </w:tc>
      </w:tr>
      <w:tr w:rsidR="00B75ACA" w:rsidRPr="003979D4" w14:paraId="1EF485C1" w14:textId="77777777">
        <w:tc>
          <w:tcPr>
            <w:tcW w:w="418" w:type="pct"/>
          </w:tcPr>
          <w:p w14:paraId="2874E2E1"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8</w:t>
            </w:r>
          </w:p>
        </w:tc>
        <w:tc>
          <w:tcPr>
            <w:tcW w:w="458" w:type="pct"/>
            <w:vAlign w:val="center"/>
          </w:tcPr>
          <w:p w14:paraId="2730A1C3"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259</w:t>
            </w:r>
          </w:p>
        </w:tc>
        <w:tc>
          <w:tcPr>
            <w:tcW w:w="458" w:type="pct"/>
            <w:vAlign w:val="center"/>
          </w:tcPr>
          <w:p w14:paraId="0FBA8F62"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52</w:t>
            </w:r>
          </w:p>
        </w:tc>
        <w:tc>
          <w:tcPr>
            <w:tcW w:w="458" w:type="pct"/>
            <w:vAlign w:val="center"/>
          </w:tcPr>
          <w:p w14:paraId="031B5867"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63</w:t>
            </w:r>
          </w:p>
        </w:tc>
        <w:tc>
          <w:tcPr>
            <w:tcW w:w="459" w:type="pct"/>
            <w:vAlign w:val="center"/>
          </w:tcPr>
          <w:p w14:paraId="4B1B2AEE"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38</w:t>
            </w:r>
          </w:p>
        </w:tc>
        <w:tc>
          <w:tcPr>
            <w:tcW w:w="458" w:type="pct"/>
            <w:vAlign w:val="center"/>
          </w:tcPr>
          <w:p w14:paraId="6C4AB930"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42</w:t>
            </w:r>
          </w:p>
        </w:tc>
        <w:tc>
          <w:tcPr>
            <w:tcW w:w="458" w:type="pct"/>
            <w:vAlign w:val="center"/>
          </w:tcPr>
          <w:p w14:paraId="09AF5748"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33</w:t>
            </w:r>
          </w:p>
        </w:tc>
        <w:tc>
          <w:tcPr>
            <w:tcW w:w="458" w:type="pct"/>
            <w:vAlign w:val="center"/>
          </w:tcPr>
          <w:p w14:paraId="26B42DEA"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42</w:t>
            </w:r>
          </w:p>
        </w:tc>
        <w:tc>
          <w:tcPr>
            <w:tcW w:w="458" w:type="pct"/>
            <w:vAlign w:val="center"/>
          </w:tcPr>
          <w:p w14:paraId="69522BCB"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6</w:t>
            </w:r>
          </w:p>
        </w:tc>
        <w:tc>
          <w:tcPr>
            <w:tcW w:w="458" w:type="pct"/>
            <w:vAlign w:val="center"/>
          </w:tcPr>
          <w:p w14:paraId="1066F705"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4</w:t>
            </w:r>
          </w:p>
        </w:tc>
        <w:tc>
          <w:tcPr>
            <w:tcW w:w="458" w:type="pct"/>
            <w:vAlign w:val="bottom"/>
          </w:tcPr>
          <w:p w14:paraId="591F4059"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20</w:t>
            </w:r>
          </w:p>
        </w:tc>
      </w:tr>
      <w:tr w:rsidR="00B75ACA" w:rsidRPr="003979D4" w14:paraId="10C1D1AB"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5BBF46A" w14:textId="77777777" w:rsidR="00B75ACA" w:rsidRPr="006F5135" w:rsidRDefault="00B75ACA" w:rsidP="003C1333">
            <w:pPr>
              <w:pStyle w:val="TableText"/>
              <w:spacing w:before="0" w:after="0"/>
              <w:jc w:val="center"/>
              <w:rPr>
                <w:rFonts w:ascii="Franklin Gothic Book" w:hAnsi="Franklin Gothic Book"/>
                <w:spacing w:val="-4"/>
              </w:rPr>
            </w:pPr>
            <w:r w:rsidRPr="006F5135">
              <w:rPr>
                <w:rFonts w:ascii="Franklin Gothic Book" w:hAnsi="Franklin Gothic Book"/>
                <w:spacing w:val="-4"/>
              </w:rPr>
              <w:t>3-8</w:t>
            </w:r>
          </w:p>
        </w:tc>
        <w:tc>
          <w:tcPr>
            <w:tcW w:w="458" w:type="pct"/>
            <w:vAlign w:val="center"/>
          </w:tcPr>
          <w:p w14:paraId="369C3BEF"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1,712</w:t>
            </w:r>
          </w:p>
        </w:tc>
        <w:tc>
          <w:tcPr>
            <w:tcW w:w="458" w:type="pct"/>
            <w:vAlign w:val="center"/>
          </w:tcPr>
          <w:p w14:paraId="22B406DC"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67</w:t>
            </w:r>
          </w:p>
        </w:tc>
        <w:tc>
          <w:tcPr>
            <w:tcW w:w="458" w:type="pct"/>
            <w:vAlign w:val="center"/>
          </w:tcPr>
          <w:p w14:paraId="6F77E0E3"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71</w:t>
            </w:r>
          </w:p>
        </w:tc>
        <w:tc>
          <w:tcPr>
            <w:tcW w:w="459" w:type="pct"/>
            <w:vAlign w:val="center"/>
          </w:tcPr>
          <w:p w14:paraId="64FB62CB"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41</w:t>
            </w:r>
          </w:p>
        </w:tc>
        <w:tc>
          <w:tcPr>
            <w:tcW w:w="458" w:type="pct"/>
            <w:vAlign w:val="center"/>
          </w:tcPr>
          <w:p w14:paraId="1B09E92E"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29</w:t>
            </w:r>
          </w:p>
        </w:tc>
        <w:tc>
          <w:tcPr>
            <w:tcW w:w="458" w:type="pct"/>
            <w:vAlign w:val="center"/>
          </w:tcPr>
          <w:p w14:paraId="66433E9C"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26</w:t>
            </w:r>
          </w:p>
        </w:tc>
        <w:tc>
          <w:tcPr>
            <w:tcW w:w="458" w:type="pct"/>
            <w:vAlign w:val="center"/>
          </w:tcPr>
          <w:p w14:paraId="3CC5C9A7"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41</w:t>
            </w:r>
          </w:p>
        </w:tc>
        <w:tc>
          <w:tcPr>
            <w:tcW w:w="458" w:type="pct"/>
            <w:vAlign w:val="center"/>
          </w:tcPr>
          <w:p w14:paraId="0AD5E37D"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w:t>
            </w:r>
          </w:p>
        </w:tc>
        <w:tc>
          <w:tcPr>
            <w:tcW w:w="458" w:type="pct"/>
            <w:vAlign w:val="center"/>
          </w:tcPr>
          <w:p w14:paraId="4A84E164"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3</w:t>
            </w:r>
          </w:p>
        </w:tc>
        <w:tc>
          <w:tcPr>
            <w:tcW w:w="458" w:type="pct"/>
            <w:vAlign w:val="bottom"/>
          </w:tcPr>
          <w:p w14:paraId="66C78EE5"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18</w:t>
            </w:r>
          </w:p>
        </w:tc>
      </w:tr>
      <w:tr w:rsidR="00B75ACA" w:rsidRPr="003979D4" w14:paraId="09412653" w14:textId="77777777">
        <w:tc>
          <w:tcPr>
            <w:tcW w:w="418" w:type="pct"/>
          </w:tcPr>
          <w:p w14:paraId="769544DD" w14:textId="77777777" w:rsidR="00B75ACA" w:rsidRPr="006F5135" w:rsidRDefault="00B75ACA" w:rsidP="003C1333">
            <w:pPr>
              <w:pStyle w:val="TableText"/>
              <w:spacing w:before="0" w:after="0"/>
              <w:jc w:val="center"/>
              <w:rPr>
                <w:rFonts w:ascii="Franklin Gothic Book" w:hAnsi="Franklin Gothic Book"/>
              </w:rPr>
            </w:pPr>
            <w:r w:rsidRPr="006F5135">
              <w:rPr>
                <w:rFonts w:ascii="Franklin Gothic Book" w:hAnsi="Franklin Gothic Book"/>
              </w:rPr>
              <w:t>10</w:t>
            </w:r>
          </w:p>
        </w:tc>
        <w:tc>
          <w:tcPr>
            <w:tcW w:w="458" w:type="pct"/>
            <w:vAlign w:val="center"/>
          </w:tcPr>
          <w:p w14:paraId="577FD7E2"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268</w:t>
            </w:r>
          </w:p>
        </w:tc>
        <w:tc>
          <w:tcPr>
            <w:tcW w:w="458" w:type="pct"/>
            <w:vAlign w:val="center"/>
          </w:tcPr>
          <w:p w14:paraId="5E89CDD8"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81</w:t>
            </w:r>
          </w:p>
        </w:tc>
        <w:tc>
          <w:tcPr>
            <w:tcW w:w="458" w:type="pct"/>
            <w:vAlign w:val="center"/>
          </w:tcPr>
          <w:p w14:paraId="67AAC204"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82</w:t>
            </w:r>
          </w:p>
        </w:tc>
        <w:tc>
          <w:tcPr>
            <w:tcW w:w="459" w:type="pct"/>
            <w:vAlign w:val="center"/>
          </w:tcPr>
          <w:p w14:paraId="1CE1F889"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50</w:t>
            </w:r>
          </w:p>
        </w:tc>
        <w:tc>
          <w:tcPr>
            <w:tcW w:w="458" w:type="pct"/>
            <w:vAlign w:val="center"/>
          </w:tcPr>
          <w:p w14:paraId="24085485"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17</w:t>
            </w:r>
          </w:p>
        </w:tc>
        <w:tc>
          <w:tcPr>
            <w:tcW w:w="458" w:type="pct"/>
            <w:vAlign w:val="center"/>
          </w:tcPr>
          <w:p w14:paraId="6E9F475C"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17</w:t>
            </w:r>
          </w:p>
        </w:tc>
        <w:tc>
          <w:tcPr>
            <w:tcW w:w="458" w:type="pct"/>
            <w:vAlign w:val="center"/>
          </w:tcPr>
          <w:p w14:paraId="6F81747A"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42</w:t>
            </w:r>
          </w:p>
        </w:tc>
        <w:tc>
          <w:tcPr>
            <w:tcW w:w="458" w:type="pct"/>
            <w:vAlign w:val="center"/>
          </w:tcPr>
          <w:p w14:paraId="545E676D"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2</w:t>
            </w:r>
          </w:p>
        </w:tc>
        <w:tc>
          <w:tcPr>
            <w:tcW w:w="458" w:type="pct"/>
            <w:vAlign w:val="center"/>
          </w:tcPr>
          <w:p w14:paraId="44B2AB38"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cs="Calibri"/>
              </w:rPr>
              <w:t>1</w:t>
            </w:r>
          </w:p>
        </w:tc>
        <w:tc>
          <w:tcPr>
            <w:tcW w:w="458" w:type="pct"/>
            <w:vAlign w:val="bottom"/>
          </w:tcPr>
          <w:p w14:paraId="155F6F65" w14:textId="77777777" w:rsidR="00B75ACA" w:rsidRPr="0088340A" w:rsidRDefault="00B75ACA" w:rsidP="003C1333">
            <w:pPr>
              <w:pStyle w:val="TableTextCentered"/>
              <w:spacing w:before="0" w:after="0"/>
              <w:rPr>
                <w:rFonts w:ascii="Franklin Gothic Book" w:hAnsi="Franklin Gothic Book"/>
              </w:rPr>
            </w:pPr>
            <w:r w:rsidRPr="0088340A">
              <w:rPr>
                <w:rFonts w:ascii="Franklin Gothic Book" w:hAnsi="Franklin Gothic Book"/>
              </w:rPr>
              <w:t>9</w:t>
            </w:r>
          </w:p>
        </w:tc>
      </w:tr>
    </w:tbl>
    <w:p w14:paraId="6503E6CA" w14:textId="77777777" w:rsidR="00B75ACA" w:rsidRPr="003C1C59" w:rsidRDefault="00B75ACA" w:rsidP="003C1333">
      <w:pPr>
        <w:pStyle w:val="TableTitle0"/>
        <w:spacing w:before="120"/>
      </w:pPr>
      <w:bookmarkStart w:id="200" w:name="_Toc158035176"/>
      <w:bookmarkEnd w:id="196"/>
      <w:bookmarkEnd w:id="198"/>
      <w:r w:rsidRPr="00A2069A">
        <w:t>Table E</w:t>
      </w:r>
      <w:r>
        <w:t>9</w:t>
      </w:r>
      <w:r w:rsidRPr="00A2069A">
        <w:t xml:space="preserve">. Next-Generation MCAS </w:t>
      </w:r>
      <w:r>
        <w:t>Science</w:t>
      </w:r>
      <w:r w:rsidRPr="00A2069A">
        <w:t xml:space="preserve"> </w:t>
      </w:r>
      <w:r>
        <w:t>Achievement</w:t>
      </w:r>
      <w:r w:rsidRPr="00A2069A">
        <w:t xml:space="preserve"> by Grade, 202</w:t>
      </w:r>
      <w:r>
        <w:t>2</w:t>
      </w:r>
      <w:r w:rsidRPr="00A2069A">
        <w:t>-2023</w:t>
      </w:r>
      <w:bookmarkEnd w:id="200"/>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75ACA" w:rsidRPr="003979D4" w14:paraId="21EDB406"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61B9B9BC" w14:textId="77777777" w:rsidR="00B75ACA" w:rsidRPr="00EA0A36" w:rsidRDefault="00B75ACA" w:rsidP="003C1333">
            <w:pPr>
              <w:pStyle w:val="TableColHeadingLeft"/>
              <w:spacing w:before="0" w:after="0"/>
              <w:jc w:val="center"/>
            </w:pPr>
            <w:r w:rsidRPr="00EA0A36">
              <w:t>G</w:t>
            </w:r>
            <w:r>
              <w:t>rade</w:t>
            </w:r>
          </w:p>
        </w:tc>
        <w:tc>
          <w:tcPr>
            <w:tcW w:w="458" w:type="pct"/>
            <w:vMerge w:val="restart"/>
            <w:vAlign w:val="center"/>
          </w:tcPr>
          <w:p w14:paraId="2D173FC8" w14:textId="16C48C8D" w:rsidR="00B75ACA" w:rsidRPr="00EA0A36" w:rsidRDefault="00B75ACA" w:rsidP="003C1333">
            <w:pPr>
              <w:pStyle w:val="TableColHeadingCenter"/>
              <w:spacing w:before="0" w:after="0"/>
            </w:pPr>
            <w:r>
              <w:t xml:space="preserve"># </w:t>
            </w:r>
            <w:r w:rsidR="00C6447D">
              <w:t>i</w:t>
            </w:r>
            <w:r>
              <w:t>ncluded (2023)</w:t>
            </w:r>
          </w:p>
        </w:tc>
        <w:tc>
          <w:tcPr>
            <w:tcW w:w="1375" w:type="pct"/>
            <w:gridSpan w:val="3"/>
            <w:vAlign w:val="bottom"/>
          </w:tcPr>
          <w:p w14:paraId="6FF6B75E" w14:textId="74AE5D4D" w:rsidR="00B75ACA" w:rsidRPr="00EA0A36" w:rsidRDefault="00B75ACA" w:rsidP="003C1333">
            <w:pPr>
              <w:pStyle w:val="TableColHeadingCenter"/>
              <w:spacing w:before="0" w:after="0"/>
            </w:pPr>
            <w:r>
              <w:t>Percent</w:t>
            </w:r>
            <w:r w:rsidR="00C6447D">
              <w:t>age</w:t>
            </w:r>
            <w:r>
              <w:t xml:space="preserve"> meeting or exceeding expectations</w:t>
            </w:r>
          </w:p>
        </w:tc>
        <w:tc>
          <w:tcPr>
            <w:tcW w:w="1374" w:type="pct"/>
            <w:gridSpan w:val="3"/>
            <w:vAlign w:val="center"/>
          </w:tcPr>
          <w:p w14:paraId="66E57793" w14:textId="1EBF2C0E" w:rsidR="00B75ACA" w:rsidRPr="00EA0A36" w:rsidRDefault="00B75ACA" w:rsidP="003C1333">
            <w:pPr>
              <w:pStyle w:val="TableColHeadingCenter"/>
              <w:spacing w:before="0" w:after="0"/>
            </w:pPr>
            <w:r>
              <w:t>Percent</w:t>
            </w:r>
            <w:r w:rsidR="00C6447D">
              <w:t>age</w:t>
            </w:r>
            <w:r>
              <w:t xml:space="preserve"> partially meeting expectations</w:t>
            </w:r>
          </w:p>
        </w:tc>
        <w:tc>
          <w:tcPr>
            <w:tcW w:w="1374" w:type="pct"/>
            <w:gridSpan w:val="3"/>
            <w:vAlign w:val="center"/>
          </w:tcPr>
          <w:p w14:paraId="0C2927EF" w14:textId="148B1005" w:rsidR="00B75ACA" w:rsidRPr="00EA0A36" w:rsidRDefault="00B75ACA" w:rsidP="003C1333">
            <w:pPr>
              <w:pStyle w:val="TableColHeadingCenter"/>
              <w:spacing w:before="0" w:after="0"/>
            </w:pPr>
            <w:r>
              <w:t>Percent</w:t>
            </w:r>
            <w:r w:rsidR="00C6447D">
              <w:t>age</w:t>
            </w:r>
            <w:r>
              <w:t xml:space="preserve"> not meeting expectations</w:t>
            </w:r>
          </w:p>
        </w:tc>
      </w:tr>
      <w:tr w:rsidR="00B75ACA" w:rsidRPr="003979D4" w14:paraId="7A9D1079" w14:textId="77777777" w:rsidTr="003C1333">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3720067F" w14:textId="77777777" w:rsidR="00B75ACA" w:rsidRPr="00EA0A36" w:rsidRDefault="00B75ACA" w:rsidP="003C1333">
            <w:pPr>
              <w:pStyle w:val="TableColHeadingCenter"/>
              <w:spacing w:before="0" w:after="0"/>
            </w:pPr>
          </w:p>
        </w:tc>
        <w:tc>
          <w:tcPr>
            <w:tcW w:w="458" w:type="pct"/>
            <w:vMerge/>
            <w:vAlign w:val="bottom"/>
          </w:tcPr>
          <w:p w14:paraId="62A61871" w14:textId="77777777" w:rsidR="00B75ACA" w:rsidRPr="00EA0A36" w:rsidRDefault="00B75ACA" w:rsidP="003C1333">
            <w:pPr>
              <w:pStyle w:val="TableColHeadingCenter"/>
              <w:spacing w:before="0" w:after="0"/>
            </w:pPr>
          </w:p>
        </w:tc>
        <w:tc>
          <w:tcPr>
            <w:tcW w:w="458" w:type="pct"/>
            <w:tcMar>
              <w:left w:w="14" w:type="dxa"/>
              <w:right w:w="14" w:type="dxa"/>
            </w:tcMar>
            <w:vAlign w:val="center"/>
          </w:tcPr>
          <w:p w14:paraId="19048CE2" w14:textId="77777777" w:rsidR="00B75ACA" w:rsidRPr="00EA0A36" w:rsidRDefault="00B75ACA" w:rsidP="003C1333">
            <w:pPr>
              <w:pStyle w:val="TableColHeadingCenter"/>
              <w:spacing w:before="0" w:after="0"/>
            </w:pPr>
            <w:r w:rsidRPr="00EA0A36">
              <w:t>2022</w:t>
            </w:r>
          </w:p>
        </w:tc>
        <w:tc>
          <w:tcPr>
            <w:tcW w:w="458" w:type="pct"/>
            <w:tcMar>
              <w:left w:w="14" w:type="dxa"/>
              <w:right w:w="14" w:type="dxa"/>
            </w:tcMar>
            <w:vAlign w:val="center"/>
          </w:tcPr>
          <w:p w14:paraId="5E9D67CE" w14:textId="77777777" w:rsidR="00B75ACA" w:rsidRPr="00EA0A36" w:rsidRDefault="00B75ACA" w:rsidP="003C1333">
            <w:pPr>
              <w:pStyle w:val="TableColHeadingCenter"/>
              <w:spacing w:before="0" w:after="0"/>
            </w:pPr>
            <w:r w:rsidRPr="00EA0A36">
              <w:t>2023</w:t>
            </w:r>
          </w:p>
        </w:tc>
        <w:tc>
          <w:tcPr>
            <w:tcW w:w="459" w:type="pct"/>
            <w:tcMar>
              <w:left w:w="14" w:type="dxa"/>
              <w:right w:w="14" w:type="dxa"/>
            </w:tcMar>
            <w:vAlign w:val="center"/>
          </w:tcPr>
          <w:p w14:paraId="57A44265" w14:textId="77777777" w:rsidR="00B75ACA" w:rsidRPr="00EA0A36" w:rsidRDefault="00B75ACA" w:rsidP="003C1333">
            <w:pPr>
              <w:pStyle w:val="TableColHeadingCenter"/>
              <w:spacing w:before="0" w:after="0"/>
            </w:pPr>
            <w:r w:rsidRPr="00EA0A36">
              <w:t>State (2023)</w:t>
            </w:r>
          </w:p>
        </w:tc>
        <w:tc>
          <w:tcPr>
            <w:tcW w:w="458" w:type="pct"/>
            <w:tcMar>
              <w:left w:w="14" w:type="dxa"/>
              <w:right w:w="14" w:type="dxa"/>
            </w:tcMar>
            <w:vAlign w:val="center"/>
          </w:tcPr>
          <w:p w14:paraId="5394007F" w14:textId="77777777" w:rsidR="00B75ACA" w:rsidRPr="00EA0A36" w:rsidRDefault="00B75ACA" w:rsidP="003C1333">
            <w:pPr>
              <w:pStyle w:val="TableColHeadingCenter"/>
              <w:spacing w:before="0" w:after="0"/>
            </w:pPr>
            <w:r w:rsidRPr="00EA0A36">
              <w:t>2022</w:t>
            </w:r>
          </w:p>
        </w:tc>
        <w:tc>
          <w:tcPr>
            <w:tcW w:w="458" w:type="pct"/>
            <w:tcMar>
              <w:left w:w="14" w:type="dxa"/>
              <w:right w:w="14" w:type="dxa"/>
            </w:tcMar>
            <w:vAlign w:val="center"/>
          </w:tcPr>
          <w:p w14:paraId="6FE3DFE0" w14:textId="77777777" w:rsidR="00B75ACA" w:rsidRPr="00EA0A36" w:rsidRDefault="00B75ACA" w:rsidP="003C1333">
            <w:pPr>
              <w:pStyle w:val="TableColHeadingCenter"/>
              <w:spacing w:before="0" w:after="0"/>
            </w:pPr>
            <w:r w:rsidRPr="00EA0A36">
              <w:t>2023</w:t>
            </w:r>
          </w:p>
        </w:tc>
        <w:tc>
          <w:tcPr>
            <w:tcW w:w="458" w:type="pct"/>
            <w:tcMar>
              <w:left w:w="14" w:type="dxa"/>
              <w:right w:w="14" w:type="dxa"/>
            </w:tcMar>
            <w:vAlign w:val="center"/>
          </w:tcPr>
          <w:p w14:paraId="1410891E" w14:textId="77777777" w:rsidR="00B75ACA" w:rsidRPr="00EA0A36" w:rsidRDefault="00B75ACA" w:rsidP="003C1333">
            <w:pPr>
              <w:pStyle w:val="TableColHeadingCenter"/>
              <w:spacing w:before="0" w:after="0"/>
            </w:pPr>
            <w:r w:rsidRPr="00EA0A36">
              <w:t>State (2023)</w:t>
            </w:r>
          </w:p>
        </w:tc>
        <w:tc>
          <w:tcPr>
            <w:tcW w:w="458" w:type="pct"/>
            <w:tcMar>
              <w:left w:w="14" w:type="dxa"/>
              <w:right w:w="14" w:type="dxa"/>
            </w:tcMar>
            <w:vAlign w:val="center"/>
          </w:tcPr>
          <w:p w14:paraId="5968F75F" w14:textId="77777777" w:rsidR="00B75ACA" w:rsidRPr="00EA0A36" w:rsidRDefault="00B75ACA" w:rsidP="003C1333">
            <w:pPr>
              <w:pStyle w:val="TableColHeadingCenter"/>
              <w:spacing w:before="0" w:after="0"/>
            </w:pPr>
            <w:r w:rsidRPr="00EA0A36">
              <w:t>2022</w:t>
            </w:r>
          </w:p>
        </w:tc>
        <w:tc>
          <w:tcPr>
            <w:tcW w:w="458" w:type="pct"/>
            <w:tcMar>
              <w:left w:w="14" w:type="dxa"/>
              <w:right w:w="14" w:type="dxa"/>
            </w:tcMar>
            <w:vAlign w:val="center"/>
          </w:tcPr>
          <w:p w14:paraId="2AE6EF8C" w14:textId="77777777" w:rsidR="00B75ACA" w:rsidRPr="00EA0A36" w:rsidRDefault="00B75ACA" w:rsidP="003C1333">
            <w:pPr>
              <w:pStyle w:val="TableColHeadingCenter"/>
              <w:spacing w:before="0" w:after="0"/>
            </w:pPr>
            <w:r w:rsidRPr="00EA0A36">
              <w:t>2023</w:t>
            </w:r>
          </w:p>
        </w:tc>
        <w:tc>
          <w:tcPr>
            <w:tcW w:w="458" w:type="pct"/>
            <w:tcMar>
              <w:left w:w="14" w:type="dxa"/>
              <w:right w:w="14" w:type="dxa"/>
            </w:tcMar>
            <w:vAlign w:val="center"/>
          </w:tcPr>
          <w:p w14:paraId="7880A73F" w14:textId="77777777" w:rsidR="00B75ACA" w:rsidRPr="00EA0A36" w:rsidRDefault="00B75ACA" w:rsidP="003C1333">
            <w:pPr>
              <w:pStyle w:val="TableColHeadingCenter"/>
              <w:spacing w:before="0" w:after="0"/>
            </w:pPr>
            <w:r w:rsidRPr="00EA0A36">
              <w:t>State (2023)</w:t>
            </w:r>
          </w:p>
        </w:tc>
      </w:tr>
      <w:tr w:rsidR="00B75ACA" w:rsidRPr="003979D4" w14:paraId="21485C85"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68DE412" w14:textId="77777777" w:rsidR="00B75ACA" w:rsidRPr="001010E4" w:rsidRDefault="00B75ACA" w:rsidP="003C1333">
            <w:pPr>
              <w:pStyle w:val="TableText"/>
              <w:spacing w:before="0" w:after="0"/>
              <w:jc w:val="center"/>
              <w:rPr>
                <w:rFonts w:ascii="Franklin Gothic Book" w:hAnsi="Franklin Gothic Book"/>
              </w:rPr>
            </w:pPr>
            <w:r w:rsidRPr="001010E4">
              <w:rPr>
                <w:rFonts w:ascii="Franklin Gothic Book" w:hAnsi="Franklin Gothic Book"/>
              </w:rPr>
              <w:t>5</w:t>
            </w:r>
          </w:p>
        </w:tc>
        <w:tc>
          <w:tcPr>
            <w:tcW w:w="458" w:type="pct"/>
            <w:vAlign w:val="center"/>
          </w:tcPr>
          <w:p w14:paraId="3C7378F5"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289</w:t>
            </w:r>
          </w:p>
        </w:tc>
        <w:tc>
          <w:tcPr>
            <w:tcW w:w="458" w:type="pct"/>
            <w:vAlign w:val="center"/>
          </w:tcPr>
          <w:p w14:paraId="34F41091"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76</w:t>
            </w:r>
          </w:p>
        </w:tc>
        <w:tc>
          <w:tcPr>
            <w:tcW w:w="458" w:type="pct"/>
            <w:vAlign w:val="center"/>
          </w:tcPr>
          <w:p w14:paraId="122C620C"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80</w:t>
            </w:r>
          </w:p>
        </w:tc>
        <w:tc>
          <w:tcPr>
            <w:tcW w:w="459" w:type="pct"/>
            <w:vAlign w:val="center"/>
          </w:tcPr>
          <w:p w14:paraId="4BBA11E4"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42</w:t>
            </w:r>
          </w:p>
        </w:tc>
        <w:tc>
          <w:tcPr>
            <w:tcW w:w="458" w:type="pct"/>
            <w:vAlign w:val="center"/>
          </w:tcPr>
          <w:p w14:paraId="3C4D4620"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22</w:t>
            </w:r>
          </w:p>
        </w:tc>
        <w:tc>
          <w:tcPr>
            <w:tcW w:w="458" w:type="pct"/>
            <w:vAlign w:val="center"/>
          </w:tcPr>
          <w:p w14:paraId="7B87FB7C"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18</w:t>
            </w:r>
          </w:p>
        </w:tc>
        <w:tc>
          <w:tcPr>
            <w:tcW w:w="458" w:type="pct"/>
            <w:vAlign w:val="bottom"/>
          </w:tcPr>
          <w:p w14:paraId="2AC7B74A"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40</w:t>
            </w:r>
          </w:p>
        </w:tc>
        <w:tc>
          <w:tcPr>
            <w:tcW w:w="458" w:type="pct"/>
            <w:vAlign w:val="center"/>
          </w:tcPr>
          <w:p w14:paraId="4ACF5372"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2</w:t>
            </w:r>
          </w:p>
        </w:tc>
        <w:tc>
          <w:tcPr>
            <w:tcW w:w="458" w:type="pct"/>
            <w:vAlign w:val="center"/>
          </w:tcPr>
          <w:p w14:paraId="0EC113C9"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2</w:t>
            </w:r>
          </w:p>
        </w:tc>
        <w:tc>
          <w:tcPr>
            <w:tcW w:w="458" w:type="pct"/>
            <w:vAlign w:val="bottom"/>
          </w:tcPr>
          <w:p w14:paraId="2020B18E"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19</w:t>
            </w:r>
          </w:p>
        </w:tc>
      </w:tr>
      <w:tr w:rsidR="00B75ACA" w:rsidRPr="003979D4" w14:paraId="531727F3" w14:textId="77777777">
        <w:tc>
          <w:tcPr>
            <w:tcW w:w="418" w:type="pct"/>
          </w:tcPr>
          <w:p w14:paraId="70121C2D" w14:textId="77777777" w:rsidR="00B75ACA" w:rsidRPr="001010E4" w:rsidRDefault="00B75ACA" w:rsidP="003C1333">
            <w:pPr>
              <w:pStyle w:val="TableText"/>
              <w:spacing w:before="0" w:after="0"/>
              <w:jc w:val="center"/>
              <w:rPr>
                <w:rFonts w:ascii="Franklin Gothic Book" w:hAnsi="Franklin Gothic Book"/>
              </w:rPr>
            </w:pPr>
            <w:r w:rsidRPr="001010E4">
              <w:rPr>
                <w:rFonts w:ascii="Franklin Gothic Book" w:hAnsi="Franklin Gothic Book"/>
              </w:rPr>
              <w:t>8</w:t>
            </w:r>
          </w:p>
        </w:tc>
        <w:tc>
          <w:tcPr>
            <w:tcW w:w="458" w:type="pct"/>
            <w:vAlign w:val="center"/>
          </w:tcPr>
          <w:p w14:paraId="01CFDD97"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258</w:t>
            </w:r>
          </w:p>
        </w:tc>
        <w:tc>
          <w:tcPr>
            <w:tcW w:w="458" w:type="pct"/>
            <w:vAlign w:val="center"/>
          </w:tcPr>
          <w:p w14:paraId="1E74AB6C"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62</w:t>
            </w:r>
          </w:p>
        </w:tc>
        <w:tc>
          <w:tcPr>
            <w:tcW w:w="458" w:type="pct"/>
            <w:vAlign w:val="center"/>
          </w:tcPr>
          <w:p w14:paraId="7CE0FF3D"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61</w:t>
            </w:r>
          </w:p>
        </w:tc>
        <w:tc>
          <w:tcPr>
            <w:tcW w:w="459" w:type="pct"/>
            <w:vAlign w:val="center"/>
          </w:tcPr>
          <w:p w14:paraId="5EACB00F"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41</w:t>
            </w:r>
          </w:p>
        </w:tc>
        <w:tc>
          <w:tcPr>
            <w:tcW w:w="458" w:type="pct"/>
            <w:vAlign w:val="center"/>
          </w:tcPr>
          <w:p w14:paraId="21EB14AE"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33</w:t>
            </w:r>
          </w:p>
        </w:tc>
        <w:tc>
          <w:tcPr>
            <w:tcW w:w="458" w:type="pct"/>
            <w:vAlign w:val="center"/>
          </w:tcPr>
          <w:p w14:paraId="528519E5"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34</w:t>
            </w:r>
          </w:p>
        </w:tc>
        <w:tc>
          <w:tcPr>
            <w:tcW w:w="458" w:type="pct"/>
            <w:vAlign w:val="bottom"/>
          </w:tcPr>
          <w:p w14:paraId="573F595B"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40</w:t>
            </w:r>
          </w:p>
        </w:tc>
        <w:tc>
          <w:tcPr>
            <w:tcW w:w="458" w:type="pct"/>
            <w:vAlign w:val="center"/>
          </w:tcPr>
          <w:p w14:paraId="3453D8DE"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5</w:t>
            </w:r>
          </w:p>
        </w:tc>
        <w:tc>
          <w:tcPr>
            <w:tcW w:w="458" w:type="pct"/>
            <w:vAlign w:val="center"/>
          </w:tcPr>
          <w:p w14:paraId="0FB38A34"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5</w:t>
            </w:r>
          </w:p>
        </w:tc>
        <w:tc>
          <w:tcPr>
            <w:tcW w:w="458" w:type="pct"/>
            <w:vAlign w:val="bottom"/>
          </w:tcPr>
          <w:p w14:paraId="75C9A04A"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19</w:t>
            </w:r>
          </w:p>
        </w:tc>
      </w:tr>
      <w:tr w:rsidR="00B75ACA" w:rsidRPr="003979D4" w14:paraId="7E0F75EA"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3A6472DD" w14:textId="77777777" w:rsidR="00B75ACA" w:rsidRPr="001010E4" w:rsidRDefault="00B75ACA" w:rsidP="003C1333">
            <w:pPr>
              <w:pStyle w:val="TableText"/>
              <w:spacing w:before="0" w:after="0"/>
              <w:jc w:val="center"/>
              <w:rPr>
                <w:rFonts w:ascii="Franklin Gothic Book" w:hAnsi="Franklin Gothic Book"/>
                <w:spacing w:val="-4"/>
              </w:rPr>
            </w:pPr>
            <w:r w:rsidRPr="001010E4">
              <w:rPr>
                <w:rFonts w:ascii="Franklin Gothic Book" w:hAnsi="Franklin Gothic Book"/>
                <w:spacing w:val="-4"/>
              </w:rPr>
              <w:t>5 and 8</w:t>
            </w:r>
          </w:p>
        </w:tc>
        <w:tc>
          <w:tcPr>
            <w:tcW w:w="458" w:type="pct"/>
            <w:vAlign w:val="center"/>
          </w:tcPr>
          <w:p w14:paraId="3A975D1B"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547</w:t>
            </w:r>
          </w:p>
        </w:tc>
        <w:tc>
          <w:tcPr>
            <w:tcW w:w="458" w:type="pct"/>
            <w:vAlign w:val="center"/>
          </w:tcPr>
          <w:p w14:paraId="5BDB9FF6"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69</w:t>
            </w:r>
          </w:p>
        </w:tc>
        <w:tc>
          <w:tcPr>
            <w:tcW w:w="458" w:type="pct"/>
            <w:vAlign w:val="center"/>
          </w:tcPr>
          <w:p w14:paraId="13948154"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71</w:t>
            </w:r>
          </w:p>
        </w:tc>
        <w:tc>
          <w:tcPr>
            <w:tcW w:w="459" w:type="pct"/>
            <w:vAlign w:val="center"/>
          </w:tcPr>
          <w:p w14:paraId="433228A4"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41</w:t>
            </w:r>
          </w:p>
        </w:tc>
        <w:tc>
          <w:tcPr>
            <w:tcW w:w="458" w:type="pct"/>
            <w:vAlign w:val="center"/>
          </w:tcPr>
          <w:p w14:paraId="764DED19"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28</w:t>
            </w:r>
          </w:p>
        </w:tc>
        <w:tc>
          <w:tcPr>
            <w:tcW w:w="458" w:type="pct"/>
            <w:vAlign w:val="center"/>
          </w:tcPr>
          <w:p w14:paraId="268DC9E6"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26</w:t>
            </w:r>
          </w:p>
        </w:tc>
        <w:tc>
          <w:tcPr>
            <w:tcW w:w="458" w:type="pct"/>
            <w:vAlign w:val="bottom"/>
          </w:tcPr>
          <w:p w14:paraId="28875319"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40</w:t>
            </w:r>
          </w:p>
        </w:tc>
        <w:tc>
          <w:tcPr>
            <w:tcW w:w="458" w:type="pct"/>
            <w:vAlign w:val="center"/>
          </w:tcPr>
          <w:p w14:paraId="6A8BB80D"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3</w:t>
            </w:r>
          </w:p>
        </w:tc>
        <w:tc>
          <w:tcPr>
            <w:tcW w:w="458" w:type="pct"/>
            <w:vAlign w:val="center"/>
          </w:tcPr>
          <w:p w14:paraId="0D20BFFD"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3</w:t>
            </w:r>
          </w:p>
        </w:tc>
        <w:tc>
          <w:tcPr>
            <w:tcW w:w="458" w:type="pct"/>
            <w:vAlign w:val="bottom"/>
          </w:tcPr>
          <w:p w14:paraId="3C720AA7"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19</w:t>
            </w:r>
          </w:p>
        </w:tc>
      </w:tr>
      <w:tr w:rsidR="00B75ACA" w:rsidRPr="003979D4" w14:paraId="2AC11024" w14:textId="77777777">
        <w:tc>
          <w:tcPr>
            <w:tcW w:w="418" w:type="pct"/>
          </w:tcPr>
          <w:p w14:paraId="322B9CA0" w14:textId="77777777" w:rsidR="00B75ACA" w:rsidRPr="001010E4" w:rsidRDefault="00B75ACA" w:rsidP="003C1333">
            <w:pPr>
              <w:pStyle w:val="TableText"/>
              <w:spacing w:before="0" w:after="0"/>
              <w:jc w:val="center"/>
              <w:rPr>
                <w:rFonts w:ascii="Franklin Gothic Book" w:hAnsi="Franklin Gothic Book"/>
              </w:rPr>
            </w:pPr>
            <w:r w:rsidRPr="001010E4">
              <w:rPr>
                <w:rFonts w:ascii="Franklin Gothic Book" w:hAnsi="Franklin Gothic Book"/>
              </w:rPr>
              <w:t>10</w:t>
            </w:r>
          </w:p>
        </w:tc>
        <w:tc>
          <w:tcPr>
            <w:tcW w:w="458" w:type="pct"/>
            <w:vAlign w:val="center"/>
          </w:tcPr>
          <w:p w14:paraId="4E248176"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255</w:t>
            </w:r>
          </w:p>
        </w:tc>
        <w:tc>
          <w:tcPr>
            <w:tcW w:w="458" w:type="pct"/>
            <w:vAlign w:val="center"/>
          </w:tcPr>
          <w:p w14:paraId="698775D0"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80</w:t>
            </w:r>
          </w:p>
        </w:tc>
        <w:tc>
          <w:tcPr>
            <w:tcW w:w="458" w:type="pct"/>
            <w:vAlign w:val="center"/>
          </w:tcPr>
          <w:p w14:paraId="0CBFA6A0"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76</w:t>
            </w:r>
          </w:p>
        </w:tc>
        <w:tc>
          <w:tcPr>
            <w:tcW w:w="459" w:type="pct"/>
            <w:vAlign w:val="center"/>
          </w:tcPr>
          <w:p w14:paraId="2F67F77B"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47</w:t>
            </w:r>
          </w:p>
        </w:tc>
        <w:tc>
          <w:tcPr>
            <w:tcW w:w="458" w:type="pct"/>
            <w:vAlign w:val="center"/>
          </w:tcPr>
          <w:p w14:paraId="428DFBBB"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18</w:t>
            </w:r>
          </w:p>
        </w:tc>
        <w:tc>
          <w:tcPr>
            <w:tcW w:w="458" w:type="pct"/>
            <w:vAlign w:val="center"/>
          </w:tcPr>
          <w:p w14:paraId="5BFF0ACD"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20</w:t>
            </w:r>
          </w:p>
        </w:tc>
        <w:tc>
          <w:tcPr>
            <w:tcW w:w="458" w:type="pct"/>
            <w:vAlign w:val="bottom"/>
          </w:tcPr>
          <w:p w14:paraId="624E3A74"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42</w:t>
            </w:r>
          </w:p>
        </w:tc>
        <w:tc>
          <w:tcPr>
            <w:tcW w:w="458" w:type="pct"/>
            <w:vAlign w:val="center"/>
          </w:tcPr>
          <w:p w14:paraId="6E256821"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1</w:t>
            </w:r>
          </w:p>
        </w:tc>
        <w:tc>
          <w:tcPr>
            <w:tcW w:w="458" w:type="pct"/>
            <w:vAlign w:val="center"/>
          </w:tcPr>
          <w:p w14:paraId="2C189AB9"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cs="Calibri"/>
              </w:rPr>
              <w:t>3</w:t>
            </w:r>
          </w:p>
        </w:tc>
        <w:tc>
          <w:tcPr>
            <w:tcW w:w="458" w:type="pct"/>
            <w:vAlign w:val="bottom"/>
          </w:tcPr>
          <w:p w14:paraId="46F471DD" w14:textId="77777777" w:rsidR="00B75ACA" w:rsidRPr="00B47043" w:rsidRDefault="00B75ACA" w:rsidP="003C1333">
            <w:pPr>
              <w:pStyle w:val="TableTextCentered"/>
              <w:spacing w:before="0" w:after="0"/>
              <w:rPr>
                <w:rFonts w:ascii="Franklin Gothic Book" w:hAnsi="Franklin Gothic Book"/>
              </w:rPr>
            </w:pPr>
            <w:r w:rsidRPr="00B47043">
              <w:rPr>
                <w:rFonts w:ascii="Franklin Gothic Book" w:hAnsi="Franklin Gothic Book"/>
              </w:rPr>
              <w:t>11</w:t>
            </w:r>
          </w:p>
        </w:tc>
      </w:tr>
    </w:tbl>
    <w:p w14:paraId="2D7900EE" w14:textId="77777777" w:rsidR="00B75ACA" w:rsidRDefault="00B75ACA">
      <w:pPr>
        <w:spacing w:after="160" w:line="259" w:lineRule="auto"/>
        <w:rPr>
          <w:rFonts w:ascii="Franklin Gothic Book" w:hAnsi="Franklin Gothic Book"/>
          <w:sz w:val="20"/>
          <w:szCs w:val="20"/>
        </w:rPr>
        <w:sectPr w:rsidR="00B75ACA" w:rsidSect="00B75ACA">
          <w:footerReference w:type="default" r:id="rId103"/>
          <w:pgSz w:w="15840" w:h="12240" w:orient="landscape"/>
          <w:pgMar w:top="1440" w:right="1440" w:bottom="1440" w:left="1440" w:header="720" w:footer="720" w:gutter="0"/>
          <w:pgNumType w:start="1"/>
          <w:cols w:space="720"/>
          <w:docGrid w:linePitch="360"/>
        </w:sectPr>
      </w:pPr>
      <w:r>
        <w:rPr>
          <w:rFonts w:ascii="Franklin Gothic Book" w:hAnsi="Franklin Gothic Book"/>
          <w:sz w:val="20"/>
          <w:szCs w:val="20"/>
        </w:rPr>
        <w:br w:type="page"/>
      </w:r>
    </w:p>
    <w:p w14:paraId="33550911" w14:textId="77777777" w:rsidR="00B75ACA" w:rsidRPr="003C1C59" w:rsidRDefault="00B75ACA" w:rsidP="003C1333">
      <w:pPr>
        <w:pStyle w:val="TableTitle0"/>
      </w:pPr>
      <w:bookmarkStart w:id="201" w:name="_Toc158035177"/>
      <w:r w:rsidRPr="005055D7">
        <w:lastRenderedPageBreak/>
        <w:t>Table E</w:t>
      </w:r>
      <w:r>
        <w:t>10</w:t>
      </w:r>
      <w:r w:rsidRPr="005055D7">
        <w:t xml:space="preserve">. Next-Generation MCAS </w:t>
      </w:r>
      <w:r>
        <w:t>ELA Mean Student Growth Percentile</w:t>
      </w:r>
      <w:r w:rsidRPr="003979D4">
        <w:t xml:space="preserve"> by Student Group</w:t>
      </w:r>
      <w:r>
        <w:t xml:space="preserve">, </w:t>
      </w:r>
      <w:r w:rsidRPr="005055D7">
        <w:t>Grade</w:t>
      </w:r>
      <w:r>
        <w:t>s 3-8</w:t>
      </w:r>
      <w:r w:rsidRPr="005055D7">
        <w:t>, 202</w:t>
      </w:r>
      <w:r>
        <w:t>2</w:t>
      </w:r>
      <w:r w:rsidRPr="005055D7">
        <w:t>-2023</w:t>
      </w:r>
      <w:bookmarkEnd w:id="201"/>
    </w:p>
    <w:tbl>
      <w:tblPr>
        <w:tblStyle w:val="MSVTable1"/>
        <w:tblW w:w="5000" w:type="pct"/>
        <w:tblLook w:val="0420" w:firstRow="1" w:lastRow="0" w:firstColumn="0" w:lastColumn="0" w:noHBand="0" w:noVBand="1"/>
      </w:tblPr>
      <w:tblGrid>
        <w:gridCol w:w="3232"/>
        <w:gridCol w:w="1530"/>
        <w:gridCol w:w="1530"/>
        <w:gridCol w:w="1530"/>
        <w:gridCol w:w="1522"/>
      </w:tblGrid>
      <w:tr w:rsidR="00B75ACA" w:rsidRPr="00976F70" w14:paraId="0B27E0DE"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0499EE0" w14:textId="77777777" w:rsidR="00B75ACA" w:rsidRPr="00B85B0B" w:rsidRDefault="00B75ACA">
            <w:pPr>
              <w:pStyle w:val="TableColHeadingLeft"/>
              <w:jc w:val="center"/>
            </w:pPr>
            <w:r w:rsidRPr="00B85B0B">
              <w:t>Group</w:t>
            </w:r>
          </w:p>
        </w:tc>
        <w:tc>
          <w:tcPr>
            <w:tcW w:w="1530" w:type="dxa"/>
            <w:vAlign w:val="center"/>
          </w:tcPr>
          <w:p w14:paraId="0360DF14" w14:textId="0D50CC47" w:rsidR="00B75ACA" w:rsidRPr="00B85B0B" w:rsidRDefault="00B75ACA">
            <w:pPr>
              <w:pStyle w:val="TableColHeadingCenter"/>
            </w:pPr>
            <w:r>
              <w:t xml:space="preserve"># </w:t>
            </w:r>
            <w:r w:rsidR="00C6447D">
              <w:t>i</w:t>
            </w:r>
            <w:r>
              <w:t>ncluded</w:t>
            </w:r>
            <w:r w:rsidRPr="00B85B0B">
              <w:t xml:space="preserve"> (2023)</w:t>
            </w:r>
          </w:p>
        </w:tc>
        <w:tc>
          <w:tcPr>
            <w:tcW w:w="1530" w:type="dxa"/>
            <w:vAlign w:val="center"/>
          </w:tcPr>
          <w:p w14:paraId="365AC4BA" w14:textId="77777777" w:rsidR="00B75ACA" w:rsidRPr="00B85B0B" w:rsidRDefault="00B75ACA">
            <w:pPr>
              <w:pStyle w:val="TableColHeadingCenter"/>
            </w:pPr>
            <w:r w:rsidRPr="00B85B0B">
              <w:t>2022</w:t>
            </w:r>
          </w:p>
        </w:tc>
        <w:tc>
          <w:tcPr>
            <w:tcW w:w="1530" w:type="dxa"/>
            <w:vAlign w:val="center"/>
          </w:tcPr>
          <w:p w14:paraId="5339F1D4" w14:textId="77777777" w:rsidR="00B75ACA" w:rsidRPr="00B85B0B" w:rsidRDefault="00B75ACA">
            <w:pPr>
              <w:pStyle w:val="TableColHeadingCenter"/>
            </w:pPr>
            <w:r w:rsidRPr="00B85B0B">
              <w:t>2023</w:t>
            </w:r>
          </w:p>
        </w:tc>
        <w:tc>
          <w:tcPr>
            <w:tcW w:w="1522" w:type="dxa"/>
            <w:vAlign w:val="center"/>
          </w:tcPr>
          <w:p w14:paraId="70FF3F2F" w14:textId="77777777" w:rsidR="00B75ACA" w:rsidRPr="00B85B0B" w:rsidRDefault="00B75ACA">
            <w:pPr>
              <w:pStyle w:val="TableColHeadingCenter"/>
            </w:pPr>
            <w:r w:rsidRPr="00B85B0B">
              <w:t>State (2023)</w:t>
            </w:r>
          </w:p>
        </w:tc>
      </w:tr>
      <w:tr w:rsidR="00B75ACA" w:rsidRPr="00976F70" w14:paraId="03B3A18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3EA629E" w14:textId="77777777" w:rsidR="00B75ACA" w:rsidRPr="00E56196" w:rsidRDefault="00B75ACA">
            <w:pPr>
              <w:pStyle w:val="TableText"/>
              <w:rPr>
                <w:rFonts w:ascii="Franklin Gothic Book" w:hAnsi="Franklin Gothic Book"/>
              </w:rPr>
            </w:pPr>
            <w:r w:rsidRPr="00E56196">
              <w:rPr>
                <w:rFonts w:ascii="Franklin Gothic Book" w:hAnsi="Franklin Gothic Book"/>
              </w:rPr>
              <w:t>All students</w:t>
            </w:r>
          </w:p>
        </w:tc>
        <w:tc>
          <w:tcPr>
            <w:tcW w:w="1530" w:type="dxa"/>
            <w:vAlign w:val="center"/>
          </w:tcPr>
          <w:p w14:paraId="21D60332"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1,366</w:t>
            </w:r>
          </w:p>
        </w:tc>
        <w:tc>
          <w:tcPr>
            <w:tcW w:w="1530" w:type="dxa"/>
            <w:vAlign w:val="center"/>
          </w:tcPr>
          <w:p w14:paraId="2A4546B1"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58.6</w:t>
            </w:r>
          </w:p>
        </w:tc>
        <w:tc>
          <w:tcPr>
            <w:tcW w:w="1530" w:type="dxa"/>
            <w:vAlign w:val="center"/>
          </w:tcPr>
          <w:p w14:paraId="3EB5D09D"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55.4</w:t>
            </w:r>
          </w:p>
        </w:tc>
        <w:tc>
          <w:tcPr>
            <w:tcW w:w="1522" w:type="dxa"/>
            <w:vAlign w:val="center"/>
          </w:tcPr>
          <w:p w14:paraId="6010E87B"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49.7</w:t>
            </w:r>
          </w:p>
        </w:tc>
      </w:tr>
      <w:tr w:rsidR="00B75ACA" w:rsidRPr="00976F70" w14:paraId="6ECD6864" w14:textId="77777777">
        <w:tc>
          <w:tcPr>
            <w:tcW w:w="3232" w:type="dxa"/>
          </w:tcPr>
          <w:p w14:paraId="1D48B8FF" w14:textId="77777777" w:rsidR="00B75ACA" w:rsidRPr="00E56196" w:rsidRDefault="00B75ACA">
            <w:pPr>
              <w:pStyle w:val="TableText"/>
              <w:rPr>
                <w:rFonts w:ascii="Franklin Gothic Book" w:hAnsi="Franklin Gothic Book"/>
              </w:rPr>
            </w:pPr>
            <w:r w:rsidRPr="00E56196">
              <w:rPr>
                <w:rFonts w:ascii="Franklin Gothic Book" w:hAnsi="Franklin Gothic Book"/>
              </w:rPr>
              <w:t>African American/Black</w:t>
            </w:r>
          </w:p>
        </w:tc>
        <w:tc>
          <w:tcPr>
            <w:tcW w:w="1530" w:type="dxa"/>
            <w:vAlign w:val="center"/>
          </w:tcPr>
          <w:p w14:paraId="09EDD945"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24</w:t>
            </w:r>
          </w:p>
        </w:tc>
        <w:tc>
          <w:tcPr>
            <w:tcW w:w="1530" w:type="dxa"/>
            <w:vAlign w:val="center"/>
          </w:tcPr>
          <w:p w14:paraId="04B4DC40"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59.7</w:t>
            </w:r>
          </w:p>
        </w:tc>
        <w:tc>
          <w:tcPr>
            <w:tcW w:w="1530" w:type="dxa"/>
            <w:vAlign w:val="center"/>
          </w:tcPr>
          <w:p w14:paraId="29722EDC"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46.0</w:t>
            </w:r>
          </w:p>
        </w:tc>
        <w:tc>
          <w:tcPr>
            <w:tcW w:w="1522" w:type="dxa"/>
            <w:vAlign w:val="center"/>
          </w:tcPr>
          <w:p w14:paraId="1C7C7CD3"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48.0</w:t>
            </w:r>
          </w:p>
        </w:tc>
      </w:tr>
      <w:tr w:rsidR="00B75ACA" w:rsidRPr="00976F70" w14:paraId="723CB5F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92AB7F1" w14:textId="77777777" w:rsidR="00B75ACA" w:rsidRPr="00E56196" w:rsidRDefault="00B75ACA">
            <w:pPr>
              <w:pStyle w:val="TableText"/>
              <w:rPr>
                <w:rFonts w:ascii="Franklin Gothic Book" w:hAnsi="Franklin Gothic Book"/>
              </w:rPr>
            </w:pPr>
            <w:r w:rsidRPr="00E56196">
              <w:rPr>
                <w:rFonts w:ascii="Franklin Gothic Book" w:hAnsi="Franklin Gothic Book"/>
              </w:rPr>
              <w:t>Asian</w:t>
            </w:r>
          </w:p>
        </w:tc>
        <w:tc>
          <w:tcPr>
            <w:tcW w:w="1530" w:type="dxa"/>
            <w:vAlign w:val="center"/>
          </w:tcPr>
          <w:p w14:paraId="56DF7CE1"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40</w:t>
            </w:r>
          </w:p>
        </w:tc>
        <w:tc>
          <w:tcPr>
            <w:tcW w:w="1530" w:type="dxa"/>
            <w:vAlign w:val="center"/>
          </w:tcPr>
          <w:p w14:paraId="56C6A5E5"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67.8</w:t>
            </w:r>
          </w:p>
        </w:tc>
        <w:tc>
          <w:tcPr>
            <w:tcW w:w="1530" w:type="dxa"/>
            <w:vAlign w:val="center"/>
          </w:tcPr>
          <w:p w14:paraId="1DD71A16"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67.0</w:t>
            </w:r>
          </w:p>
        </w:tc>
        <w:tc>
          <w:tcPr>
            <w:tcW w:w="1522" w:type="dxa"/>
            <w:vAlign w:val="center"/>
          </w:tcPr>
          <w:p w14:paraId="601073F0"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56.4</w:t>
            </w:r>
          </w:p>
        </w:tc>
      </w:tr>
      <w:tr w:rsidR="00B75ACA" w:rsidRPr="00976F70" w14:paraId="7C947D72" w14:textId="77777777">
        <w:tc>
          <w:tcPr>
            <w:tcW w:w="3232" w:type="dxa"/>
          </w:tcPr>
          <w:p w14:paraId="1E1EE27D" w14:textId="77777777" w:rsidR="00B75ACA" w:rsidRPr="00E56196" w:rsidRDefault="00B75ACA">
            <w:pPr>
              <w:pStyle w:val="TableText"/>
              <w:rPr>
                <w:rFonts w:ascii="Franklin Gothic Book" w:hAnsi="Franklin Gothic Book"/>
              </w:rPr>
            </w:pPr>
            <w:r w:rsidRPr="00E56196">
              <w:rPr>
                <w:rFonts w:ascii="Franklin Gothic Book" w:hAnsi="Franklin Gothic Book"/>
              </w:rPr>
              <w:t>Hispanic/Latino</w:t>
            </w:r>
          </w:p>
        </w:tc>
        <w:tc>
          <w:tcPr>
            <w:tcW w:w="1530" w:type="dxa"/>
            <w:vAlign w:val="center"/>
          </w:tcPr>
          <w:p w14:paraId="21E389CA"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60</w:t>
            </w:r>
          </w:p>
        </w:tc>
        <w:tc>
          <w:tcPr>
            <w:tcW w:w="1530" w:type="dxa"/>
            <w:vAlign w:val="center"/>
          </w:tcPr>
          <w:p w14:paraId="3129BC96"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57.2</w:t>
            </w:r>
          </w:p>
        </w:tc>
        <w:tc>
          <w:tcPr>
            <w:tcW w:w="1530" w:type="dxa"/>
            <w:vAlign w:val="center"/>
          </w:tcPr>
          <w:p w14:paraId="293494CB"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51.4</w:t>
            </w:r>
          </w:p>
        </w:tc>
        <w:tc>
          <w:tcPr>
            <w:tcW w:w="1522" w:type="dxa"/>
            <w:vAlign w:val="center"/>
          </w:tcPr>
          <w:p w14:paraId="613D0277"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47.5</w:t>
            </w:r>
          </w:p>
        </w:tc>
      </w:tr>
      <w:tr w:rsidR="00B75ACA" w:rsidRPr="00976F70" w14:paraId="2D57C3C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79D8608" w14:textId="77777777" w:rsidR="00B75ACA" w:rsidRPr="00E56196" w:rsidRDefault="00B75ACA">
            <w:pPr>
              <w:pStyle w:val="TableText"/>
              <w:rPr>
                <w:rFonts w:ascii="Franklin Gothic Book" w:hAnsi="Franklin Gothic Book"/>
              </w:rPr>
            </w:pPr>
            <w:r w:rsidRPr="00E56196">
              <w:rPr>
                <w:rFonts w:ascii="Franklin Gothic Book" w:hAnsi="Franklin Gothic Book"/>
              </w:rPr>
              <w:t>Multi-Race, non-Hispanic/Latino</w:t>
            </w:r>
          </w:p>
        </w:tc>
        <w:tc>
          <w:tcPr>
            <w:tcW w:w="1530" w:type="dxa"/>
            <w:vAlign w:val="center"/>
          </w:tcPr>
          <w:p w14:paraId="212BD86B"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53</w:t>
            </w:r>
          </w:p>
        </w:tc>
        <w:tc>
          <w:tcPr>
            <w:tcW w:w="1530" w:type="dxa"/>
            <w:vAlign w:val="center"/>
          </w:tcPr>
          <w:p w14:paraId="2A1A4FD9"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54.3</w:t>
            </w:r>
          </w:p>
        </w:tc>
        <w:tc>
          <w:tcPr>
            <w:tcW w:w="1530" w:type="dxa"/>
            <w:vAlign w:val="center"/>
          </w:tcPr>
          <w:p w14:paraId="4E75FC8A"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56.9</w:t>
            </w:r>
          </w:p>
        </w:tc>
        <w:tc>
          <w:tcPr>
            <w:tcW w:w="1522" w:type="dxa"/>
            <w:vAlign w:val="center"/>
          </w:tcPr>
          <w:p w14:paraId="1F6629A1"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50.0</w:t>
            </w:r>
          </w:p>
        </w:tc>
      </w:tr>
      <w:tr w:rsidR="00B75ACA" w:rsidRPr="00976F70" w14:paraId="07ABDEC3" w14:textId="77777777">
        <w:tc>
          <w:tcPr>
            <w:tcW w:w="3232" w:type="dxa"/>
          </w:tcPr>
          <w:p w14:paraId="1AFD9AC8" w14:textId="77777777" w:rsidR="00B75ACA" w:rsidRPr="00E56196" w:rsidRDefault="00B75ACA">
            <w:pPr>
              <w:pStyle w:val="TableText"/>
              <w:rPr>
                <w:rFonts w:ascii="Franklin Gothic Book" w:hAnsi="Franklin Gothic Book"/>
              </w:rPr>
            </w:pPr>
            <w:r w:rsidRPr="00E56196">
              <w:rPr>
                <w:rFonts w:ascii="Franklin Gothic Book" w:hAnsi="Franklin Gothic Book"/>
              </w:rPr>
              <w:t>Native American</w:t>
            </w:r>
          </w:p>
        </w:tc>
        <w:tc>
          <w:tcPr>
            <w:tcW w:w="1530" w:type="dxa"/>
            <w:vAlign w:val="center"/>
          </w:tcPr>
          <w:p w14:paraId="0E27B211" w14:textId="6FB9651B" w:rsidR="00B75ACA" w:rsidRPr="00E05ED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23E6EDA0" w14:textId="3668A82F" w:rsidR="00B75ACA" w:rsidRPr="00E05ED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6D36D67C" w14:textId="6808D1C9" w:rsidR="00B75ACA" w:rsidRPr="00E05ED4"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6BCF3833"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46.7</w:t>
            </w:r>
          </w:p>
        </w:tc>
      </w:tr>
      <w:tr w:rsidR="00B75ACA" w:rsidRPr="00976F70" w14:paraId="7217ABA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78D9769" w14:textId="77777777" w:rsidR="00B75ACA" w:rsidRPr="00E56196" w:rsidRDefault="00B75ACA">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530" w:type="dxa"/>
            <w:vAlign w:val="center"/>
          </w:tcPr>
          <w:p w14:paraId="3DF6764E" w14:textId="35650D7F" w:rsidR="00B75ACA" w:rsidRPr="00E05ED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33255C0A" w14:textId="00C3962F" w:rsidR="00B75ACA" w:rsidRPr="00E05ED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3B48ACF9" w14:textId="6A6542C4" w:rsidR="00B75ACA" w:rsidRPr="00E05ED4"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6E208EEA"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50.5</w:t>
            </w:r>
          </w:p>
        </w:tc>
      </w:tr>
      <w:tr w:rsidR="00B75ACA" w:rsidRPr="00976F70" w14:paraId="6441E2D0" w14:textId="77777777">
        <w:tc>
          <w:tcPr>
            <w:tcW w:w="3232" w:type="dxa"/>
          </w:tcPr>
          <w:p w14:paraId="11202CD0" w14:textId="77777777" w:rsidR="00B75ACA" w:rsidRPr="00E56196" w:rsidRDefault="00B75ACA">
            <w:pPr>
              <w:pStyle w:val="TableText"/>
              <w:rPr>
                <w:rFonts w:ascii="Franklin Gothic Book" w:hAnsi="Franklin Gothic Book"/>
              </w:rPr>
            </w:pPr>
            <w:r w:rsidRPr="00E56196">
              <w:rPr>
                <w:rFonts w:ascii="Franklin Gothic Book" w:hAnsi="Franklin Gothic Book"/>
              </w:rPr>
              <w:t>White</w:t>
            </w:r>
          </w:p>
        </w:tc>
        <w:tc>
          <w:tcPr>
            <w:tcW w:w="1530" w:type="dxa"/>
            <w:vAlign w:val="center"/>
          </w:tcPr>
          <w:p w14:paraId="1A63DBA4"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1,189</w:t>
            </w:r>
          </w:p>
        </w:tc>
        <w:tc>
          <w:tcPr>
            <w:tcW w:w="1530" w:type="dxa"/>
            <w:vAlign w:val="center"/>
          </w:tcPr>
          <w:p w14:paraId="03EDDF46"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58.5</w:t>
            </w:r>
          </w:p>
        </w:tc>
        <w:tc>
          <w:tcPr>
            <w:tcW w:w="1530" w:type="dxa"/>
            <w:vAlign w:val="center"/>
          </w:tcPr>
          <w:p w14:paraId="579B38D9"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55.3</w:t>
            </w:r>
          </w:p>
        </w:tc>
        <w:tc>
          <w:tcPr>
            <w:tcW w:w="1522" w:type="dxa"/>
            <w:vAlign w:val="center"/>
          </w:tcPr>
          <w:p w14:paraId="78E0D46A"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50.0</w:t>
            </w:r>
          </w:p>
        </w:tc>
      </w:tr>
      <w:tr w:rsidR="00B75ACA" w:rsidRPr="00976F70" w14:paraId="1CBA14C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EA72C97" w14:textId="77777777" w:rsidR="00B75ACA" w:rsidRPr="00E56196" w:rsidRDefault="00B75ACA">
            <w:pPr>
              <w:pStyle w:val="TableText"/>
              <w:rPr>
                <w:rFonts w:ascii="Franklin Gothic Book" w:hAnsi="Franklin Gothic Book"/>
              </w:rPr>
            </w:pPr>
            <w:r w:rsidRPr="00E56196">
              <w:rPr>
                <w:rFonts w:ascii="Franklin Gothic Book" w:hAnsi="Franklin Gothic Book"/>
              </w:rPr>
              <w:t>High needs</w:t>
            </w:r>
          </w:p>
        </w:tc>
        <w:tc>
          <w:tcPr>
            <w:tcW w:w="1530" w:type="dxa"/>
            <w:vAlign w:val="center"/>
          </w:tcPr>
          <w:p w14:paraId="7E666D53"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354</w:t>
            </w:r>
          </w:p>
        </w:tc>
        <w:tc>
          <w:tcPr>
            <w:tcW w:w="1530" w:type="dxa"/>
            <w:vAlign w:val="center"/>
          </w:tcPr>
          <w:p w14:paraId="3A7D0C81"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50.2</w:t>
            </w:r>
          </w:p>
        </w:tc>
        <w:tc>
          <w:tcPr>
            <w:tcW w:w="1530" w:type="dxa"/>
            <w:vAlign w:val="center"/>
          </w:tcPr>
          <w:p w14:paraId="6A55745F"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51.2</w:t>
            </w:r>
          </w:p>
        </w:tc>
        <w:tc>
          <w:tcPr>
            <w:tcW w:w="1522" w:type="dxa"/>
            <w:vAlign w:val="center"/>
          </w:tcPr>
          <w:p w14:paraId="6B5E5399"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47.3</w:t>
            </w:r>
          </w:p>
        </w:tc>
      </w:tr>
      <w:tr w:rsidR="00B75ACA" w:rsidRPr="00976F70" w14:paraId="6BB5A2C7" w14:textId="77777777">
        <w:tc>
          <w:tcPr>
            <w:tcW w:w="3232" w:type="dxa"/>
          </w:tcPr>
          <w:p w14:paraId="29BC34C5" w14:textId="77777777" w:rsidR="00B75ACA" w:rsidRPr="00E56196" w:rsidRDefault="00B75ACA">
            <w:pPr>
              <w:pStyle w:val="TableText"/>
              <w:rPr>
                <w:rFonts w:ascii="Franklin Gothic Book" w:hAnsi="Franklin Gothic Book"/>
              </w:rPr>
            </w:pPr>
            <w:r w:rsidRPr="00E56196">
              <w:rPr>
                <w:rFonts w:ascii="Franklin Gothic Book" w:hAnsi="Franklin Gothic Book"/>
              </w:rPr>
              <w:t>Low income</w:t>
            </w:r>
          </w:p>
        </w:tc>
        <w:tc>
          <w:tcPr>
            <w:tcW w:w="1530" w:type="dxa"/>
            <w:vAlign w:val="center"/>
          </w:tcPr>
          <w:p w14:paraId="34412390"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121</w:t>
            </w:r>
          </w:p>
        </w:tc>
        <w:tc>
          <w:tcPr>
            <w:tcW w:w="1530" w:type="dxa"/>
            <w:vAlign w:val="center"/>
          </w:tcPr>
          <w:p w14:paraId="41FE156B"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51.0</w:t>
            </w:r>
          </w:p>
        </w:tc>
        <w:tc>
          <w:tcPr>
            <w:tcW w:w="1530" w:type="dxa"/>
            <w:vAlign w:val="center"/>
          </w:tcPr>
          <w:p w14:paraId="4B8875FF"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51.0</w:t>
            </w:r>
          </w:p>
        </w:tc>
        <w:tc>
          <w:tcPr>
            <w:tcW w:w="1522" w:type="dxa"/>
            <w:vAlign w:val="center"/>
          </w:tcPr>
          <w:p w14:paraId="4D23A675"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47.0</w:t>
            </w:r>
          </w:p>
        </w:tc>
      </w:tr>
      <w:tr w:rsidR="00B75ACA" w:rsidRPr="00976F70" w14:paraId="0E85BC4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232A90D" w14:textId="77777777" w:rsidR="00B75ACA" w:rsidRPr="00E56196" w:rsidRDefault="00B75ACA">
            <w:pPr>
              <w:pStyle w:val="TableText"/>
              <w:rPr>
                <w:rFonts w:ascii="Franklin Gothic Book" w:hAnsi="Franklin Gothic Book"/>
                <w:spacing w:val="-4"/>
              </w:rPr>
            </w:pPr>
            <w:r w:rsidRPr="00E56196">
              <w:rPr>
                <w:rFonts w:ascii="Franklin Gothic Book" w:hAnsi="Franklin Gothic Book"/>
                <w:spacing w:val="-4"/>
              </w:rPr>
              <w:t>ELs and former ELs</w:t>
            </w:r>
          </w:p>
        </w:tc>
        <w:tc>
          <w:tcPr>
            <w:tcW w:w="1530" w:type="dxa"/>
            <w:vAlign w:val="center"/>
          </w:tcPr>
          <w:p w14:paraId="5C8C1BD5"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15</w:t>
            </w:r>
          </w:p>
        </w:tc>
        <w:tc>
          <w:tcPr>
            <w:tcW w:w="1530" w:type="dxa"/>
            <w:vAlign w:val="center"/>
          </w:tcPr>
          <w:p w14:paraId="0614987E" w14:textId="49BF5429" w:rsidR="00B75ACA" w:rsidRPr="00E05ED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5F2AD2A4" w14:textId="4C0C90F8" w:rsidR="00B75ACA" w:rsidRPr="00E05ED4"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08DFD89D"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49.7</w:t>
            </w:r>
          </w:p>
        </w:tc>
      </w:tr>
      <w:tr w:rsidR="00B75ACA" w:rsidRPr="00976F70" w14:paraId="5A847B1E" w14:textId="77777777">
        <w:tc>
          <w:tcPr>
            <w:tcW w:w="3232" w:type="dxa"/>
          </w:tcPr>
          <w:p w14:paraId="3B93CC73" w14:textId="77777777" w:rsidR="00B75ACA" w:rsidRPr="00E56196" w:rsidRDefault="00B75ACA">
            <w:pPr>
              <w:pStyle w:val="TableText"/>
              <w:rPr>
                <w:rFonts w:ascii="Franklin Gothic Book" w:hAnsi="Franklin Gothic Book"/>
              </w:rPr>
            </w:pPr>
            <w:r w:rsidRPr="00E56196">
              <w:rPr>
                <w:rFonts w:ascii="Franklin Gothic Book" w:hAnsi="Franklin Gothic Book"/>
              </w:rPr>
              <w:t>Students w/disabilities</w:t>
            </w:r>
          </w:p>
        </w:tc>
        <w:tc>
          <w:tcPr>
            <w:tcW w:w="1530" w:type="dxa"/>
            <w:vAlign w:val="center"/>
          </w:tcPr>
          <w:p w14:paraId="30173284"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267</w:t>
            </w:r>
          </w:p>
        </w:tc>
        <w:tc>
          <w:tcPr>
            <w:tcW w:w="1530" w:type="dxa"/>
            <w:vAlign w:val="center"/>
          </w:tcPr>
          <w:p w14:paraId="04F9CA86"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48.9</w:t>
            </w:r>
          </w:p>
        </w:tc>
        <w:tc>
          <w:tcPr>
            <w:tcW w:w="1530" w:type="dxa"/>
            <w:vAlign w:val="center"/>
          </w:tcPr>
          <w:p w14:paraId="7DDB1E9D"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50.6</w:t>
            </w:r>
          </w:p>
        </w:tc>
        <w:tc>
          <w:tcPr>
            <w:tcW w:w="1522" w:type="dxa"/>
            <w:vAlign w:val="center"/>
          </w:tcPr>
          <w:p w14:paraId="5A32661E" w14:textId="77777777" w:rsidR="00B75ACA" w:rsidRPr="00E05ED4" w:rsidRDefault="00B75ACA">
            <w:pPr>
              <w:pStyle w:val="TableTextCentered"/>
              <w:rPr>
                <w:rFonts w:ascii="Franklin Gothic Book" w:hAnsi="Franklin Gothic Book"/>
              </w:rPr>
            </w:pPr>
            <w:r w:rsidRPr="00E05ED4">
              <w:rPr>
                <w:rFonts w:ascii="Franklin Gothic Book" w:hAnsi="Franklin Gothic Book" w:cs="Calibri"/>
              </w:rPr>
              <w:t>43.7</w:t>
            </w:r>
          </w:p>
        </w:tc>
      </w:tr>
    </w:tbl>
    <w:p w14:paraId="2A764288" w14:textId="19225F66" w:rsidR="00B75ACA" w:rsidRPr="00B92729" w:rsidRDefault="00B75ACA" w:rsidP="003C1333">
      <w:pPr>
        <w:pStyle w:val="TableTitle0"/>
      </w:pPr>
      <w:bookmarkStart w:id="202" w:name="_Toc158035178"/>
      <w:r w:rsidRPr="00B92729">
        <w:t>Table E</w:t>
      </w:r>
      <w:r>
        <w:t>11</w:t>
      </w:r>
      <w:r w:rsidRPr="00B92729">
        <w:t xml:space="preserve">. </w:t>
      </w:r>
      <w:r w:rsidRPr="005055D7">
        <w:t xml:space="preserve">Next-Generation MCAS </w:t>
      </w:r>
      <w:r>
        <w:t>ELA Mean Student Growth Percentile</w:t>
      </w:r>
      <w:r w:rsidRPr="003979D4">
        <w:t xml:space="preserve"> by Student Group</w:t>
      </w:r>
      <w:r>
        <w:t xml:space="preserve">, </w:t>
      </w:r>
      <w:r w:rsidRPr="005055D7">
        <w:t>Grade</w:t>
      </w:r>
      <w:r w:rsidR="00C6447D">
        <w:t> </w:t>
      </w:r>
      <w:r>
        <w:t>10</w:t>
      </w:r>
      <w:r w:rsidRPr="005055D7">
        <w:t>, 202</w:t>
      </w:r>
      <w:r>
        <w:t>2</w:t>
      </w:r>
      <w:r w:rsidRPr="005055D7">
        <w:t>-2023</w:t>
      </w:r>
      <w:bookmarkEnd w:id="202"/>
    </w:p>
    <w:tbl>
      <w:tblPr>
        <w:tblStyle w:val="MSVTable1"/>
        <w:tblW w:w="5000" w:type="pct"/>
        <w:tblLook w:val="0420" w:firstRow="1" w:lastRow="0" w:firstColumn="0" w:lastColumn="0" w:noHBand="0" w:noVBand="1"/>
      </w:tblPr>
      <w:tblGrid>
        <w:gridCol w:w="3232"/>
        <w:gridCol w:w="1530"/>
        <w:gridCol w:w="1530"/>
        <w:gridCol w:w="1530"/>
        <w:gridCol w:w="1522"/>
      </w:tblGrid>
      <w:tr w:rsidR="00B75ACA" w:rsidRPr="00B92729" w14:paraId="0F68024D"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15E31C72" w14:textId="77777777" w:rsidR="00B75ACA" w:rsidRPr="00734358" w:rsidRDefault="00B75ACA">
            <w:pPr>
              <w:pStyle w:val="TableColHeadingLeft"/>
              <w:jc w:val="center"/>
            </w:pPr>
            <w:r w:rsidRPr="00734358">
              <w:t>Group</w:t>
            </w:r>
          </w:p>
        </w:tc>
        <w:tc>
          <w:tcPr>
            <w:tcW w:w="1530" w:type="dxa"/>
            <w:vAlign w:val="center"/>
          </w:tcPr>
          <w:p w14:paraId="44C70E5E" w14:textId="639FAD6F" w:rsidR="00B75ACA" w:rsidRPr="00734358" w:rsidRDefault="00B75ACA">
            <w:pPr>
              <w:pStyle w:val="TableColHeadingCenter"/>
            </w:pPr>
            <w:r>
              <w:t xml:space="preserve"># </w:t>
            </w:r>
            <w:r w:rsidR="00C6447D">
              <w:t>i</w:t>
            </w:r>
            <w:r>
              <w:t>ncluded</w:t>
            </w:r>
            <w:r w:rsidRPr="00734358">
              <w:t xml:space="preserve"> (2023)</w:t>
            </w:r>
          </w:p>
        </w:tc>
        <w:tc>
          <w:tcPr>
            <w:tcW w:w="1530" w:type="dxa"/>
            <w:vAlign w:val="center"/>
          </w:tcPr>
          <w:p w14:paraId="237EF488" w14:textId="77777777" w:rsidR="00B75ACA" w:rsidRPr="00734358" w:rsidRDefault="00B75ACA">
            <w:pPr>
              <w:pStyle w:val="TableColHeadingCenter"/>
            </w:pPr>
            <w:r w:rsidRPr="00734358">
              <w:t>2022</w:t>
            </w:r>
          </w:p>
        </w:tc>
        <w:tc>
          <w:tcPr>
            <w:tcW w:w="1530" w:type="dxa"/>
            <w:vAlign w:val="center"/>
          </w:tcPr>
          <w:p w14:paraId="5877CAB7" w14:textId="77777777" w:rsidR="00B75ACA" w:rsidRPr="00734358" w:rsidRDefault="00B75ACA">
            <w:pPr>
              <w:pStyle w:val="TableColHeadingCenter"/>
            </w:pPr>
            <w:r w:rsidRPr="00734358">
              <w:t>2023</w:t>
            </w:r>
          </w:p>
        </w:tc>
        <w:tc>
          <w:tcPr>
            <w:tcW w:w="1522" w:type="dxa"/>
            <w:vAlign w:val="center"/>
          </w:tcPr>
          <w:p w14:paraId="06A8A8FF" w14:textId="77777777" w:rsidR="00B75ACA" w:rsidRPr="00734358" w:rsidRDefault="00B75ACA">
            <w:pPr>
              <w:pStyle w:val="TableColHeadingCenter"/>
            </w:pPr>
            <w:r w:rsidRPr="00734358">
              <w:t>State (2023)</w:t>
            </w:r>
          </w:p>
        </w:tc>
      </w:tr>
      <w:tr w:rsidR="00B75ACA" w:rsidRPr="00B92729" w14:paraId="60445E7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42CF846" w14:textId="77777777" w:rsidR="00B75ACA" w:rsidRPr="00E56196" w:rsidRDefault="00B75ACA">
            <w:pPr>
              <w:pStyle w:val="TableText"/>
              <w:rPr>
                <w:rFonts w:ascii="Franklin Gothic Book" w:hAnsi="Franklin Gothic Book"/>
              </w:rPr>
            </w:pPr>
            <w:r w:rsidRPr="00E56196">
              <w:rPr>
                <w:rFonts w:ascii="Franklin Gothic Book" w:hAnsi="Franklin Gothic Book"/>
              </w:rPr>
              <w:t>All students</w:t>
            </w:r>
          </w:p>
        </w:tc>
        <w:tc>
          <w:tcPr>
            <w:tcW w:w="1530" w:type="dxa"/>
            <w:vAlign w:val="center"/>
          </w:tcPr>
          <w:p w14:paraId="6C3D6706"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247</w:t>
            </w:r>
          </w:p>
        </w:tc>
        <w:tc>
          <w:tcPr>
            <w:tcW w:w="1530" w:type="dxa"/>
            <w:vAlign w:val="center"/>
          </w:tcPr>
          <w:p w14:paraId="0AA649F8"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51.6</w:t>
            </w:r>
          </w:p>
        </w:tc>
        <w:tc>
          <w:tcPr>
            <w:tcW w:w="1530" w:type="dxa"/>
            <w:vAlign w:val="center"/>
          </w:tcPr>
          <w:p w14:paraId="28705B14"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52.0</w:t>
            </w:r>
          </w:p>
        </w:tc>
        <w:tc>
          <w:tcPr>
            <w:tcW w:w="1522" w:type="dxa"/>
            <w:vAlign w:val="center"/>
          </w:tcPr>
          <w:p w14:paraId="7962D9A4"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49.5</w:t>
            </w:r>
          </w:p>
        </w:tc>
      </w:tr>
      <w:tr w:rsidR="00B75ACA" w:rsidRPr="00B92729" w14:paraId="66C27171" w14:textId="77777777">
        <w:tc>
          <w:tcPr>
            <w:tcW w:w="3232" w:type="dxa"/>
          </w:tcPr>
          <w:p w14:paraId="39E7E440" w14:textId="77777777" w:rsidR="00B75ACA" w:rsidRPr="00E56196" w:rsidRDefault="00B75ACA">
            <w:pPr>
              <w:pStyle w:val="TableText"/>
              <w:rPr>
                <w:rFonts w:ascii="Franklin Gothic Book" w:hAnsi="Franklin Gothic Book"/>
              </w:rPr>
            </w:pPr>
            <w:r w:rsidRPr="00E56196">
              <w:rPr>
                <w:rFonts w:ascii="Franklin Gothic Book" w:hAnsi="Franklin Gothic Book"/>
              </w:rPr>
              <w:t>African American/Black</w:t>
            </w:r>
          </w:p>
        </w:tc>
        <w:tc>
          <w:tcPr>
            <w:tcW w:w="1530" w:type="dxa"/>
            <w:vAlign w:val="center"/>
          </w:tcPr>
          <w:p w14:paraId="102C44DE" w14:textId="77777777" w:rsidR="00B75ACA" w:rsidRPr="00844804" w:rsidRDefault="00B75ACA">
            <w:pPr>
              <w:pStyle w:val="TableTextCentered"/>
              <w:rPr>
                <w:rFonts w:ascii="Franklin Gothic Book" w:hAnsi="Franklin Gothic Book"/>
              </w:rPr>
            </w:pPr>
            <w:r>
              <w:rPr>
                <w:rFonts w:ascii="Franklin Gothic Book" w:hAnsi="Franklin Gothic Book"/>
              </w:rPr>
              <w:t>7</w:t>
            </w:r>
          </w:p>
        </w:tc>
        <w:tc>
          <w:tcPr>
            <w:tcW w:w="1530" w:type="dxa"/>
            <w:vAlign w:val="center"/>
          </w:tcPr>
          <w:p w14:paraId="0D5AB56B" w14:textId="7FCD67BE"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6BEE8942" w14:textId="0611DDDC"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39149C71"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45.5</w:t>
            </w:r>
          </w:p>
        </w:tc>
      </w:tr>
      <w:tr w:rsidR="00B75ACA" w:rsidRPr="00B92729" w14:paraId="5D0FFF5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C86E673" w14:textId="77777777" w:rsidR="00B75ACA" w:rsidRPr="00E56196" w:rsidRDefault="00B75ACA">
            <w:pPr>
              <w:pStyle w:val="TableText"/>
              <w:rPr>
                <w:rFonts w:ascii="Franklin Gothic Book" w:hAnsi="Franklin Gothic Book"/>
              </w:rPr>
            </w:pPr>
            <w:r w:rsidRPr="00E56196">
              <w:rPr>
                <w:rFonts w:ascii="Franklin Gothic Book" w:hAnsi="Franklin Gothic Book"/>
              </w:rPr>
              <w:t>Asian</w:t>
            </w:r>
          </w:p>
        </w:tc>
        <w:tc>
          <w:tcPr>
            <w:tcW w:w="1530" w:type="dxa"/>
            <w:vAlign w:val="center"/>
          </w:tcPr>
          <w:p w14:paraId="6E43A0EB"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13</w:t>
            </w:r>
          </w:p>
        </w:tc>
        <w:tc>
          <w:tcPr>
            <w:tcW w:w="1530" w:type="dxa"/>
            <w:vAlign w:val="center"/>
          </w:tcPr>
          <w:p w14:paraId="33813ABA" w14:textId="767901E2"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7FB6C603" w14:textId="1B4A2773"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21D75621"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56.2</w:t>
            </w:r>
          </w:p>
        </w:tc>
      </w:tr>
      <w:tr w:rsidR="00B75ACA" w:rsidRPr="00B92729" w14:paraId="062E0846" w14:textId="77777777">
        <w:tc>
          <w:tcPr>
            <w:tcW w:w="3232" w:type="dxa"/>
          </w:tcPr>
          <w:p w14:paraId="49C36DCB" w14:textId="77777777" w:rsidR="00B75ACA" w:rsidRPr="00E56196" w:rsidRDefault="00B75ACA">
            <w:pPr>
              <w:pStyle w:val="TableText"/>
              <w:rPr>
                <w:rFonts w:ascii="Franklin Gothic Book" w:hAnsi="Franklin Gothic Book"/>
              </w:rPr>
            </w:pPr>
            <w:r w:rsidRPr="00E56196">
              <w:rPr>
                <w:rFonts w:ascii="Franklin Gothic Book" w:hAnsi="Franklin Gothic Book"/>
              </w:rPr>
              <w:t>Hispanic/Latino</w:t>
            </w:r>
          </w:p>
        </w:tc>
        <w:tc>
          <w:tcPr>
            <w:tcW w:w="1530" w:type="dxa"/>
            <w:vAlign w:val="center"/>
          </w:tcPr>
          <w:p w14:paraId="6957DFA2"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7</w:t>
            </w:r>
          </w:p>
        </w:tc>
        <w:tc>
          <w:tcPr>
            <w:tcW w:w="1530" w:type="dxa"/>
            <w:vAlign w:val="center"/>
          </w:tcPr>
          <w:p w14:paraId="6B2B305A" w14:textId="06D8336F"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72EAD91D" w14:textId="2F39D5D5"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36982772"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45.1</w:t>
            </w:r>
          </w:p>
        </w:tc>
      </w:tr>
      <w:tr w:rsidR="00B75ACA" w:rsidRPr="00B92729" w14:paraId="47F9438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F002053" w14:textId="77777777" w:rsidR="00B75ACA" w:rsidRPr="00E56196" w:rsidRDefault="00B75ACA">
            <w:pPr>
              <w:pStyle w:val="TableText"/>
              <w:rPr>
                <w:rFonts w:ascii="Franklin Gothic Book" w:hAnsi="Franklin Gothic Book"/>
              </w:rPr>
            </w:pPr>
            <w:r w:rsidRPr="00E56196">
              <w:rPr>
                <w:rFonts w:ascii="Franklin Gothic Book" w:hAnsi="Franklin Gothic Book"/>
              </w:rPr>
              <w:t>Multi-Race, non-Hispanic/Latino</w:t>
            </w:r>
          </w:p>
        </w:tc>
        <w:tc>
          <w:tcPr>
            <w:tcW w:w="1530" w:type="dxa"/>
            <w:vAlign w:val="center"/>
          </w:tcPr>
          <w:p w14:paraId="32E4E127"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9</w:t>
            </w:r>
          </w:p>
        </w:tc>
        <w:tc>
          <w:tcPr>
            <w:tcW w:w="1530" w:type="dxa"/>
            <w:vAlign w:val="center"/>
          </w:tcPr>
          <w:p w14:paraId="119E5635" w14:textId="58CD222C"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025DFC36" w14:textId="50A4CB00"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6AA145A2"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51.3</w:t>
            </w:r>
          </w:p>
        </w:tc>
      </w:tr>
      <w:tr w:rsidR="00B75ACA" w:rsidRPr="00B92729" w14:paraId="486A9392" w14:textId="77777777">
        <w:tc>
          <w:tcPr>
            <w:tcW w:w="3232" w:type="dxa"/>
          </w:tcPr>
          <w:p w14:paraId="40A05D32" w14:textId="77777777" w:rsidR="00B75ACA" w:rsidRPr="00E56196" w:rsidRDefault="00B75ACA">
            <w:pPr>
              <w:pStyle w:val="TableText"/>
              <w:rPr>
                <w:rFonts w:ascii="Franklin Gothic Book" w:hAnsi="Franklin Gothic Book"/>
              </w:rPr>
            </w:pPr>
            <w:r w:rsidRPr="00E56196">
              <w:rPr>
                <w:rFonts w:ascii="Franklin Gothic Book" w:hAnsi="Franklin Gothic Book"/>
              </w:rPr>
              <w:t>Native American</w:t>
            </w:r>
          </w:p>
        </w:tc>
        <w:tc>
          <w:tcPr>
            <w:tcW w:w="1530" w:type="dxa"/>
            <w:vAlign w:val="center"/>
          </w:tcPr>
          <w:p w14:paraId="6324281F" w14:textId="77777777" w:rsidR="00B75ACA" w:rsidRPr="00844804" w:rsidRDefault="00B75ACA">
            <w:pPr>
              <w:pStyle w:val="TableTextCentered"/>
              <w:rPr>
                <w:rFonts w:ascii="Franklin Gothic Book" w:hAnsi="Franklin Gothic Book"/>
              </w:rPr>
            </w:pPr>
            <w:r>
              <w:rPr>
                <w:rFonts w:ascii="Franklin Gothic Book" w:hAnsi="Franklin Gothic Book"/>
              </w:rPr>
              <w:t>1</w:t>
            </w:r>
          </w:p>
        </w:tc>
        <w:tc>
          <w:tcPr>
            <w:tcW w:w="1530" w:type="dxa"/>
            <w:vAlign w:val="center"/>
          </w:tcPr>
          <w:p w14:paraId="7D2408BF" w14:textId="5D0C90BF"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6A707F45" w14:textId="4619CFBF"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78CF6BE1"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46.4</w:t>
            </w:r>
          </w:p>
        </w:tc>
      </w:tr>
      <w:tr w:rsidR="00B75ACA" w:rsidRPr="00B92729" w14:paraId="3E3B6BA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BAC1331" w14:textId="77777777" w:rsidR="00B75ACA" w:rsidRPr="00E56196" w:rsidRDefault="00B75ACA">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530" w:type="dxa"/>
            <w:vAlign w:val="center"/>
          </w:tcPr>
          <w:p w14:paraId="53691FC2" w14:textId="67439C7D"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02F430F8" w14:textId="27D759E7"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6D074540" w14:textId="0BA0BB61"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4AF89A11"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45.2</w:t>
            </w:r>
          </w:p>
        </w:tc>
      </w:tr>
      <w:tr w:rsidR="00B75ACA" w:rsidRPr="00B92729" w14:paraId="5872891A" w14:textId="77777777">
        <w:tc>
          <w:tcPr>
            <w:tcW w:w="3232" w:type="dxa"/>
          </w:tcPr>
          <w:p w14:paraId="089D813F" w14:textId="77777777" w:rsidR="00B75ACA" w:rsidRPr="00E56196" w:rsidRDefault="00B75ACA">
            <w:pPr>
              <w:pStyle w:val="TableText"/>
              <w:rPr>
                <w:rFonts w:ascii="Franklin Gothic Book" w:hAnsi="Franklin Gothic Book"/>
              </w:rPr>
            </w:pPr>
            <w:r w:rsidRPr="00E56196">
              <w:rPr>
                <w:rFonts w:ascii="Franklin Gothic Book" w:hAnsi="Franklin Gothic Book"/>
              </w:rPr>
              <w:t>White</w:t>
            </w:r>
          </w:p>
        </w:tc>
        <w:tc>
          <w:tcPr>
            <w:tcW w:w="1530" w:type="dxa"/>
            <w:vAlign w:val="center"/>
          </w:tcPr>
          <w:p w14:paraId="1D73FB5F"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210</w:t>
            </w:r>
          </w:p>
        </w:tc>
        <w:tc>
          <w:tcPr>
            <w:tcW w:w="1530" w:type="dxa"/>
            <w:vAlign w:val="center"/>
          </w:tcPr>
          <w:p w14:paraId="057F28CF"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51.5</w:t>
            </w:r>
          </w:p>
        </w:tc>
        <w:tc>
          <w:tcPr>
            <w:tcW w:w="1530" w:type="dxa"/>
            <w:vAlign w:val="center"/>
          </w:tcPr>
          <w:p w14:paraId="7A4D30A3"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52.2</w:t>
            </w:r>
          </w:p>
        </w:tc>
        <w:tc>
          <w:tcPr>
            <w:tcW w:w="1522" w:type="dxa"/>
            <w:vAlign w:val="center"/>
          </w:tcPr>
          <w:p w14:paraId="7E4FDA31"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50.7</w:t>
            </w:r>
          </w:p>
        </w:tc>
      </w:tr>
      <w:tr w:rsidR="00B75ACA" w:rsidRPr="00B92729" w14:paraId="6115937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D029BAA" w14:textId="77777777" w:rsidR="00B75ACA" w:rsidRPr="00E56196" w:rsidRDefault="00B75ACA">
            <w:pPr>
              <w:pStyle w:val="TableText"/>
              <w:rPr>
                <w:rFonts w:ascii="Franklin Gothic Book" w:hAnsi="Franklin Gothic Book"/>
              </w:rPr>
            </w:pPr>
            <w:r w:rsidRPr="00E56196">
              <w:rPr>
                <w:rFonts w:ascii="Franklin Gothic Book" w:hAnsi="Franklin Gothic Book"/>
              </w:rPr>
              <w:t>High needs</w:t>
            </w:r>
          </w:p>
        </w:tc>
        <w:tc>
          <w:tcPr>
            <w:tcW w:w="1530" w:type="dxa"/>
            <w:vAlign w:val="center"/>
          </w:tcPr>
          <w:p w14:paraId="281A8DD8"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44</w:t>
            </w:r>
          </w:p>
        </w:tc>
        <w:tc>
          <w:tcPr>
            <w:tcW w:w="1530" w:type="dxa"/>
            <w:vAlign w:val="center"/>
          </w:tcPr>
          <w:p w14:paraId="1DC05D14"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58.9</w:t>
            </w:r>
          </w:p>
        </w:tc>
        <w:tc>
          <w:tcPr>
            <w:tcW w:w="1530" w:type="dxa"/>
            <w:vAlign w:val="center"/>
          </w:tcPr>
          <w:p w14:paraId="77BF9849"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48.7</w:t>
            </w:r>
          </w:p>
        </w:tc>
        <w:tc>
          <w:tcPr>
            <w:tcW w:w="1522" w:type="dxa"/>
            <w:vAlign w:val="center"/>
          </w:tcPr>
          <w:p w14:paraId="0C42286D"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44.7</w:t>
            </w:r>
          </w:p>
        </w:tc>
      </w:tr>
      <w:tr w:rsidR="00B75ACA" w:rsidRPr="00B92729" w14:paraId="124787EB" w14:textId="77777777">
        <w:tc>
          <w:tcPr>
            <w:tcW w:w="3232" w:type="dxa"/>
          </w:tcPr>
          <w:p w14:paraId="13C75370" w14:textId="77777777" w:rsidR="00B75ACA" w:rsidRPr="00E56196" w:rsidRDefault="00B75ACA">
            <w:pPr>
              <w:pStyle w:val="TableText"/>
              <w:rPr>
                <w:rFonts w:ascii="Franklin Gothic Book" w:hAnsi="Franklin Gothic Book"/>
              </w:rPr>
            </w:pPr>
            <w:r w:rsidRPr="00E56196">
              <w:rPr>
                <w:rFonts w:ascii="Franklin Gothic Book" w:hAnsi="Franklin Gothic Book"/>
              </w:rPr>
              <w:t>Low income</w:t>
            </w:r>
          </w:p>
        </w:tc>
        <w:tc>
          <w:tcPr>
            <w:tcW w:w="1530" w:type="dxa"/>
            <w:vAlign w:val="center"/>
          </w:tcPr>
          <w:p w14:paraId="60D8B84B"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25</w:t>
            </w:r>
          </w:p>
        </w:tc>
        <w:tc>
          <w:tcPr>
            <w:tcW w:w="1530" w:type="dxa"/>
            <w:vAlign w:val="center"/>
          </w:tcPr>
          <w:p w14:paraId="7522EF75"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54.6</w:t>
            </w:r>
          </w:p>
        </w:tc>
        <w:tc>
          <w:tcPr>
            <w:tcW w:w="1530" w:type="dxa"/>
            <w:vAlign w:val="center"/>
          </w:tcPr>
          <w:p w14:paraId="58495004"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57.8</w:t>
            </w:r>
          </w:p>
        </w:tc>
        <w:tc>
          <w:tcPr>
            <w:tcW w:w="1522" w:type="dxa"/>
            <w:vAlign w:val="center"/>
          </w:tcPr>
          <w:p w14:paraId="0F8F94AE"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44.9</w:t>
            </w:r>
          </w:p>
        </w:tc>
      </w:tr>
      <w:tr w:rsidR="00B75ACA" w:rsidRPr="00B92729" w14:paraId="0735379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D35F865" w14:textId="77777777" w:rsidR="00B75ACA" w:rsidRPr="00E56196" w:rsidRDefault="00B75ACA">
            <w:pPr>
              <w:pStyle w:val="TableText"/>
              <w:rPr>
                <w:rFonts w:ascii="Franklin Gothic Book" w:hAnsi="Franklin Gothic Book"/>
                <w:spacing w:val="-4"/>
              </w:rPr>
            </w:pPr>
            <w:r w:rsidRPr="00E56196">
              <w:rPr>
                <w:rFonts w:ascii="Franklin Gothic Book" w:hAnsi="Franklin Gothic Book"/>
                <w:spacing w:val="-4"/>
              </w:rPr>
              <w:t>ELs and former ELs</w:t>
            </w:r>
          </w:p>
        </w:tc>
        <w:tc>
          <w:tcPr>
            <w:tcW w:w="1530" w:type="dxa"/>
            <w:vAlign w:val="center"/>
          </w:tcPr>
          <w:p w14:paraId="7A87131B" w14:textId="77777777" w:rsidR="00B75ACA" w:rsidRPr="00844804" w:rsidRDefault="00B75ACA">
            <w:pPr>
              <w:pStyle w:val="TableTextCentered"/>
              <w:rPr>
                <w:rFonts w:ascii="Franklin Gothic Book" w:hAnsi="Franklin Gothic Book"/>
              </w:rPr>
            </w:pPr>
            <w:r>
              <w:rPr>
                <w:rFonts w:ascii="Franklin Gothic Book" w:hAnsi="Franklin Gothic Book"/>
              </w:rPr>
              <w:t>1</w:t>
            </w:r>
          </w:p>
        </w:tc>
        <w:tc>
          <w:tcPr>
            <w:tcW w:w="1530" w:type="dxa"/>
            <w:vAlign w:val="center"/>
          </w:tcPr>
          <w:p w14:paraId="2AF4D989" w14:textId="30411E27"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0E4A37D0" w14:textId="4D2E948F" w:rsidR="00B75ACA" w:rsidRPr="00844804"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504BCE46"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42.1</w:t>
            </w:r>
          </w:p>
        </w:tc>
      </w:tr>
      <w:tr w:rsidR="00B75ACA" w:rsidRPr="00B92729" w14:paraId="6ED5194C" w14:textId="77777777">
        <w:tc>
          <w:tcPr>
            <w:tcW w:w="3232" w:type="dxa"/>
          </w:tcPr>
          <w:p w14:paraId="1FA32FE5" w14:textId="77777777" w:rsidR="00B75ACA" w:rsidRPr="00E56196" w:rsidRDefault="00B75ACA">
            <w:pPr>
              <w:pStyle w:val="TableText"/>
              <w:rPr>
                <w:rFonts w:ascii="Franklin Gothic Book" w:hAnsi="Franklin Gothic Book"/>
              </w:rPr>
            </w:pPr>
            <w:r w:rsidRPr="00E56196">
              <w:rPr>
                <w:rFonts w:ascii="Franklin Gothic Book" w:hAnsi="Franklin Gothic Book"/>
              </w:rPr>
              <w:t>Students w/disabilities</w:t>
            </w:r>
          </w:p>
        </w:tc>
        <w:tc>
          <w:tcPr>
            <w:tcW w:w="1530" w:type="dxa"/>
            <w:vAlign w:val="center"/>
          </w:tcPr>
          <w:p w14:paraId="52711DF6"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24</w:t>
            </w:r>
          </w:p>
        </w:tc>
        <w:tc>
          <w:tcPr>
            <w:tcW w:w="1530" w:type="dxa"/>
            <w:vAlign w:val="center"/>
          </w:tcPr>
          <w:p w14:paraId="589741EE"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62.7</w:t>
            </w:r>
          </w:p>
        </w:tc>
        <w:tc>
          <w:tcPr>
            <w:tcW w:w="1530" w:type="dxa"/>
            <w:vAlign w:val="center"/>
          </w:tcPr>
          <w:p w14:paraId="3DC91FF4"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43.9</w:t>
            </w:r>
          </w:p>
        </w:tc>
        <w:tc>
          <w:tcPr>
            <w:tcW w:w="1522" w:type="dxa"/>
            <w:vAlign w:val="center"/>
          </w:tcPr>
          <w:p w14:paraId="67DB9AF8" w14:textId="77777777" w:rsidR="00B75ACA" w:rsidRPr="00844804" w:rsidRDefault="00B75ACA">
            <w:pPr>
              <w:pStyle w:val="TableTextCentered"/>
              <w:rPr>
                <w:rFonts w:ascii="Franklin Gothic Book" w:hAnsi="Franklin Gothic Book"/>
              </w:rPr>
            </w:pPr>
            <w:r w:rsidRPr="00844804">
              <w:rPr>
                <w:rFonts w:ascii="Franklin Gothic Book" w:hAnsi="Franklin Gothic Book" w:cs="Calibri"/>
              </w:rPr>
              <w:t>39.9</w:t>
            </w:r>
          </w:p>
        </w:tc>
      </w:tr>
    </w:tbl>
    <w:p w14:paraId="5D2F60B7" w14:textId="77777777" w:rsidR="00B75ACA" w:rsidRPr="00816D34" w:rsidRDefault="00B75ACA">
      <w:pPr>
        <w:spacing w:line="240" w:lineRule="auto"/>
        <w:rPr>
          <w:rFonts w:ascii="Franklin Gothic Book" w:hAnsi="Franklin Gothic Book"/>
          <w:sz w:val="20"/>
          <w:szCs w:val="20"/>
        </w:rPr>
      </w:pPr>
    </w:p>
    <w:p w14:paraId="7D9E3821" w14:textId="77777777" w:rsidR="00B75ACA" w:rsidRPr="00E56196" w:rsidRDefault="00B75ACA">
      <w:pPr>
        <w:spacing w:after="160" w:line="259" w:lineRule="auto"/>
        <w:rPr>
          <w:rFonts w:ascii="Franklin Gothic Book" w:hAnsi="Franklin Gothic Book"/>
        </w:rPr>
      </w:pPr>
      <w:r w:rsidRPr="00E56196">
        <w:rPr>
          <w:rFonts w:ascii="Franklin Gothic Book" w:hAnsi="Franklin Gothic Book"/>
        </w:rPr>
        <w:br w:type="page"/>
      </w:r>
    </w:p>
    <w:p w14:paraId="545EBCCE" w14:textId="77777777" w:rsidR="00B75ACA" w:rsidRPr="003C1C59" w:rsidRDefault="00B75ACA" w:rsidP="003C1333">
      <w:pPr>
        <w:pStyle w:val="TableTitle0"/>
      </w:pPr>
      <w:bookmarkStart w:id="203" w:name="_Toc158035179"/>
      <w:r w:rsidRPr="005055D7">
        <w:lastRenderedPageBreak/>
        <w:t>Table E</w:t>
      </w:r>
      <w:r>
        <w:t>12</w:t>
      </w:r>
      <w:r w:rsidRPr="005055D7">
        <w:t xml:space="preserve">. Next-Generation MCAS </w:t>
      </w:r>
      <w:r>
        <w:t>Mathematics Mean Student Growth Percentile</w:t>
      </w:r>
      <w:r w:rsidRPr="003979D4">
        <w:t xml:space="preserve"> by Student Group</w:t>
      </w:r>
      <w:r>
        <w:t xml:space="preserve">, </w:t>
      </w:r>
      <w:r w:rsidRPr="005055D7">
        <w:t>Grade</w:t>
      </w:r>
      <w:r>
        <w:t>s 3-8</w:t>
      </w:r>
      <w:r w:rsidRPr="005055D7">
        <w:t>, 202</w:t>
      </w:r>
      <w:r>
        <w:t>2</w:t>
      </w:r>
      <w:r w:rsidRPr="005055D7">
        <w:t>-2023</w:t>
      </w:r>
      <w:bookmarkEnd w:id="203"/>
    </w:p>
    <w:tbl>
      <w:tblPr>
        <w:tblStyle w:val="MSVTable1"/>
        <w:tblW w:w="5000" w:type="pct"/>
        <w:tblLook w:val="0420" w:firstRow="1" w:lastRow="0" w:firstColumn="0" w:lastColumn="0" w:noHBand="0" w:noVBand="1"/>
      </w:tblPr>
      <w:tblGrid>
        <w:gridCol w:w="3232"/>
        <w:gridCol w:w="1530"/>
        <w:gridCol w:w="1530"/>
        <w:gridCol w:w="1530"/>
        <w:gridCol w:w="1522"/>
      </w:tblGrid>
      <w:tr w:rsidR="00B75ACA" w:rsidRPr="000242BF" w14:paraId="6D7A03AF"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517E01C1" w14:textId="77777777" w:rsidR="00B75ACA" w:rsidRPr="004E4F7B" w:rsidRDefault="00B75ACA">
            <w:pPr>
              <w:pStyle w:val="TableColHeadingLeft"/>
              <w:jc w:val="center"/>
            </w:pPr>
            <w:r w:rsidRPr="004E4F7B">
              <w:t>Group</w:t>
            </w:r>
          </w:p>
        </w:tc>
        <w:tc>
          <w:tcPr>
            <w:tcW w:w="1530" w:type="dxa"/>
            <w:vAlign w:val="center"/>
          </w:tcPr>
          <w:p w14:paraId="6A161790" w14:textId="0F061C5A" w:rsidR="00B75ACA" w:rsidRPr="0078633A" w:rsidRDefault="00B75ACA">
            <w:pPr>
              <w:pStyle w:val="TableColHeadingCenter"/>
            </w:pPr>
            <w:r w:rsidRPr="0078633A">
              <w:t xml:space="preserve"># </w:t>
            </w:r>
            <w:r w:rsidR="00C6447D">
              <w:t>i</w:t>
            </w:r>
            <w:r w:rsidRPr="0078633A">
              <w:t>ncluded (2023)</w:t>
            </w:r>
          </w:p>
        </w:tc>
        <w:tc>
          <w:tcPr>
            <w:tcW w:w="1530" w:type="dxa"/>
            <w:vAlign w:val="center"/>
          </w:tcPr>
          <w:p w14:paraId="6C92CFF8" w14:textId="77777777" w:rsidR="00B75ACA" w:rsidRPr="004E4F7B" w:rsidRDefault="00B75ACA">
            <w:pPr>
              <w:pStyle w:val="TableColHeadingCenter"/>
            </w:pPr>
            <w:r w:rsidRPr="004E4F7B">
              <w:t>2022</w:t>
            </w:r>
          </w:p>
        </w:tc>
        <w:tc>
          <w:tcPr>
            <w:tcW w:w="1530" w:type="dxa"/>
            <w:vAlign w:val="center"/>
          </w:tcPr>
          <w:p w14:paraId="57414312" w14:textId="77777777" w:rsidR="00B75ACA" w:rsidRPr="004E4F7B" w:rsidRDefault="00B75ACA">
            <w:pPr>
              <w:pStyle w:val="TableColHeadingCenter"/>
            </w:pPr>
            <w:r w:rsidRPr="004E4F7B">
              <w:t>2023</w:t>
            </w:r>
          </w:p>
        </w:tc>
        <w:tc>
          <w:tcPr>
            <w:tcW w:w="1522" w:type="dxa"/>
            <w:vAlign w:val="center"/>
          </w:tcPr>
          <w:p w14:paraId="7DB6EB9E" w14:textId="77777777" w:rsidR="00B75ACA" w:rsidRPr="004E4F7B" w:rsidRDefault="00B75ACA">
            <w:pPr>
              <w:pStyle w:val="TableColHeadingCenter"/>
            </w:pPr>
            <w:r w:rsidRPr="004E4F7B">
              <w:t>State (2023)</w:t>
            </w:r>
          </w:p>
        </w:tc>
      </w:tr>
      <w:tr w:rsidR="00B75ACA" w:rsidRPr="000242BF" w14:paraId="1E45387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CEC3101" w14:textId="77777777" w:rsidR="00B75ACA" w:rsidRPr="00E56196" w:rsidRDefault="00B75ACA">
            <w:pPr>
              <w:pStyle w:val="TableText"/>
              <w:rPr>
                <w:rFonts w:ascii="Franklin Gothic Book" w:hAnsi="Franklin Gothic Book"/>
              </w:rPr>
            </w:pPr>
            <w:r w:rsidRPr="00E56196">
              <w:rPr>
                <w:rFonts w:ascii="Franklin Gothic Book" w:hAnsi="Franklin Gothic Book"/>
              </w:rPr>
              <w:t>All students</w:t>
            </w:r>
          </w:p>
        </w:tc>
        <w:tc>
          <w:tcPr>
            <w:tcW w:w="1530" w:type="dxa"/>
            <w:vAlign w:val="center"/>
          </w:tcPr>
          <w:p w14:paraId="0C20EAE1"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1,363</w:t>
            </w:r>
          </w:p>
        </w:tc>
        <w:tc>
          <w:tcPr>
            <w:tcW w:w="1530" w:type="dxa"/>
            <w:vAlign w:val="center"/>
          </w:tcPr>
          <w:p w14:paraId="65DF626C"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52.2</w:t>
            </w:r>
          </w:p>
        </w:tc>
        <w:tc>
          <w:tcPr>
            <w:tcW w:w="1530" w:type="dxa"/>
            <w:vAlign w:val="center"/>
          </w:tcPr>
          <w:p w14:paraId="45CFBB46"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52.1</w:t>
            </w:r>
          </w:p>
        </w:tc>
        <w:tc>
          <w:tcPr>
            <w:tcW w:w="1522" w:type="dxa"/>
            <w:vAlign w:val="center"/>
          </w:tcPr>
          <w:p w14:paraId="4D5057CD"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49.8</w:t>
            </w:r>
          </w:p>
        </w:tc>
      </w:tr>
      <w:tr w:rsidR="00B75ACA" w:rsidRPr="000242BF" w14:paraId="43094C13" w14:textId="77777777">
        <w:tc>
          <w:tcPr>
            <w:tcW w:w="3232" w:type="dxa"/>
          </w:tcPr>
          <w:p w14:paraId="60947477" w14:textId="77777777" w:rsidR="00B75ACA" w:rsidRPr="00E56196" w:rsidRDefault="00B75ACA">
            <w:pPr>
              <w:pStyle w:val="TableText"/>
              <w:rPr>
                <w:rFonts w:ascii="Franklin Gothic Book" w:hAnsi="Franklin Gothic Book"/>
              </w:rPr>
            </w:pPr>
            <w:r w:rsidRPr="00E56196">
              <w:rPr>
                <w:rFonts w:ascii="Franklin Gothic Book" w:hAnsi="Franklin Gothic Book"/>
              </w:rPr>
              <w:t>African American/Black</w:t>
            </w:r>
          </w:p>
        </w:tc>
        <w:tc>
          <w:tcPr>
            <w:tcW w:w="1530" w:type="dxa"/>
            <w:vAlign w:val="center"/>
          </w:tcPr>
          <w:p w14:paraId="3A44D265"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23</w:t>
            </w:r>
          </w:p>
        </w:tc>
        <w:tc>
          <w:tcPr>
            <w:tcW w:w="1530" w:type="dxa"/>
            <w:vAlign w:val="center"/>
          </w:tcPr>
          <w:p w14:paraId="7D484C5F"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47.6</w:t>
            </w:r>
          </w:p>
        </w:tc>
        <w:tc>
          <w:tcPr>
            <w:tcW w:w="1530" w:type="dxa"/>
            <w:vAlign w:val="center"/>
          </w:tcPr>
          <w:p w14:paraId="59A6D6FD"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43.9</w:t>
            </w:r>
          </w:p>
        </w:tc>
        <w:tc>
          <w:tcPr>
            <w:tcW w:w="1522" w:type="dxa"/>
            <w:vAlign w:val="center"/>
          </w:tcPr>
          <w:p w14:paraId="70929920"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47.8</w:t>
            </w:r>
          </w:p>
        </w:tc>
      </w:tr>
      <w:tr w:rsidR="00B75ACA" w:rsidRPr="000242BF" w14:paraId="662CD8D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6B83AA9" w14:textId="77777777" w:rsidR="00B75ACA" w:rsidRPr="00E56196" w:rsidRDefault="00B75ACA">
            <w:pPr>
              <w:pStyle w:val="TableText"/>
              <w:rPr>
                <w:rFonts w:ascii="Franklin Gothic Book" w:hAnsi="Franklin Gothic Book"/>
              </w:rPr>
            </w:pPr>
            <w:r w:rsidRPr="00E56196">
              <w:rPr>
                <w:rFonts w:ascii="Franklin Gothic Book" w:hAnsi="Franklin Gothic Book"/>
              </w:rPr>
              <w:t>Asian</w:t>
            </w:r>
          </w:p>
        </w:tc>
        <w:tc>
          <w:tcPr>
            <w:tcW w:w="1530" w:type="dxa"/>
            <w:vAlign w:val="center"/>
          </w:tcPr>
          <w:p w14:paraId="74AF435A"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40</w:t>
            </w:r>
          </w:p>
        </w:tc>
        <w:tc>
          <w:tcPr>
            <w:tcW w:w="1530" w:type="dxa"/>
            <w:vAlign w:val="center"/>
          </w:tcPr>
          <w:p w14:paraId="02B7CB5C"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59.4</w:t>
            </w:r>
          </w:p>
        </w:tc>
        <w:tc>
          <w:tcPr>
            <w:tcW w:w="1530" w:type="dxa"/>
            <w:vAlign w:val="center"/>
          </w:tcPr>
          <w:p w14:paraId="60013F0B"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61.3</w:t>
            </w:r>
          </w:p>
        </w:tc>
        <w:tc>
          <w:tcPr>
            <w:tcW w:w="1522" w:type="dxa"/>
            <w:vAlign w:val="center"/>
          </w:tcPr>
          <w:p w14:paraId="2ADC72CC"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57.7</w:t>
            </w:r>
          </w:p>
        </w:tc>
      </w:tr>
      <w:tr w:rsidR="00B75ACA" w:rsidRPr="000242BF" w14:paraId="1F71A301" w14:textId="77777777">
        <w:tc>
          <w:tcPr>
            <w:tcW w:w="3232" w:type="dxa"/>
          </w:tcPr>
          <w:p w14:paraId="6188B7E7" w14:textId="77777777" w:rsidR="00B75ACA" w:rsidRPr="00E56196" w:rsidRDefault="00B75ACA">
            <w:pPr>
              <w:pStyle w:val="TableText"/>
              <w:rPr>
                <w:rFonts w:ascii="Franklin Gothic Book" w:hAnsi="Franklin Gothic Book"/>
              </w:rPr>
            </w:pPr>
            <w:r w:rsidRPr="00E56196">
              <w:rPr>
                <w:rFonts w:ascii="Franklin Gothic Book" w:hAnsi="Franklin Gothic Book"/>
              </w:rPr>
              <w:t>Hispanic/Latino</w:t>
            </w:r>
          </w:p>
        </w:tc>
        <w:tc>
          <w:tcPr>
            <w:tcW w:w="1530" w:type="dxa"/>
            <w:vAlign w:val="center"/>
          </w:tcPr>
          <w:p w14:paraId="55041167"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60</w:t>
            </w:r>
          </w:p>
        </w:tc>
        <w:tc>
          <w:tcPr>
            <w:tcW w:w="1530" w:type="dxa"/>
            <w:vAlign w:val="center"/>
          </w:tcPr>
          <w:p w14:paraId="181C7942"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55.5</w:t>
            </w:r>
          </w:p>
        </w:tc>
        <w:tc>
          <w:tcPr>
            <w:tcW w:w="1530" w:type="dxa"/>
            <w:vAlign w:val="center"/>
          </w:tcPr>
          <w:p w14:paraId="17648E7A"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51.5</w:t>
            </w:r>
          </w:p>
        </w:tc>
        <w:tc>
          <w:tcPr>
            <w:tcW w:w="1522" w:type="dxa"/>
            <w:vAlign w:val="center"/>
          </w:tcPr>
          <w:p w14:paraId="07BAAC53"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47.5</w:t>
            </w:r>
          </w:p>
        </w:tc>
      </w:tr>
      <w:tr w:rsidR="00B75ACA" w:rsidRPr="000242BF" w14:paraId="6CE935E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5870F57" w14:textId="77777777" w:rsidR="00B75ACA" w:rsidRPr="00E56196" w:rsidRDefault="00B75ACA">
            <w:pPr>
              <w:pStyle w:val="TableText"/>
              <w:rPr>
                <w:rFonts w:ascii="Franklin Gothic Book" w:hAnsi="Franklin Gothic Book"/>
              </w:rPr>
            </w:pPr>
            <w:r w:rsidRPr="00E56196">
              <w:rPr>
                <w:rFonts w:ascii="Franklin Gothic Book" w:hAnsi="Franklin Gothic Book"/>
              </w:rPr>
              <w:t>Multi-Race, non-Hispanic/Latino</w:t>
            </w:r>
          </w:p>
        </w:tc>
        <w:tc>
          <w:tcPr>
            <w:tcW w:w="1530" w:type="dxa"/>
            <w:vAlign w:val="center"/>
          </w:tcPr>
          <w:p w14:paraId="09645C5E"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53</w:t>
            </w:r>
          </w:p>
        </w:tc>
        <w:tc>
          <w:tcPr>
            <w:tcW w:w="1530" w:type="dxa"/>
            <w:vAlign w:val="center"/>
          </w:tcPr>
          <w:p w14:paraId="6A383ADE"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48.3</w:t>
            </w:r>
          </w:p>
        </w:tc>
        <w:tc>
          <w:tcPr>
            <w:tcW w:w="1530" w:type="dxa"/>
            <w:vAlign w:val="center"/>
          </w:tcPr>
          <w:p w14:paraId="0A3743BF"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51.5</w:t>
            </w:r>
          </w:p>
        </w:tc>
        <w:tc>
          <w:tcPr>
            <w:tcW w:w="1522" w:type="dxa"/>
            <w:vAlign w:val="center"/>
          </w:tcPr>
          <w:p w14:paraId="052EBBD9"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50.3</w:t>
            </w:r>
          </w:p>
        </w:tc>
      </w:tr>
      <w:tr w:rsidR="00B75ACA" w:rsidRPr="000242BF" w14:paraId="66024472" w14:textId="77777777">
        <w:tc>
          <w:tcPr>
            <w:tcW w:w="3232" w:type="dxa"/>
          </w:tcPr>
          <w:p w14:paraId="49C65A27" w14:textId="77777777" w:rsidR="00B75ACA" w:rsidRPr="00E56196" w:rsidRDefault="00B75ACA">
            <w:pPr>
              <w:pStyle w:val="TableText"/>
              <w:rPr>
                <w:rFonts w:ascii="Franklin Gothic Book" w:hAnsi="Franklin Gothic Book"/>
              </w:rPr>
            </w:pPr>
            <w:r w:rsidRPr="00E56196">
              <w:rPr>
                <w:rFonts w:ascii="Franklin Gothic Book" w:hAnsi="Franklin Gothic Book"/>
              </w:rPr>
              <w:t>Native American</w:t>
            </w:r>
          </w:p>
        </w:tc>
        <w:tc>
          <w:tcPr>
            <w:tcW w:w="1530" w:type="dxa"/>
            <w:vAlign w:val="center"/>
          </w:tcPr>
          <w:p w14:paraId="597D65A7" w14:textId="787A5978" w:rsidR="00B75ACA" w:rsidRPr="001E4D48"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3AB1AF8E" w14:textId="08C75A51" w:rsidR="00B75ACA" w:rsidRPr="001E4D48"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4DA8A60A" w14:textId="62E08381" w:rsidR="00B75ACA" w:rsidRPr="001E4D48"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59F6A419"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47.1</w:t>
            </w:r>
          </w:p>
        </w:tc>
      </w:tr>
      <w:tr w:rsidR="00B75ACA" w:rsidRPr="000242BF" w14:paraId="0734F7A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008C2CD" w14:textId="77777777" w:rsidR="00B75ACA" w:rsidRPr="00E56196" w:rsidRDefault="00B75ACA">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530" w:type="dxa"/>
            <w:vAlign w:val="center"/>
          </w:tcPr>
          <w:p w14:paraId="6B25EFD6" w14:textId="5A21E0E6" w:rsidR="00B75ACA" w:rsidRPr="001E4D48"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296EDBE2" w14:textId="60BDCD1E" w:rsidR="00B75ACA" w:rsidRPr="001E4D48"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1CF62706" w14:textId="6C72D183" w:rsidR="00B75ACA" w:rsidRPr="001E4D48"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2A43D451"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51.5</w:t>
            </w:r>
          </w:p>
        </w:tc>
      </w:tr>
      <w:tr w:rsidR="00B75ACA" w:rsidRPr="000242BF" w14:paraId="3EFE33FD" w14:textId="77777777">
        <w:tc>
          <w:tcPr>
            <w:tcW w:w="3232" w:type="dxa"/>
          </w:tcPr>
          <w:p w14:paraId="160E6FEE" w14:textId="77777777" w:rsidR="00B75ACA" w:rsidRPr="00E56196" w:rsidRDefault="00B75ACA">
            <w:pPr>
              <w:pStyle w:val="TableText"/>
              <w:rPr>
                <w:rFonts w:ascii="Franklin Gothic Book" w:hAnsi="Franklin Gothic Book"/>
              </w:rPr>
            </w:pPr>
            <w:r w:rsidRPr="00E56196">
              <w:rPr>
                <w:rFonts w:ascii="Franklin Gothic Book" w:hAnsi="Franklin Gothic Book"/>
              </w:rPr>
              <w:t>White</w:t>
            </w:r>
          </w:p>
        </w:tc>
        <w:tc>
          <w:tcPr>
            <w:tcW w:w="1530" w:type="dxa"/>
            <w:vAlign w:val="center"/>
          </w:tcPr>
          <w:p w14:paraId="42E8CD42"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1,187</w:t>
            </w:r>
          </w:p>
        </w:tc>
        <w:tc>
          <w:tcPr>
            <w:tcW w:w="1530" w:type="dxa"/>
            <w:vAlign w:val="center"/>
          </w:tcPr>
          <w:p w14:paraId="781747F9"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52.0</w:t>
            </w:r>
          </w:p>
        </w:tc>
        <w:tc>
          <w:tcPr>
            <w:tcW w:w="1530" w:type="dxa"/>
            <w:vAlign w:val="center"/>
          </w:tcPr>
          <w:p w14:paraId="303103FC"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52.0</w:t>
            </w:r>
          </w:p>
        </w:tc>
        <w:tc>
          <w:tcPr>
            <w:tcW w:w="1522" w:type="dxa"/>
            <w:vAlign w:val="center"/>
          </w:tcPr>
          <w:p w14:paraId="63729D02"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50.1</w:t>
            </w:r>
          </w:p>
        </w:tc>
      </w:tr>
      <w:tr w:rsidR="00B75ACA" w:rsidRPr="000242BF" w14:paraId="7968C68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91D37B8" w14:textId="77777777" w:rsidR="00B75ACA" w:rsidRPr="00E56196" w:rsidRDefault="00B75ACA">
            <w:pPr>
              <w:pStyle w:val="TableText"/>
              <w:rPr>
                <w:rFonts w:ascii="Franklin Gothic Book" w:hAnsi="Franklin Gothic Book"/>
              </w:rPr>
            </w:pPr>
            <w:r w:rsidRPr="00E56196">
              <w:rPr>
                <w:rFonts w:ascii="Franklin Gothic Book" w:hAnsi="Franklin Gothic Book"/>
              </w:rPr>
              <w:t>High needs</w:t>
            </w:r>
          </w:p>
        </w:tc>
        <w:tc>
          <w:tcPr>
            <w:tcW w:w="1530" w:type="dxa"/>
            <w:vAlign w:val="center"/>
          </w:tcPr>
          <w:p w14:paraId="30EF5A46"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355</w:t>
            </w:r>
          </w:p>
        </w:tc>
        <w:tc>
          <w:tcPr>
            <w:tcW w:w="1530" w:type="dxa"/>
            <w:vAlign w:val="center"/>
          </w:tcPr>
          <w:p w14:paraId="6966ED65"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50.3</w:t>
            </w:r>
          </w:p>
        </w:tc>
        <w:tc>
          <w:tcPr>
            <w:tcW w:w="1530" w:type="dxa"/>
            <w:vAlign w:val="center"/>
          </w:tcPr>
          <w:p w14:paraId="2CAE1DD9"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52.1</w:t>
            </w:r>
          </w:p>
        </w:tc>
        <w:tc>
          <w:tcPr>
            <w:tcW w:w="1522" w:type="dxa"/>
            <w:vAlign w:val="center"/>
          </w:tcPr>
          <w:p w14:paraId="2EBBE5B9"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47.8</w:t>
            </w:r>
          </w:p>
        </w:tc>
      </w:tr>
      <w:tr w:rsidR="00B75ACA" w:rsidRPr="000242BF" w14:paraId="74E189E1" w14:textId="77777777">
        <w:tc>
          <w:tcPr>
            <w:tcW w:w="3232" w:type="dxa"/>
          </w:tcPr>
          <w:p w14:paraId="4394ADC3" w14:textId="77777777" w:rsidR="00B75ACA" w:rsidRPr="00E56196" w:rsidRDefault="00B75ACA">
            <w:pPr>
              <w:pStyle w:val="TableText"/>
              <w:rPr>
                <w:rFonts w:ascii="Franklin Gothic Book" w:hAnsi="Franklin Gothic Book"/>
              </w:rPr>
            </w:pPr>
            <w:r w:rsidRPr="00E56196">
              <w:rPr>
                <w:rFonts w:ascii="Franklin Gothic Book" w:hAnsi="Franklin Gothic Book"/>
              </w:rPr>
              <w:t>Low income</w:t>
            </w:r>
          </w:p>
        </w:tc>
        <w:tc>
          <w:tcPr>
            <w:tcW w:w="1530" w:type="dxa"/>
            <w:vAlign w:val="center"/>
          </w:tcPr>
          <w:p w14:paraId="39DAFCC3"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120</w:t>
            </w:r>
          </w:p>
        </w:tc>
        <w:tc>
          <w:tcPr>
            <w:tcW w:w="1530" w:type="dxa"/>
            <w:vAlign w:val="center"/>
          </w:tcPr>
          <w:p w14:paraId="211FA666"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47.6</w:t>
            </w:r>
          </w:p>
        </w:tc>
        <w:tc>
          <w:tcPr>
            <w:tcW w:w="1530" w:type="dxa"/>
            <w:vAlign w:val="center"/>
          </w:tcPr>
          <w:p w14:paraId="563F5D90"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52.4</w:t>
            </w:r>
          </w:p>
        </w:tc>
        <w:tc>
          <w:tcPr>
            <w:tcW w:w="1522" w:type="dxa"/>
            <w:vAlign w:val="center"/>
          </w:tcPr>
          <w:p w14:paraId="57F5343A"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47.3</w:t>
            </w:r>
          </w:p>
        </w:tc>
      </w:tr>
      <w:tr w:rsidR="00B75ACA" w:rsidRPr="000242BF" w14:paraId="2D71135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B7383C3" w14:textId="77777777" w:rsidR="00B75ACA" w:rsidRPr="00E56196" w:rsidRDefault="00B75ACA">
            <w:pPr>
              <w:pStyle w:val="TableText"/>
              <w:rPr>
                <w:rFonts w:ascii="Franklin Gothic Book" w:hAnsi="Franklin Gothic Book"/>
                <w:spacing w:val="-4"/>
              </w:rPr>
            </w:pPr>
            <w:r w:rsidRPr="00E56196">
              <w:rPr>
                <w:rFonts w:ascii="Franklin Gothic Book" w:hAnsi="Franklin Gothic Book"/>
                <w:spacing w:val="-4"/>
              </w:rPr>
              <w:t>ELs and former ELs</w:t>
            </w:r>
          </w:p>
        </w:tc>
        <w:tc>
          <w:tcPr>
            <w:tcW w:w="1530" w:type="dxa"/>
            <w:vAlign w:val="center"/>
          </w:tcPr>
          <w:p w14:paraId="69928F9A"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15</w:t>
            </w:r>
          </w:p>
        </w:tc>
        <w:tc>
          <w:tcPr>
            <w:tcW w:w="1530" w:type="dxa"/>
            <w:vAlign w:val="center"/>
          </w:tcPr>
          <w:p w14:paraId="369BF6E4" w14:textId="0BDC71B9" w:rsidR="00B75ACA" w:rsidRPr="001E4D48"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185B4A8B" w14:textId="230385AC" w:rsidR="00B75ACA" w:rsidRPr="001E4D48"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01477571"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49.3</w:t>
            </w:r>
          </w:p>
        </w:tc>
      </w:tr>
      <w:tr w:rsidR="00B75ACA" w:rsidRPr="000242BF" w14:paraId="73783A2D" w14:textId="77777777">
        <w:tc>
          <w:tcPr>
            <w:tcW w:w="3232" w:type="dxa"/>
          </w:tcPr>
          <w:p w14:paraId="65FFDFA6" w14:textId="77777777" w:rsidR="00B75ACA" w:rsidRPr="00E56196" w:rsidRDefault="00B75ACA">
            <w:pPr>
              <w:pStyle w:val="TableText"/>
              <w:rPr>
                <w:rFonts w:ascii="Franklin Gothic Book" w:hAnsi="Franklin Gothic Book"/>
              </w:rPr>
            </w:pPr>
            <w:r w:rsidRPr="00E56196">
              <w:rPr>
                <w:rFonts w:ascii="Franklin Gothic Book" w:hAnsi="Franklin Gothic Book"/>
              </w:rPr>
              <w:t>Students w/disabilities</w:t>
            </w:r>
          </w:p>
        </w:tc>
        <w:tc>
          <w:tcPr>
            <w:tcW w:w="1530" w:type="dxa"/>
            <w:vAlign w:val="center"/>
          </w:tcPr>
          <w:p w14:paraId="2433CFFD"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269</w:t>
            </w:r>
          </w:p>
        </w:tc>
        <w:tc>
          <w:tcPr>
            <w:tcW w:w="1530" w:type="dxa"/>
            <w:vAlign w:val="center"/>
          </w:tcPr>
          <w:p w14:paraId="72BEF59F"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51.1</w:t>
            </w:r>
          </w:p>
        </w:tc>
        <w:tc>
          <w:tcPr>
            <w:tcW w:w="1530" w:type="dxa"/>
            <w:vAlign w:val="center"/>
          </w:tcPr>
          <w:p w14:paraId="22E1D75D"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51.1</w:t>
            </w:r>
          </w:p>
        </w:tc>
        <w:tc>
          <w:tcPr>
            <w:tcW w:w="1522" w:type="dxa"/>
            <w:vAlign w:val="center"/>
          </w:tcPr>
          <w:p w14:paraId="4D0FD557" w14:textId="77777777" w:rsidR="00B75ACA" w:rsidRPr="001E4D48" w:rsidRDefault="00B75ACA">
            <w:pPr>
              <w:pStyle w:val="TableTextCentered"/>
              <w:rPr>
                <w:rFonts w:ascii="Franklin Gothic Book" w:hAnsi="Franklin Gothic Book"/>
              </w:rPr>
            </w:pPr>
            <w:r w:rsidRPr="001E4D48">
              <w:rPr>
                <w:rFonts w:ascii="Franklin Gothic Book" w:hAnsi="Franklin Gothic Book" w:cs="Calibri"/>
              </w:rPr>
              <w:t>44.8</w:t>
            </w:r>
          </w:p>
        </w:tc>
      </w:tr>
    </w:tbl>
    <w:p w14:paraId="1129C970" w14:textId="77777777" w:rsidR="00B75ACA" w:rsidRPr="003C1C59" w:rsidRDefault="00B75ACA" w:rsidP="003C1333">
      <w:pPr>
        <w:pStyle w:val="TableTitle0"/>
      </w:pPr>
      <w:bookmarkStart w:id="204" w:name="_Toc158035180"/>
      <w:r w:rsidRPr="005055D7">
        <w:t>Table E</w:t>
      </w:r>
      <w:r>
        <w:t>13</w:t>
      </w:r>
      <w:r w:rsidRPr="005055D7">
        <w:t xml:space="preserve">. Next-Generation MCAS </w:t>
      </w:r>
      <w:r>
        <w:t>Mathematics Mean Student Growth Percentile</w:t>
      </w:r>
      <w:r w:rsidRPr="003979D4">
        <w:t xml:space="preserve"> by Student Group</w:t>
      </w:r>
      <w:r>
        <w:t xml:space="preserve">, </w:t>
      </w:r>
      <w:r w:rsidRPr="005055D7">
        <w:t>Grade</w:t>
      </w:r>
      <w:r>
        <w:t xml:space="preserve"> 10</w:t>
      </w:r>
      <w:r w:rsidRPr="005055D7">
        <w:t>, 202</w:t>
      </w:r>
      <w:r>
        <w:t>2</w:t>
      </w:r>
      <w:r w:rsidRPr="005055D7">
        <w:t>-2023</w:t>
      </w:r>
      <w:bookmarkEnd w:id="204"/>
    </w:p>
    <w:tbl>
      <w:tblPr>
        <w:tblStyle w:val="MSVTable1"/>
        <w:tblW w:w="5000" w:type="pct"/>
        <w:tblLook w:val="0420" w:firstRow="1" w:lastRow="0" w:firstColumn="0" w:lastColumn="0" w:noHBand="0" w:noVBand="1"/>
      </w:tblPr>
      <w:tblGrid>
        <w:gridCol w:w="3232"/>
        <w:gridCol w:w="1530"/>
        <w:gridCol w:w="1530"/>
        <w:gridCol w:w="1530"/>
        <w:gridCol w:w="1522"/>
      </w:tblGrid>
      <w:tr w:rsidR="00B75ACA" w:rsidRPr="00AE3263" w14:paraId="116DC5FA"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0B2195EC" w14:textId="77777777" w:rsidR="00B75ACA" w:rsidRPr="009231B7" w:rsidRDefault="00B75ACA">
            <w:pPr>
              <w:pStyle w:val="TableColHeadingLeft"/>
              <w:keepNext/>
              <w:keepLines/>
              <w:jc w:val="center"/>
            </w:pPr>
            <w:r w:rsidRPr="009231B7">
              <w:t>Group</w:t>
            </w:r>
          </w:p>
        </w:tc>
        <w:tc>
          <w:tcPr>
            <w:tcW w:w="1530" w:type="dxa"/>
            <w:vAlign w:val="center"/>
          </w:tcPr>
          <w:p w14:paraId="2281361C" w14:textId="592BEB8D" w:rsidR="00B75ACA" w:rsidRPr="009231B7" w:rsidRDefault="00B75ACA">
            <w:pPr>
              <w:pStyle w:val="TableColHeadingCenter"/>
            </w:pPr>
            <w:r w:rsidRPr="009231B7">
              <w:t xml:space="preserve"># </w:t>
            </w:r>
            <w:r w:rsidR="00C6447D">
              <w:t>i</w:t>
            </w:r>
            <w:r w:rsidRPr="009231B7">
              <w:t>ncluded (2023)</w:t>
            </w:r>
          </w:p>
        </w:tc>
        <w:tc>
          <w:tcPr>
            <w:tcW w:w="1530" w:type="dxa"/>
            <w:vAlign w:val="center"/>
          </w:tcPr>
          <w:p w14:paraId="52058C90" w14:textId="77777777" w:rsidR="00B75ACA" w:rsidRPr="009231B7" w:rsidRDefault="00B75ACA">
            <w:pPr>
              <w:pStyle w:val="TableColHeadingCenter"/>
            </w:pPr>
            <w:r w:rsidRPr="009231B7">
              <w:t>2022</w:t>
            </w:r>
          </w:p>
        </w:tc>
        <w:tc>
          <w:tcPr>
            <w:tcW w:w="1530" w:type="dxa"/>
            <w:vAlign w:val="center"/>
          </w:tcPr>
          <w:p w14:paraId="39EE5996" w14:textId="77777777" w:rsidR="00B75ACA" w:rsidRPr="009231B7" w:rsidRDefault="00B75ACA">
            <w:pPr>
              <w:pStyle w:val="TableColHeadingCenter"/>
            </w:pPr>
            <w:r w:rsidRPr="009231B7">
              <w:t>2023</w:t>
            </w:r>
          </w:p>
        </w:tc>
        <w:tc>
          <w:tcPr>
            <w:tcW w:w="1522" w:type="dxa"/>
            <w:vAlign w:val="center"/>
          </w:tcPr>
          <w:p w14:paraId="07EFB134" w14:textId="77777777" w:rsidR="00B75ACA" w:rsidRPr="009231B7" w:rsidRDefault="00B75ACA">
            <w:pPr>
              <w:pStyle w:val="TableColHeadingCenter"/>
            </w:pPr>
            <w:r w:rsidRPr="009231B7">
              <w:t>State (2023)</w:t>
            </w:r>
          </w:p>
        </w:tc>
      </w:tr>
      <w:tr w:rsidR="00B75ACA" w:rsidRPr="00AE3263" w14:paraId="06C8394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B50B022" w14:textId="77777777" w:rsidR="00B75ACA" w:rsidRPr="00E56196" w:rsidRDefault="00B75ACA">
            <w:pPr>
              <w:pStyle w:val="TableText"/>
              <w:rPr>
                <w:rFonts w:ascii="Franklin Gothic Book" w:hAnsi="Franklin Gothic Book"/>
              </w:rPr>
            </w:pPr>
            <w:r w:rsidRPr="00E56196">
              <w:rPr>
                <w:rFonts w:ascii="Franklin Gothic Book" w:hAnsi="Franklin Gothic Book"/>
              </w:rPr>
              <w:t>All students</w:t>
            </w:r>
          </w:p>
        </w:tc>
        <w:tc>
          <w:tcPr>
            <w:tcW w:w="1530" w:type="dxa"/>
            <w:vAlign w:val="center"/>
          </w:tcPr>
          <w:p w14:paraId="2181D78E"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245</w:t>
            </w:r>
          </w:p>
        </w:tc>
        <w:tc>
          <w:tcPr>
            <w:tcW w:w="1530" w:type="dxa"/>
            <w:vAlign w:val="center"/>
          </w:tcPr>
          <w:p w14:paraId="0D3715D7"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60.7</w:t>
            </w:r>
          </w:p>
        </w:tc>
        <w:tc>
          <w:tcPr>
            <w:tcW w:w="1530" w:type="dxa"/>
            <w:vAlign w:val="center"/>
          </w:tcPr>
          <w:p w14:paraId="154D95E0"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61.5</w:t>
            </w:r>
          </w:p>
        </w:tc>
        <w:tc>
          <w:tcPr>
            <w:tcW w:w="1522" w:type="dxa"/>
            <w:vAlign w:val="center"/>
          </w:tcPr>
          <w:p w14:paraId="5C7B71C3"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49.6</w:t>
            </w:r>
          </w:p>
        </w:tc>
      </w:tr>
      <w:tr w:rsidR="00B75ACA" w:rsidRPr="00AE3263" w14:paraId="7A3D14EE" w14:textId="77777777">
        <w:tc>
          <w:tcPr>
            <w:tcW w:w="3232" w:type="dxa"/>
          </w:tcPr>
          <w:p w14:paraId="4A4B3BA7" w14:textId="77777777" w:rsidR="00B75ACA" w:rsidRPr="00E56196" w:rsidRDefault="00B75ACA">
            <w:pPr>
              <w:pStyle w:val="TableText"/>
              <w:rPr>
                <w:rFonts w:ascii="Franklin Gothic Book" w:hAnsi="Franklin Gothic Book"/>
              </w:rPr>
            </w:pPr>
            <w:r w:rsidRPr="00E56196">
              <w:rPr>
                <w:rFonts w:ascii="Franklin Gothic Book" w:hAnsi="Franklin Gothic Book"/>
              </w:rPr>
              <w:t>African American/Black</w:t>
            </w:r>
          </w:p>
        </w:tc>
        <w:tc>
          <w:tcPr>
            <w:tcW w:w="1530" w:type="dxa"/>
            <w:vAlign w:val="center"/>
          </w:tcPr>
          <w:p w14:paraId="433C5919" w14:textId="77777777" w:rsidR="00B75ACA" w:rsidRPr="00330881" w:rsidRDefault="00B75ACA">
            <w:pPr>
              <w:pStyle w:val="TableTextCentered"/>
              <w:rPr>
                <w:rFonts w:ascii="Franklin Gothic Book" w:hAnsi="Franklin Gothic Book"/>
              </w:rPr>
            </w:pPr>
            <w:r>
              <w:rPr>
                <w:rFonts w:ascii="Franklin Gothic Book" w:hAnsi="Franklin Gothic Book"/>
              </w:rPr>
              <w:t>7</w:t>
            </w:r>
          </w:p>
        </w:tc>
        <w:tc>
          <w:tcPr>
            <w:tcW w:w="1530" w:type="dxa"/>
            <w:vAlign w:val="center"/>
          </w:tcPr>
          <w:p w14:paraId="7D32EF57" w14:textId="04F878C9"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2614E5F3" w14:textId="4B3E7476"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0AC6732C"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41.4</w:t>
            </w:r>
          </w:p>
        </w:tc>
      </w:tr>
      <w:tr w:rsidR="00B75ACA" w:rsidRPr="00AE3263" w14:paraId="3E65523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458E646" w14:textId="77777777" w:rsidR="00B75ACA" w:rsidRPr="00E56196" w:rsidRDefault="00B75ACA">
            <w:pPr>
              <w:pStyle w:val="TableText"/>
              <w:rPr>
                <w:rFonts w:ascii="Franklin Gothic Book" w:hAnsi="Franklin Gothic Book"/>
              </w:rPr>
            </w:pPr>
            <w:r w:rsidRPr="00E56196">
              <w:rPr>
                <w:rFonts w:ascii="Franklin Gothic Book" w:hAnsi="Franklin Gothic Book"/>
              </w:rPr>
              <w:t>Asian</w:t>
            </w:r>
          </w:p>
        </w:tc>
        <w:tc>
          <w:tcPr>
            <w:tcW w:w="1530" w:type="dxa"/>
            <w:vAlign w:val="center"/>
          </w:tcPr>
          <w:p w14:paraId="3186CFFE"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13</w:t>
            </w:r>
          </w:p>
        </w:tc>
        <w:tc>
          <w:tcPr>
            <w:tcW w:w="1530" w:type="dxa"/>
            <w:vAlign w:val="center"/>
          </w:tcPr>
          <w:p w14:paraId="1BE5FE78" w14:textId="3606AA9C"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61600819" w14:textId="38CBF10C"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3C23A45D"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55.9</w:t>
            </w:r>
          </w:p>
        </w:tc>
      </w:tr>
      <w:tr w:rsidR="00B75ACA" w:rsidRPr="00AE3263" w14:paraId="2F9BF557" w14:textId="77777777">
        <w:tc>
          <w:tcPr>
            <w:tcW w:w="3232" w:type="dxa"/>
          </w:tcPr>
          <w:p w14:paraId="5010A874" w14:textId="77777777" w:rsidR="00B75ACA" w:rsidRPr="00E56196" w:rsidRDefault="00B75ACA">
            <w:pPr>
              <w:pStyle w:val="TableText"/>
              <w:rPr>
                <w:rFonts w:ascii="Franklin Gothic Book" w:hAnsi="Franklin Gothic Book"/>
              </w:rPr>
            </w:pPr>
            <w:r w:rsidRPr="00E56196">
              <w:rPr>
                <w:rFonts w:ascii="Franklin Gothic Book" w:hAnsi="Franklin Gothic Book"/>
              </w:rPr>
              <w:t>Hispanic/Latino</w:t>
            </w:r>
          </w:p>
        </w:tc>
        <w:tc>
          <w:tcPr>
            <w:tcW w:w="1530" w:type="dxa"/>
            <w:vAlign w:val="center"/>
          </w:tcPr>
          <w:p w14:paraId="2A1B501F"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7</w:t>
            </w:r>
          </w:p>
        </w:tc>
        <w:tc>
          <w:tcPr>
            <w:tcW w:w="1530" w:type="dxa"/>
            <w:vAlign w:val="center"/>
          </w:tcPr>
          <w:p w14:paraId="74DD70E7" w14:textId="02EB330D"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6E413E3C" w14:textId="14123D76"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57FD686D"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41.8</w:t>
            </w:r>
          </w:p>
        </w:tc>
      </w:tr>
      <w:tr w:rsidR="00B75ACA" w:rsidRPr="00AE3263" w14:paraId="62070DB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D1FD8FC" w14:textId="77777777" w:rsidR="00B75ACA" w:rsidRPr="00E56196" w:rsidRDefault="00B75ACA">
            <w:pPr>
              <w:pStyle w:val="TableText"/>
              <w:rPr>
                <w:rFonts w:ascii="Franklin Gothic Book" w:hAnsi="Franklin Gothic Book"/>
              </w:rPr>
            </w:pPr>
            <w:r w:rsidRPr="00E56196">
              <w:rPr>
                <w:rFonts w:ascii="Franklin Gothic Book" w:hAnsi="Franklin Gothic Book"/>
              </w:rPr>
              <w:t>Multi-Race, non-Hispanic/Latino</w:t>
            </w:r>
          </w:p>
        </w:tc>
        <w:tc>
          <w:tcPr>
            <w:tcW w:w="1530" w:type="dxa"/>
            <w:vAlign w:val="center"/>
          </w:tcPr>
          <w:p w14:paraId="19D3EEE0"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9</w:t>
            </w:r>
          </w:p>
        </w:tc>
        <w:tc>
          <w:tcPr>
            <w:tcW w:w="1530" w:type="dxa"/>
            <w:vAlign w:val="center"/>
          </w:tcPr>
          <w:p w14:paraId="727FCB1C" w14:textId="1ACC9324"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2B9FD2CE" w14:textId="35358A32"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2D66F663"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51.1</w:t>
            </w:r>
          </w:p>
        </w:tc>
      </w:tr>
      <w:tr w:rsidR="00B75ACA" w:rsidRPr="00AE3263" w14:paraId="52AC0135" w14:textId="77777777">
        <w:tc>
          <w:tcPr>
            <w:tcW w:w="3232" w:type="dxa"/>
          </w:tcPr>
          <w:p w14:paraId="43A689A3" w14:textId="77777777" w:rsidR="00B75ACA" w:rsidRPr="00E56196" w:rsidRDefault="00B75ACA">
            <w:pPr>
              <w:pStyle w:val="TableText"/>
              <w:rPr>
                <w:rFonts w:ascii="Franklin Gothic Book" w:hAnsi="Franklin Gothic Book"/>
              </w:rPr>
            </w:pPr>
            <w:r w:rsidRPr="00E56196">
              <w:rPr>
                <w:rFonts w:ascii="Franklin Gothic Book" w:hAnsi="Franklin Gothic Book"/>
              </w:rPr>
              <w:t>Native American</w:t>
            </w:r>
          </w:p>
        </w:tc>
        <w:tc>
          <w:tcPr>
            <w:tcW w:w="1530" w:type="dxa"/>
            <w:vAlign w:val="center"/>
          </w:tcPr>
          <w:p w14:paraId="66FB0FB9" w14:textId="77777777" w:rsidR="00B75ACA" w:rsidRPr="00330881" w:rsidRDefault="00B75ACA">
            <w:pPr>
              <w:pStyle w:val="TableTextCentered"/>
              <w:rPr>
                <w:rFonts w:ascii="Franklin Gothic Book" w:hAnsi="Franklin Gothic Book"/>
              </w:rPr>
            </w:pPr>
            <w:r>
              <w:rPr>
                <w:rFonts w:ascii="Franklin Gothic Book" w:hAnsi="Franklin Gothic Book"/>
              </w:rPr>
              <w:t>1</w:t>
            </w:r>
          </w:p>
        </w:tc>
        <w:tc>
          <w:tcPr>
            <w:tcW w:w="1530" w:type="dxa"/>
            <w:vAlign w:val="center"/>
          </w:tcPr>
          <w:p w14:paraId="4897206C" w14:textId="620369E4"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68C39E82" w14:textId="380245D7"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33A4C1CF"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45.4</w:t>
            </w:r>
          </w:p>
        </w:tc>
      </w:tr>
      <w:tr w:rsidR="00B75ACA" w:rsidRPr="00AE3263" w14:paraId="11308FE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BB73462" w14:textId="77777777" w:rsidR="00B75ACA" w:rsidRPr="00E56196" w:rsidRDefault="00B75ACA">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530" w:type="dxa"/>
            <w:vAlign w:val="center"/>
          </w:tcPr>
          <w:p w14:paraId="2E615D2F" w14:textId="4A3E262B"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684095C9" w14:textId="4D4B0A06"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10BF2553" w14:textId="52CC702E"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1007AACF"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56.1</w:t>
            </w:r>
          </w:p>
        </w:tc>
      </w:tr>
      <w:tr w:rsidR="00B75ACA" w:rsidRPr="00AE3263" w14:paraId="535368BE" w14:textId="77777777">
        <w:tc>
          <w:tcPr>
            <w:tcW w:w="3232" w:type="dxa"/>
          </w:tcPr>
          <w:p w14:paraId="0F0C8BEC" w14:textId="77777777" w:rsidR="00B75ACA" w:rsidRPr="00E56196" w:rsidRDefault="00B75ACA">
            <w:pPr>
              <w:pStyle w:val="TableText"/>
              <w:rPr>
                <w:rFonts w:ascii="Franklin Gothic Book" w:hAnsi="Franklin Gothic Book"/>
              </w:rPr>
            </w:pPr>
            <w:r w:rsidRPr="00E56196">
              <w:rPr>
                <w:rFonts w:ascii="Franklin Gothic Book" w:hAnsi="Franklin Gothic Book"/>
              </w:rPr>
              <w:t>White</w:t>
            </w:r>
          </w:p>
        </w:tc>
        <w:tc>
          <w:tcPr>
            <w:tcW w:w="1530" w:type="dxa"/>
            <w:vAlign w:val="center"/>
          </w:tcPr>
          <w:p w14:paraId="6F60A6C3"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208</w:t>
            </w:r>
          </w:p>
        </w:tc>
        <w:tc>
          <w:tcPr>
            <w:tcW w:w="1530" w:type="dxa"/>
            <w:vAlign w:val="center"/>
          </w:tcPr>
          <w:p w14:paraId="69EA725C"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61.5</w:t>
            </w:r>
          </w:p>
        </w:tc>
        <w:tc>
          <w:tcPr>
            <w:tcW w:w="1530" w:type="dxa"/>
            <w:vAlign w:val="center"/>
          </w:tcPr>
          <w:p w14:paraId="6232266F"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61.3</w:t>
            </w:r>
          </w:p>
        </w:tc>
        <w:tc>
          <w:tcPr>
            <w:tcW w:w="1522" w:type="dxa"/>
            <w:vAlign w:val="center"/>
          </w:tcPr>
          <w:p w14:paraId="38F9698F"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52.9</w:t>
            </w:r>
          </w:p>
        </w:tc>
      </w:tr>
      <w:tr w:rsidR="00B75ACA" w:rsidRPr="00AE3263" w14:paraId="1DEE3FA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1E61A0A" w14:textId="77777777" w:rsidR="00B75ACA" w:rsidRPr="00E56196" w:rsidRDefault="00B75ACA">
            <w:pPr>
              <w:pStyle w:val="TableText"/>
              <w:rPr>
                <w:rFonts w:ascii="Franklin Gothic Book" w:hAnsi="Franklin Gothic Book"/>
              </w:rPr>
            </w:pPr>
            <w:r w:rsidRPr="00E56196">
              <w:rPr>
                <w:rFonts w:ascii="Franklin Gothic Book" w:hAnsi="Franklin Gothic Book"/>
              </w:rPr>
              <w:t>High needs</w:t>
            </w:r>
          </w:p>
        </w:tc>
        <w:tc>
          <w:tcPr>
            <w:tcW w:w="1530" w:type="dxa"/>
            <w:vAlign w:val="center"/>
          </w:tcPr>
          <w:p w14:paraId="3381C361"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41</w:t>
            </w:r>
          </w:p>
        </w:tc>
        <w:tc>
          <w:tcPr>
            <w:tcW w:w="1530" w:type="dxa"/>
            <w:vAlign w:val="center"/>
          </w:tcPr>
          <w:p w14:paraId="14314099"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59.2</w:t>
            </w:r>
          </w:p>
        </w:tc>
        <w:tc>
          <w:tcPr>
            <w:tcW w:w="1530" w:type="dxa"/>
            <w:vAlign w:val="center"/>
          </w:tcPr>
          <w:p w14:paraId="4087F7B0"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56.6</w:t>
            </w:r>
          </w:p>
        </w:tc>
        <w:tc>
          <w:tcPr>
            <w:tcW w:w="1522" w:type="dxa"/>
            <w:vAlign w:val="center"/>
          </w:tcPr>
          <w:p w14:paraId="3B35E711"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43.9</w:t>
            </w:r>
          </w:p>
        </w:tc>
      </w:tr>
      <w:tr w:rsidR="00B75ACA" w:rsidRPr="00AE3263" w14:paraId="76320DF3" w14:textId="77777777">
        <w:tc>
          <w:tcPr>
            <w:tcW w:w="3232" w:type="dxa"/>
          </w:tcPr>
          <w:p w14:paraId="580BF621" w14:textId="77777777" w:rsidR="00B75ACA" w:rsidRPr="00E56196" w:rsidRDefault="00B75ACA">
            <w:pPr>
              <w:pStyle w:val="TableText"/>
              <w:rPr>
                <w:rFonts w:ascii="Franklin Gothic Book" w:hAnsi="Franklin Gothic Book"/>
              </w:rPr>
            </w:pPr>
            <w:r w:rsidRPr="00E56196">
              <w:rPr>
                <w:rFonts w:ascii="Franklin Gothic Book" w:hAnsi="Franklin Gothic Book"/>
              </w:rPr>
              <w:t>Low income</w:t>
            </w:r>
          </w:p>
        </w:tc>
        <w:tc>
          <w:tcPr>
            <w:tcW w:w="1530" w:type="dxa"/>
            <w:vAlign w:val="center"/>
          </w:tcPr>
          <w:p w14:paraId="5DEE2661"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23</w:t>
            </w:r>
          </w:p>
        </w:tc>
        <w:tc>
          <w:tcPr>
            <w:tcW w:w="1530" w:type="dxa"/>
            <w:vAlign w:val="center"/>
          </w:tcPr>
          <w:p w14:paraId="144341A4"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60.2</w:t>
            </w:r>
          </w:p>
        </w:tc>
        <w:tc>
          <w:tcPr>
            <w:tcW w:w="1530" w:type="dxa"/>
            <w:vAlign w:val="center"/>
          </w:tcPr>
          <w:p w14:paraId="7339E15B"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58.6</w:t>
            </w:r>
          </w:p>
        </w:tc>
        <w:tc>
          <w:tcPr>
            <w:tcW w:w="1522" w:type="dxa"/>
            <w:vAlign w:val="center"/>
          </w:tcPr>
          <w:p w14:paraId="0E87436B"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43.2</w:t>
            </w:r>
          </w:p>
        </w:tc>
      </w:tr>
      <w:tr w:rsidR="00B75ACA" w:rsidRPr="00AE3263" w14:paraId="5269EF7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94E1850" w14:textId="77777777" w:rsidR="00B75ACA" w:rsidRPr="00E56196" w:rsidRDefault="00B75ACA">
            <w:pPr>
              <w:pStyle w:val="TableText"/>
              <w:rPr>
                <w:rFonts w:ascii="Franklin Gothic Book" w:hAnsi="Franklin Gothic Book"/>
                <w:spacing w:val="-4"/>
              </w:rPr>
            </w:pPr>
            <w:r w:rsidRPr="00E56196">
              <w:rPr>
                <w:rFonts w:ascii="Franklin Gothic Book" w:hAnsi="Franklin Gothic Book"/>
                <w:spacing w:val="-4"/>
              </w:rPr>
              <w:t>ELs and former ELs</w:t>
            </w:r>
          </w:p>
        </w:tc>
        <w:tc>
          <w:tcPr>
            <w:tcW w:w="1530" w:type="dxa"/>
            <w:vAlign w:val="center"/>
          </w:tcPr>
          <w:p w14:paraId="4407AAC6" w14:textId="77777777" w:rsidR="00B75ACA" w:rsidRPr="00330881" w:rsidRDefault="00B75ACA">
            <w:pPr>
              <w:pStyle w:val="TableTextCentered"/>
              <w:rPr>
                <w:rFonts w:ascii="Franklin Gothic Book" w:hAnsi="Franklin Gothic Book"/>
              </w:rPr>
            </w:pPr>
            <w:r>
              <w:rPr>
                <w:rFonts w:ascii="Franklin Gothic Book" w:hAnsi="Franklin Gothic Book"/>
              </w:rPr>
              <w:t>1</w:t>
            </w:r>
          </w:p>
        </w:tc>
        <w:tc>
          <w:tcPr>
            <w:tcW w:w="1530" w:type="dxa"/>
            <w:vAlign w:val="center"/>
          </w:tcPr>
          <w:p w14:paraId="752F558D" w14:textId="07F8730D"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30" w:type="dxa"/>
            <w:vAlign w:val="center"/>
          </w:tcPr>
          <w:p w14:paraId="33F20A72" w14:textId="61626122" w:rsidR="00B75ACA" w:rsidRPr="00330881" w:rsidRDefault="008E5BF5">
            <w:pPr>
              <w:pStyle w:val="TableTextCentered"/>
              <w:rPr>
                <w:rFonts w:ascii="Franklin Gothic Book" w:hAnsi="Franklin Gothic Book"/>
              </w:rPr>
            </w:pPr>
            <w:r>
              <w:rPr>
                <w:rFonts w:ascii="Franklin Gothic Book" w:hAnsi="Franklin Gothic Book" w:cs="Calibri"/>
              </w:rPr>
              <w:t>—</w:t>
            </w:r>
          </w:p>
        </w:tc>
        <w:tc>
          <w:tcPr>
            <w:tcW w:w="1522" w:type="dxa"/>
            <w:vAlign w:val="center"/>
          </w:tcPr>
          <w:p w14:paraId="67877394"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40.2</w:t>
            </w:r>
          </w:p>
        </w:tc>
      </w:tr>
      <w:tr w:rsidR="00B75ACA" w:rsidRPr="00AE3263" w14:paraId="09691316" w14:textId="77777777">
        <w:tc>
          <w:tcPr>
            <w:tcW w:w="3232" w:type="dxa"/>
          </w:tcPr>
          <w:p w14:paraId="4515C935" w14:textId="77777777" w:rsidR="00B75ACA" w:rsidRPr="00E56196" w:rsidRDefault="00B75ACA">
            <w:pPr>
              <w:pStyle w:val="TableText"/>
              <w:rPr>
                <w:rFonts w:ascii="Franklin Gothic Book" w:hAnsi="Franklin Gothic Book"/>
              </w:rPr>
            </w:pPr>
            <w:r w:rsidRPr="00E56196">
              <w:rPr>
                <w:rFonts w:ascii="Franklin Gothic Book" w:hAnsi="Franklin Gothic Book"/>
              </w:rPr>
              <w:t>Students w/disabilities</w:t>
            </w:r>
          </w:p>
        </w:tc>
        <w:tc>
          <w:tcPr>
            <w:tcW w:w="1530" w:type="dxa"/>
            <w:vAlign w:val="center"/>
          </w:tcPr>
          <w:p w14:paraId="6FD4C992"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23</w:t>
            </w:r>
          </w:p>
        </w:tc>
        <w:tc>
          <w:tcPr>
            <w:tcW w:w="1530" w:type="dxa"/>
            <w:vAlign w:val="center"/>
          </w:tcPr>
          <w:p w14:paraId="5145E5A4"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57.9</w:t>
            </w:r>
          </w:p>
        </w:tc>
        <w:tc>
          <w:tcPr>
            <w:tcW w:w="1530" w:type="dxa"/>
            <w:vAlign w:val="center"/>
          </w:tcPr>
          <w:p w14:paraId="0187AB4F"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54.5</w:t>
            </w:r>
          </w:p>
        </w:tc>
        <w:tc>
          <w:tcPr>
            <w:tcW w:w="1522" w:type="dxa"/>
            <w:vAlign w:val="center"/>
          </w:tcPr>
          <w:p w14:paraId="4CC3AA4C" w14:textId="77777777" w:rsidR="00B75ACA" w:rsidRPr="00330881" w:rsidRDefault="00B75ACA">
            <w:pPr>
              <w:pStyle w:val="TableTextCentered"/>
              <w:rPr>
                <w:rFonts w:ascii="Franklin Gothic Book" w:hAnsi="Franklin Gothic Book"/>
              </w:rPr>
            </w:pPr>
            <w:r w:rsidRPr="00330881">
              <w:rPr>
                <w:rFonts w:ascii="Franklin Gothic Book" w:hAnsi="Franklin Gothic Book" w:cs="Calibri"/>
              </w:rPr>
              <w:t>41.7</w:t>
            </w:r>
          </w:p>
        </w:tc>
      </w:tr>
    </w:tbl>
    <w:p w14:paraId="44C46F3E" w14:textId="77777777" w:rsidR="00B75ACA" w:rsidRDefault="00B75ACA">
      <w:pPr>
        <w:spacing w:line="240" w:lineRule="auto"/>
        <w:rPr>
          <w:rFonts w:ascii="Franklin Gothic Book" w:hAnsi="Franklin Gothic Book"/>
          <w:sz w:val="20"/>
          <w:szCs w:val="20"/>
        </w:rPr>
      </w:pPr>
    </w:p>
    <w:p w14:paraId="3EEC7A5C" w14:textId="77777777" w:rsidR="00B75ACA" w:rsidRDefault="00B75ACA">
      <w:pPr>
        <w:spacing w:after="160" w:line="259" w:lineRule="auto"/>
        <w:rPr>
          <w:rFonts w:ascii="Franklin Gothic Book" w:hAnsi="Franklin Gothic Book"/>
          <w:sz w:val="20"/>
          <w:szCs w:val="20"/>
        </w:rPr>
        <w:sectPr w:rsidR="00B75ACA" w:rsidSect="00B75ACA">
          <w:pgSz w:w="12240" w:h="15840"/>
          <w:pgMar w:top="1440" w:right="1440" w:bottom="1440" w:left="1440" w:header="720" w:footer="720" w:gutter="0"/>
          <w:cols w:space="720"/>
          <w:docGrid w:linePitch="360"/>
        </w:sectPr>
      </w:pPr>
      <w:r>
        <w:rPr>
          <w:rFonts w:ascii="Franklin Gothic Book" w:hAnsi="Franklin Gothic Book"/>
          <w:sz w:val="20"/>
          <w:szCs w:val="20"/>
        </w:rPr>
        <w:br w:type="page"/>
      </w:r>
    </w:p>
    <w:p w14:paraId="6C017984" w14:textId="77777777" w:rsidR="00B75ACA" w:rsidRPr="0091716A" w:rsidRDefault="00B75ACA" w:rsidP="003C1333">
      <w:pPr>
        <w:pStyle w:val="TableTitle0"/>
      </w:pPr>
      <w:bookmarkStart w:id="205" w:name="_Toc158035181"/>
      <w:r w:rsidRPr="0091716A">
        <w:lastRenderedPageBreak/>
        <w:t xml:space="preserve">Table E14. </w:t>
      </w:r>
      <w:r>
        <w:t>Next-Generation MCAS</w:t>
      </w:r>
      <w:r w:rsidRPr="0091716A">
        <w:t xml:space="preserve"> ELA Mean Student Growth Percentile by Grade, 2022</w:t>
      </w:r>
      <w:r>
        <w:t>-</w:t>
      </w:r>
      <w:r w:rsidRPr="0091716A">
        <w:t>2023</w:t>
      </w:r>
      <w:bookmarkEnd w:id="205"/>
    </w:p>
    <w:tbl>
      <w:tblPr>
        <w:tblStyle w:val="MSVTable1"/>
        <w:tblW w:w="5000" w:type="pct"/>
        <w:tblLook w:val="0420" w:firstRow="1" w:lastRow="0" w:firstColumn="0" w:lastColumn="0" w:noHBand="0" w:noVBand="1"/>
      </w:tblPr>
      <w:tblGrid>
        <w:gridCol w:w="1307"/>
        <w:gridCol w:w="2019"/>
        <w:gridCol w:w="2004"/>
        <w:gridCol w:w="2003"/>
        <w:gridCol w:w="2011"/>
      </w:tblGrid>
      <w:tr w:rsidR="00B75ACA" w:rsidRPr="0091716A" w14:paraId="72DE099B"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0F9FC088" w14:textId="77777777" w:rsidR="00B75ACA" w:rsidRPr="007E5270" w:rsidRDefault="00B75ACA">
            <w:pPr>
              <w:pStyle w:val="TableColHeadingCenter"/>
              <w:spacing w:before="30" w:after="30"/>
            </w:pPr>
            <w:r w:rsidRPr="007E5270">
              <w:t>Grade</w:t>
            </w:r>
          </w:p>
        </w:tc>
        <w:tc>
          <w:tcPr>
            <w:tcW w:w="2019" w:type="dxa"/>
          </w:tcPr>
          <w:p w14:paraId="7EA9D361" w14:textId="16354406" w:rsidR="00B75ACA" w:rsidRPr="007E5270" w:rsidRDefault="00B75ACA">
            <w:pPr>
              <w:pStyle w:val="TableColHeadingCenter"/>
              <w:spacing w:before="30" w:after="30"/>
            </w:pPr>
            <w:r w:rsidRPr="007E5270">
              <w:t xml:space="preserve"># </w:t>
            </w:r>
            <w:r w:rsidR="00C6447D">
              <w:t>i</w:t>
            </w:r>
            <w:r w:rsidRPr="007E5270">
              <w:t>ncluded (2023)</w:t>
            </w:r>
          </w:p>
        </w:tc>
        <w:tc>
          <w:tcPr>
            <w:tcW w:w="2004" w:type="dxa"/>
          </w:tcPr>
          <w:p w14:paraId="541F365C" w14:textId="77777777" w:rsidR="00B75ACA" w:rsidRPr="007E5270" w:rsidRDefault="00B75ACA">
            <w:pPr>
              <w:pStyle w:val="TableColHeadingCenter"/>
              <w:spacing w:before="30" w:after="30"/>
            </w:pPr>
            <w:r w:rsidRPr="007E5270">
              <w:t>2022</w:t>
            </w:r>
          </w:p>
        </w:tc>
        <w:tc>
          <w:tcPr>
            <w:tcW w:w="2003" w:type="dxa"/>
          </w:tcPr>
          <w:p w14:paraId="4C7546A8" w14:textId="77777777" w:rsidR="00B75ACA" w:rsidRPr="007E5270" w:rsidRDefault="00B75ACA">
            <w:pPr>
              <w:pStyle w:val="TableColHeadingCenter"/>
              <w:spacing w:before="30" w:after="30"/>
            </w:pPr>
            <w:r w:rsidRPr="007E5270">
              <w:t>2023</w:t>
            </w:r>
          </w:p>
        </w:tc>
        <w:tc>
          <w:tcPr>
            <w:tcW w:w="2011" w:type="dxa"/>
          </w:tcPr>
          <w:p w14:paraId="4A246FB3" w14:textId="77777777" w:rsidR="00B75ACA" w:rsidRPr="007E5270" w:rsidRDefault="00B75ACA">
            <w:pPr>
              <w:pStyle w:val="TableColHeadingCenter"/>
              <w:spacing w:before="30" w:after="30"/>
            </w:pPr>
            <w:r w:rsidRPr="007E5270">
              <w:t>State (2023)</w:t>
            </w:r>
          </w:p>
        </w:tc>
      </w:tr>
      <w:tr w:rsidR="00B75ACA" w:rsidRPr="0091716A" w14:paraId="1A47D8E1"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B236882" w14:textId="77777777" w:rsidR="00B75ACA" w:rsidRPr="001010E4" w:rsidRDefault="00B75ACA">
            <w:pPr>
              <w:pStyle w:val="TableTextCentered"/>
              <w:spacing w:before="30" w:after="30"/>
              <w:rPr>
                <w:rFonts w:ascii="Franklin Gothic Book" w:hAnsi="Franklin Gothic Book"/>
              </w:rPr>
            </w:pPr>
            <w:r w:rsidRPr="001010E4">
              <w:rPr>
                <w:rFonts w:ascii="Franklin Gothic Book" w:hAnsi="Franklin Gothic Book"/>
              </w:rPr>
              <w:t>3</w:t>
            </w:r>
          </w:p>
        </w:tc>
        <w:tc>
          <w:tcPr>
            <w:tcW w:w="2019" w:type="dxa"/>
            <w:vAlign w:val="center"/>
          </w:tcPr>
          <w:p w14:paraId="286D1DF7" w14:textId="147F5886" w:rsidR="00B75ACA" w:rsidRPr="00C246E7" w:rsidRDefault="008E5BF5">
            <w:pPr>
              <w:pStyle w:val="TableTextCentered"/>
              <w:spacing w:before="30" w:after="30"/>
              <w:rPr>
                <w:rFonts w:ascii="Franklin Gothic Book" w:hAnsi="Franklin Gothic Book"/>
              </w:rPr>
            </w:pPr>
            <w:r>
              <w:rPr>
                <w:rFonts w:ascii="Franklin Gothic Book" w:hAnsi="Franklin Gothic Book" w:cs="Calibri"/>
              </w:rPr>
              <w:t>—</w:t>
            </w:r>
          </w:p>
        </w:tc>
        <w:tc>
          <w:tcPr>
            <w:tcW w:w="2004" w:type="dxa"/>
            <w:vAlign w:val="center"/>
          </w:tcPr>
          <w:p w14:paraId="7D23654B" w14:textId="7473C4F3" w:rsidR="00B75ACA" w:rsidRPr="00C246E7" w:rsidRDefault="008E5BF5">
            <w:pPr>
              <w:pStyle w:val="TableTextCentered"/>
              <w:spacing w:before="30" w:after="30"/>
              <w:rPr>
                <w:rFonts w:ascii="Franklin Gothic Book" w:hAnsi="Franklin Gothic Book"/>
              </w:rPr>
            </w:pPr>
            <w:r>
              <w:rPr>
                <w:rFonts w:ascii="Franklin Gothic Book" w:hAnsi="Franklin Gothic Book" w:cs="Calibri"/>
              </w:rPr>
              <w:t>—</w:t>
            </w:r>
          </w:p>
        </w:tc>
        <w:tc>
          <w:tcPr>
            <w:tcW w:w="2003" w:type="dxa"/>
            <w:vAlign w:val="center"/>
          </w:tcPr>
          <w:p w14:paraId="51F1E2E9" w14:textId="185787EE" w:rsidR="00B75ACA" w:rsidRPr="00C246E7" w:rsidRDefault="008E5BF5">
            <w:pPr>
              <w:pStyle w:val="TableTextCentered"/>
              <w:spacing w:before="30" w:after="30"/>
              <w:rPr>
                <w:rFonts w:ascii="Franklin Gothic Book" w:hAnsi="Franklin Gothic Book"/>
              </w:rPr>
            </w:pPr>
            <w:r>
              <w:rPr>
                <w:rFonts w:ascii="Franklin Gothic Book" w:hAnsi="Franklin Gothic Book" w:cs="Calibri"/>
              </w:rPr>
              <w:t>—</w:t>
            </w:r>
          </w:p>
        </w:tc>
        <w:tc>
          <w:tcPr>
            <w:tcW w:w="2011" w:type="dxa"/>
            <w:vAlign w:val="bottom"/>
          </w:tcPr>
          <w:p w14:paraId="479AD771" w14:textId="71066D6E" w:rsidR="00B75ACA" w:rsidRPr="00C246E7" w:rsidRDefault="008E5BF5">
            <w:pPr>
              <w:pStyle w:val="TableTextCentered"/>
              <w:spacing w:before="30" w:after="30"/>
              <w:rPr>
                <w:rFonts w:ascii="Franklin Gothic Book" w:hAnsi="Franklin Gothic Book"/>
              </w:rPr>
            </w:pPr>
            <w:r>
              <w:rPr>
                <w:rFonts w:ascii="Franklin Gothic Book" w:hAnsi="Franklin Gothic Book" w:cs="Calibri"/>
              </w:rPr>
              <w:t>—</w:t>
            </w:r>
          </w:p>
        </w:tc>
      </w:tr>
      <w:tr w:rsidR="00B75ACA" w:rsidRPr="0091716A" w14:paraId="0E8B32D0" w14:textId="77777777">
        <w:tc>
          <w:tcPr>
            <w:tcW w:w="1307" w:type="dxa"/>
          </w:tcPr>
          <w:p w14:paraId="5157E683" w14:textId="77777777" w:rsidR="00B75ACA" w:rsidRPr="001010E4" w:rsidRDefault="00B75ACA">
            <w:pPr>
              <w:pStyle w:val="TableTextCentered"/>
              <w:spacing w:before="30" w:after="30"/>
              <w:rPr>
                <w:rFonts w:ascii="Franklin Gothic Book" w:hAnsi="Franklin Gothic Book"/>
              </w:rPr>
            </w:pPr>
            <w:r w:rsidRPr="001010E4">
              <w:rPr>
                <w:rFonts w:ascii="Franklin Gothic Book" w:hAnsi="Franklin Gothic Book"/>
              </w:rPr>
              <w:t>4</w:t>
            </w:r>
          </w:p>
        </w:tc>
        <w:tc>
          <w:tcPr>
            <w:tcW w:w="2019" w:type="dxa"/>
            <w:vAlign w:val="center"/>
          </w:tcPr>
          <w:p w14:paraId="343300F7"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273</w:t>
            </w:r>
          </w:p>
        </w:tc>
        <w:tc>
          <w:tcPr>
            <w:tcW w:w="2004" w:type="dxa"/>
            <w:vAlign w:val="center"/>
          </w:tcPr>
          <w:p w14:paraId="23B8C140"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57.7</w:t>
            </w:r>
          </w:p>
        </w:tc>
        <w:tc>
          <w:tcPr>
            <w:tcW w:w="2003" w:type="dxa"/>
            <w:vAlign w:val="center"/>
          </w:tcPr>
          <w:p w14:paraId="01DA6C9A"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54.8</w:t>
            </w:r>
          </w:p>
        </w:tc>
        <w:tc>
          <w:tcPr>
            <w:tcW w:w="2011" w:type="dxa"/>
            <w:vAlign w:val="bottom"/>
          </w:tcPr>
          <w:p w14:paraId="3384F3D6"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49.4</w:t>
            </w:r>
          </w:p>
        </w:tc>
      </w:tr>
      <w:tr w:rsidR="00B75ACA" w:rsidRPr="0091716A" w14:paraId="545A5951"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D29066B" w14:textId="77777777" w:rsidR="00B75ACA" w:rsidRPr="001010E4" w:rsidRDefault="00B75ACA">
            <w:pPr>
              <w:pStyle w:val="TableTextCentered"/>
              <w:spacing w:before="30" w:after="30"/>
              <w:rPr>
                <w:rFonts w:ascii="Franklin Gothic Book" w:hAnsi="Franklin Gothic Book"/>
              </w:rPr>
            </w:pPr>
            <w:r w:rsidRPr="001010E4">
              <w:rPr>
                <w:rFonts w:ascii="Franklin Gothic Book" w:hAnsi="Franklin Gothic Book"/>
              </w:rPr>
              <w:t>5</w:t>
            </w:r>
          </w:p>
        </w:tc>
        <w:tc>
          <w:tcPr>
            <w:tcW w:w="2019" w:type="dxa"/>
            <w:vAlign w:val="center"/>
          </w:tcPr>
          <w:p w14:paraId="79E7FAD4"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287</w:t>
            </w:r>
          </w:p>
        </w:tc>
        <w:tc>
          <w:tcPr>
            <w:tcW w:w="2004" w:type="dxa"/>
            <w:vAlign w:val="center"/>
          </w:tcPr>
          <w:p w14:paraId="538E8D8D"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63.9</w:t>
            </w:r>
          </w:p>
        </w:tc>
        <w:tc>
          <w:tcPr>
            <w:tcW w:w="2003" w:type="dxa"/>
            <w:vAlign w:val="center"/>
          </w:tcPr>
          <w:p w14:paraId="1ED941DA"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58.4</w:t>
            </w:r>
          </w:p>
        </w:tc>
        <w:tc>
          <w:tcPr>
            <w:tcW w:w="2011" w:type="dxa"/>
            <w:vAlign w:val="bottom"/>
          </w:tcPr>
          <w:p w14:paraId="0FC003B1"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49.8</w:t>
            </w:r>
          </w:p>
        </w:tc>
      </w:tr>
      <w:tr w:rsidR="00B75ACA" w:rsidRPr="0091716A" w14:paraId="26A4B952" w14:textId="77777777">
        <w:tc>
          <w:tcPr>
            <w:tcW w:w="1307" w:type="dxa"/>
          </w:tcPr>
          <w:p w14:paraId="29216539" w14:textId="77777777" w:rsidR="00B75ACA" w:rsidRPr="001010E4" w:rsidRDefault="00B75ACA">
            <w:pPr>
              <w:pStyle w:val="TableTextCentered"/>
              <w:spacing w:before="30" w:after="30"/>
              <w:rPr>
                <w:rFonts w:ascii="Franklin Gothic Book" w:hAnsi="Franklin Gothic Book"/>
              </w:rPr>
            </w:pPr>
            <w:r w:rsidRPr="001010E4">
              <w:rPr>
                <w:rFonts w:ascii="Franklin Gothic Book" w:hAnsi="Franklin Gothic Book"/>
              </w:rPr>
              <w:t>6</w:t>
            </w:r>
          </w:p>
        </w:tc>
        <w:tc>
          <w:tcPr>
            <w:tcW w:w="2019" w:type="dxa"/>
            <w:vAlign w:val="center"/>
          </w:tcPr>
          <w:p w14:paraId="01350BA9"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281</w:t>
            </w:r>
          </w:p>
        </w:tc>
        <w:tc>
          <w:tcPr>
            <w:tcW w:w="2004" w:type="dxa"/>
            <w:vAlign w:val="center"/>
          </w:tcPr>
          <w:p w14:paraId="6B0CFE9A"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65.5</w:t>
            </w:r>
          </w:p>
        </w:tc>
        <w:tc>
          <w:tcPr>
            <w:tcW w:w="2003" w:type="dxa"/>
            <w:vAlign w:val="center"/>
          </w:tcPr>
          <w:p w14:paraId="6C903A3A"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57.7</w:t>
            </w:r>
          </w:p>
        </w:tc>
        <w:tc>
          <w:tcPr>
            <w:tcW w:w="2011" w:type="dxa"/>
            <w:vAlign w:val="bottom"/>
          </w:tcPr>
          <w:p w14:paraId="7416B82E"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49.9</w:t>
            </w:r>
          </w:p>
        </w:tc>
      </w:tr>
      <w:tr w:rsidR="00B75ACA" w:rsidRPr="0091716A" w14:paraId="1D7BD698"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186634F7" w14:textId="77777777" w:rsidR="00B75ACA" w:rsidRPr="001010E4" w:rsidRDefault="00B75ACA">
            <w:pPr>
              <w:pStyle w:val="TableTextCentered"/>
              <w:spacing w:before="30" w:after="30"/>
              <w:rPr>
                <w:rFonts w:ascii="Franklin Gothic Book" w:hAnsi="Franklin Gothic Book"/>
              </w:rPr>
            </w:pPr>
            <w:r w:rsidRPr="001010E4">
              <w:rPr>
                <w:rFonts w:ascii="Franklin Gothic Book" w:hAnsi="Franklin Gothic Book"/>
              </w:rPr>
              <w:t>7</w:t>
            </w:r>
          </w:p>
        </w:tc>
        <w:tc>
          <w:tcPr>
            <w:tcW w:w="2019" w:type="dxa"/>
            <w:vAlign w:val="center"/>
          </w:tcPr>
          <w:p w14:paraId="240AA7B9"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275</w:t>
            </w:r>
          </w:p>
        </w:tc>
        <w:tc>
          <w:tcPr>
            <w:tcW w:w="2004" w:type="dxa"/>
            <w:vAlign w:val="center"/>
          </w:tcPr>
          <w:p w14:paraId="47D11C54"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52.4</w:t>
            </w:r>
          </w:p>
        </w:tc>
        <w:tc>
          <w:tcPr>
            <w:tcW w:w="2003" w:type="dxa"/>
            <w:vAlign w:val="center"/>
          </w:tcPr>
          <w:p w14:paraId="3C389E3A"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58.6</w:t>
            </w:r>
          </w:p>
        </w:tc>
        <w:tc>
          <w:tcPr>
            <w:tcW w:w="2011" w:type="dxa"/>
            <w:vAlign w:val="bottom"/>
          </w:tcPr>
          <w:p w14:paraId="631AFD7F"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49.9</w:t>
            </w:r>
          </w:p>
        </w:tc>
      </w:tr>
      <w:tr w:rsidR="00B75ACA" w:rsidRPr="0091716A" w14:paraId="418DBC7E" w14:textId="77777777">
        <w:tc>
          <w:tcPr>
            <w:tcW w:w="1307" w:type="dxa"/>
          </w:tcPr>
          <w:p w14:paraId="32E43673" w14:textId="77777777" w:rsidR="00B75ACA" w:rsidRPr="001010E4" w:rsidRDefault="00B75ACA">
            <w:pPr>
              <w:pStyle w:val="TableTextCentered"/>
              <w:spacing w:before="30" w:after="30"/>
              <w:rPr>
                <w:rFonts w:ascii="Franklin Gothic Book" w:hAnsi="Franklin Gothic Book"/>
              </w:rPr>
            </w:pPr>
            <w:r w:rsidRPr="001010E4">
              <w:rPr>
                <w:rFonts w:ascii="Franklin Gothic Book" w:hAnsi="Franklin Gothic Book"/>
              </w:rPr>
              <w:t>8</w:t>
            </w:r>
          </w:p>
        </w:tc>
        <w:tc>
          <w:tcPr>
            <w:tcW w:w="2019" w:type="dxa"/>
            <w:vAlign w:val="center"/>
          </w:tcPr>
          <w:p w14:paraId="78099A36"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250</w:t>
            </w:r>
          </w:p>
        </w:tc>
        <w:tc>
          <w:tcPr>
            <w:tcW w:w="2004" w:type="dxa"/>
            <w:vAlign w:val="center"/>
          </w:tcPr>
          <w:p w14:paraId="236E11EA"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52.6</w:t>
            </w:r>
          </w:p>
        </w:tc>
        <w:tc>
          <w:tcPr>
            <w:tcW w:w="2003" w:type="dxa"/>
            <w:vAlign w:val="center"/>
          </w:tcPr>
          <w:p w14:paraId="50B20111"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46.2</w:t>
            </w:r>
          </w:p>
        </w:tc>
        <w:tc>
          <w:tcPr>
            <w:tcW w:w="2011" w:type="dxa"/>
            <w:vAlign w:val="bottom"/>
          </w:tcPr>
          <w:p w14:paraId="57DFD8D1"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49.7</w:t>
            </w:r>
          </w:p>
        </w:tc>
      </w:tr>
      <w:tr w:rsidR="00B75ACA" w:rsidRPr="0091716A" w14:paraId="18974990"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584FD32" w14:textId="77777777" w:rsidR="00B75ACA" w:rsidRPr="001010E4" w:rsidRDefault="00B75ACA">
            <w:pPr>
              <w:pStyle w:val="TableTextCentered"/>
              <w:spacing w:before="30" w:after="30"/>
              <w:rPr>
                <w:rFonts w:ascii="Franklin Gothic Book" w:hAnsi="Franklin Gothic Book"/>
              </w:rPr>
            </w:pPr>
            <w:r w:rsidRPr="001010E4">
              <w:rPr>
                <w:rFonts w:ascii="Franklin Gothic Book" w:hAnsi="Franklin Gothic Book"/>
              </w:rPr>
              <w:t>3-8</w:t>
            </w:r>
          </w:p>
        </w:tc>
        <w:tc>
          <w:tcPr>
            <w:tcW w:w="2019" w:type="dxa"/>
            <w:vAlign w:val="center"/>
          </w:tcPr>
          <w:p w14:paraId="09F255B0"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1,366</w:t>
            </w:r>
          </w:p>
        </w:tc>
        <w:tc>
          <w:tcPr>
            <w:tcW w:w="2004" w:type="dxa"/>
            <w:vAlign w:val="center"/>
          </w:tcPr>
          <w:p w14:paraId="30CDF16B"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58.6</w:t>
            </w:r>
          </w:p>
        </w:tc>
        <w:tc>
          <w:tcPr>
            <w:tcW w:w="2003" w:type="dxa"/>
            <w:vAlign w:val="center"/>
          </w:tcPr>
          <w:p w14:paraId="67B35D5A"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55.4</w:t>
            </w:r>
          </w:p>
        </w:tc>
        <w:tc>
          <w:tcPr>
            <w:tcW w:w="2011" w:type="dxa"/>
            <w:vAlign w:val="bottom"/>
          </w:tcPr>
          <w:p w14:paraId="67112A79"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49.7</w:t>
            </w:r>
          </w:p>
        </w:tc>
      </w:tr>
      <w:tr w:rsidR="00B75ACA" w:rsidRPr="0091716A" w14:paraId="22220991" w14:textId="77777777">
        <w:tc>
          <w:tcPr>
            <w:tcW w:w="1307" w:type="dxa"/>
          </w:tcPr>
          <w:p w14:paraId="7EEDD879" w14:textId="77777777" w:rsidR="00B75ACA" w:rsidRPr="001010E4" w:rsidRDefault="00B75ACA">
            <w:pPr>
              <w:pStyle w:val="TableTextCentered"/>
              <w:spacing w:before="30" w:after="30"/>
              <w:rPr>
                <w:rFonts w:ascii="Franklin Gothic Book" w:hAnsi="Franklin Gothic Book"/>
              </w:rPr>
            </w:pPr>
            <w:r w:rsidRPr="001010E4">
              <w:rPr>
                <w:rFonts w:ascii="Franklin Gothic Book" w:hAnsi="Franklin Gothic Book"/>
              </w:rPr>
              <w:t>10</w:t>
            </w:r>
          </w:p>
        </w:tc>
        <w:tc>
          <w:tcPr>
            <w:tcW w:w="2019" w:type="dxa"/>
            <w:vAlign w:val="center"/>
          </w:tcPr>
          <w:p w14:paraId="05969EE2"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247</w:t>
            </w:r>
          </w:p>
        </w:tc>
        <w:tc>
          <w:tcPr>
            <w:tcW w:w="2004" w:type="dxa"/>
            <w:vAlign w:val="center"/>
          </w:tcPr>
          <w:p w14:paraId="7E5A0091"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51.6</w:t>
            </w:r>
          </w:p>
        </w:tc>
        <w:tc>
          <w:tcPr>
            <w:tcW w:w="2003" w:type="dxa"/>
            <w:vAlign w:val="center"/>
          </w:tcPr>
          <w:p w14:paraId="5DD4AAEB"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52.0</w:t>
            </w:r>
          </w:p>
        </w:tc>
        <w:tc>
          <w:tcPr>
            <w:tcW w:w="2011" w:type="dxa"/>
            <w:vAlign w:val="bottom"/>
          </w:tcPr>
          <w:p w14:paraId="42ADD71B" w14:textId="77777777" w:rsidR="00B75ACA" w:rsidRPr="00C246E7" w:rsidRDefault="00B75ACA">
            <w:pPr>
              <w:pStyle w:val="TableTextCentered"/>
              <w:spacing w:before="30" w:after="30"/>
              <w:rPr>
                <w:rFonts w:ascii="Franklin Gothic Book" w:hAnsi="Franklin Gothic Book"/>
              </w:rPr>
            </w:pPr>
            <w:r w:rsidRPr="00C246E7">
              <w:rPr>
                <w:rFonts w:ascii="Franklin Gothic Book" w:hAnsi="Franklin Gothic Book" w:cs="Calibri"/>
              </w:rPr>
              <w:t>49.5</w:t>
            </w:r>
          </w:p>
        </w:tc>
      </w:tr>
    </w:tbl>
    <w:p w14:paraId="3996D633" w14:textId="77777777" w:rsidR="00B75ACA" w:rsidRPr="00347FB2" w:rsidRDefault="00B75ACA" w:rsidP="003C1333">
      <w:pPr>
        <w:pStyle w:val="TableTitle0"/>
      </w:pPr>
      <w:bookmarkStart w:id="206" w:name="_Toc158035182"/>
      <w:r w:rsidRPr="00347FB2">
        <w:t xml:space="preserve">Table E15. </w:t>
      </w:r>
      <w:r>
        <w:t xml:space="preserve">Next-Generation MCAS </w:t>
      </w:r>
      <w:r w:rsidRPr="00347FB2">
        <w:t>Mathematics Mean Student Growth Percentile by Grade, 2022</w:t>
      </w:r>
      <w:r>
        <w:t>-</w:t>
      </w:r>
      <w:r w:rsidRPr="00347FB2">
        <w:t>2023</w:t>
      </w:r>
      <w:bookmarkEnd w:id="206"/>
    </w:p>
    <w:tbl>
      <w:tblPr>
        <w:tblStyle w:val="MSVTable1"/>
        <w:tblW w:w="5000" w:type="pct"/>
        <w:tblLook w:val="0420" w:firstRow="1" w:lastRow="0" w:firstColumn="0" w:lastColumn="0" w:noHBand="0" w:noVBand="1"/>
      </w:tblPr>
      <w:tblGrid>
        <w:gridCol w:w="1307"/>
        <w:gridCol w:w="2019"/>
        <w:gridCol w:w="2004"/>
        <w:gridCol w:w="2003"/>
        <w:gridCol w:w="2011"/>
      </w:tblGrid>
      <w:tr w:rsidR="00B75ACA" w:rsidRPr="00347FB2" w14:paraId="3CDE0ED7"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6AA436F8" w14:textId="77777777" w:rsidR="00B75ACA" w:rsidRPr="00706D05" w:rsidRDefault="00B75ACA">
            <w:pPr>
              <w:pStyle w:val="TableColHeadingCenter"/>
              <w:keepNext/>
              <w:keepLines/>
            </w:pPr>
            <w:r w:rsidRPr="00706D05">
              <w:t>Grade</w:t>
            </w:r>
          </w:p>
        </w:tc>
        <w:tc>
          <w:tcPr>
            <w:tcW w:w="2019" w:type="dxa"/>
          </w:tcPr>
          <w:p w14:paraId="38DDBD22" w14:textId="6AA053DE" w:rsidR="00B75ACA" w:rsidRPr="00706D05" w:rsidRDefault="00B75ACA">
            <w:pPr>
              <w:pStyle w:val="TableColHeadingCenter"/>
            </w:pPr>
            <w:r>
              <w:t xml:space="preserve"># </w:t>
            </w:r>
            <w:r w:rsidR="00C6447D">
              <w:t>i</w:t>
            </w:r>
            <w:r>
              <w:t>ncluded</w:t>
            </w:r>
            <w:r w:rsidRPr="00706D05">
              <w:t xml:space="preserve"> (2023)</w:t>
            </w:r>
          </w:p>
        </w:tc>
        <w:tc>
          <w:tcPr>
            <w:tcW w:w="2004" w:type="dxa"/>
          </w:tcPr>
          <w:p w14:paraId="2DAD908D" w14:textId="77777777" w:rsidR="00B75ACA" w:rsidRPr="00706D05" w:rsidRDefault="00B75ACA">
            <w:pPr>
              <w:pStyle w:val="TableColHeadingCenter"/>
            </w:pPr>
            <w:r w:rsidRPr="00706D05">
              <w:t>2022</w:t>
            </w:r>
          </w:p>
        </w:tc>
        <w:tc>
          <w:tcPr>
            <w:tcW w:w="2003" w:type="dxa"/>
          </w:tcPr>
          <w:p w14:paraId="768F4AD5" w14:textId="77777777" w:rsidR="00B75ACA" w:rsidRPr="00706D05" w:rsidRDefault="00B75ACA">
            <w:pPr>
              <w:pStyle w:val="TableColHeadingCenter"/>
            </w:pPr>
            <w:r w:rsidRPr="00706D05">
              <w:t>2023</w:t>
            </w:r>
          </w:p>
        </w:tc>
        <w:tc>
          <w:tcPr>
            <w:tcW w:w="2011" w:type="dxa"/>
          </w:tcPr>
          <w:p w14:paraId="7236D6DF" w14:textId="77777777" w:rsidR="00B75ACA" w:rsidRPr="00706D05" w:rsidRDefault="00B75ACA">
            <w:pPr>
              <w:pStyle w:val="TableColHeadingCenter"/>
            </w:pPr>
            <w:r w:rsidRPr="00706D05">
              <w:t>State (2023)</w:t>
            </w:r>
          </w:p>
        </w:tc>
      </w:tr>
      <w:tr w:rsidR="00B75ACA" w:rsidRPr="00347FB2" w14:paraId="6872CB2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DEC2240" w14:textId="77777777" w:rsidR="00B75ACA" w:rsidRPr="001010E4" w:rsidRDefault="00B75ACA">
            <w:pPr>
              <w:pStyle w:val="TableTextCentered"/>
              <w:keepNext/>
              <w:keepLines/>
              <w:rPr>
                <w:rFonts w:ascii="Franklin Gothic Book" w:hAnsi="Franklin Gothic Book"/>
              </w:rPr>
            </w:pPr>
            <w:r w:rsidRPr="001010E4">
              <w:rPr>
                <w:rFonts w:ascii="Franklin Gothic Book" w:hAnsi="Franklin Gothic Book"/>
              </w:rPr>
              <w:t>3</w:t>
            </w:r>
          </w:p>
        </w:tc>
        <w:tc>
          <w:tcPr>
            <w:tcW w:w="2019" w:type="dxa"/>
            <w:vAlign w:val="center"/>
          </w:tcPr>
          <w:p w14:paraId="56EACA6A" w14:textId="23BE4E7B" w:rsidR="00B75ACA" w:rsidRPr="00CC0702" w:rsidRDefault="008E5BF5">
            <w:pPr>
              <w:pStyle w:val="TableTextCentered"/>
              <w:rPr>
                <w:rFonts w:ascii="Franklin Gothic Book" w:hAnsi="Franklin Gothic Book"/>
              </w:rPr>
            </w:pPr>
            <w:r>
              <w:rPr>
                <w:rFonts w:ascii="Franklin Gothic Book" w:hAnsi="Franklin Gothic Book" w:cs="Calibri"/>
              </w:rPr>
              <w:t>—</w:t>
            </w:r>
          </w:p>
        </w:tc>
        <w:tc>
          <w:tcPr>
            <w:tcW w:w="2004" w:type="dxa"/>
            <w:vAlign w:val="center"/>
          </w:tcPr>
          <w:p w14:paraId="08642432" w14:textId="56D58E90" w:rsidR="00B75ACA" w:rsidRPr="00CC0702" w:rsidRDefault="008E5BF5">
            <w:pPr>
              <w:pStyle w:val="TableTextCentered"/>
              <w:rPr>
                <w:rFonts w:ascii="Franklin Gothic Book" w:hAnsi="Franklin Gothic Book"/>
              </w:rPr>
            </w:pPr>
            <w:r>
              <w:rPr>
                <w:rFonts w:ascii="Franklin Gothic Book" w:hAnsi="Franklin Gothic Book" w:cs="Calibri"/>
              </w:rPr>
              <w:t>—</w:t>
            </w:r>
          </w:p>
        </w:tc>
        <w:tc>
          <w:tcPr>
            <w:tcW w:w="2003" w:type="dxa"/>
            <w:vAlign w:val="center"/>
          </w:tcPr>
          <w:p w14:paraId="04CD43EC" w14:textId="59CB07E6" w:rsidR="00B75ACA" w:rsidRPr="00CC0702" w:rsidRDefault="008E5BF5">
            <w:pPr>
              <w:pStyle w:val="TableTextCentered"/>
              <w:rPr>
                <w:rFonts w:ascii="Franklin Gothic Book" w:hAnsi="Franklin Gothic Book"/>
              </w:rPr>
            </w:pPr>
            <w:r>
              <w:rPr>
                <w:rFonts w:ascii="Franklin Gothic Book" w:hAnsi="Franklin Gothic Book" w:cs="Calibri"/>
              </w:rPr>
              <w:t>—</w:t>
            </w:r>
          </w:p>
        </w:tc>
        <w:tc>
          <w:tcPr>
            <w:tcW w:w="2011" w:type="dxa"/>
            <w:vAlign w:val="bottom"/>
          </w:tcPr>
          <w:p w14:paraId="51B35939" w14:textId="5CFAD75F" w:rsidR="00B75ACA" w:rsidRPr="00CC0702" w:rsidRDefault="008E5BF5">
            <w:pPr>
              <w:pStyle w:val="TableTextCentered"/>
              <w:rPr>
                <w:rFonts w:ascii="Franklin Gothic Book" w:hAnsi="Franklin Gothic Book"/>
              </w:rPr>
            </w:pPr>
            <w:r>
              <w:rPr>
                <w:rFonts w:ascii="Franklin Gothic Book" w:hAnsi="Franklin Gothic Book" w:cs="Calibri"/>
              </w:rPr>
              <w:t>—</w:t>
            </w:r>
          </w:p>
        </w:tc>
      </w:tr>
      <w:tr w:rsidR="00B75ACA" w:rsidRPr="00347FB2" w14:paraId="75D7B51A" w14:textId="77777777">
        <w:tc>
          <w:tcPr>
            <w:tcW w:w="1307" w:type="dxa"/>
          </w:tcPr>
          <w:p w14:paraId="16E88324" w14:textId="77777777" w:rsidR="00B75ACA" w:rsidRPr="001010E4" w:rsidRDefault="00B75ACA">
            <w:pPr>
              <w:pStyle w:val="TableTextCentered"/>
              <w:keepNext/>
              <w:keepLines/>
              <w:rPr>
                <w:rFonts w:ascii="Franklin Gothic Book" w:hAnsi="Franklin Gothic Book"/>
              </w:rPr>
            </w:pPr>
            <w:r w:rsidRPr="001010E4">
              <w:rPr>
                <w:rFonts w:ascii="Franklin Gothic Book" w:hAnsi="Franklin Gothic Book"/>
              </w:rPr>
              <w:t>4</w:t>
            </w:r>
          </w:p>
        </w:tc>
        <w:tc>
          <w:tcPr>
            <w:tcW w:w="2019" w:type="dxa"/>
            <w:vAlign w:val="center"/>
          </w:tcPr>
          <w:p w14:paraId="70FBCC19"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273</w:t>
            </w:r>
          </w:p>
        </w:tc>
        <w:tc>
          <w:tcPr>
            <w:tcW w:w="2004" w:type="dxa"/>
            <w:vAlign w:val="center"/>
          </w:tcPr>
          <w:p w14:paraId="06D1DAFD"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60.8</w:t>
            </w:r>
          </w:p>
        </w:tc>
        <w:tc>
          <w:tcPr>
            <w:tcW w:w="2003" w:type="dxa"/>
            <w:vAlign w:val="center"/>
          </w:tcPr>
          <w:p w14:paraId="3BCAD1C9"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66.7</w:t>
            </w:r>
          </w:p>
        </w:tc>
        <w:tc>
          <w:tcPr>
            <w:tcW w:w="2011" w:type="dxa"/>
            <w:vAlign w:val="bottom"/>
          </w:tcPr>
          <w:p w14:paraId="6EDED67F"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49.6</w:t>
            </w:r>
          </w:p>
        </w:tc>
      </w:tr>
      <w:tr w:rsidR="00B75ACA" w:rsidRPr="00347FB2" w14:paraId="1BEDDDB2"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6F4BA718" w14:textId="77777777" w:rsidR="00B75ACA" w:rsidRPr="001010E4" w:rsidRDefault="00B75ACA">
            <w:pPr>
              <w:pStyle w:val="TableTextCentered"/>
              <w:rPr>
                <w:rFonts w:ascii="Franklin Gothic Book" w:hAnsi="Franklin Gothic Book"/>
              </w:rPr>
            </w:pPr>
            <w:r w:rsidRPr="001010E4">
              <w:rPr>
                <w:rFonts w:ascii="Franklin Gothic Book" w:hAnsi="Franklin Gothic Book"/>
              </w:rPr>
              <w:t>5</w:t>
            </w:r>
          </w:p>
        </w:tc>
        <w:tc>
          <w:tcPr>
            <w:tcW w:w="2019" w:type="dxa"/>
            <w:vAlign w:val="center"/>
          </w:tcPr>
          <w:p w14:paraId="44563F47"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284</w:t>
            </w:r>
          </w:p>
        </w:tc>
        <w:tc>
          <w:tcPr>
            <w:tcW w:w="2004" w:type="dxa"/>
            <w:vAlign w:val="center"/>
          </w:tcPr>
          <w:p w14:paraId="3BC64E80"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61.6</w:t>
            </w:r>
          </w:p>
        </w:tc>
        <w:tc>
          <w:tcPr>
            <w:tcW w:w="2003" w:type="dxa"/>
            <w:vAlign w:val="center"/>
          </w:tcPr>
          <w:p w14:paraId="41BE57D2"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56.9</w:t>
            </w:r>
          </w:p>
        </w:tc>
        <w:tc>
          <w:tcPr>
            <w:tcW w:w="2011" w:type="dxa"/>
            <w:vAlign w:val="bottom"/>
          </w:tcPr>
          <w:p w14:paraId="3E3BEC87"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50.0</w:t>
            </w:r>
          </w:p>
        </w:tc>
      </w:tr>
      <w:tr w:rsidR="00B75ACA" w:rsidRPr="00347FB2" w14:paraId="740A68BA" w14:textId="77777777">
        <w:tc>
          <w:tcPr>
            <w:tcW w:w="1307" w:type="dxa"/>
          </w:tcPr>
          <w:p w14:paraId="0F5EC9A9" w14:textId="77777777" w:rsidR="00B75ACA" w:rsidRPr="001010E4" w:rsidRDefault="00B75ACA">
            <w:pPr>
              <w:pStyle w:val="TableTextCentered"/>
              <w:rPr>
                <w:rFonts w:ascii="Franklin Gothic Book" w:hAnsi="Franklin Gothic Book"/>
              </w:rPr>
            </w:pPr>
            <w:r w:rsidRPr="001010E4">
              <w:rPr>
                <w:rFonts w:ascii="Franklin Gothic Book" w:hAnsi="Franklin Gothic Book"/>
              </w:rPr>
              <w:t>6</w:t>
            </w:r>
          </w:p>
        </w:tc>
        <w:tc>
          <w:tcPr>
            <w:tcW w:w="2019" w:type="dxa"/>
            <w:vAlign w:val="center"/>
          </w:tcPr>
          <w:p w14:paraId="426B239F"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282</w:t>
            </w:r>
          </w:p>
        </w:tc>
        <w:tc>
          <w:tcPr>
            <w:tcW w:w="2004" w:type="dxa"/>
            <w:vAlign w:val="center"/>
          </w:tcPr>
          <w:p w14:paraId="234272B0"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54.0</w:t>
            </w:r>
          </w:p>
        </w:tc>
        <w:tc>
          <w:tcPr>
            <w:tcW w:w="2003" w:type="dxa"/>
            <w:vAlign w:val="center"/>
          </w:tcPr>
          <w:p w14:paraId="4736A14E"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45.6</w:t>
            </w:r>
          </w:p>
        </w:tc>
        <w:tc>
          <w:tcPr>
            <w:tcW w:w="2011" w:type="dxa"/>
            <w:vAlign w:val="bottom"/>
          </w:tcPr>
          <w:p w14:paraId="15D6FF3C"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49.9</w:t>
            </w:r>
          </w:p>
        </w:tc>
      </w:tr>
      <w:tr w:rsidR="00B75ACA" w:rsidRPr="00347FB2" w14:paraId="3D70C47D"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E608FCC" w14:textId="77777777" w:rsidR="00B75ACA" w:rsidRPr="001010E4" w:rsidRDefault="00B75ACA">
            <w:pPr>
              <w:pStyle w:val="TableTextCentered"/>
              <w:rPr>
                <w:rFonts w:ascii="Franklin Gothic Book" w:hAnsi="Franklin Gothic Book"/>
              </w:rPr>
            </w:pPr>
            <w:r w:rsidRPr="001010E4">
              <w:rPr>
                <w:rFonts w:ascii="Franklin Gothic Book" w:hAnsi="Franklin Gothic Book"/>
              </w:rPr>
              <w:t>7</w:t>
            </w:r>
          </w:p>
        </w:tc>
        <w:tc>
          <w:tcPr>
            <w:tcW w:w="2019" w:type="dxa"/>
            <w:vAlign w:val="center"/>
          </w:tcPr>
          <w:p w14:paraId="6979520F"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273</w:t>
            </w:r>
          </w:p>
        </w:tc>
        <w:tc>
          <w:tcPr>
            <w:tcW w:w="2004" w:type="dxa"/>
            <w:vAlign w:val="center"/>
          </w:tcPr>
          <w:p w14:paraId="6E4DF831"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45.5</w:t>
            </w:r>
          </w:p>
        </w:tc>
        <w:tc>
          <w:tcPr>
            <w:tcW w:w="2003" w:type="dxa"/>
            <w:vAlign w:val="center"/>
          </w:tcPr>
          <w:p w14:paraId="40375B79"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44.4</w:t>
            </w:r>
          </w:p>
        </w:tc>
        <w:tc>
          <w:tcPr>
            <w:tcW w:w="2011" w:type="dxa"/>
            <w:vAlign w:val="bottom"/>
          </w:tcPr>
          <w:p w14:paraId="26BD0B8C"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49.9</w:t>
            </w:r>
          </w:p>
        </w:tc>
      </w:tr>
      <w:tr w:rsidR="00B75ACA" w:rsidRPr="00347FB2" w14:paraId="5E63C55F" w14:textId="77777777">
        <w:tc>
          <w:tcPr>
            <w:tcW w:w="1307" w:type="dxa"/>
          </w:tcPr>
          <w:p w14:paraId="2A2EC5F4" w14:textId="77777777" w:rsidR="00B75ACA" w:rsidRPr="001010E4" w:rsidRDefault="00B75ACA">
            <w:pPr>
              <w:pStyle w:val="TableTextCentered"/>
              <w:rPr>
                <w:rFonts w:ascii="Franklin Gothic Book" w:hAnsi="Franklin Gothic Book"/>
              </w:rPr>
            </w:pPr>
            <w:r w:rsidRPr="001010E4">
              <w:rPr>
                <w:rFonts w:ascii="Franklin Gothic Book" w:hAnsi="Franklin Gothic Book"/>
              </w:rPr>
              <w:t>8</w:t>
            </w:r>
          </w:p>
        </w:tc>
        <w:tc>
          <w:tcPr>
            <w:tcW w:w="2019" w:type="dxa"/>
            <w:vAlign w:val="center"/>
          </w:tcPr>
          <w:p w14:paraId="5F6CF39C"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251</w:t>
            </w:r>
          </w:p>
        </w:tc>
        <w:tc>
          <w:tcPr>
            <w:tcW w:w="2004" w:type="dxa"/>
            <w:vAlign w:val="center"/>
          </w:tcPr>
          <w:p w14:paraId="71CA9CEF"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37.8</w:t>
            </w:r>
          </w:p>
        </w:tc>
        <w:tc>
          <w:tcPr>
            <w:tcW w:w="2003" w:type="dxa"/>
            <w:vAlign w:val="center"/>
          </w:tcPr>
          <w:p w14:paraId="04F360EF"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46.6</w:t>
            </w:r>
          </w:p>
        </w:tc>
        <w:tc>
          <w:tcPr>
            <w:tcW w:w="2011" w:type="dxa"/>
            <w:vAlign w:val="bottom"/>
          </w:tcPr>
          <w:p w14:paraId="07DA57B7"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49.7</w:t>
            </w:r>
          </w:p>
        </w:tc>
      </w:tr>
      <w:tr w:rsidR="00B75ACA" w:rsidRPr="00347FB2" w14:paraId="1D0A6F62"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3497A8B3" w14:textId="77777777" w:rsidR="00B75ACA" w:rsidRPr="001010E4" w:rsidRDefault="00B75ACA">
            <w:pPr>
              <w:pStyle w:val="TableTextCentered"/>
              <w:rPr>
                <w:rFonts w:ascii="Franklin Gothic Book" w:hAnsi="Franklin Gothic Book"/>
              </w:rPr>
            </w:pPr>
            <w:r w:rsidRPr="001010E4">
              <w:rPr>
                <w:rFonts w:ascii="Franklin Gothic Book" w:hAnsi="Franklin Gothic Book"/>
              </w:rPr>
              <w:t>3-8</w:t>
            </w:r>
          </w:p>
        </w:tc>
        <w:tc>
          <w:tcPr>
            <w:tcW w:w="2019" w:type="dxa"/>
            <w:vAlign w:val="center"/>
          </w:tcPr>
          <w:p w14:paraId="392FB70A"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1,363</w:t>
            </w:r>
          </w:p>
        </w:tc>
        <w:tc>
          <w:tcPr>
            <w:tcW w:w="2004" w:type="dxa"/>
            <w:vAlign w:val="center"/>
          </w:tcPr>
          <w:p w14:paraId="768DD691"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52.2</w:t>
            </w:r>
          </w:p>
        </w:tc>
        <w:tc>
          <w:tcPr>
            <w:tcW w:w="2003" w:type="dxa"/>
            <w:vAlign w:val="center"/>
          </w:tcPr>
          <w:p w14:paraId="3A6D7402"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52.1</w:t>
            </w:r>
          </w:p>
        </w:tc>
        <w:tc>
          <w:tcPr>
            <w:tcW w:w="2011" w:type="dxa"/>
            <w:vAlign w:val="bottom"/>
          </w:tcPr>
          <w:p w14:paraId="140849F8"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49.8</w:t>
            </w:r>
          </w:p>
        </w:tc>
      </w:tr>
      <w:tr w:rsidR="00B75ACA" w:rsidRPr="00347FB2" w14:paraId="36A3A2EB" w14:textId="77777777">
        <w:tc>
          <w:tcPr>
            <w:tcW w:w="1307" w:type="dxa"/>
          </w:tcPr>
          <w:p w14:paraId="345FD699" w14:textId="77777777" w:rsidR="00B75ACA" w:rsidRPr="001010E4" w:rsidRDefault="00B75ACA">
            <w:pPr>
              <w:pStyle w:val="TableTextCentered"/>
              <w:rPr>
                <w:rFonts w:ascii="Franklin Gothic Book" w:hAnsi="Franklin Gothic Book"/>
              </w:rPr>
            </w:pPr>
            <w:r w:rsidRPr="001010E4">
              <w:rPr>
                <w:rFonts w:ascii="Franklin Gothic Book" w:hAnsi="Franklin Gothic Book"/>
              </w:rPr>
              <w:t>10</w:t>
            </w:r>
          </w:p>
        </w:tc>
        <w:tc>
          <w:tcPr>
            <w:tcW w:w="2019" w:type="dxa"/>
            <w:vAlign w:val="center"/>
          </w:tcPr>
          <w:p w14:paraId="5BB876CF"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245</w:t>
            </w:r>
          </w:p>
        </w:tc>
        <w:tc>
          <w:tcPr>
            <w:tcW w:w="2004" w:type="dxa"/>
            <w:vAlign w:val="center"/>
          </w:tcPr>
          <w:p w14:paraId="4EB2CB20"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60.7</w:t>
            </w:r>
          </w:p>
        </w:tc>
        <w:tc>
          <w:tcPr>
            <w:tcW w:w="2003" w:type="dxa"/>
            <w:vAlign w:val="center"/>
          </w:tcPr>
          <w:p w14:paraId="3C2761FE"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61.5</w:t>
            </w:r>
          </w:p>
        </w:tc>
        <w:tc>
          <w:tcPr>
            <w:tcW w:w="2011" w:type="dxa"/>
            <w:vAlign w:val="bottom"/>
          </w:tcPr>
          <w:p w14:paraId="4DE71F2B" w14:textId="77777777" w:rsidR="00B75ACA" w:rsidRPr="00CC0702" w:rsidRDefault="00B75ACA">
            <w:pPr>
              <w:pStyle w:val="TableTextCentered"/>
              <w:rPr>
                <w:rFonts w:ascii="Franklin Gothic Book" w:hAnsi="Franklin Gothic Book"/>
              </w:rPr>
            </w:pPr>
            <w:r w:rsidRPr="00CC0702">
              <w:rPr>
                <w:rFonts w:ascii="Franklin Gothic Book" w:hAnsi="Franklin Gothic Book" w:cs="Calibri"/>
              </w:rPr>
              <w:t>49.6</w:t>
            </w:r>
          </w:p>
        </w:tc>
      </w:tr>
    </w:tbl>
    <w:p w14:paraId="2D8D71AD" w14:textId="77777777" w:rsidR="00B75ACA" w:rsidRPr="008759FC" w:rsidRDefault="00B75ACA" w:rsidP="003C1333">
      <w:pPr>
        <w:pStyle w:val="TableTitle0"/>
      </w:pPr>
      <w:bookmarkStart w:id="207" w:name="_Toc158035183"/>
      <w:r w:rsidRPr="008759FC">
        <w:t>Table E16. Four-Year Cohort Graduation Rates by Student Group, 202</w:t>
      </w:r>
      <w:r>
        <w:t>0</w:t>
      </w:r>
      <w:r w:rsidRPr="008759FC">
        <w:t>-202</w:t>
      </w:r>
      <w:r>
        <w:t>2</w:t>
      </w:r>
      <w:bookmarkEnd w:id="207"/>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75ACA" w:rsidRPr="000E2C7D" w14:paraId="73880214"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264EBB43" w14:textId="77777777" w:rsidR="00B75ACA" w:rsidRPr="00FA0D3E" w:rsidRDefault="00B75ACA" w:rsidP="003C1333">
            <w:pPr>
              <w:pStyle w:val="TableColHeadingCenter"/>
            </w:pPr>
            <w:r w:rsidRPr="00FA0D3E">
              <w:t>Group</w:t>
            </w:r>
          </w:p>
        </w:tc>
        <w:tc>
          <w:tcPr>
            <w:tcW w:w="1254" w:type="dxa"/>
            <w:vAlign w:val="center"/>
          </w:tcPr>
          <w:p w14:paraId="3572C2C5" w14:textId="1E254908" w:rsidR="00B75ACA" w:rsidRPr="002E27AE" w:rsidRDefault="00B75ACA" w:rsidP="003C1333">
            <w:pPr>
              <w:pStyle w:val="TableColHeadingCenter"/>
            </w:pPr>
            <w:r w:rsidRPr="002E27AE">
              <w:t xml:space="preserve"># </w:t>
            </w:r>
            <w:r w:rsidR="00C6447D">
              <w:t>i</w:t>
            </w:r>
            <w:r w:rsidRPr="002E27AE">
              <w:t>ncluded (2022)</w:t>
            </w:r>
          </w:p>
        </w:tc>
        <w:tc>
          <w:tcPr>
            <w:tcW w:w="1255" w:type="dxa"/>
            <w:vAlign w:val="center"/>
          </w:tcPr>
          <w:p w14:paraId="0EA6D9B5" w14:textId="77777777" w:rsidR="00B75ACA" w:rsidRPr="002E27AE" w:rsidRDefault="00B75ACA" w:rsidP="003C1333">
            <w:pPr>
              <w:pStyle w:val="TableColHeadingCenter"/>
            </w:pPr>
            <w:r w:rsidRPr="002E27AE">
              <w:t>2020</w:t>
            </w:r>
          </w:p>
        </w:tc>
        <w:tc>
          <w:tcPr>
            <w:tcW w:w="1254" w:type="dxa"/>
            <w:vAlign w:val="center"/>
          </w:tcPr>
          <w:p w14:paraId="31FABBF0" w14:textId="77777777" w:rsidR="00B75ACA" w:rsidRPr="002E27AE" w:rsidRDefault="00B75ACA" w:rsidP="003C1333">
            <w:pPr>
              <w:pStyle w:val="TableColHeadingCenter"/>
            </w:pPr>
            <w:r w:rsidRPr="002E27AE">
              <w:t>2021</w:t>
            </w:r>
          </w:p>
        </w:tc>
        <w:tc>
          <w:tcPr>
            <w:tcW w:w="1255" w:type="dxa"/>
            <w:vAlign w:val="center"/>
          </w:tcPr>
          <w:p w14:paraId="7B08AF17" w14:textId="77777777" w:rsidR="00B75ACA" w:rsidRPr="002E27AE" w:rsidRDefault="00B75ACA" w:rsidP="003C1333">
            <w:pPr>
              <w:pStyle w:val="TableColHeadingCenter"/>
            </w:pPr>
            <w:r w:rsidRPr="002E27AE">
              <w:t>2022</w:t>
            </w:r>
          </w:p>
        </w:tc>
        <w:tc>
          <w:tcPr>
            <w:tcW w:w="1255" w:type="dxa"/>
            <w:vAlign w:val="center"/>
          </w:tcPr>
          <w:p w14:paraId="1731FB72" w14:textId="77777777" w:rsidR="00B75ACA" w:rsidRPr="002E27AE" w:rsidRDefault="00B75ACA" w:rsidP="003C1333">
            <w:pPr>
              <w:pStyle w:val="TableColHeadingCenter"/>
            </w:pPr>
            <w:r w:rsidRPr="002E27AE">
              <w:t>State (2022)</w:t>
            </w:r>
          </w:p>
        </w:tc>
      </w:tr>
      <w:tr w:rsidR="00B75ACA" w:rsidRPr="000E2C7D" w14:paraId="30B7427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3C4A5E9" w14:textId="77777777" w:rsidR="00B75ACA" w:rsidRPr="001010E4" w:rsidRDefault="00B75ACA" w:rsidP="003C1333">
            <w:pPr>
              <w:pStyle w:val="TableText"/>
            </w:pPr>
            <w:r w:rsidRPr="001010E4">
              <w:t>All</w:t>
            </w:r>
          </w:p>
        </w:tc>
        <w:tc>
          <w:tcPr>
            <w:tcW w:w="1254" w:type="dxa"/>
          </w:tcPr>
          <w:p w14:paraId="6A1DC42B" w14:textId="77777777" w:rsidR="00B75ACA" w:rsidRPr="001010E4" w:rsidRDefault="00B75ACA" w:rsidP="003C1333">
            <w:pPr>
              <w:pStyle w:val="TableTextCentered"/>
            </w:pPr>
            <w:r>
              <w:t>319</w:t>
            </w:r>
          </w:p>
        </w:tc>
        <w:tc>
          <w:tcPr>
            <w:tcW w:w="1255" w:type="dxa"/>
          </w:tcPr>
          <w:p w14:paraId="12FB8E60" w14:textId="77777777" w:rsidR="00B75ACA" w:rsidRPr="001010E4" w:rsidRDefault="00B75ACA" w:rsidP="003C1333">
            <w:pPr>
              <w:pStyle w:val="TableTextCentered"/>
            </w:pPr>
            <w:r>
              <w:t>98.4</w:t>
            </w:r>
          </w:p>
        </w:tc>
        <w:tc>
          <w:tcPr>
            <w:tcW w:w="1254" w:type="dxa"/>
          </w:tcPr>
          <w:p w14:paraId="5791A9CD" w14:textId="77777777" w:rsidR="00B75ACA" w:rsidRPr="001010E4" w:rsidRDefault="00B75ACA" w:rsidP="003C1333">
            <w:pPr>
              <w:pStyle w:val="TableTextCentered"/>
            </w:pPr>
            <w:r>
              <w:t>95.3</w:t>
            </w:r>
          </w:p>
        </w:tc>
        <w:tc>
          <w:tcPr>
            <w:tcW w:w="1255" w:type="dxa"/>
          </w:tcPr>
          <w:p w14:paraId="0A2C0EC5" w14:textId="77777777" w:rsidR="00B75ACA" w:rsidRPr="001010E4" w:rsidRDefault="00B75ACA" w:rsidP="003C1333">
            <w:pPr>
              <w:pStyle w:val="TableTextCentered"/>
            </w:pPr>
            <w:r>
              <w:t>96.6</w:t>
            </w:r>
          </w:p>
        </w:tc>
        <w:tc>
          <w:tcPr>
            <w:tcW w:w="1255" w:type="dxa"/>
          </w:tcPr>
          <w:p w14:paraId="573F4141" w14:textId="77777777" w:rsidR="00B75ACA" w:rsidRPr="003E266C" w:rsidRDefault="00B75ACA" w:rsidP="003C1333">
            <w:pPr>
              <w:pStyle w:val="TableTextCentered"/>
            </w:pPr>
            <w:r w:rsidRPr="003E266C">
              <w:t>90.1</w:t>
            </w:r>
          </w:p>
        </w:tc>
      </w:tr>
      <w:tr w:rsidR="00B75ACA" w:rsidRPr="000E2C7D" w14:paraId="6B7CF074" w14:textId="77777777">
        <w:trPr>
          <w:jc w:val="center"/>
        </w:trPr>
        <w:tc>
          <w:tcPr>
            <w:tcW w:w="3052" w:type="dxa"/>
          </w:tcPr>
          <w:p w14:paraId="017D9FA2" w14:textId="77777777" w:rsidR="00B75ACA" w:rsidRPr="001010E4" w:rsidRDefault="00B75ACA" w:rsidP="003C1333">
            <w:pPr>
              <w:pStyle w:val="TableText"/>
            </w:pPr>
            <w:r w:rsidRPr="001010E4">
              <w:t>African American/Black</w:t>
            </w:r>
          </w:p>
        </w:tc>
        <w:tc>
          <w:tcPr>
            <w:tcW w:w="1254" w:type="dxa"/>
          </w:tcPr>
          <w:p w14:paraId="4B61B981" w14:textId="77777777" w:rsidR="00B75ACA" w:rsidRPr="001010E4" w:rsidRDefault="00B75ACA" w:rsidP="003C1333">
            <w:pPr>
              <w:pStyle w:val="TableTextCentered"/>
            </w:pPr>
            <w:r>
              <w:t>6</w:t>
            </w:r>
          </w:p>
        </w:tc>
        <w:tc>
          <w:tcPr>
            <w:tcW w:w="1255" w:type="dxa"/>
          </w:tcPr>
          <w:p w14:paraId="7F1677C8" w14:textId="176F7281" w:rsidR="00B75ACA" w:rsidRPr="001010E4" w:rsidRDefault="008E5BF5" w:rsidP="003C1333">
            <w:pPr>
              <w:pStyle w:val="TableTextCentered"/>
            </w:pPr>
            <w:r>
              <w:t>—</w:t>
            </w:r>
          </w:p>
        </w:tc>
        <w:tc>
          <w:tcPr>
            <w:tcW w:w="1254" w:type="dxa"/>
          </w:tcPr>
          <w:p w14:paraId="1BFE2ADF" w14:textId="298873FD" w:rsidR="00B75ACA" w:rsidRPr="001010E4" w:rsidRDefault="008E5BF5" w:rsidP="003C1333">
            <w:pPr>
              <w:pStyle w:val="TableTextCentered"/>
            </w:pPr>
            <w:r>
              <w:t>—</w:t>
            </w:r>
          </w:p>
        </w:tc>
        <w:tc>
          <w:tcPr>
            <w:tcW w:w="1255" w:type="dxa"/>
          </w:tcPr>
          <w:p w14:paraId="00BF6031" w14:textId="77777777" w:rsidR="00B75ACA" w:rsidRPr="001010E4" w:rsidRDefault="00B75ACA" w:rsidP="003C1333">
            <w:pPr>
              <w:pStyle w:val="TableTextCentered"/>
            </w:pPr>
            <w:r>
              <w:t>100</w:t>
            </w:r>
          </w:p>
        </w:tc>
        <w:tc>
          <w:tcPr>
            <w:tcW w:w="1255" w:type="dxa"/>
          </w:tcPr>
          <w:p w14:paraId="48D9ED99" w14:textId="77777777" w:rsidR="00B75ACA" w:rsidRPr="003E266C" w:rsidRDefault="00B75ACA" w:rsidP="003C1333">
            <w:pPr>
              <w:pStyle w:val="TableTextCentered"/>
            </w:pPr>
            <w:r w:rsidRPr="003E266C">
              <w:t>86.2</w:t>
            </w:r>
          </w:p>
        </w:tc>
      </w:tr>
      <w:tr w:rsidR="00B75ACA" w:rsidRPr="000E2C7D" w14:paraId="4D5D521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32190B2" w14:textId="77777777" w:rsidR="00B75ACA" w:rsidRPr="001010E4" w:rsidRDefault="00B75ACA" w:rsidP="003C1333">
            <w:pPr>
              <w:pStyle w:val="TableText"/>
            </w:pPr>
            <w:r w:rsidRPr="001010E4">
              <w:t>Asian</w:t>
            </w:r>
          </w:p>
        </w:tc>
        <w:tc>
          <w:tcPr>
            <w:tcW w:w="1254" w:type="dxa"/>
          </w:tcPr>
          <w:p w14:paraId="29B8CE90" w14:textId="77777777" w:rsidR="00B75ACA" w:rsidRPr="001010E4" w:rsidRDefault="00B75ACA" w:rsidP="003C1333">
            <w:pPr>
              <w:pStyle w:val="TableTextCentered"/>
            </w:pPr>
            <w:r>
              <w:t>9</w:t>
            </w:r>
          </w:p>
        </w:tc>
        <w:tc>
          <w:tcPr>
            <w:tcW w:w="1255" w:type="dxa"/>
          </w:tcPr>
          <w:p w14:paraId="31D9323F" w14:textId="77777777" w:rsidR="00B75ACA" w:rsidRPr="001010E4" w:rsidRDefault="00B75ACA" w:rsidP="003C1333">
            <w:pPr>
              <w:pStyle w:val="TableTextCentered"/>
            </w:pPr>
            <w:r>
              <w:t>100</w:t>
            </w:r>
          </w:p>
        </w:tc>
        <w:tc>
          <w:tcPr>
            <w:tcW w:w="1254" w:type="dxa"/>
          </w:tcPr>
          <w:p w14:paraId="74695CBF" w14:textId="72D6826E" w:rsidR="00B75ACA" w:rsidRPr="001010E4" w:rsidRDefault="008E5BF5" w:rsidP="003C1333">
            <w:pPr>
              <w:pStyle w:val="TableTextCentered"/>
            </w:pPr>
            <w:r>
              <w:t>—</w:t>
            </w:r>
          </w:p>
        </w:tc>
        <w:tc>
          <w:tcPr>
            <w:tcW w:w="1255" w:type="dxa"/>
          </w:tcPr>
          <w:p w14:paraId="0917FEA1" w14:textId="77777777" w:rsidR="00B75ACA" w:rsidRPr="001010E4" w:rsidRDefault="00B75ACA" w:rsidP="003C1333">
            <w:pPr>
              <w:pStyle w:val="TableTextCentered"/>
            </w:pPr>
            <w:r>
              <w:t>100</w:t>
            </w:r>
          </w:p>
        </w:tc>
        <w:tc>
          <w:tcPr>
            <w:tcW w:w="1255" w:type="dxa"/>
          </w:tcPr>
          <w:p w14:paraId="7890280C" w14:textId="77777777" w:rsidR="00B75ACA" w:rsidRPr="003E266C" w:rsidRDefault="00B75ACA" w:rsidP="003C1333">
            <w:pPr>
              <w:pStyle w:val="TableTextCentered"/>
            </w:pPr>
            <w:r w:rsidRPr="003E266C">
              <w:t>96.2</w:t>
            </w:r>
          </w:p>
        </w:tc>
      </w:tr>
      <w:tr w:rsidR="00B75ACA" w:rsidRPr="000E2C7D" w14:paraId="20D4C311" w14:textId="77777777">
        <w:trPr>
          <w:jc w:val="center"/>
        </w:trPr>
        <w:tc>
          <w:tcPr>
            <w:tcW w:w="3052" w:type="dxa"/>
          </w:tcPr>
          <w:p w14:paraId="10230E68" w14:textId="77777777" w:rsidR="00B75ACA" w:rsidRPr="001010E4" w:rsidRDefault="00B75ACA" w:rsidP="003C1333">
            <w:pPr>
              <w:pStyle w:val="TableText"/>
            </w:pPr>
            <w:r w:rsidRPr="001010E4">
              <w:t>Hispanic/Latino</w:t>
            </w:r>
          </w:p>
        </w:tc>
        <w:tc>
          <w:tcPr>
            <w:tcW w:w="1254" w:type="dxa"/>
          </w:tcPr>
          <w:p w14:paraId="2BEC5B4A" w14:textId="77777777" w:rsidR="00B75ACA" w:rsidRPr="001010E4" w:rsidRDefault="00B75ACA" w:rsidP="003C1333">
            <w:pPr>
              <w:pStyle w:val="TableTextCentered"/>
            </w:pPr>
            <w:r>
              <w:t>14</w:t>
            </w:r>
          </w:p>
        </w:tc>
        <w:tc>
          <w:tcPr>
            <w:tcW w:w="1255" w:type="dxa"/>
          </w:tcPr>
          <w:p w14:paraId="2576DF81" w14:textId="77777777" w:rsidR="00B75ACA" w:rsidRPr="001010E4" w:rsidRDefault="00B75ACA" w:rsidP="003C1333">
            <w:pPr>
              <w:pStyle w:val="TableTextCentered"/>
            </w:pPr>
            <w:r>
              <w:t>92.9</w:t>
            </w:r>
          </w:p>
        </w:tc>
        <w:tc>
          <w:tcPr>
            <w:tcW w:w="1254" w:type="dxa"/>
          </w:tcPr>
          <w:p w14:paraId="5C69257D" w14:textId="77777777" w:rsidR="00B75ACA" w:rsidRPr="001010E4" w:rsidRDefault="00B75ACA" w:rsidP="003C1333">
            <w:pPr>
              <w:pStyle w:val="TableTextCentered"/>
            </w:pPr>
            <w:r>
              <w:t>83.3</w:t>
            </w:r>
          </w:p>
        </w:tc>
        <w:tc>
          <w:tcPr>
            <w:tcW w:w="1255" w:type="dxa"/>
          </w:tcPr>
          <w:p w14:paraId="48D00D24" w14:textId="77777777" w:rsidR="00B75ACA" w:rsidRPr="001010E4" w:rsidRDefault="00B75ACA" w:rsidP="003C1333">
            <w:pPr>
              <w:pStyle w:val="TableTextCentered"/>
            </w:pPr>
            <w:r>
              <w:t>92.9</w:t>
            </w:r>
          </w:p>
        </w:tc>
        <w:tc>
          <w:tcPr>
            <w:tcW w:w="1255" w:type="dxa"/>
          </w:tcPr>
          <w:p w14:paraId="70950B05" w14:textId="77777777" w:rsidR="00B75ACA" w:rsidRPr="003E266C" w:rsidRDefault="00B75ACA" w:rsidP="003C1333">
            <w:pPr>
              <w:pStyle w:val="TableTextCentered"/>
            </w:pPr>
            <w:r w:rsidRPr="003E266C">
              <w:t>81.2</w:t>
            </w:r>
          </w:p>
        </w:tc>
      </w:tr>
      <w:tr w:rsidR="00B75ACA" w:rsidRPr="000E2C7D" w14:paraId="2EC6719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D4C2D95" w14:textId="77777777" w:rsidR="00B75ACA" w:rsidRPr="001010E4" w:rsidRDefault="00B75ACA" w:rsidP="003C1333">
            <w:pPr>
              <w:pStyle w:val="TableText"/>
            </w:pPr>
            <w:r w:rsidRPr="001010E4">
              <w:rPr>
                <w:rFonts w:cstheme="minorHAnsi"/>
              </w:rPr>
              <w:t>Multi-Race, non-Hispanic/Latino</w:t>
            </w:r>
          </w:p>
        </w:tc>
        <w:tc>
          <w:tcPr>
            <w:tcW w:w="1254" w:type="dxa"/>
          </w:tcPr>
          <w:p w14:paraId="0E7D6EC5" w14:textId="77777777" w:rsidR="00B75ACA" w:rsidRPr="001010E4" w:rsidRDefault="00B75ACA" w:rsidP="003C1333">
            <w:pPr>
              <w:pStyle w:val="TableTextCentered"/>
            </w:pPr>
            <w:r>
              <w:t>13</w:t>
            </w:r>
          </w:p>
        </w:tc>
        <w:tc>
          <w:tcPr>
            <w:tcW w:w="1255" w:type="dxa"/>
          </w:tcPr>
          <w:p w14:paraId="7D0F3389" w14:textId="77777777" w:rsidR="00B75ACA" w:rsidRPr="001010E4" w:rsidRDefault="00B75ACA" w:rsidP="003C1333">
            <w:pPr>
              <w:pStyle w:val="TableTextCentered"/>
            </w:pPr>
            <w:r>
              <w:t>100</w:t>
            </w:r>
          </w:p>
        </w:tc>
        <w:tc>
          <w:tcPr>
            <w:tcW w:w="1254" w:type="dxa"/>
          </w:tcPr>
          <w:p w14:paraId="4B3902E8" w14:textId="77777777" w:rsidR="00B75ACA" w:rsidRPr="001010E4" w:rsidRDefault="00B75ACA" w:rsidP="003C1333">
            <w:pPr>
              <w:pStyle w:val="TableTextCentered"/>
            </w:pPr>
            <w:r>
              <w:t>83.3</w:t>
            </w:r>
          </w:p>
        </w:tc>
        <w:tc>
          <w:tcPr>
            <w:tcW w:w="1255" w:type="dxa"/>
          </w:tcPr>
          <w:p w14:paraId="65316D19" w14:textId="77777777" w:rsidR="00B75ACA" w:rsidRPr="001010E4" w:rsidRDefault="00B75ACA" w:rsidP="003C1333">
            <w:pPr>
              <w:pStyle w:val="TableTextCentered"/>
            </w:pPr>
            <w:r>
              <w:t>92.3</w:t>
            </w:r>
          </w:p>
        </w:tc>
        <w:tc>
          <w:tcPr>
            <w:tcW w:w="1255" w:type="dxa"/>
          </w:tcPr>
          <w:p w14:paraId="34334AB9" w14:textId="77777777" w:rsidR="00B75ACA" w:rsidRPr="003E266C" w:rsidRDefault="00B75ACA" w:rsidP="003C1333">
            <w:pPr>
              <w:pStyle w:val="TableTextCentered"/>
            </w:pPr>
            <w:r w:rsidRPr="003E266C">
              <w:t>88.7</w:t>
            </w:r>
          </w:p>
        </w:tc>
      </w:tr>
      <w:tr w:rsidR="00B75ACA" w:rsidRPr="000E2C7D" w14:paraId="638568ED" w14:textId="77777777">
        <w:trPr>
          <w:jc w:val="center"/>
        </w:trPr>
        <w:tc>
          <w:tcPr>
            <w:tcW w:w="3052" w:type="dxa"/>
          </w:tcPr>
          <w:p w14:paraId="0E00E4FC" w14:textId="77777777" w:rsidR="00B75ACA" w:rsidRPr="001010E4" w:rsidRDefault="00B75ACA" w:rsidP="003C1333">
            <w:pPr>
              <w:pStyle w:val="TableText"/>
            </w:pPr>
            <w:r w:rsidRPr="001010E4">
              <w:t>Native American</w:t>
            </w:r>
          </w:p>
        </w:tc>
        <w:tc>
          <w:tcPr>
            <w:tcW w:w="1254" w:type="dxa"/>
          </w:tcPr>
          <w:p w14:paraId="535D4853" w14:textId="2A56A7C7" w:rsidR="00B75ACA" w:rsidRPr="001010E4" w:rsidRDefault="008E5BF5" w:rsidP="003C1333">
            <w:pPr>
              <w:pStyle w:val="TableTextCentered"/>
            </w:pPr>
            <w:r>
              <w:t>—</w:t>
            </w:r>
          </w:p>
        </w:tc>
        <w:tc>
          <w:tcPr>
            <w:tcW w:w="1255" w:type="dxa"/>
          </w:tcPr>
          <w:p w14:paraId="3CAC7B82" w14:textId="596F53D5" w:rsidR="00B75ACA" w:rsidRPr="001010E4" w:rsidRDefault="008E5BF5" w:rsidP="003C1333">
            <w:pPr>
              <w:pStyle w:val="TableTextCentered"/>
            </w:pPr>
            <w:r>
              <w:t>—</w:t>
            </w:r>
          </w:p>
        </w:tc>
        <w:tc>
          <w:tcPr>
            <w:tcW w:w="1254" w:type="dxa"/>
          </w:tcPr>
          <w:p w14:paraId="400AFE85" w14:textId="1EF00AB7" w:rsidR="00B75ACA" w:rsidRPr="001010E4" w:rsidRDefault="008E5BF5" w:rsidP="003C1333">
            <w:pPr>
              <w:pStyle w:val="TableTextCentered"/>
            </w:pPr>
            <w:r>
              <w:t>—</w:t>
            </w:r>
          </w:p>
        </w:tc>
        <w:tc>
          <w:tcPr>
            <w:tcW w:w="1255" w:type="dxa"/>
          </w:tcPr>
          <w:p w14:paraId="00D31B6C" w14:textId="79D7DD60" w:rsidR="00B75ACA" w:rsidRPr="001010E4" w:rsidRDefault="008E5BF5" w:rsidP="003C1333">
            <w:pPr>
              <w:pStyle w:val="TableTextCentered"/>
            </w:pPr>
            <w:r>
              <w:t>—</w:t>
            </w:r>
          </w:p>
        </w:tc>
        <w:tc>
          <w:tcPr>
            <w:tcW w:w="1255" w:type="dxa"/>
          </w:tcPr>
          <w:p w14:paraId="3DCFAF50" w14:textId="77777777" w:rsidR="00B75ACA" w:rsidRPr="003E266C" w:rsidRDefault="00B75ACA" w:rsidP="003C1333">
            <w:pPr>
              <w:pStyle w:val="TableTextCentered"/>
            </w:pPr>
            <w:r w:rsidRPr="003E266C">
              <w:t>82.2</w:t>
            </w:r>
          </w:p>
        </w:tc>
      </w:tr>
      <w:tr w:rsidR="00B75ACA" w:rsidRPr="000E2C7D" w14:paraId="61AB35F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01741BD" w14:textId="77777777" w:rsidR="00B75ACA" w:rsidRPr="001010E4" w:rsidRDefault="00B75ACA" w:rsidP="003C1333">
            <w:pPr>
              <w:pStyle w:val="TableText"/>
            </w:pPr>
            <w:r w:rsidRPr="001010E4">
              <w:rPr>
                <w:rFonts w:eastAsia="Times New Roman"/>
                <w:spacing w:val="-4"/>
              </w:rPr>
              <w:t>Native Hawaiian, Pacific Islander</w:t>
            </w:r>
          </w:p>
        </w:tc>
        <w:tc>
          <w:tcPr>
            <w:tcW w:w="1254" w:type="dxa"/>
          </w:tcPr>
          <w:p w14:paraId="6741A9E1" w14:textId="6954B657" w:rsidR="00B75ACA" w:rsidRPr="001010E4" w:rsidRDefault="008E5BF5" w:rsidP="003C1333">
            <w:pPr>
              <w:pStyle w:val="TableTextCentered"/>
            </w:pPr>
            <w:r>
              <w:t>—</w:t>
            </w:r>
          </w:p>
        </w:tc>
        <w:tc>
          <w:tcPr>
            <w:tcW w:w="1255" w:type="dxa"/>
          </w:tcPr>
          <w:p w14:paraId="5D1EFBBF" w14:textId="71E41B38" w:rsidR="00B75ACA" w:rsidRPr="001010E4" w:rsidRDefault="008E5BF5" w:rsidP="003C1333">
            <w:pPr>
              <w:pStyle w:val="TableTextCentered"/>
            </w:pPr>
            <w:r>
              <w:t>—</w:t>
            </w:r>
          </w:p>
        </w:tc>
        <w:tc>
          <w:tcPr>
            <w:tcW w:w="1254" w:type="dxa"/>
          </w:tcPr>
          <w:p w14:paraId="08ACB485" w14:textId="56F51799" w:rsidR="00B75ACA" w:rsidRPr="001010E4" w:rsidRDefault="008E5BF5" w:rsidP="003C1333">
            <w:pPr>
              <w:pStyle w:val="TableTextCentered"/>
            </w:pPr>
            <w:r>
              <w:t>—</w:t>
            </w:r>
          </w:p>
        </w:tc>
        <w:tc>
          <w:tcPr>
            <w:tcW w:w="1255" w:type="dxa"/>
          </w:tcPr>
          <w:p w14:paraId="6495F588" w14:textId="139723EC" w:rsidR="00B75ACA" w:rsidRPr="001010E4" w:rsidRDefault="008E5BF5" w:rsidP="003C1333">
            <w:pPr>
              <w:pStyle w:val="TableTextCentered"/>
            </w:pPr>
            <w:r>
              <w:t>—</w:t>
            </w:r>
          </w:p>
        </w:tc>
        <w:tc>
          <w:tcPr>
            <w:tcW w:w="1255" w:type="dxa"/>
          </w:tcPr>
          <w:p w14:paraId="67F94A7B" w14:textId="77777777" w:rsidR="00B75ACA" w:rsidRPr="003E266C" w:rsidRDefault="00B75ACA" w:rsidP="003C1333">
            <w:pPr>
              <w:pStyle w:val="TableTextCentered"/>
            </w:pPr>
            <w:r w:rsidRPr="003E266C">
              <w:t>81.3</w:t>
            </w:r>
          </w:p>
        </w:tc>
      </w:tr>
      <w:tr w:rsidR="00B75ACA" w:rsidRPr="000E2C7D" w14:paraId="3DB48491" w14:textId="77777777">
        <w:trPr>
          <w:jc w:val="center"/>
        </w:trPr>
        <w:tc>
          <w:tcPr>
            <w:tcW w:w="3052" w:type="dxa"/>
          </w:tcPr>
          <w:p w14:paraId="0042F492" w14:textId="77777777" w:rsidR="00B75ACA" w:rsidRPr="001010E4" w:rsidRDefault="00B75ACA" w:rsidP="003C1333">
            <w:pPr>
              <w:pStyle w:val="TableText"/>
            </w:pPr>
            <w:r w:rsidRPr="001010E4">
              <w:t>White</w:t>
            </w:r>
          </w:p>
        </w:tc>
        <w:tc>
          <w:tcPr>
            <w:tcW w:w="1254" w:type="dxa"/>
          </w:tcPr>
          <w:p w14:paraId="23AD275C" w14:textId="77777777" w:rsidR="00B75ACA" w:rsidRPr="001010E4" w:rsidRDefault="00B75ACA" w:rsidP="003C1333">
            <w:pPr>
              <w:pStyle w:val="TableTextCentered"/>
            </w:pPr>
            <w:r>
              <w:t>277</w:t>
            </w:r>
          </w:p>
        </w:tc>
        <w:tc>
          <w:tcPr>
            <w:tcW w:w="1255" w:type="dxa"/>
          </w:tcPr>
          <w:p w14:paraId="44CBAF3E" w14:textId="77777777" w:rsidR="00B75ACA" w:rsidRPr="001010E4" w:rsidRDefault="00B75ACA" w:rsidP="003C1333">
            <w:pPr>
              <w:pStyle w:val="TableTextCentered"/>
            </w:pPr>
            <w:r>
              <w:t>98.6</w:t>
            </w:r>
          </w:p>
        </w:tc>
        <w:tc>
          <w:tcPr>
            <w:tcW w:w="1254" w:type="dxa"/>
          </w:tcPr>
          <w:p w14:paraId="550EB5F0" w14:textId="77777777" w:rsidR="00B75ACA" w:rsidRPr="001010E4" w:rsidRDefault="00B75ACA" w:rsidP="003C1333">
            <w:pPr>
              <w:pStyle w:val="TableTextCentered"/>
            </w:pPr>
            <w:r>
              <w:t>95.6</w:t>
            </w:r>
          </w:p>
        </w:tc>
        <w:tc>
          <w:tcPr>
            <w:tcW w:w="1255" w:type="dxa"/>
          </w:tcPr>
          <w:p w14:paraId="30669EEA" w14:textId="77777777" w:rsidR="00B75ACA" w:rsidRPr="001010E4" w:rsidRDefault="00B75ACA" w:rsidP="003C1333">
            <w:pPr>
              <w:pStyle w:val="TableTextCentered"/>
            </w:pPr>
            <w:r>
              <w:t>96.8</w:t>
            </w:r>
          </w:p>
        </w:tc>
        <w:tc>
          <w:tcPr>
            <w:tcW w:w="1255" w:type="dxa"/>
          </w:tcPr>
          <w:p w14:paraId="6BEB51F8" w14:textId="77777777" w:rsidR="00B75ACA" w:rsidRPr="003E266C" w:rsidRDefault="00B75ACA" w:rsidP="003C1333">
            <w:pPr>
              <w:pStyle w:val="TableTextCentered"/>
            </w:pPr>
            <w:r w:rsidRPr="003E266C">
              <w:t>93.2</w:t>
            </w:r>
          </w:p>
        </w:tc>
      </w:tr>
      <w:tr w:rsidR="00B75ACA" w:rsidRPr="000E2C7D" w14:paraId="2436EC0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14E70B0" w14:textId="77777777" w:rsidR="00B75ACA" w:rsidRPr="001010E4" w:rsidRDefault="00B75ACA" w:rsidP="003C1333">
            <w:pPr>
              <w:pStyle w:val="TableText"/>
            </w:pPr>
            <w:r w:rsidRPr="001010E4">
              <w:t>High needs</w:t>
            </w:r>
          </w:p>
        </w:tc>
        <w:tc>
          <w:tcPr>
            <w:tcW w:w="1254" w:type="dxa"/>
          </w:tcPr>
          <w:p w14:paraId="4945EAC0" w14:textId="77777777" w:rsidR="00B75ACA" w:rsidRPr="001010E4" w:rsidRDefault="00B75ACA" w:rsidP="003C1333">
            <w:pPr>
              <w:pStyle w:val="TableTextCentered"/>
            </w:pPr>
            <w:r>
              <w:t>82</w:t>
            </w:r>
          </w:p>
        </w:tc>
        <w:tc>
          <w:tcPr>
            <w:tcW w:w="1255" w:type="dxa"/>
          </w:tcPr>
          <w:p w14:paraId="1A4BA749" w14:textId="77777777" w:rsidR="00B75ACA" w:rsidRPr="001010E4" w:rsidRDefault="00B75ACA" w:rsidP="003C1333">
            <w:pPr>
              <w:pStyle w:val="TableTextCentered"/>
            </w:pPr>
            <w:r>
              <w:t>95.9</w:t>
            </w:r>
          </w:p>
        </w:tc>
        <w:tc>
          <w:tcPr>
            <w:tcW w:w="1254" w:type="dxa"/>
          </w:tcPr>
          <w:p w14:paraId="635D65B2" w14:textId="77777777" w:rsidR="00B75ACA" w:rsidRPr="001010E4" w:rsidRDefault="00B75ACA" w:rsidP="003C1333">
            <w:pPr>
              <w:pStyle w:val="TableTextCentered"/>
            </w:pPr>
            <w:r>
              <w:t>84.6</w:t>
            </w:r>
          </w:p>
        </w:tc>
        <w:tc>
          <w:tcPr>
            <w:tcW w:w="1255" w:type="dxa"/>
          </w:tcPr>
          <w:p w14:paraId="11135720" w14:textId="77777777" w:rsidR="00B75ACA" w:rsidRPr="001010E4" w:rsidRDefault="00B75ACA" w:rsidP="003C1333">
            <w:pPr>
              <w:pStyle w:val="TableTextCentered"/>
            </w:pPr>
            <w:r>
              <w:t>91.5</w:t>
            </w:r>
          </w:p>
        </w:tc>
        <w:tc>
          <w:tcPr>
            <w:tcW w:w="1255" w:type="dxa"/>
          </w:tcPr>
          <w:p w14:paraId="2E022AF6" w14:textId="77777777" w:rsidR="00B75ACA" w:rsidRPr="003E266C" w:rsidRDefault="00B75ACA" w:rsidP="003C1333">
            <w:pPr>
              <w:pStyle w:val="TableTextCentered"/>
            </w:pPr>
            <w:r w:rsidRPr="003E266C">
              <w:t>83.9</w:t>
            </w:r>
          </w:p>
        </w:tc>
      </w:tr>
      <w:tr w:rsidR="00B75ACA" w:rsidRPr="000E2C7D" w14:paraId="0486F398" w14:textId="77777777">
        <w:trPr>
          <w:jc w:val="center"/>
        </w:trPr>
        <w:tc>
          <w:tcPr>
            <w:tcW w:w="3052" w:type="dxa"/>
          </w:tcPr>
          <w:p w14:paraId="6A094EAF" w14:textId="77777777" w:rsidR="00B75ACA" w:rsidRPr="001010E4" w:rsidRDefault="00B75ACA" w:rsidP="003C1333">
            <w:pPr>
              <w:pStyle w:val="TableText"/>
            </w:pPr>
            <w:r w:rsidRPr="001010E4">
              <w:t>Low income</w:t>
            </w:r>
          </w:p>
        </w:tc>
        <w:tc>
          <w:tcPr>
            <w:tcW w:w="1254" w:type="dxa"/>
          </w:tcPr>
          <w:p w14:paraId="021C8BBC" w14:textId="77777777" w:rsidR="00B75ACA" w:rsidRPr="001010E4" w:rsidRDefault="00B75ACA" w:rsidP="003C1333">
            <w:pPr>
              <w:pStyle w:val="TableTextCentered"/>
            </w:pPr>
            <w:r>
              <w:t>52</w:t>
            </w:r>
          </w:p>
        </w:tc>
        <w:tc>
          <w:tcPr>
            <w:tcW w:w="1255" w:type="dxa"/>
          </w:tcPr>
          <w:p w14:paraId="1C295DF3" w14:textId="77777777" w:rsidR="00B75ACA" w:rsidRPr="001010E4" w:rsidRDefault="00B75ACA" w:rsidP="003C1333">
            <w:pPr>
              <w:pStyle w:val="TableTextCentered"/>
            </w:pPr>
            <w:r>
              <w:t>91.4</w:t>
            </w:r>
          </w:p>
        </w:tc>
        <w:tc>
          <w:tcPr>
            <w:tcW w:w="1254" w:type="dxa"/>
          </w:tcPr>
          <w:p w14:paraId="7A060506" w14:textId="77777777" w:rsidR="00B75ACA" w:rsidRPr="001010E4" w:rsidRDefault="00B75ACA" w:rsidP="003C1333">
            <w:pPr>
              <w:pStyle w:val="TableTextCentered"/>
            </w:pPr>
            <w:r>
              <w:t>82.5</w:t>
            </w:r>
          </w:p>
        </w:tc>
        <w:tc>
          <w:tcPr>
            <w:tcW w:w="1255" w:type="dxa"/>
          </w:tcPr>
          <w:p w14:paraId="53FBAE8A" w14:textId="77777777" w:rsidR="00B75ACA" w:rsidRPr="001010E4" w:rsidRDefault="00B75ACA" w:rsidP="003C1333">
            <w:pPr>
              <w:pStyle w:val="TableTextCentered"/>
            </w:pPr>
            <w:r>
              <w:t>90.4</w:t>
            </w:r>
          </w:p>
        </w:tc>
        <w:tc>
          <w:tcPr>
            <w:tcW w:w="1255" w:type="dxa"/>
          </w:tcPr>
          <w:p w14:paraId="7963CB9B" w14:textId="77777777" w:rsidR="00B75ACA" w:rsidRPr="003E266C" w:rsidRDefault="00B75ACA" w:rsidP="003C1333">
            <w:pPr>
              <w:pStyle w:val="TableTextCentered"/>
            </w:pPr>
            <w:r w:rsidRPr="003E266C">
              <w:t>83.2</w:t>
            </w:r>
          </w:p>
        </w:tc>
      </w:tr>
      <w:tr w:rsidR="00B75ACA" w:rsidRPr="000E2C7D" w14:paraId="72ABB53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83BD27A" w14:textId="1EFE41CD" w:rsidR="00B75ACA" w:rsidRPr="001010E4" w:rsidRDefault="00AE4E73" w:rsidP="003C1333">
            <w:pPr>
              <w:pStyle w:val="TableText"/>
            </w:pPr>
            <w:r>
              <w:t>English learners</w:t>
            </w:r>
          </w:p>
        </w:tc>
        <w:tc>
          <w:tcPr>
            <w:tcW w:w="1254" w:type="dxa"/>
          </w:tcPr>
          <w:p w14:paraId="3A067E5E" w14:textId="2849D852" w:rsidR="00B75ACA" w:rsidRPr="001010E4" w:rsidRDefault="008E5BF5" w:rsidP="003C1333">
            <w:pPr>
              <w:pStyle w:val="TableTextCentered"/>
            </w:pPr>
            <w:r>
              <w:t>—</w:t>
            </w:r>
          </w:p>
        </w:tc>
        <w:tc>
          <w:tcPr>
            <w:tcW w:w="1255" w:type="dxa"/>
          </w:tcPr>
          <w:p w14:paraId="262AB324" w14:textId="33FC957C" w:rsidR="00B75ACA" w:rsidRPr="001010E4" w:rsidRDefault="008E5BF5" w:rsidP="003C1333">
            <w:pPr>
              <w:pStyle w:val="TableTextCentered"/>
            </w:pPr>
            <w:r>
              <w:t>—</w:t>
            </w:r>
          </w:p>
        </w:tc>
        <w:tc>
          <w:tcPr>
            <w:tcW w:w="1254" w:type="dxa"/>
          </w:tcPr>
          <w:p w14:paraId="4F27417F" w14:textId="7BFF8BC3" w:rsidR="00B75ACA" w:rsidRPr="001010E4" w:rsidRDefault="008E5BF5" w:rsidP="003C1333">
            <w:pPr>
              <w:pStyle w:val="TableTextCentered"/>
            </w:pPr>
            <w:r>
              <w:t>—</w:t>
            </w:r>
          </w:p>
        </w:tc>
        <w:tc>
          <w:tcPr>
            <w:tcW w:w="1255" w:type="dxa"/>
          </w:tcPr>
          <w:p w14:paraId="300881AD" w14:textId="15A1B041" w:rsidR="00B75ACA" w:rsidRPr="001010E4" w:rsidRDefault="008E5BF5" w:rsidP="003C1333">
            <w:pPr>
              <w:pStyle w:val="TableTextCentered"/>
            </w:pPr>
            <w:r>
              <w:t>—</w:t>
            </w:r>
          </w:p>
        </w:tc>
        <w:tc>
          <w:tcPr>
            <w:tcW w:w="1255" w:type="dxa"/>
          </w:tcPr>
          <w:p w14:paraId="516389D6" w14:textId="77777777" w:rsidR="00B75ACA" w:rsidRPr="003E266C" w:rsidRDefault="00B75ACA" w:rsidP="003C1333">
            <w:pPr>
              <w:pStyle w:val="TableTextCentered"/>
            </w:pPr>
            <w:r w:rsidRPr="003E266C">
              <w:t>73.1</w:t>
            </w:r>
          </w:p>
        </w:tc>
      </w:tr>
      <w:tr w:rsidR="00B75ACA" w:rsidRPr="000E2C7D" w14:paraId="19682658" w14:textId="77777777">
        <w:trPr>
          <w:jc w:val="center"/>
        </w:trPr>
        <w:tc>
          <w:tcPr>
            <w:tcW w:w="3052" w:type="dxa"/>
          </w:tcPr>
          <w:p w14:paraId="40544DC8" w14:textId="77777777" w:rsidR="00B75ACA" w:rsidRPr="001010E4" w:rsidRDefault="00B75ACA" w:rsidP="003C1333">
            <w:pPr>
              <w:pStyle w:val="TableText"/>
            </w:pPr>
            <w:r w:rsidRPr="001010E4">
              <w:t>Students w/disabilities</w:t>
            </w:r>
          </w:p>
        </w:tc>
        <w:tc>
          <w:tcPr>
            <w:tcW w:w="1254" w:type="dxa"/>
          </w:tcPr>
          <w:p w14:paraId="7D38D814" w14:textId="77777777" w:rsidR="00B75ACA" w:rsidRPr="001010E4" w:rsidRDefault="00B75ACA" w:rsidP="003C1333">
            <w:pPr>
              <w:pStyle w:val="TableTextCentered"/>
            </w:pPr>
            <w:r>
              <w:t>42</w:t>
            </w:r>
          </w:p>
        </w:tc>
        <w:tc>
          <w:tcPr>
            <w:tcW w:w="1255" w:type="dxa"/>
          </w:tcPr>
          <w:p w14:paraId="08C68316" w14:textId="77777777" w:rsidR="00B75ACA" w:rsidRPr="001010E4" w:rsidRDefault="00B75ACA" w:rsidP="003C1333">
            <w:pPr>
              <w:pStyle w:val="TableTextCentered"/>
            </w:pPr>
            <w:r>
              <w:t>95.8</w:t>
            </w:r>
          </w:p>
        </w:tc>
        <w:tc>
          <w:tcPr>
            <w:tcW w:w="1254" w:type="dxa"/>
          </w:tcPr>
          <w:p w14:paraId="429F945F" w14:textId="77777777" w:rsidR="00B75ACA" w:rsidRPr="001010E4" w:rsidRDefault="00B75ACA" w:rsidP="003C1333">
            <w:pPr>
              <w:pStyle w:val="TableTextCentered"/>
            </w:pPr>
            <w:r>
              <w:t>83.3</w:t>
            </w:r>
          </w:p>
        </w:tc>
        <w:tc>
          <w:tcPr>
            <w:tcW w:w="1255" w:type="dxa"/>
          </w:tcPr>
          <w:p w14:paraId="7F0BCEE2" w14:textId="77777777" w:rsidR="00B75ACA" w:rsidRPr="001010E4" w:rsidRDefault="00B75ACA" w:rsidP="003C1333">
            <w:pPr>
              <w:pStyle w:val="TableTextCentered"/>
            </w:pPr>
            <w:r>
              <w:t>88.1</w:t>
            </w:r>
          </w:p>
        </w:tc>
        <w:tc>
          <w:tcPr>
            <w:tcW w:w="1255" w:type="dxa"/>
          </w:tcPr>
          <w:p w14:paraId="030CB428" w14:textId="77777777" w:rsidR="00B75ACA" w:rsidRPr="003E266C" w:rsidRDefault="00B75ACA" w:rsidP="003C1333">
            <w:pPr>
              <w:pStyle w:val="TableTextCentered"/>
            </w:pPr>
            <w:r w:rsidRPr="003E266C">
              <w:t>78.0</w:t>
            </w:r>
          </w:p>
        </w:tc>
      </w:tr>
    </w:tbl>
    <w:p w14:paraId="7E41919C" w14:textId="77777777" w:rsidR="00B75ACA" w:rsidRDefault="00B75ACA">
      <w:pPr>
        <w:spacing w:line="240" w:lineRule="auto"/>
        <w:rPr>
          <w:rFonts w:ascii="Franklin Gothic Book" w:hAnsi="Franklin Gothic Book"/>
          <w:sz w:val="20"/>
          <w:szCs w:val="20"/>
        </w:rPr>
      </w:pPr>
      <w:r>
        <w:rPr>
          <w:rFonts w:ascii="Franklin Gothic Book" w:hAnsi="Franklin Gothic Book"/>
          <w:sz w:val="20"/>
          <w:szCs w:val="20"/>
        </w:rPr>
        <w:br w:type="page"/>
      </w:r>
    </w:p>
    <w:p w14:paraId="13D17749" w14:textId="77777777" w:rsidR="00B75ACA" w:rsidRPr="00A471CE" w:rsidRDefault="00B75ACA" w:rsidP="003C1333">
      <w:pPr>
        <w:pStyle w:val="TableTitle0"/>
      </w:pPr>
      <w:bookmarkStart w:id="208" w:name="_Toc158035184"/>
      <w:bookmarkStart w:id="209" w:name="_Hlk138323648"/>
      <w:r w:rsidRPr="00A471CE">
        <w:lastRenderedPageBreak/>
        <w:t>Table E17. Five-Year Cohort Graduation Rates by Student Group, 20</w:t>
      </w:r>
      <w:r>
        <w:t>19</w:t>
      </w:r>
      <w:r w:rsidRPr="00A471CE">
        <w:t>-202</w:t>
      </w:r>
      <w:r>
        <w:t>1</w:t>
      </w:r>
      <w:bookmarkEnd w:id="208"/>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B75ACA" w:rsidRPr="000E2C7D" w14:paraId="641E09D3"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65D9D494" w14:textId="77777777" w:rsidR="00B75ACA" w:rsidRPr="001B7E25" w:rsidRDefault="00B75ACA" w:rsidP="003C1333">
            <w:pPr>
              <w:pStyle w:val="TableColHeadingCenter"/>
            </w:pPr>
            <w:r w:rsidRPr="001B7E25">
              <w:t>Group</w:t>
            </w:r>
          </w:p>
        </w:tc>
        <w:tc>
          <w:tcPr>
            <w:tcW w:w="1295" w:type="dxa"/>
            <w:vAlign w:val="center"/>
          </w:tcPr>
          <w:p w14:paraId="70BD2048" w14:textId="76F35D31" w:rsidR="00B75ACA" w:rsidRPr="00581991" w:rsidRDefault="00B75ACA" w:rsidP="003C1333">
            <w:pPr>
              <w:pStyle w:val="TableColHeadingCenter"/>
            </w:pPr>
            <w:r w:rsidRPr="00581991">
              <w:t xml:space="preserve"># </w:t>
            </w:r>
            <w:r w:rsidR="00C6447D">
              <w:t>i</w:t>
            </w:r>
            <w:r w:rsidRPr="00581991">
              <w:t>ncluded (2021)</w:t>
            </w:r>
          </w:p>
        </w:tc>
        <w:tc>
          <w:tcPr>
            <w:tcW w:w="1295" w:type="dxa"/>
            <w:vAlign w:val="center"/>
          </w:tcPr>
          <w:p w14:paraId="228C674A" w14:textId="77777777" w:rsidR="00B75ACA" w:rsidRPr="00581991" w:rsidRDefault="00B75ACA" w:rsidP="003C1333">
            <w:pPr>
              <w:pStyle w:val="TableColHeadingCenter"/>
            </w:pPr>
            <w:r w:rsidRPr="00581991">
              <w:t>2019</w:t>
            </w:r>
          </w:p>
        </w:tc>
        <w:tc>
          <w:tcPr>
            <w:tcW w:w="1296" w:type="dxa"/>
            <w:vAlign w:val="center"/>
          </w:tcPr>
          <w:p w14:paraId="7F63428B" w14:textId="77777777" w:rsidR="00B75ACA" w:rsidRPr="00581991" w:rsidRDefault="00B75ACA" w:rsidP="003C1333">
            <w:pPr>
              <w:pStyle w:val="TableColHeadingCenter"/>
            </w:pPr>
            <w:r w:rsidRPr="00581991">
              <w:t>2020</w:t>
            </w:r>
          </w:p>
        </w:tc>
        <w:tc>
          <w:tcPr>
            <w:tcW w:w="1295" w:type="dxa"/>
            <w:vAlign w:val="center"/>
          </w:tcPr>
          <w:p w14:paraId="1DFCC556" w14:textId="77777777" w:rsidR="00B75ACA" w:rsidRPr="00581991" w:rsidRDefault="00B75ACA" w:rsidP="003C1333">
            <w:pPr>
              <w:pStyle w:val="TableColHeadingCenter"/>
            </w:pPr>
            <w:r w:rsidRPr="00581991">
              <w:t>2021</w:t>
            </w:r>
          </w:p>
        </w:tc>
        <w:tc>
          <w:tcPr>
            <w:tcW w:w="1296" w:type="dxa"/>
            <w:vAlign w:val="center"/>
          </w:tcPr>
          <w:p w14:paraId="052B2B05" w14:textId="77777777" w:rsidR="00B75ACA" w:rsidRPr="00581991" w:rsidRDefault="00B75ACA" w:rsidP="003C1333">
            <w:pPr>
              <w:pStyle w:val="TableColHeadingCenter"/>
            </w:pPr>
            <w:r w:rsidRPr="00581991">
              <w:t>State (2021)</w:t>
            </w:r>
          </w:p>
        </w:tc>
      </w:tr>
      <w:tr w:rsidR="00B75ACA" w:rsidRPr="000E2C7D" w14:paraId="3B2E606A"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F6BC787" w14:textId="77777777" w:rsidR="00B75ACA" w:rsidRPr="001010E4" w:rsidRDefault="00B75ACA" w:rsidP="003C1333">
            <w:pPr>
              <w:pStyle w:val="TableText"/>
            </w:pPr>
            <w:r w:rsidRPr="001010E4">
              <w:t>All</w:t>
            </w:r>
          </w:p>
        </w:tc>
        <w:tc>
          <w:tcPr>
            <w:tcW w:w="1295" w:type="dxa"/>
          </w:tcPr>
          <w:p w14:paraId="14D28B1E" w14:textId="77777777" w:rsidR="00B75ACA" w:rsidRPr="00011B24" w:rsidRDefault="00B75ACA" w:rsidP="003C1333">
            <w:pPr>
              <w:pStyle w:val="TableTextCentered"/>
            </w:pPr>
            <w:r>
              <w:t>319</w:t>
            </w:r>
          </w:p>
        </w:tc>
        <w:tc>
          <w:tcPr>
            <w:tcW w:w="1295" w:type="dxa"/>
          </w:tcPr>
          <w:p w14:paraId="6C2FC826" w14:textId="77777777" w:rsidR="00B75ACA" w:rsidRPr="00011B24" w:rsidRDefault="00B75ACA" w:rsidP="003C1333">
            <w:pPr>
              <w:pStyle w:val="TableTextCentered"/>
            </w:pPr>
            <w:r>
              <w:t>96.5</w:t>
            </w:r>
          </w:p>
        </w:tc>
        <w:tc>
          <w:tcPr>
            <w:tcW w:w="1296" w:type="dxa"/>
          </w:tcPr>
          <w:p w14:paraId="001E5A3C" w14:textId="77777777" w:rsidR="00B75ACA" w:rsidRPr="00011B24" w:rsidRDefault="00B75ACA" w:rsidP="003C1333">
            <w:pPr>
              <w:pStyle w:val="TableTextCentered"/>
            </w:pPr>
            <w:r>
              <w:t>98.4</w:t>
            </w:r>
          </w:p>
        </w:tc>
        <w:tc>
          <w:tcPr>
            <w:tcW w:w="1295" w:type="dxa"/>
          </w:tcPr>
          <w:p w14:paraId="27787029" w14:textId="77777777" w:rsidR="00B75ACA" w:rsidRPr="00011B24" w:rsidRDefault="00B75ACA" w:rsidP="003C1333">
            <w:pPr>
              <w:pStyle w:val="TableTextCentered"/>
            </w:pPr>
            <w:r>
              <w:t>97.2</w:t>
            </w:r>
          </w:p>
        </w:tc>
        <w:tc>
          <w:tcPr>
            <w:tcW w:w="1296" w:type="dxa"/>
          </w:tcPr>
          <w:p w14:paraId="5273AFDC" w14:textId="77777777" w:rsidR="00B75ACA" w:rsidRPr="00011B24" w:rsidRDefault="00B75ACA" w:rsidP="003C1333">
            <w:pPr>
              <w:pStyle w:val="TableTextCentered"/>
            </w:pPr>
            <w:r w:rsidRPr="00011B24">
              <w:t>91.8</w:t>
            </w:r>
          </w:p>
        </w:tc>
      </w:tr>
      <w:tr w:rsidR="00B75ACA" w:rsidRPr="000E2C7D" w14:paraId="276A483C" w14:textId="77777777">
        <w:tc>
          <w:tcPr>
            <w:tcW w:w="2965" w:type="dxa"/>
          </w:tcPr>
          <w:p w14:paraId="7D35A602" w14:textId="77777777" w:rsidR="00B75ACA" w:rsidRPr="001010E4" w:rsidRDefault="00B75ACA" w:rsidP="003C1333">
            <w:pPr>
              <w:pStyle w:val="TableText"/>
            </w:pPr>
            <w:r w:rsidRPr="001010E4">
              <w:t>African American/Black</w:t>
            </w:r>
          </w:p>
        </w:tc>
        <w:tc>
          <w:tcPr>
            <w:tcW w:w="1295" w:type="dxa"/>
          </w:tcPr>
          <w:p w14:paraId="0E2EA353" w14:textId="77777777" w:rsidR="00B75ACA" w:rsidRPr="00011B24" w:rsidRDefault="00B75ACA" w:rsidP="003C1333">
            <w:pPr>
              <w:pStyle w:val="TableTextCentered"/>
            </w:pPr>
            <w:r>
              <w:t>5</w:t>
            </w:r>
          </w:p>
        </w:tc>
        <w:tc>
          <w:tcPr>
            <w:tcW w:w="1295" w:type="dxa"/>
          </w:tcPr>
          <w:p w14:paraId="2E3C5FBA" w14:textId="714B07C0" w:rsidR="00B75ACA" w:rsidRPr="00011B24" w:rsidRDefault="008E5BF5" w:rsidP="003C1333">
            <w:pPr>
              <w:pStyle w:val="TableTextCentered"/>
            </w:pPr>
            <w:r>
              <w:t>—</w:t>
            </w:r>
          </w:p>
        </w:tc>
        <w:tc>
          <w:tcPr>
            <w:tcW w:w="1296" w:type="dxa"/>
          </w:tcPr>
          <w:p w14:paraId="5D311B5D" w14:textId="667540C4" w:rsidR="00B75ACA" w:rsidRPr="00011B24" w:rsidRDefault="008E5BF5" w:rsidP="003C1333">
            <w:pPr>
              <w:pStyle w:val="TableTextCentered"/>
            </w:pPr>
            <w:r>
              <w:t>—</w:t>
            </w:r>
          </w:p>
        </w:tc>
        <w:tc>
          <w:tcPr>
            <w:tcW w:w="1295" w:type="dxa"/>
          </w:tcPr>
          <w:p w14:paraId="3FF3B2D9" w14:textId="3B428E53" w:rsidR="00B75ACA" w:rsidRPr="00011B24" w:rsidRDefault="008E5BF5" w:rsidP="003C1333">
            <w:pPr>
              <w:pStyle w:val="TableTextCentered"/>
            </w:pPr>
            <w:r>
              <w:t>—</w:t>
            </w:r>
          </w:p>
        </w:tc>
        <w:tc>
          <w:tcPr>
            <w:tcW w:w="1296" w:type="dxa"/>
          </w:tcPr>
          <w:p w14:paraId="03211689" w14:textId="77777777" w:rsidR="00B75ACA" w:rsidRPr="00011B24" w:rsidRDefault="00B75ACA" w:rsidP="003C1333">
            <w:pPr>
              <w:pStyle w:val="TableTextCentered"/>
            </w:pPr>
            <w:r w:rsidRPr="00011B24">
              <w:t>88.1</w:t>
            </w:r>
          </w:p>
        </w:tc>
      </w:tr>
      <w:tr w:rsidR="00B75ACA" w:rsidRPr="000E2C7D" w14:paraId="0AB2A57A"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361DDB2" w14:textId="77777777" w:rsidR="00B75ACA" w:rsidRPr="001010E4" w:rsidRDefault="00B75ACA" w:rsidP="003C1333">
            <w:pPr>
              <w:pStyle w:val="TableText"/>
            </w:pPr>
            <w:r w:rsidRPr="001010E4">
              <w:t>Asian</w:t>
            </w:r>
          </w:p>
        </w:tc>
        <w:tc>
          <w:tcPr>
            <w:tcW w:w="1295" w:type="dxa"/>
          </w:tcPr>
          <w:p w14:paraId="4C82D379" w14:textId="77777777" w:rsidR="00B75ACA" w:rsidRPr="00011B24" w:rsidRDefault="00B75ACA" w:rsidP="003C1333">
            <w:pPr>
              <w:pStyle w:val="TableTextCentered"/>
            </w:pPr>
            <w:r>
              <w:t>5</w:t>
            </w:r>
          </w:p>
        </w:tc>
        <w:tc>
          <w:tcPr>
            <w:tcW w:w="1295" w:type="dxa"/>
          </w:tcPr>
          <w:p w14:paraId="51F7B2AE" w14:textId="035AC7F2" w:rsidR="00B75ACA" w:rsidRPr="00011B24" w:rsidRDefault="008E5BF5" w:rsidP="003C1333">
            <w:pPr>
              <w:pStyle w:val="TableTextCentered"/>
            </w:pPr>
            <w:r>
              <w:t>—</w:t>
            </w:r>
          </w:p>
        </w:tc>
        <w:tc>
          <w:tcPr>
            <w:tcW w:w="1296" w:type="dxa"/>
          </w:tcPr>
          <w:p w14:paraId="268EA25E" w14:textId="77777777" w:rsidR="00B75ACA" w:rsidRPr="00011B24" w:rsidRDefault="00B75ACA" w:rsidP="003C1333">
            <w:pPr>
              <w:pStyle w:val="TableTextCentered"/>
            </w:pPr>
            <w:r>
              <w:t>100</w:t>
            </w:r>
          </w:p>
        </w:tc>
        <w:tc>
          <w:tcPr>
            <w:tcW w:w="1295" w:type="dxa"/>
          </w:tcPr>
          <w:p w14:paraId="48F7ABDE" w14:textId="4CB52E75" w:rsidR="00B75ACA" w:rsidRPr="00011B24" w:rsidRDefault="008E5BF5" w:rsidP="003C1333">
            <w:pPr>
              <w:pStyle w:val="TableTextCentered"/>
            </w:pPr>
            <w:r>
              <w:t>—</w:t>
            </w:r>
          </w:p>
        </w:tc>
        <w:tc>
          <w:tcPr>
            <w:tcW w:w="1296" w:type="dxa"/>
          </w:tcPr>
          <w:p w14:paraId="60893492" w14:textId="77777777" w:rsidR="00B75ACA" w:rsidRPr="00011B24" w:rsidRDefault="00B75ACA" w:rsidP="003C1333">
            <w:pPr>
              <w:pStyle w:val="TableTextCentered"/>
            </w:pPr>
            <w:r w:rsidRPr="00011B24">
              <w:t>97.0</w:t>
            </w:r>
          </w:p>
        </w:tc>
      </w:tr>
      <w:tr w:rsidR="00B75ACA" w:rsidRPr="000E2C7D" w14:paraId="185294A0" w14:textId="77777777">
        <w:tc>
          <w:tcPr>
            <w:tcW w:w="2965" w:type="dxa"/>
          </w:tcPr>
          <w:p w14:paraId="0282E409" w14:textId="77777777" w:rsidR="00B75ACA" w:rsidRPr="001010E4" w:rsidRDefault="00B75ACA" w:rsidP="003C1333">
            <w:pPr>
              <w:pStyle w:val="TableText"/>
            </w:pPr>
            <w:r w:rsidRPr="001010E4">
              <w:t>Hispanic/Latino</w:t>
            </w:r>
          </w:p>
        </w:tc>
        <w:tc>
          <w:tcPr>
            <w:tcW w:w="1295" w:type="dxa"/>
          </w:tcPr>
          <w:p w14:paraId="7272CEE9" w14:textId="77777777" w:rsidR="00B75ACA" w:rsidRPr="00011B24" w:rsidRDefault="00B75ACA" w:rsidP="003C1333">
            <w:pPr>
              <w:pStyle w:val="TableTextCentered"/>
            </w:pPr>
            <w:r>
              <w:t>6</w:t>
            </w:r>
          </w:p>
        </w:tc>
        <w:tc>
          <w:tcPr>
            <w:tcW w:w="1295" w:type="dxa"/>
          </w:tcPr>
          <w:p w14:paraId="3978AFD7" w14:textId="5DC42A66" w:rsidR="00B75ACA" w:rsidRPr="00011B24" w:rsidRDefault="008E5BF5" w:rsidP="003C1333">
            <w:pPr>
              <w:pStyle w:val="TableTextCentered"/>
            </w:pPr>
            <w:r>
              <w:t>—</w:t>
            </w:r>
          </w:p>
        </w:tc>
        <w:tc>
          <w:tcPr>
            <w:tcW w:w="1296" w:type="dxa"/>
          </w:tcPr>
          <w:p w14:paraId="65FEAAF0" w14:textId="77777777" w:rsidR="00B75ACA" w:rsidRPr="00011B24" w:rsidRDefault="00B75ACA" w:rsidP="003C1333">
            <w:pPr>
              <w:pStyle w:val="TableTextCentered"/>
            </w:pPr>
            <w:r>
              <w:t>92.9</w:t>
            </w:r>
          </w:p>
        </w:tc>
        <w:tc>
          <w:tcPr>
            <w:tcW w:w="1295" w:type="dxa"/>
          </w:tcPr>
          <w:p w14:paraId="75F09F3D" w14:textId="77777777" w:rsidR="00B75ACA" w:rsidRPr="00011B24" w:rsidRDefault="00B75ACA" w:rsidP="003C1333">
            <w:pPr>
              <w:pStyle w:val="TableTextCentered"/>
            </w:pPr>
            <w:r>
              <w:t>83.3</w:t>
            </w:r>
          </w:p>
        </w:tc>
        <w:tc>
          <w:tcPr>
            <w:tcW w:w="1296" w:type="dxa"/>
          </w:tcPr>
          <w:p w14:paraId="2B19D023" w14:textId="77777777" w:rsidR="00B75ACA" w:rsidRPr="00011B24" w:rsidRDefault="00B75ACA" w:rsidP="003C1333">
            <w:pPr>
              <w:pStyle w:val="TableTextCentered"/>
            </w:pPr>
            <w:r w:rsidRPr="00011B24">
              <w:t>84.0</w:t>
            </w:r>
          </w:p>
        </w:tc>
      </w:tr>
      <w:tr w:rsidR="00B75ACA" w:rsidRPr="000E2C7D" w14:paraId="61723C83"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31C83A9" w14:textId="77777777" w:rsidR="00B75ACA" w:rsidRPr="001010E4" w:rsidRDefault="00B75ACA" w:rsidP="003C1333">
            <w:pPr>
              <w:pStyle w:val="TableText"/>
            </w:pPr>
            <w:r w:rsidRPr="001010E4">
              <w:rPr>
                <w:rFonts w:cstheme="minorHAnsi"/>
              </w:rPr>
              <w:t>Multi-Race, non-Hispanic/Latino</w:t>
            </w:r>
          </w:p>
        </w:tc>
        <w:tc>
          <w:tcPr>
            <w:tcW w:w="1295" w:type="dxa"/>
          </w:tcPr>
          <w:p w14:paraId="67F3B373" w14:textId="77777777" w:rsidR="00B75ACA" w:rsidRPr="00011B24" w:rsidRDefault="00B75ACA" w:rsidP="003C1333">
            <w:pPr>
              <w:pStyle w:val="TableTextCentered"/>
            </w:pPr>
            <w:r>
              <w:t>6</w:t>
            </w:r>
          </w:p>
        </w:tc>
        <w:tc>
          <w:tcPr>
            <w:tcW w:w="1295" w:type="dxa"/>
          </w:tcPr>
          <w:p w14:paraId="0B382071" w14:textId="499B7A79" w:rsidR="00B75ACA" w:rsidRPr="00011B24" w:rsidRDefault="008E5BF5" w:rsidP="003C1333">
            <w:pPr>
              <w:pStyle w:val="TableTextCentered"/>
            </w:pPr>
            <w:r>
              <w:t>—</w:t>
            </w:r>
          </w:p>
        </w:tc>
        <w:tc>
          <w:tcPr>
            <w:tcW w:w="1296" w:type="dxa"/>
          </w:tcPr>
          <w:p w14:paraId="0341447B" w14:textId="77777777" w:rsidR="00B75ACA" w:rsidRPr="00011B24" w:rsidRDefault="00B75ACA" w:rsidP="003C1333">
            <w:pPr>
              <w:pStyle w:val="TableTextCentered"/>
            </w:pPr>
            <w:r>
              <w:t>100</w:t>
            </w:r>
          </w:p>
        </w:tc>
        <w:tc>
          <w:tcPr>
            <w:tcW w:w="1295" w:type="dxa"/>
          </w:tcPr>
          <w:p w14:paraId="79ECC359" w14:textId="77777777" w:rsidR="00B75ACA" w:rsidRPr="00011B24" w:rsidRDefault="00B75ACA" w:rsidP="003C1333">
            <w:pPr>
              <w:pStyle w:val="TableTextCentered"/>
            </w:pPr>
            <w:r>
              <w:t>100</w:t>
            </w:r>
          </w:p>
        </w:tc>
        <w:tc>
          <w:tcPr>
            <w:tcW w:w="1296" w:type="dxa"/>
          </w:tcPr>
          <w:p w14:paraId="0B0F3508" w14:textId="77777777" w:rsidR="00B75ACA" w:rsidRPr="00011B24" w:rsidRDefault="00B75ACA" w:rsidP="003C1333">
            <w:pPr>
              <w:pStyle w:val="TableTextCentered"/>
            </w:pPr>
            <w:r w:rsidRPr="00011B24">
              <w:t>91.2</w:t>
            </w:r>
          </w:p>
        </w:tc>
      </w:tr>
      <w:tr w:rsidR="00B75ACA" w:rsidRPr="000E2C7D" w14:paraId="2B59FA21" w14:textId="77777777">
        <w:tc>
          <w:tcPr>
            <w:tcW w:w="2965" w:type="dxa"/>
          </w:tcPr>
          <w:p w14:paraId="768847CD" w14:textId="77777777" w:rsidR="00B75ACA" w:rsidRPr="001010E4" w:rsidRDefault="00B75ACA" w:rsidP="003C1333">
            <w:pPr>
              <w:pStyle w:val="TableText"/>
            </w:pPr>
            <w:r w:rsidRPr="001010E4">
              <w:t>Native American</w:t>
            </w:r>
          </w:p>
        </w:tc>
        <w:tc>
          <w:tcPr>
            <w:tcW w:w="1295" w:type="dxa"/>
          </w:tcPr>
          <w:p w14:paraId="653777FC" w14:textId="6CB6519D" w:rsidR="00B75ACA" w:rsidRPr="00011B24" w:rsidRDefault="008E5BF5" w:rsidP="003C1333">
            <w:pPr>
              <w:pStyle w:val="TableTextCentered"/>
            </w:pPr>
            <w:r>
              <w:t>—</w:t>
            </w:r>
          </w:p>
        </w:tc>
        <w:tc>
          <w:tcPr>
            <w:tcW w:w="1295" w:type="dxa"/>
          </w:tcPr>
          <w:p w14:paraId="1C02E9C6" w14:textId="2965F630" w:rsidR="00B75ACA" w:rsidRPr="00011B24" w:rsidRDefault="008E5BF5" w:rsidP="003C1333">
            <w:pPr>
              <w:pStyle w:val="TableTextCentered"/>
            </w:pPr>
            <w:r>
              <w:t>—</w:t>
            </w:r>
          </w:p>
        </w:tc>
        <w:tc>
          <w:tcPr>
            <w:tcW w:w="1296" w:type="dxa"/>
          </w:tcPr>
          <w:p w14:paraId="36CF01A2" w14:textId="47A2568B" w:rsidR="00B75ACA" w:rsidRPr="00011B24" w:rsidRDefault="008E5BF5" w:rsidP="003C1333">
            <w:pPr>
              <w:pStyle w:val="TableTextCentered"/>
            </w:pPr>
            <w:r>
              <w:t>—</w:t>
            </w:r>
          </w:p>
        </w:tc>
        <w:tc>
          <w:tcPr>
            <w:tcW w:w="1295" w:type="dxa"/>
          </w:tcPr>
          <w:p w14:paraId="3E7E803D" w14:textId="39DEFACC" w:rsidR="00B75ACA" w:rsidRPr="00011B24" w:rsidRDefault="008E5BF5" w:rsidP="003C1333">
            <w:pPr>
              <w:pStyle w:val="TableTextCentered"/>
            </w:pPr>
            <w:r>
              <w:t>—</w:t>
            </w:r>
          </w:p>
        </w:tc>
        <w:tc>
          <w:tcPr>
            <w:tcW w:w="1296" w:type="dxa"/>
          </w:tcPr>
          <w:p w14:paraId="160A7C94" w14:textId="77777777" w:rsidR="00B75ACA" w:rsidRPr="00011B24" w:rsidRDefault="00B75ACA" w:rsidP="003C1333">
            <w:pPr>
              <w:pStyle w:val="TableTextCentered"/>
            </w:pPr>
            <w:r w:rsidRPr="00011B24">
              <w:t>84.1</w:t>
            </w:r>
          </w:p>
        </w:tc>
      </w:tr>
      <w:tr w:rsidR="00B75ACA" w:rsidRPr="000E2C7D" w14:paraId="240EF444"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5DD9EF4" w14:textId="77777777" w:rsidR="00B75ACA" w:rsidRPr="001010E4" w:rsidRDefault="00B75ACA" w:rsidP="003C1333">
            <w:pPr>
              <w:pStyle w:val="TableText"/>
            </w:pPr>
            <w:r w:rsidRPr="001010E4">
              <w:rPr>
                <w:rFonts w:eastAsia="Times New Roman"/>
                <w:spacing w:val="-4"/>
              </w:rPr>
              <w:t>Native Hawaiian, Pacific Islander</w:t>
            </w:r>
          </w:p>
        </w:tc>
        <w:tc>
          <w:tcPr>
            <w:tcW w:w="1295" w:type="dxa"/>
          </w:tcPr>
          <w:p w14:paraId="1227BDC0" w14:textId="3A4837F4" w:rsidR="00B75ACA" w:rsidRPr="00011B24" w:rsidRDefault="008E5BF5" w:rsidP="003C1333">
            <w:pPr>
              <w:pStyle w:val="TableTextCentered"/>
            </w:pPr>
            <w:r>
              <w:t>—</w:t>
            </w:r>
          </w:p>
        </w:tc>
        <w:tc>
          <w:tcPr>
            <w:tcW w:w="1295" w:type="dxa"/>
          </w:tcPr>
          <w:p w14:paraId="19A730B1" w14:textId="7F976F4B" w:rsidR="00B75ACA" w:rsidRPr="00011B24" w:rsidRDefault="008E5BF5" w:rsidP="003C1333">
            <w:pPr>
              <w:pStyle w:val="TableTextCentered"/>
            </w:pPr>
            <w:r>
              <w:t>—</w:t>
            </w:r>
          </w:p>
        </w:tc>
        <w:tc>
          <w:tcPr>
            <w:tcW w:w="1296" w:type="dxa"/>
          </w:tcPr>
          <w:p w14:paraId="3E03A3C8" w14:textId="6F958069" w:rsidR="00B75ACA" w:rsidRPr="00011B24" w:rsidRDefault="008E5BF5" w:rsidP="003C1333">
            <w:pPr>
              <w:pStyle w:val="TableTextCentered"/>
            </w:pPr>
            <w:r>
              <w:t>—</w:t>
            </w:r>
          </w:p>
        </w:tc>
        <w:tc>
          <w:tcPr>
            <w:tcW w:w="1295" w:type="dxa"/>
          </w:tcPr>
          <w:p w14:paraId="2CAF1350" w14:textId="556C3933" w:rsidR="00B75ACA" w:rsidRPr="00011B24" w:rsidRDefault="008E5BF5" w:rsidP="003C1333">
            <w:pPr>
              <w:pStyle w:val="TableTextCentered"/>
            </w:pPr>
            <w:r>
              <w:t>—</w:t>
            </w:r>
          </w:p>
        </w:tc>
        <w:tc>
          <w:tcPr>
            <w:tcW w:w="1296" w:type="dxa"/>
          </w:tcPr>
          <w:p w14:paraId="5384ADDE" w14:textId="77777777" w:rsidR="00B75ACA" w:rsidRPr="00011B24" w:rsidRDefault="00B75ACA" w:rsidP="003C1333">
            <w:pPr>
              <w:pStyle w:val="TableTextCentered"/>
            </w:pPr>
            <w:r w:rsidRPr="00011B24">
              <w:t>87.7</w:t>
            </w:r>
          </w:p>
        </w:tc>
      </w:tr>
      <w:tr w:rsidR="00B75ACA" w:rsidRPr="000E2C7D" w14:paraId="22A9B0B5" w14:textId="77777777">
        <w:tc>
          <w:tcPr>
            <w:tcW w:w="2965" w:type="dxa"/>
          </w:tcPr>
          <w:p w14:paraId="6CBDADA4" w14:textId="77777777" w:rsidR="00B75ACA" w:rsidRPr="001010E4" w:rsidRDefault="00B75ACA" w:rsidP="003C1333">
            <w:pPr>
              <w:pStyle w:val="TableText"/>
            </w:pPr>
            <w:r w:rsidRPr="001010E4">
              <w:t>White</w:t>
            </w:r>
          </w:p>
        </w:tc>
        <w:tc>
          <w:tcPr>
            <w:tcW w:w="1295" w:type="dxa"/>
          </w:tcPr>
          <w:p w14:paraId="43BB5DB8" w14:textId="77777777" w:rsidR="00B75ACA" w:rsidRPr="00011B24" w:rsidRDefault="00B75ACA" w:rsidP="003C1333">
            <w:pPr>
              <w:pStyle w:val="TableTextCentered"/>
            </w:pPr>
            <w:r>
              <w:t>297</w:t>
            </w:r>
          </w:p>
        </w:tc>
        <w:tc>
          <w:tcPr>
            <w:tcW w:w="1295" w:type="dxa"/>
          </w:tcPr>
          <w:p w14:paraId="0607407A" w14:textId="77777777" w:rsidR="00B75ACA" w:rsidRPr="00011B24" w:rsidRDefault="00B75ACA" w:rsidP="003C1333">
            <w:pPr>
              <w:pStyle w:val="TableTextCentered"/>
            </w:pPr>
            <w:r>
              <w:t>97.0</w:t>
            </w:r>
          </w:p>
        </w:tc>
        <w:tc>
          <w:tcPr>
            <w:tcW w:w="1296" w:type="dxa"/>
          </w:tcPr>
          <w:p w14:paraId="5F41399F" w14:textId="77777777" w:rsidR="00B75ACA" w:rsidRPr="00011B24" w:rsidRDefault="00B75ACA" w:rsidP="003C1333">
            <w:pPr>
              <w:pStyle w:val="TableTextCentered"/>
            </w:pPr>
            <w:r>
              <w:t>98.6</w:t>
            </w:r>
          </w:p>
        </w:tc>
        <w:tc>
          <w:tcPr>
            <w:tcW w:w="1295" w:type="dxa"/>
          </w:tcPr>
          <w:p w14:paraId="644C7688" w14:textId="77777777" w:rsidR="00B75ACA" w:rsidRPr="00011B24" w:rsidRDefault="00B75ACA" w:rsidP="003C1333">
            <w:pPr>
              <w:pStyle w:val="TableTextCentered"/>
            </w:pPr>
            <w:r>
              <w:t>97.3</w:t>
            </w:r>
          </w:p>
        </w:tc>
        <w:tc>
          <w:tcPr>
            <w:tcW w:w="1296" w:type="dxa"/>
          </w:tcPr>
          <w:p w14:paraId="646C1D37" w14:textId="77777777" w:rsidR="00B75ACA" w:rsidRPr="00011B24" w:rsidRDefault="00B75ACA" w:rsidP="003C1333">
            <w:pPr>
              <w:pStyle w:val="TableTextCentered"/>
            </w:pPr>
            <w:r w:rsidRPr="00011B24">
              <w:t>94.4</w:t>
            </w:r>
          </w:p>
        </w:tc>
      </w:tr>
      <w:tr w:rsidR="00B75ACA" w:rsidRPr="000E2C7D" w14:paraId="3E766055"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2ECCE8B" w14:textId="77777777" w:rsidR="00B75ACA" w:rsidRPr="001010E4" w:rsidRDefault="00B75ACA" w:rsidP="003C1333">
            <w:pPr>
              <w:pStyle w:val="TableText"/>
            </w:pPr>
            <w:r w:rsidRPr="001010E4">
              <w:t>High needs</w:t>
            </w:r>
          </w:p>
        </w:tc>
        <w:tc>
          <w:tcPr>
            <w:tcW w:w="1295" w:type="dxa"/>
          </w:tcPr>
          <w:p w14:paraId="31BC8C94" w14:textId="77777777" w:rsidR="00B75ACA" w:rsidRPr="00011B24" w:rsidRDefault="00B75ACA" w:rsidP="003C1333">
            <w:pPr>
              <w:pStyle w:val="TableTextCentered"/>
            </w:pPr>
            <w:r>
              <w:t>65</w:t>
            </w:r>
          </w:p>
        </w:tc>
        <w:tc>
          <w:tcPr>
            <w:tcW w:w="1295" w:type="dxa"/>
          </w:tcPr>
          <w:p w14:paraId="2969DAB1" w14:textId="77777777" w:rsidR="00B75ACA" w:rsidRPr="00011B24" w:rsidRDefault="00B75ACA" w:rsidP="003C1333">
            <w:pPr>
              <w:pStyle w:val="TableTextCentered"/>
            </w:pPr>
            <w:r>
              <w:t>87.7</w:t>
            </w:r>
          </w:p>
        </w:tc>
        <w:tc>
          <w:tcPr>
            <w:tcW w:w="1296" w:type="dxa"/>
          </w:tcPr>
          <w:p w14:paraId="5CF7725E" w14:textId="77777777" w:rsidR="00B75ACA" w:rsidRPr="00011B24" w:rsidRDefault="00B75ACA" w:rsidP="003C1333">
            <w:pPr>
              <w:pStyle w:val="TableTextCentered"/>
            </w:pPr>
            <w:r>
              <w:t>95.9</w:t>
            </w:r>
          </w:p>
        </w:tc>
        <w:tc>
          <w:tcPr>
            <w:tcW w:w="1295" w:type="dxa"/>
          </w:tcPr>
          <w:p w14:paraId="1BEB7796" w14:textId="77777777" w:rsidR="00B75ACA" w:rsidRPr="00011B24" w:rsidRDefault="00B75ACA" w:rsidP="003C1333">
            <w:pPr>
              <w:pStyle w:val="TableTextCentered"/>
            </w:pPr>
            <w:r>
              <w:t>90.8</w:t>
            </w:r>
          </w:p>
        </w:tc>
        <w:tc>
          <w:tcPr>
            <w:tcW w:w="1296" w:type="dxa"/>
          </w:tcPr>
          <w:p w14:paraId="33577D80" w14:textId="77777777" w:rsidR="00B75ACA" w:rsidRPr="00011B24" w:rsidRDefault="00B75ACA" w:rsidP="003C1333">
            <w:pPr>
              <w:pStyle w:val="TableTextCentered"/>
            </w:pPr>
            <w:r w:rsidRPr="00011B24">
              <w:t>85.8</w:t>
            </w:r>
          </w:p>
        </w:tc>
      </w:tr>
      <w:tr w:rsidR="00B75ACA" w:rsidRPr="000E2C7D" w14:paraId="123AFD00" w14:textId="77777777">
        <w:tc>
          <w:tcPr>
            <w:tcW w:w="2965" w:type="dxa"/>
          </w:tcPr>
          <w:p w14:paraId="5E5A65A2" w14:textId="77777777" w:rsidR="00B75ACA" w:rsidRPr="001010E4" w:rsidRDefault="00B75ACA" w:rsidP="003C1333">
            <w:pPr>
              <w:pStyle w:val="TableText"/>
            </w:pPr>
            <w:r w:rsidRPr="001010E4">
              <w:t>Low income</w:t>
            </w:r>
          </w:p>
        </w:tc>
        <w:tc>
          <w:tcPr>
            <w:tcW w:w="1295" w:type="dxa"/>
          </w:tcPr>
          <w:p w14:paraId="4CF9E000" w14:textId="77777777" w:rsidR="00B75ACA" w:rsidRPr="00011B24" w:rsidRDefault="00B75ACA" w:rsidP="003C1333">
            <w:pPr>
              <w:pStyle w:val="TableTextCentered"/>
            </w:pPr>
            <w:r>
              <w:t>40</w:t>
            </w:r>
          </w:p>
        </w:tc>
        <w:tc>
          <w:tcPr>
            <w:tcW w:w="1295" w:type="dxa"/>
          </w:tcPr>
          <w:p w14:paraId="29134C46" w14:textId="77777777" w:rsidR="00B75ACA" w:rsidRPr="00011B24" w:rsidRDefault="00B75ACA" w:rsidP="003C1333">
            <w:pPr>
              <w:pStyle w:val="TableTextCentered"/>
            </w:pPr>
            <w:r>
              <w:t>81.5</w:t>
            </w:r>
          </w:p>
        </w:tc>
        <w:tc>
          <w:tcPr>
            <w:tcW w:w="1296" w:type="dxa"/>
          </w:tcPr>
          <w:p w14:paraId="6461DEF6" w14:textId="77777777" w:rsidR="00B75ACA" w:rsidRPr="00011B24" w:rsidRDefault="00B75ACA" w:rsidP="003C1333">
            <w:pPr>
              <w:pStyle w:val="TableTextCentered"/>
            </w:pPr>
            <w:r>
              <w:t>91.4</w:t>
            </w:r>
          </w:p>
        </w:tc>
        <w:tc>
          <w:tcPr>
            <w:tcW w:w="1295" w:type="dxa"/>
          </w:tcPr>
          <w:p w14:paraId="19B372CA" w14:textId="77777777" w:rsidR="00B75ACA" w:rsidRPr="00011B24" w:rsidRDefault="00B75ACA" w:rsidP="003C1333">
            <w:pPr>
              <w:pStyle w:val="TableTextCentered"/>
            </w:pPr>
            <w:r>
              <w:t>85.0</w:t>
            </w:r>
          </w:p>
        </w:tc>
        <w:tc>
          <w:tcPr>
            <w:tcW w:w="1296" w:type="dxa"/>
          </w:tcPr>
          <w:p w14:paraId="144766AF" w14:textId="77777777" w:rsidR="00B75ACA" w:rsidRPr="00011B24" w:rsidRDefault="00B75ACA" w:rsidP="003C1333">
            <w:pPr>
              <w:pStyle w:val="TableTextCentered"/>
            </w:pPr>
            <w:r w:rsidRPr="00011B24">
              <w:t>85.1</w:t>
            </w:r>
          </w:p>
        </w:tc>
      </w:tr>
      <w:tr w:rsidR="00B75ACA" w:rsidRPr="000E2C7D" w14:paraId="5144800B"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C08B007" w14:textId="4C04D983" w:rsidR="00B75ACA" w:rsidRPr="001010E4" w:rsidRDefault="00AE4E73" w:rsidP="003C1333">
            <w:pPr>
              <w:pStyle w:val="TableText"/>
            </w:pPr>
            <w:r>
              <w:t>English learners</w:t>
            </w:r>
          </w:p>
        </w:tc>
        <w:tc>
          <w:tcPr>
            <w:tcW w:w="1295" w:type="dxa"/>
          </w:tcPr>
          <w:p w14:paraId="7456043C" w14:textId="77777777" w:rsidR="00B75ACA" w:rsidRPr="00011B24" w:rsidRDefault="00B75ACA" w:rsidP="003C1333">
            <w:pPr>
              <w:pStyle w:val="TableTextCentered"/>
            </w:pPr>
            <w:r>
              <w:t>1</w:t>
            </w:r>
          </w:p>
        </w:tc>
        <w:tc>
          <w:tcPr>
            <w:tcW w:w="1295" w:type="dxa"/>
          </w:tcPr>
          <w:p w14:paraId="22ED7034" w14:textId="33DB3983" w:rsidR="00B75ACA" w:rsidRPr="00011B24" w:rsidRDefault="008E5BF5" w:rsidP="003C1333">
            <w:pPr>
              <w:pStyle w:val="TableTextCentered"/>
            </w:pPr>
            <w:r>
              <w:t>—</w:t>
            </w:r>
          </w:p>
        </w:tc>
        <w:tc>
          <w:tcPr>
            <w:tcW w:w="1296" w:type="dxa"/>
          </w:tcPr>
          <w:p w14:paraId="09F63EDB" w14:textId="7C3A2436" w:rsidR="00B75ACA" w:rsidRPr="00011B24" w:rsidRDefault="008E5BF5" w:rsidP="003C1333">
            <w:pPr>
              <w:pStyle w:val="TableTextCentered"/>
            </w:pPr>
            <w:r>
              <w:t>—</w:t>
            </w:r>
          </w:p>
        </w:tc>
        <w:tc>
          <w:tcPr>
            <w:tcW w:w="1295" w:type="dxa"/>
          </w:tcPr>
          <w:p w14:paraId="46D6015E" w14:textId="5D8C32B6" w:rsidR="00B75ACA" w:rsidRPr="00011B24" w:rsidRDefault="008E5BF5" w:rsidP="003C1333">
            <w:pPr>
              <w:pStyle w:val="TableTextCentered"/>
            </w:pPr>
            <w:r>
              <w:t>—</w:t>
            </w:r>
          </w:p>
        </w:tc>
        <w:tc>
          <w:tcPr>
            <w:tcW w:w="1296" w:type="dxa"/>
          </w:tcPr>
          <w:p w14:paraId="1AFF5AA1" w14:textId="77777777" w:rsidR="00B75ACA" w:rsidRPr="00011B24" w:rsidRDefault="00B75ACA" w:rsidP="003C1333">
            <w:pPr>
              <w:pStyle w:val="TableTextCentered"/>
            </w:pPr>
            <w:r w:rsidRPr="00011B24">
              <w:t>78.0</w:t>
            </w:r>
          </w:p>
        </w:tc>
      </w:tr>
      <w:tr w:rsidR="00B75ACA" w:rsidRPr="000E2C7D" w14:paraId="7C22C0D5" w14:textId="77777777">
        <w:tc>
          <w:tcPr>
            <w:tcW w:w="2965" w:type="dxa"/>
          </w:tcPr>
          <w:p w14:paraId="4BF1109E" w14:textId="77777777" w:rsidR="00B75ACA" w:rsidRPr="001010E4" w:rsidRDefault="00B75ACA" w:rsidP="003C1333">
            <w:pPr>
              <w:pStyle w:val="TableText"/>
            </w:pPr>
            <w:r w:rsidRPr="001010E4">
              <w:t>Students w/disabilities</w:t>
            </w:r>
          </w:p>
        </w:tc>
        <w:tc>
          <w:tcPr>
            <w:tcW w:w="1295" w:type="dxa"/>
          </w:tcPr>
          <w:p w14:paraId="7A176971" w14:textId="77777777" w:rsidR="00B75ACA" w:rsidRPr="00011B24" w:rsidRDefault="00B75ACA" w:rsidP="003C1333">
            <w:pPr>
              <w:pStyle w:val="TableTextCentered"/>
            </w:pPr>
            <w:r>
              <w:t>48</w:t>
            </w:r>
          </w:p>
        </w:tc>
        <w:tc>
          <w:tcPr>
            <w:tcW w:w="1295" w:type="dxa"/>
          </w:tcPr>
          <w:p w14:paraId="6F351167" w14:textId="77777777" w:rsidR="00B75ACA" w:rsidRPr="00011B24" w:rsidRDefault="00B75ACA" w:rsidP="003C1333">
            <w:pPr>
              <w:pStyle w:val="TableTextCentered"/>
            </w:pPr>
            <w:r>
              <w:t>85.2</w:t>
            </w:r>
          </w:p>
        </w:tc>
        <w:tc>
          <w:tcPr>
            <w:tcW w:w="1296" w:type="dxa"/>
          </w:tcPr>
          <w:p w14:paraId="61E99846" w14:textId="77777777" w:rsidR="00B75ACA" w:rsidRPr="00011B24" w:rsidRDefault="00B75ACA" w:rsidP="003C1333">
            <w:pPr>
              <w:pStyle w:val="TableTextCentered"/>
            </w:pPr>
            <w:r>
              <w:t>95.8</w:t>
            </w:r>
          </w:p>
        </w:tc>
        <w:tc>
          <w:tcPr>
            <w:tcW w:w="1295" w:type="dxa"/>
          </w:tcPr>
          <w:p w14:paraId="59839902" w14:textId="77777777" w:rsidR="00B75ACA" w:rsidRPr="00011B24" w:rsidRDefault="00B75ACA" w:rsidP="003C1333">
            <w:pPr>
              <w:pStyle w:val="TableTextCentered"/>
            </w:pPr>
            <w:r>
              <w:t>89.6</w:t>
            </w:r>
          </w:p>
        </w:tc>
        <w:tc>
          <w:tcPr>
            <w:tcW w:w="1296" w:type="dxa"/>
          </w:tcPr>
          <w:p w14:paraId="2891CAED" w14:textId="77777777" w:rsidR="00B75ACA" w:rsidRPr="00011B24" w:rsidRDefault="00B75ACA" w:rsidP="003C1333">
            <w:pPr>
              <w:pStyle w:val="TableTextCentered"/>
            </w:pPr>
            <w:r w:rsidRPr="00011B24">
              <w:t>80.6</w:t>
            </w:r>
          </w:p>
        </w:tc>
      </w:tr>
    </w:tbl>
    <w:p w14:paraId="042E6727" w14:textId="77777777" w:rsidR="00B75ACA" w:rsidRPr="00B446E4" w:rsidRDefault="00B75ACA" w:rsidP="003C1333">
      <w:pPr>
        <w:pStyle w:val="TableTitle0"/>
      </w:pPr>
      <w:bookmarkStart w:id="210" w:name="_Toc158035185"/>
      <w:r>
        <w:t>Table E18. Annual Dropout Rates by Student Group, 2020-2022</w:t>
      </w:r>
      <w:bookmarkEnd w:id="210"/>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B75ACA" w:rsidRPr="000E2C7D" w14:paraId="494DAAAA"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0337FD77" w14:textId="77777777" w:rsidR="00B75ACA" w:rsidRPr="004E4223" w:rsidRDefault="00B75ACA" w:rsidP="003C1333">
            <w:pPr>
              <w:pStyle w:val="TableColHeadingCenter"/>
            </w:pPr>
            <w:r w:rsidRPr="004E4223">
              <w:t>Group</w:t>
            </w:r>
          </w:p>
        </w:tc>
        <w:tc>
          <w:tcPr>
            <w:tcW w:w="1295" w:type="dxa"/>
            <w:vAlign w:val="center"/>
          </w:tcPr>
          <w:p w14:paraId="16037DD9" w14:textId="66825D23" w:rsidR="00B75ACA" w:rsidRPr="00BA40F6" w:rsidRDefault="00B75ACA" w:rsidP="003C1333">
            <w:pPr>
              <w:pStyle w:val="TableColHeadingCenter"/>
            </w:pPr>
            <w:r w:rsidRPr="00BA40F6">
              <w:t xml:space="preserve"># </w:t>
            </w:r>
            <w:r w:rsidR="00C6447D">
              <w:t>i</w:t>
            </w:r>
            <w:r w:rsidRPr="00BA40F6">
              <w:t>ncluded (2022)</w:t>
            </w:r>
          </w:p>
        </w:tc>
        <w:tc>
          <w:tcPr>
            <w:tcW w:w="1295" w:type="dxa"/>
            <w:vAlign w:val="center"/>
          </w:tcPr>
          <w:p w14:paraId="1EFFA97B" w14:textId="77777777" w:rsidR="00B75ACA" w:rsidRPr="00BA40F6" w:rsidRDefault="00B75ACA" w:rsidP="003C1333">
            <w:pPr>
              <w:pStyle w:val="TableColHeadingCenter"/>
            </w:pPr>
            <w:r w:rsidRPr="00BA40F6">
              <w:t>2020</w:t>
            </w:r>
          </w:p>
        </w:tc>
        <w:tc>
          <w:tcPr>
            <w:tcW w:w="1296" w:type="dxa"/>
            <w:vAlign w:val="center"/>
          </w:tcPr>
          <w:p w14:paraId="51158E47" w14:textId="77777777" w:rsidR="00B75ACA" w:rsidRPr="00BA40F6" w:rsidRDefault="00B75ACA" w:rsidP="003C1333">
            <w:pPr>
              <w:pStyle w:val="TableColHeadingCenter"/>
            </w:pPr>
            <w:r w:rsidRPr="00BA40F6">
              <w:t>2021</w:t>
            </w:r>
          </w:p>
        </w:tc>
        <w:tc>
          <w:tcPr>
            <w:tcW w:w="1295" w:type="dxa"/>
            <w:vAlign w:val="center"/>
          </w:tcPr>
          <w:p w14:paraId="43001548" w14:textId="77777777" w:rsidR="00B75ACA" w:rsidRPr="00BA40F6" w:rsidRDefault="00B75ACA" w:rsidP="003C1333">
            <w:pPr>
              <w:pStyle w:val="TableColHeadingCenter"/>
            </w:pPr>
            <w:r w:rsidRPr="00BA40F6">
              <w:t>2022</w:t>
            </w:r>
          </w:p>
        </w:tc>
        <w:tc>
          <w:tcPr>
            <w:tcW w:w="1296" w:type="dxa"/>
            <w:vAlign w:val="center"/>
          </w:tcPr>
          <w:p w14:paraId="753D3CAD" w14:textId="77777777" w:rsidR="00B75ACA" w:rsidRPr="00BA40F6" w:rsidRDefault="00B75ACA" w:rsidP="003C1333">
            <w:pPr>
              <w:pStyle w:val="TableColHeadingCenter"/>
            </w:pPr>
            <w:r w:rsidRPr="00BA40F6">
              <w:t>State (2022)</w:t>
            </w:r>
          </w:p>
        </w:tc>
      </w:tr>
      <w:tr w:rsidR="00B75ACA" w:rsidRPr="000E2C7D" w14:paraId="243E6D65"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399124D" w14:textId="77777777" w:rsidR="00B75ACA" w:rsidRPr="001010E4" w:rsidRDefault="00B75ACA" w:rsidP="003C1333">
            <w:pPr>
              <w:pStyle w:val="TableText"/>
            </w:pPr>
            <w:r w:rsidRPr="001010E4">
              <w:t>All</w:t>
            </w:r>
          </w:p>
        </w:tc>
        <w:tc>
          <w:tcPr>
            <w:tcW w:w="1295" w:type="dxa"/>
          </w:tcPr>
          <w:p w14:paraId="625FE5F1" w14:textId="77777777" w:rsidR="00B75ACA" w:rsidRPr="001010E4" w:rsidRDefault="00B75ACA" w:rsidP="003C1333">
            <w:pPr>
              <w:pStyle w:val="TableTextCentered"/>
            </w:pPr>
            <w:r>
              <w:t>1,202</w:t>
            </w:r>
          </w:p>
        </w:tc>
        <w:tc>
          <w:tcPr>
            <w:tcW w:w="1295" w:type="dxa"/>
          </w:tcPr>
          <w:p w14:paraId="140543D1" w14:textId="77777777" w:rsidR="00B75ACA" w:rsidRPr="001010E4" w:rsidRDefault="00B75ACA" w:rsidP="003C1333">
            <w:pPr>
              <w:pStyle w:val="TableTextCentered"/>
            </w:pPr>
            <w:r>
              <w:t>0.2</w:t>
            </w:r>
          </w:p>
        </w:tc>
        <w:tc>
          <w:tcPr>
            <w:tcW w:w="1296" w:type="dxa"/>
          </w:tcPr>
          <w:p w14:paraId="290766AB" w14:textId="77777777" w:rsidR="00B75ACA" w:rsidRPr="001010E4" w:rsidRDefault="00B75ACA" w:rsidP="003C1333">
            <w:pPr>
              <w:pStyle w:val="TableTextCentered"/>
            </w:pPr>
            <w:r>
              <w:t>0.2</w:t>
            </w:r>
          </w:p>
        </w:tc>
        <w:tc>
          <w:tcPr>
            <w:tcW w:w="1295" w:type="dxa"/>
          </w:tcPr>
          <w:p w14:paraId="1BFA7B60" w14:textId="77777777" w:rsidR="00B75ACA" w:rsidRPr="001010E4" w:rsidRDefault="00B75ACA" w:rsidP="003C1333">
            <w:pPr>
              <w:pStyle w:val="TableTextCentered"/>
            </w:pPr>
            <w:r>
              <w:t>0.5</w:t>
            </w:r>
          </w:p>
        </w:tc>
        <w:tc>
          <w:tcPr>
            <w:tcW w:w="1296" w:type="dxa"/>
          </w:tcPr>
          <w:p w14:paraId="735BCFC3" w14:textId="77777777" w:rsidR="00B75ACA" w:rsidRPr="00911AEE" w:rsidRDefault="00B75ACA" w:rsidP="003C1333">
            <w:pPr>
              <w:pStyle w:val="TableTextCentered"/>
            </w:pPr>
            <w:r w:rsidRPr="00911AEE">
              <w:t>2.1</w:t>
            </w:r>
          </w:p>
        </w:tc>
      </w:tr>
      <w:tr w:rsidR="00B75ACA" w:rsidRPr="000E2C7D" w14:paraId="2461A849" w14:textId="77777777">
        <w:tc>
          <w:tcPr>
            <w:tcW w:w="2965" w:type="dxa"/>
          </w:tcPr>
          <w:p w14:paraId="09F7716B" w14:textId="77777777" w:rsidR="00B75ACA" w:rsidRPr="001010E4" w:rsidRDefault="00B75ACA" w:rsidP="003C1333">
            <w:pPr>
              <w:pStyle w:val="TableText"/>
            </w:pPr>
            <w:r w:rsidRPr="001010E4">
              <w:t>African American/Black</w:t>
            </w:r>
          </w:p>
        </w:tc>
        <w:tc>
          <w:tcPr>
            <w:tcW w:w="1295" w:type="dxa"/>
          </w:tcPr>
          <w:p w14:paraId="74C6D269" w14:textId="77777777" w:rsidR="00B75ACA" w:rsidRPr="001010E4" w:rsidRDefault="00B75ACA" w:rsidP="003C1333">
            <w:pPr>
              <w:pStyle w:val="TableTextCentered"/>
            </w:pPr>
            <w:r>
              <w:t>22</w:t>
            </w:r>
          </w:p>
        </w:tc>
        <w:tc>
          <w:tcPr>
            <w:tcW w:w="1295" w:type="dxa"/>
          </w:tcPr>
          <w:p w14:paraId="0A82FD5C" w14:textId="77777777" w:rsidR="00B75ACA" w:rsidRPr="001010E4" w:rsidRDefault="00B75ACA" w:rsidP="003C1333">
            <w:pPr>
              <w:pStyle w:val="TableTextCentered"/>
            </w:pPr>
            <w:r>
              <w:t>0.0</w:t>
            </w:r>
          </w:p>
        </w:tc>
        <w:tc>
          <w:tcPr>
            <w:tcW w:w="1296" w:type="dxa"/>
          </w:tcPr>
          <w:p w14:paraId="5E3E6599" w14:textId="77777777" w:rsidR="00B75ACA" w:rsidRPr="001010E4" w:rsidRDefault="00B75ACA" w:rsidP="003C1333">
            <w:pPr>
              <w:pStyle w:val="TableTextCentered"/>
            </w:pPr>
            <w:r>
              <w:t>0.0</w:t>
            </w:r>
          </w:p>
        </w:tc>
        <w:tc>
          <w:tcPr>
            <w:tcW w:w="1295" w:type="dxa"/>
          </w:tcPr>
          <w:p w14:paraId="1ACC7ABF" w14:textId="77777777" w:rsidR="00B75ACA" w:rsidRPr="001010E4" w:rsidRDefault="00B75ACA" w:rsidP="003C1333">
            <w:pPr>
              <w:pStyle w:val="TableTextCentered"/>
            </w:pPr>
            <w:r>
              <w:t>4.5</w:t>
            </w:r>
          </w:p>
        </w:tc>
        <w:tc>
          <w:tcPr>
            <w:tcW w:w="1296" w:type="dxa"/>
          </w:tcPr>
          <w:p w14:paraId="318DB4E6" w14:textId="77777777" w:rsidR="00B75ACA" w:rsidRPr="00911AEE" w:rsidRDefault="00B75ACA" w:rsidP="003C1333">
            <w:pPr>
              <w:pStyle w:val="TableTextCentered"/>
            </w:pPr>
            <w:r w:rsidRPr="00911AEE">
              <w:t>2.8</w:t>
            </w:r>
          </w:p>
        </w:tc>
      </w:tr>
      <w:tr w:rsidR="00B75ACA" w:rsidRPr="000E2C7D" w14:paraId="1003545B"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5181ABFF" w14:textId="77777777" w:rsidR="00B75ACA" w:rsidRPr="001010E4" w:rsidRDefault="00B75ACA" w:rsidP="003C1333">
            <w:pPr>
              <w:pStyle w:val="TableText"/>
            </w:pPr>
            <w:r w:rsidRPr="001010E4">
              <w:t>Asian</w:t>
            </w:r>
          </w:p>
        </w:tc>
        <w:tc>
          <w:tcPr>
            <w:tcW w:w="1295" w:type="dxa"/>
          </w:tcPr>
          <w:p w14:paraId="76B0274E" w14:textId="77777777" w:rsidR="00B75ACA" w:rsidRPr="001010E4" w:rsidRDefault="00B75ACA" w:rsidP="003C1333">
            <w:pPr>
              <w:pStyle w:val="TableTextCentered"/>
            </w:pPr>
            <w:r>
              <w:t>42</w:t>
            </w:r>
          </w:p>
        </w:tc>
        <w:tc>
          <w:tcPr>
            <w:tcW w:w="1295" w:type="dxa"/>
          </w:tcPr>
          <w:p w14:paraId="5EE0DB16" w14:textId="77777777" w:rsidR="00B75ACA" w:rsidRPr="001010E4" w:rsidRDefault="00B75ACA" w:rsidP="003C1333">
            <w:pPr>
              <w:pStyle w:val="TableTextCentered"/>
            </w:pPr>
            <w:r>
              <w:t>0.0</w:t>
            </w:r>
          </w:p>
        </w:tc>
        <w:tc>
          <w:tcPr>
            <w:tcW w:w="1296" w:type="dxa"/>
          </w:tcPr>
          <w:p w14:paraId="7341CFA7" w14:textId="77777777" w:rsidR="00B75ACA" w:rsidRPr="001010E4" w:rsidRDefault="00B75ACA" w:rsidP="003C1333">
            <w:pPr>
              <w:pStyle w:val="TableTextCentered"/>
            </w:pPr>
            <w:r>
              <w:t>0.0</w:t>
            </w:r>
          </w:p>
        </w:tc>
        <w:tc>
          <w:tcPr>
            <w:tcW w:w="1295" w:type="dxa"/>
          </w:tcPr>
          <w:p w14:paraId="3EC832C1" w14:textId="77777777" w:rsidR="00B75ACA" w:rsidRPr="001010E4" w:rsidRDefault="00B75ACA" w:rsidP="003C1333">
            <w:pPr>
              <w:pStyle w:val="TableTextCentered"/>
            </w:pPr>
            <w:r>
              <w:t>2.4</w:t>
            </w:r>
          </w:p>
        </w:tc>
        <w:tc>
          <w:tcPr>
            <w:tcW w:w="1296" w:type="dxa"/>
          </w:tcPr>
          <w:p w14:paraId="214FDDF9" w14:textId="77777777" w:rsidR="00B75ACA" w:rsidRPr="00911AEE" w:rsidRDefault="00B75ACA" w:rsidP="003C1333">
            <w:pPr>
              <w:pStyle w:val="TableTextCentered"/>
            </w:pPr>
            <w:r w:rsidRPr="00911AEE">
              <w:t>0.6</w:t>
            </w:r>
          </w:p>
        </w:tc>
      </w:tr>
      <w:tr w:rsidR="00B75ACA" w:rsidRPr="000E2C7D" w14:paraId="74831D65" w14:textId="77777777">
        <w:tc>
          <w:tcPr>
            <w:tcW w:w="2965" w:type="dxa"/>
          </w:tcPr>
          <w:p w14:paraId="6AC7D1B1" w14:textId="77777777" w:rsidR="00B75ACA" w:rsidRPr="001010E4" w:rsidRDefault="00B75ACA" w:rsidP="003C1333">
            <w:pPr>
              <w:pStyle w:val="TableText"/>
            </w:pPr>
            <w:r w:rsidRPr="001010E4">
              <w:t>Hispanic/Latino</w:t>
            </w:r>
          </w:p>
        </w:tc>
        <w:tc>
          <w:tcPr>
            <w:tcW w:w="1295" w:type="dxa"/>
          </w:tcPr>
          <w:p w14:paraId="0EC45AB5" w14:textId="77777777" w:rsidR="00B75ACA" w:rsidRPr="001010E4" w:rsidRDefault="00B75ACA" w:rsidP="003C1333">
            <w:pPr>
              <w:pStyle w:val="TableTextCentered"/>
            </w:pPr>
            <w:r>
              <w:t>44</w:t>
            </w:r>
          </w:p>
        </w:tc>
        <w:tc>
          <w:tcPr>
            <w:tcW w:w="1295" w:type="dxa"/>
          </w:tcPr>
          <w:p w14:paraId="1DD87858" w14:textId="77777777" w:rsidR="00B75ACA" w:rsidRPr="001010E4" w:rsidRDefault="00B75ACA" w:rsidP="003C1333">
            <w:pPr>
              <w:pStyle w:val="TableTextCentered"/>
            </w:pPr>
            <w:r>
              <w:t>0.0</w:t>
            </w:r>
          </w:p>
        </w:tc>
        <w:tc>
          <w:tcPr>
            <w:tcW w:w="1296" w:type="dxa"/>
          </w:tcPr>
          <w:p w14:paraId="148D905A" w14:textId="77777777" w:rsidR="00B75ACA" w:rsidRPr="001010E4" w:rsidRDefault="00B75ACA" w:rsidP="003C1333">
            <w:pPr>
              <w:pStyle w:val="TableTextCentered"/>
            </w:pPr>
            <w:r>
              <w:t>0.0</w:t>
            </w:r>
          </w:p>
        </w:tc>
        <w:tc>
          <w:tcPr>
            <w:tcW w:w="1295" w:type="dxa"/>
          </w:tcPr>
          <w:p w14:paraId="15E79202" w14:textId="77777777" w:rsidR="00B75ACA" w:rsidRPr="001010E4" w:rsidRDefault="00B75ACA" w:rsidP="003C1333">
            <w:pPr>
              <w:pStyle w:val="TableTextCentered"/>
            </w:pPr>
            <w:r>
              <w:t>2.3</w:t>
            </w:r>
          </w:p>
        </w:tc>
        <w:tc>
          <w:tcPr>
            <w:tcW w:w="1296" w:type="dxa"/>
          </w:tcPr>
          <w:p w14:paraId="6FD90AE0" w14:textId="77777777" w:rsidR="00B75ACA" w:rsidRPr="00911AEE" w:rsidRDefault="00B75ACA" w:rsidP="003C1333">
            <w:pPr>
              <w:pStyle w:val="TableTextCentered"/>
            </w:pPr>
            <w:r w:rsidRPr="00911AEE">
              <w:t>4.3</w:t>
            </w:r>
          </w:p>
        </w:tc>
      </w:tr>
      <w:tr w:rsidR="00B75ACA" w:rsidRPr="000E2C7D" w14:paraId="5CF9265E"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50BACCA" w14:textId="77777777" w:rsidR="00B75ACA" w:rsidRPr="001010E4" w:rsidRDefault="00B75ACA" w:rsidP="003C1333">
            <w:pPr>
              <w:pStyle w:val="TableText"/>
            </w:pPr>
            <w:r w:rsidRPr="001010E4">
              <w:rPr>
                <w:rFonts w:cstheme="minorHAnsi"/>
              </w:rPr>
              <w:t>Multi-Race, non-Hispanic/Latino</w:t>
            </w:r>
          </w:p>
        </w:tc>
        <w:tc>
          <w:tcPr>
            <w:tcW w:w="1295" w:type="dxa"/>
          </w:tcPr>
          <w:p w14:paraId="0BF0C064" w14:textId="77777777" w:rsidR="00B75ACA" w:rsidRPr="001010E4" w:rsidRDefault="00B75ACA" w:rsidP="003C1333">
            <w:pPr>
              <w:pStyle w:val="TableTextCentered"/>
            </w:pPr>
            <w:r>
              <w:t>40</w:t>
            </w:r>
          </w:p>
        </w:tc>
        <w:tc>
          <w:tcPr>
            <w:tcW w:w="1295" w:type="dxa"/>
          </w:tcPr>
          <w:p w14:paraId="2E116B3C" w14:textId="77777777" w:rsidR="00B75ACA" w:rsidRPr="001010E4" w:rsidRDefault="00B75ACA" w:rsidP="003C1333">
            <w:pPr>
              <w:pStyle w:val="TableTextCentered"/>
            </w:pPr>
            <w:r>
              <w:t>2.9</w:t>
            </w:r>
          </w:p>
        </w:tc>
        <w:tc>
          <w:tcPr>
            <w:tcW w:w="1296" w:type="dxa"/>
          </w:tcPr>
          <w:p w14:paraId="6D4BAB65" w14:textId="77777777" w:rsidR="00B75ACA" w:rsidRPr="001010E4" w:rsidRDefault="00B75ACA" w:rsidP="003C1333">
            <w:pPr>
              <w:pStyle w:val="TableTextCentered"/>
            </w:pPr>
            <w:r>
              <w:t>0.0</w:t>
            </w:r>
          </w:p>
        </w:tc>
        <w:tc>
          <w:tcPr>
            <w:tcW w:w="1295" w:type="dxa"/>
          </w:tcPr>
          <w:p w14:paraId="0AFB304A" w14:textId="77777777" w:rsidR="00B75ACA" w:rsidRPr="001010E4" w:rsidRDefault="00B75ACA" w:rsidP="003C1333">
            <w:pPr>
              <w:pStyle w:val="TableTextCentered"/>
            </w:pPr>
            <w:r>
              <w:t>0.0</w:t>
            </w:r>
          </w:p>
        </w:tc>
        <w:tc>
          <w:tcPr>
            <w:tcW w:w="1296" w:type="dxa"/>
          </w:tcPr>
          <w:p w14:paraId="61783E41" w14:textId="77777777" w:rsidR="00B75ACA" w:rsidRPr="00911AEE" w:rsidRDefault="00B75ACA" w:rsidP="003C1333">
            <w:pPr>
              <w:pStyle w:val="TableTextCentered"/>
            </w:pPr>
            <w:r w:rsidRPr="00911AEE">
              <w:t>2.4</w:t>
            </w:r>
          </w:p>
        </w:tc>
      </w:tr>
      <w:tr w:rsidR="00B75ACA" w:rsidRPr="000E2C7D" w14:paraId="0CBFC5C7" w14:textId="77777777">
        <w:tc>
          <w:tcPr>
            <w:tcW w:w="2965" w:type="dxa"/>
          </w:tcPr>
          <w:p w14:paraId="5D41CD6C" w14:textId="77777777" w:rsidR="00B75ACA" w:rsidRPr="001010E4" w:rsidRDefault="00B75ACA" w:rsidP="003C1333">
            <w:pPr>
              <w:pStyle w:val="TableText"/>
            </w:pPr>
            <w:r w:rsidRPr="001010E4">
              <w:t>Native American</w:t>
            </w:r>
          </w:p>
        </w:tc>
        <w:tc>
          <w:tcPr>
            <w:tcW w:w="1295" w:type="dxa"/>
          </w:tcPr>
          <w:p w14:paraId="407289F1" w14:textId="77777777" w:rsidR="00B75ACA" w:rsidRPr="001010E4" w:rsidRDefault="00B75ACA" w:rsidP="003C1333">
            <w:pPr>
              <w:pStyle w:val="TableTextCentered"/>
            </w:pPr>
            <w:r>
              <w:t>1</w:t>
            </w:r>
          </w:p>
        </w:tc>
        <w:tc>
          <w:tcPr>
            <w:tcW w:w="1295" w:type="dxa"/>
          </w:tcPr>
          <w:p w14:paraId="0522B700" w14:textId="323BEC92" w:rsidR="00B75ACA" w:rsidRPr="001010E4" w:rsidRDefault="008E5BF5" w:rsidP="003C1333">
            <w:pPr>
              <w:pStyle w:val="TableTextCentered"/>
            </w:pPr>
            <w:r>
              <w:t>—</w:t>
            </w:r>
          </w:p>
        </w:tc>
        <w:tc>
          <w:tcPr>
            <w:tcW w:w="1296" w:type="dxa"/>
          </w:tcPr>
          <w:p w14:paraId="1FD32350" w14:textId="3FEF633F" w:rsidR="00B75ACA" w:rsidRPr="001010E4" w:rsidRDefault="008E5BF5" w:rsidP="003C1333">
            <w:pPr>
              <w:pStyle w:val="TableTextCentered"/>
            </w:pPr>
            <w:r>
              <w:t>—</w:t>
            </w:r>
          </w:p>
        </w:tc>
        <w:tc>
          <w:tcPr>
            <w:tcW w:w="1295" w:type="dxa"/>
          </w:tcPr>
          <w:p w14:paraId="01FE8344" w14:textId="5DBF494B" w:rsidR="00B75ACA" w:rsidRPr="001010E4" w:rsidRDefault="008E5BF5" w:rsidP="003C1333">
            <w:pPr>
              <w:pStyle w:val="TableTextCentered"/>
            </w:pPr>
            <w:r>
              <w:t>—</w:t>
            </w:r>
          </w:p>
        </w:tc>
        <w:tc>
          <w:tcPr>
            <w:tcW w:w="1296" w:type="dxa"/>
          </w:tcPr>
          <w:p w14:paraId="1BFE7AF5" w14:textId="77777777" w:rsidR="00B75ACA" w:rsidRPr="00911AEE" w:rsidRDefault="00B75ACA" w:rsidP="003C1333">
            <w:pPr>
              <w:pStyle w:val="TableTextCentered"/>
            </w:pPr>
            <w:r w:rsidRPr="00911AEE">
              <w:t>4.3</w:t>
            </w:r>
          </w:p>
        </w:tc>
      </w:tr>
      <w:tr w:rsidR="00B75ACA" w:rsidRPr="000E2C7D" w14:paraId="76CECA60"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4131353" w14:textId="77777777" w:rsidR="00B75ACA" w:rsidRPr="001010E4" w:rsidRDefault="00B75ACA" w:rsidP="003C1333">
            <w:pPr>
              <w:pStyle w:val="TableText"/>
            </w:pPr>
            <w:r w:rsidRPr="001010E4">
              <w:rPr>
                <w:rFonts w:eastAsia="Times New Roman"/>
                <w:spacing w:val="-4"/>
              </w:rPr>
              <w:t>Native Hawaiian, Pacific Islander</w:t>
            </w:r>
          </w:p>
        </w:tc>
        <w:tc>
          <w:tcPr>
            <w:tcW w:w="1295" w:type="dxa"/>
          </w:tcPr>
          <w:p w14:paraId="5AD91B30" w14:textId="0E6BA12F" w:rsidR="00B75ACA" w:rsidRPr="001010E4" w:rsidRDefault="008E5BF5" w:rsidP="003C1333">
            <w:pPr>
              <w:pStyle w:val="TableTextCentered"/>
            </w:pPr>
            <w:r>
              <w:t>—</w:t>
            </w:r>
          </w:p>
        </w:tc>
        <w:tc>
          <w:tcPr>
            <w:tcW w:w="1295" w:type="dxa"/>
          </w:tcPr>
          <w:p w14:paraId="55F4D794" w14:textId="521340DE" w:rsidR="00B75ACA" w:rsidRPr="001010E4" w:rsidRDefault="008E5BF5" w:rsidP="003C1333">
            <w:pPr>
              <w:pStyle w:val="TableTextCentered"/>
            </w:pPr>
            <w:r>
              <w:t>—</w:t>
            </w:r>
          </w:p>
        </w:tc>
        <w:tc>
          <w:tcPr>
            <w:tcW w:w="1296" w:type="dxa"/>
          </w:tcPr>
          <w:p w14:paraId="2CFF2C1F" w14:textId="47AC78B6" w:rsidR="00B75ACA" w:rsidRPr="001010E4" w:rsidRDefault="008E5BF5" w:rsidP="003C1333">
            <w:pPr>
              <w:pStyle w:val="TableTextCentered"/>
            </w:pPr>
            <w:r>
              <w:t>—</w:t>
            </w:r>
          </w:p>
        </w:tc>
        <w:tc>
          <w:tcPr>
            <w:tcW w:w="1295" w:type="dxa"/>
          </w:tcPr>
          <w:p w14:paraId="544C758E" w14:textId="3E9FC5D1" w:rsidR="00B75ACA" w:rsidRPr="001010E4" w:rsidRDefault="008E5BF5" w:rsidP="003C1333">
            <w:pPr>
              <w:pStyle w:val="TableTextCentered"/>
            </w:pPr>
            <w:r>
              <w:t>—</w:t>
            </w:r>
          </w:p>
        </w:tc>
        <w:tc>
          <w:tcPr>
            <w:tcW w:w="1296" w:type="dxa"/>
          </w:tcPr>
          <w:p w14:paraId="1446AFB1" w14:textId="77777777" w:rsidR="00B75ACA" w:rsidRPr="00911AEE" w:rsidRDefault="00B75ACA" w:rsidP="003C1333">
            <w:pPr>
              <w:pStyle w:val="TableTextCentered"/>
            </w:pPr>
            <w:r w:rsidRPr="00911AEE">
              <w:t>1.2</w:t>
            </w:r>
          </w:p>
        </w:tc>
      </w:tr>
      <w:tr w:rsidR="00B75ACA" w:rsidRPr="000E2C7D" w14:paraId="621030C2" w14:textId="77777777">
        <w:tc>
          <w:tcPr>
            <w:tcW w:w="2965" w:type="dxa"/>
          </w:tcPr>
          <w:p w14:paraId="7636C41A" w14:textId="77777777" w:rsidR="00B75ACA" w:rsidRPr="001010E4" w:rsidRDefault="00B75ACA" w:rsidP="003C1333">
            <w:pPr>
              <w:pStyle w:val="TableText"/>
            </w:pPr>
            <w:r w:rsidRPr="001010E4">
              <w:t>White</w:t>
            </w:r>
          </w:p>
        </w:tc>
        <w:tc>
          <w:tcPr>
            <w:tcW w:w="1295" w:type="dxa"/>
          </w:tcPr>
          <w:p w14:paraId="2E0E03C5" w14:textId="77777777" w:rsidR="00B75ACA" w:rsidRPr="001010E4" w:rsidRDefault="00B75ACA" w:rsidP="003C1333">
            <w:pPr>
              <w:pStyle w:val="TableTextCentered"/>
            </w:pPr>
            <w:r>
              <w:t>1,053</w:t>
            </w:r>
          </w:p>
        </w:tc>
        <w:tc>
          <w:tcPr>
            <w:tcW w:w="1295" w:type="dxa"/>
          </w:tcPr>
          <w:p w14:paraId="6AB36CD0" w14:textId="77777777" w:rsidR="00B75ACA" w:rsidRPr="001010E4" w:rsidRDefault="00B75ACA" w:rsidP="003C1333">
            <w:pPr>
              <w:pStyle w:val="TableTextCentered"/>
            </w:pPr>
            <w:r>
              <w:t>0.1</w:t>
            </w:r>
          </w:p>
        </w:tc>
        <w:tc>
          <w:tcPr>
            <w:tcW w:w="1296" w:type="dxa"/>
          </w:tcPr>
          <w:p w14:paraId="00625603" w14:textId="77777777" w:rsidR="00B75ACA" w:rsidRPr="001010E4" w:rsidRDefault="00B75ACA" w:rsidP="003C1333">
            <w:pPr>
              <w:pStyle w:val="TableTextCentered"/>
            </w:pPr>
            <w:r>
              <w:t>0.2</w:t>
            </w:r>
          </w:p>
        </w:tc>
        <w:tc>
          <w:tcPr>
            <w:tcW w:w="1295" w:type="dxa"/>
          </w:tcPr>
          <w:p w14:paraId="578A5A86" w14:textId="77777777" w:rsidR="00B75ACA" w:rsidRPr="001010E4" w:rsidRDefault="00B75ACA" w:rsidP="003C1333">
            <w:pPr>
              <w:pStyle w:val="TableTextCentered"/>
            </w:pPr>
            <w:r>
              <w:t>0.3</w:t>
            </w:r>
          </w:p>
        </w:tc>
        <w:tc>
          <w:tcPr>
            <w:tcW w:w="1296" w:type="dxa"/>
          </w:tcPr>
          <w:p w14:paraId="71BFB1AD" w14:textId="77777777" w:rsidR="00B75ACA" w:rsidRPr="00911AEE" w:rsidRDefault="00B75ACA" w:rsidP="003C1333">
            <w:pPr>
              <w:pStyle w:val="TableTextCentered"/>
            </w:pPr>
            <w:r w:rsidRPr="00911AEE">
              <w:t>1.3</w:t>
            </w:r>
          </w:p>
        </w:tc>
      </w:tr>
      <w:tr w:rsidR="00B75ACA" w:rsidRPr="000E2C7D" w14:paraId="2578415E"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222B6682" w14:textId="77777777" w:rsidR="00B75ACA" w:rsidRPr="001010E4" w:rsidRDefault="00B75ACA" w:rsidP="003C1333">
            <w:pPr>
              <w:pStyle w:val="TableText"/>
            </w:pPr>
            <w:r w:rsidRPr="001010E4">
              <w:t>High needs</w:t>
            </w:r>
          </w:p>
        </w:tc>
        <w:tc>
          <w:tcPr>
            <w:tcW w:w="1295" w:type="dxa"/>
          </w:tcPr>
          <w:p w14:paraId="76084F82" w14:textId="77777777" w:rsidR="00B75ACA" w:rsidRPr="001010E4" w:rsidRDefault="00B75ACA" w:rsidP="003C1333">
            <w:pPr>
              <w:pStyle w:val="TableTextCentered"/>
            </w:pPr>
            <w:r>
              <w:t>194</w:t>
            </w:r>
          </w:p>
        </w:tc>
        <w:tc>
          <w:tcPr>
            <w:tcW w:w="1295" w:type="dxa"/>
          </w:tcPr>
          <w:p w14:paraId="37DF169A" w14:textId="77777777" w:rsidR="00B75ACA" w:rsidRPr="001010E4" w:rsidRDefault="00B75ACA" w:rsidP="003C1333">
            <w:pPr>
              <w:pStyle w:val="TableTextCentered"/>
            </w:pPr>
            <w:r>
              <w:t>1.0</w:t>
            </w:r>
          </w:p>
        </w:tc>
        <w:tc>
          <w:tcPr>
            <w:tcW w:w="1296" w:type="dxa"/>
          </w:tcPr>
          <w:p w14:paraId="0472ECD6" w14:textId="77777777" w:rsidR="00B75ACA" w:rsidRPr="001010E4" w:rsidRDefault="00B75ACA" w:rsidP="003C1333">
            <w:pPr>
              <w:pStyle w:val="TableTextCentered"/>
            </w:pPr>
            <w:r>
              <w:t>0.5</w:t>
            </w:r>
          </w:p>
        </w:tc>
        <w:tc>
          <w:tcPr>
            <w:tcW w:w="1295" w:type="dxa"/>
          </w:tcPr>
          <w:p w14:paraId="47F48DE1" w14:textId="77777777" w:rsidR="00B75ACA" w:rsidRPr="001010E4" w:rsidRDefault="00B75ACA" w:rsidP="003C1333">
            <w:pPr>
              <w:pStyle w:val="TableTextCentered"/>
            </w:pPr>
            <w:r>
              <w:t>1.5</w:t>
            </w:r>
          </w:p>
        </w:tc>
        <w:tc>
          <w:tcPr>
            <w:tcW w:w="1296" w:type="dxa"/>
          </w:tcPr>
          <w:p w14:paraId="0BF3DD2A" w14:textId="77777777" w:rsidR="00B75ACA" w:rsidRPr="00911AEE" w:rsidRDefault="00B75ACA" w:rsidP="003C1333">
            <w:pPr>
              <w:pStyle w:val="TableTextCentered"/>
            </w:pPr>
            <w:r w:rsidRPr="00911AEE">
              <w:t>3.6</w:t>
            </w:r>
          </w:p>
        </w:tc>
      </w:tr>
      <w:tr w:rsidR="00B75ACA" w:rsidRPr="000E2C7D" w14:paraId="18BCA95E" w14:textId="77777777">
        <w:tc>
          <w:tcPr>
            <w:tcW w:w="2965" w:type="dxa"/>
          </w:tcPr>
          <w:p w14:paraId="117073F7" w14:textId="77777777" w:rsidR="00B75ACA" w:rsidRPr="001010E4" w:rsidRDefault="00B75ACA" w:rsidP="003C1333">
            <w:pPr>
              <w:pStyle w:val="TableText"/>
            </w:pPr>
            <w:r w:rsidRPr="001010E4">
              <w:t>Low income</w:t>
            </w:r>
          </w:p>
        </w:tc>
        <w:tc>
          <w:tcPr>
            <w:tcW w:w="1295" w:type="dxa"/>
          </w:tcPr>
          <w:p w14:paraId="221D82C7" w14:textId="77777777" w:rsidR="00B75ACA" w:rsidRPr="001010E4" w:rsidRDefault="00B75ACA" w:rsidP="003C1333">
            <w:pPr>
              <w:pStyle w:val="TableTextCentered"/>
            </w:pPr>
            <w:r>
              <w:t>106</w:t>
            </w:r>
          </w:p>
        </w:tc>
        <w:tc>
          <w:tcPr>
            <w:tcW w:w="1295" w:type="dxa"/>
          </w:tcPr>
          <w:p w14:paraId="612EE109" w14:textId="1274CBC1" w:rsidR="00B75ACA" w:rsidRPr="001010E4" w:rsidRDefault="008E5BF5" w:rsidP="003C1333">
            <w:pPr>
              <w:pStyle w:val="TableTextCentered"/>
            </w:pPr>
            <w:r>
              <w:t>—</w:t>
            </w:r>
          </w:p>
        </w:tc>
        <w:tc>
          <w:tcPr>
            <w:tcW w:w="1296" w:type="dxa"/>
          </w:tcPr>
          <w:p w14:paraId="5E7C00D1" w14:textId="25B96303" w:rsidR="00B75ACA" w:rsidRPr="001010E4" w:rsidRDefault="008E5BF5" w:rsidP="003C1333">
            <w:pPr>
              <w:pStyle w:val="TableTextCentered"/>
            </w:pPr>
            <w:r>
              <w:t>—</w:t>
            </w:r>
          </w:p>
        </w:tc>
        <w:tc>
          <w:tcPr>
            <w:tcW w:w="1295" w:type="dxa"/>
          </w:tcPr>
          <w:p w14:paraId="56383701" w14:textId="77777777" w:rsidR="00B75ACA" w:rsidRPr="001010E4" w:rsidRDefault="00B75ACA" w:rsidP="003C1333">
            <w:pPr>
              <w:pStyle w:val="TableTextCentered"/>
            </w:pPr>
            <w:r>
              <w:t>2.8</w:t>
            </w:r>
          </w:p>
        </w:tc>
        <w:tc>
          <w:tcPr>
            <w:tcW w:w="1296" w:type="dxa"/>
          </w:tcPr>
          <w:p w14:paraId="45A2FC7A" w14:textId="77777777" w:rsidR="00B75ACA" w:rsidRPr="00911AEE" w:rsidRDefault="00B75ACA" w:rsidP="003C1333">
            <w:pPr>
              <w:pStyle w:val="TableTextCentered"/>
            </w:pPr>
            <w:r w:rsidRPr="00911AEE">
              <w:t>3.8</w:t>
            </w:r>
          </w:p>
        </w:tc>
      </w:tr>
      <w:tr w:rsidR="00B75ACA" w:rsidRPr="000E2C7D" w14:paraId="7CBDE2B1"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18BA34D9" w14:textId="0F15BE71" w:rsidR="00B75ACA" w:rsidRPr="001010E4" w:rsidRDefault="00AE4E73" w:rsidP="003C1333">
            <w:pPr>
              <w:pStyle w:val="TableText"/>
            </w:pPr>
            <w:r>
              <w:t>English learners</w:t>
            </w:r>
          </w:p>
        </w:tc>
        <w:tc>
          <w:tcPr>
            <w:tcW w:w="1295" w:type="dxa"/>
          </w:tcPr>
          <w:p w14:paraId="3A8A1710" w14:textId="77777777" w:rsidR="00B75ACA" w:rsidRPr="001010E4" w:rsidRDefault="00B75ACA" w:rsidP="003C1333">
            <w:pPr>
              <w:pStyle w:val="TableTextCentered"/>
            </w:pPr>
            <w:r>
              <w:t>1</w:t>
            </w:r>
          </w:p>
        </w:tc>
        <w:tc>
          <w:tcPr>
            <w:tcW w:w="1295" w:type="dxa"/>
          </w:tcPr>
          <w:p w14:paraId="5EA39D6C" w14:textId="541830E5" w:rsidR="00B75ACA" w:rsidRPr="001010E4" w:rsidRDefault="008E5BF5" w:rsidP="003C1333">
            <w:pPr>
              <w:pStyle w:val="TableTextCentered"/>
            </w:pPr>
            <w:r>
              <w:t>—</w:t>
            </w:r>
          </w:p>
        </w:tc>
        <w:tc>
          <w:tcPr>
            <w:tcW w:w="1296" w:type="dxa"/>
          </w:tcPr>
          <w:p w14:paraId="45DB258E" w14:textId="3F18B3FB" w:rsidR="00B75ACA" w:rsidRPr="001010E4" w:rsidRDefault="008E5BF5" w:rsidP="003C1333">
            <w:pPr>
              <w:pStyle w:val="TableTextCentered"/>
            </w:pPr>
            <w:r>
              <w:t>—</w:t>
            </w:r>
          </w:p>
        </w:tc>
        <w:tc>
          <w:tcPr>
            <w:tcW w:w="1295" w:type="dxa"/>
          </w:tcPr>
          <w:p w14:paraId="033C92F4" w14:textId="31BD8884" w:rsidR="00B75ACA" w:rsidRPr="001010E4" w:rsidRDefault="008E5BF5" w:rsidP="003C1333">
            <w:pPr>
              <w:pStyle w:val="TableTextCentered"/>
            </w:pPr>
            <w:r>
              <w:t>—</w:t>
            </w:r>
          </w:p>
        </w:tc>
        <w:tc>
          <w:tcPr>
            <w:tcW w:w="1296" w:type="dxa"/>
          </w:tcPr>
          <w:p w14:paraId="45DE505D" w14:textId="77777777" w:rsidR="00B75ACA" w:rsidRPr="00911AEE" w:rsidRDefault="00B75ACA" w:rsidP="003C1333">
            <w:pPr>
              <w:pStyle w:val="TableTextCentered"/>
            </w:pPr>
            <w:r w:rsidRPr="00911AEE">
              <w:t>7.8</w:t>
            </w:r>
          </w:p>
        </w:tc>
      </w:tr>
      <w:tr w:rsidR="00B75ACA" w:rsidRPr="000E2C7D" w14:paraId="40C31876" w14:textId="77777777">
        <w:tc>
          <w:tcPr>
            <w:tcW w:w="2965" w:type="dxa"/>
          </w:tcPr>
          <w:p w14:paraId="1BAE8827" w14:textId="77777777" w:rsidR="00B75ACA" w:rsidRPr="001010E4" w:rsidRDefault="00B75ACA" w:rsidP="003C1333">
            <w:pPr>
              <w:pStyle w:val="TableText"/>
            </w:pPr>
            <w:r w:rsidRPr="001010E4">
              <w:t>Students w/disabilities</w:t>
            </w:r>
          </w:p>
        </w:tc>
        <w:tc>
          <w:tcPr>
            <w:tcW w:w="1295" w:type="dxa"/>
          </w:tcPr>
          <w:p w14:paraId="11AA10B8" w14:textId="77777777" w:rsidR="00B75ACA" w:rsidRPr="001010E4" w:rsidRDefault="00B75ACA" w:rsidP="003C1333">
            <w:pPr>
              <w:pStyle w:val="TableTextCentered"/>
            </w:pPr>
            <w:r>
              <w:t>109</w:t>
            </w:r>
          </w:p>
        </w:tc>
        <w:tc>
          <w:tcPr>
            <w:tcW w:w="1295" w:type="dxa"/>
          </w:tcPr>
          <w:p w14:paraId="4450206F" w14:textId="77777777" w:rsidR="00B75ACA" w:rsidRPr="001010E4" w:rsidRDefault="00B75ACA" w:rsidP="003C1333">
            <w:pPr>
              <w:pStyle w:val="TableTextCentered"/>
            </w:pPr>
            <w:r>
              <w:t>1.5</w:t>
            </w:r>
          </w:p>
        </w:tc>
        <w:tc>
          <w:tcPr>
            <w:tcW w:w="1296" w:type="dxa"/>
          </w:tcPr>
          <w:p w14:paraId="50F92800" w14:textId="77777777" w:rsidR="00B75ACA" w:rsidRPr="001010E4" w:rsidRDefault="00B75ACA" w:rsidP="003C1333">
            <w:pPr>
              <w:pStyle w:val="TableTextCentered"/>
            </w:pPr>
            <w:r>
              <w:t>0.0</w:t>
            </w:r>
          </w:p>
        </w:tc>
        <w:tc>
          <w:tcPr>
            <w:tcW w:w="1295" w:type="dxa"/>
          </w:tcPr>
          <w:p w14:paraId="01807480" w14:textId="77777777" w:rsidR="00B75ACA" w:rsidRPr="001010E4" w:rsidRDefault="00B75ACA" w:rsidP="003C1333">
            <w:pPr>
              <w:pStyle w:val="TableTextCentered"/>
            </w:pPr>
            <w:r>
              <w:t>0.0</w:t>
            </w:r>
          </w:p>
        </w:tc>
        <w:tc>
          <w:tcPr>
            <w:tcW w:w="1296" w:type="dxa"/>
          </w:tcPr>
          <w:p w14:paraId="38020693" w14:textId="77777777" w:rsidR="00B75ACA" w:rsidRPr="00911AEE" w:rsidRDefault="00B75ACA" w:rsidP="003C1333">
            <w:pPr>
              <w:pStyle w:val="TableTextCentered"/>
            </w:pPr>
            <w:r w:rsidRPr="00911AEE">
              <w:t>3.4</w:t>
            </w:r>
          </w:p>
        </w:tc>
      </w:tr>
      <w:bookmarkEnd w:id="209"/>
    </w:tbl>
    <w:p w14:paraId="6A89766D" w14:textId="77777777" w:rsidR="00B75ACA" w:rsidRDefault="00B75ACA">
      <w:pPr>
        <w:spacing w:line="240" w:lineRule="auto"/>
        <w:rPr>
          <w:rFonts w:ascii="Franklin Gothic Book" w:hAnsi="Franklin Gothic Book"/>
          <w:sz w:val="20"/>
          <w:szCs w:val="20"/>
        </w:rPr>
      </w:pPr>
    </w:p>
    <w:p w14:paraId="369114EE" w14:textId="77777777" w:rsidR="00B75ACA" w:rsidRDefault="00B75ACA">
      <w:pPr>
        <w:spacing w:line="240" w:lineRule="auto"/>
        <w:rPr>
          <w:rFonts w:ascii="Franklin Gothic Book" w:hAnsi="Franklin Gothic Book"/>
          <w:sz w:val="20"/>
          <w:szCs w:val="20"/>
        </w:rPr>
      </w:pPr>
      <w:r>
        <w:rPr>
          <w:rFonts w:ascii="Franklin Gothic Book" w:hAnsi="Franklin Gothic Book"/>
          <w:sz w:val="20"/>
          <w:szCs w:val="20"/>
        </w:rPr>
        <w:br w:type="page"/>
      </w:r>
    </w:p>
    <w:p w14:paraId="0EB526E2" w14:textId="77777777" w:rsidR="00B75ACA" w:rsidRPr="004B650F" w:rsidRDefault="00B75ACA" w:rsidP="003C1333">
      <w:pPr>
        <w:pStyle w:val="TableTitle0"/>
      </w:pPr>
      <w:bookmarkStart w:id="211" w:name="_Toc158035186"/>
      <w:r w:rsidRPr="004B650F">
        <w:lastRenderedPageBreak/>
        <w:t>Table E1</w:t>
      </w:r>
      <w:r>
        <w:t>9</w:t>
      </w:r>
      <w:r w:rsidRPr="004B650F">
        <w:t>. In-School Suspension Rates by Student Group, 2021-2023</w:t>
      </w:r>
      <w:bookmarkEnd w:id="211"/>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75ACA" w:rsidRPr="000E2C7D" w14:paraId="07AD0410"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6A15323" w14:textId="77777777" w:rsidR="00B75ACA" w:rsidRPr="00FA0D3E" w:rsidRDefault="00B75ACA" w:rsidP="009202EF">
            <w:pPr>
              <w:pStyle w:val="TableColHeadingCenter"/>
            </w:pPr>
            <w:r w:rsidRPr="00FA0D3E">
              <w:t>Group</w:t>
            </w:r>
          </w:p>
        </w:tc>
        <w:tc>
          <w:tcPr>
            <w:tcW w:w="1254" w:type="dxa"/>
            <w:vAlign w:val="center"/>
          </w:tcPr>
          <w:p w14:paraId="05FF57E9" w14:textId="79253571" w:rsidR="00B75ACA" w:rsidRPr="00FA0D3E" w:rsidRDefault="00B75ACA" w:rsidP="009202EF">
            <w:pPr>
              <w:pStyle w:val="TableColHeadingCenter"/>
            </w:pPr>
            <w:r w:rsidRPr="00FA0D3E">
              <w:t xml:space="preserve"># </w:t>
            </w:r>
            <w:r w:rsidR="00C6447D">
              <w:t>i</w:t>
            </w:r>
            <w:r w:rsidRPr="00FA0D3E">
              <w:t>ncluded (2023)</w:t>
            </w:r>
          </w:p>
        </w:tc>
        <w:tc>
          <w:tcPr>
            <w:tcW w:w="1255" w:type="dxa"/>
            <w:vAlign w:val="center"/>
          </w:tcPr>
          <w:p w14:paraId="2FDC323A" w14:textId="77777777" w:rsidR="00B75ACA" w:rsidRPr="00FA0D3E" w:rsidRDefault="00B75ACA" w:rsidP="009202EF">
            <w:pPr>
              <w:pStyle w:val="TableColHeadingCenter"/>
            </w:pPr>
            <w:r w:rsidRPr="00FA0D3E">
              <w:t>2021</w:t>
            </w:r>
          </w:p>
        </w:tc>
        <w:tc>
          <w:tcPr>
            <w:tcW w:w="1254" w:type="dxa"/>
            <w:vAlign w:val="center"/>
          </w:tcPr>
          <w:p w14:paraId="2D7FB7D5" w14:textId="77777777" w:rsidR="00B75ACA" w:rsidRPr="00FA0D3E" w:rsidRDefault="00B75ACA" w:rsidP="009202EF">
            <w:pPr>
              <w:pStyle w:val="TableColHeadingCenter"/>
            </w:pPr>
            <w:r w:rsidRPr="00FA0D3E">
              <w:t>2022</w:t>
            </w:r>
          </w:p>
        </w:tc>
        <w:tc>
          <w:tcPr>
            <w:tcW w:w="1255" w:type="dxa"/>
            <w:vAlign w:val="center"/>
          </w:tcPr>
          <w:p w14:paraId="17BC3B47" w14:textId="77777777" w:rsidR="00B75ACA" w:rsidRPr="00FA0D3E" w:rsidRDefault="00B75ACA" w:rsidP="009202EF">
            <w:pPr>
              <w:pStyle w:val="TableColHeadingCenter"/>
            </w:pPr>
            <w:r w:rsidRPr="00FA0D3E">
              <w:t>2023</w:t>
            </w:r>
          </w:p>
        </w:tc>
        <w:tc>
          <w:tcPr>
            <w:tcW w:w="1255" w:type="dxa"/>
            <w:vAlign w:val="center"/>
          </w:tcPr>
          <w:p w14:paraId="2B3ABE8D" w14:textId="77777777" w:rsidR="00B75ACA" w:rsidRPr="00FA0D3E" w:rsidRDefault="00B75ACA" w:rsidP="009202EF">
            <w:pPr>
              <w:pStyle w:val="TableColHeadingCenter"/>
            </w:pPr>
            <w:r w:rsidRPr="00FA0D3E">
              <w:t>State (2023</w:t>
            </w:r>
            <w:r>
              <w:t>)</w:t>
            </w:r>
          </w:p>
        </w:tc>
      </w:tr>
      <w:tr w:rsidR="00B75ACA" w:rsidRPr="000E2C7D" w14:paraId="30E838A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3818F50" w14:textId="77777777" w:rsidR="00B75ACA" w:rsidRPr="001010E4" w:rsidRDefault="00B75ACA" w:rsidP="009202EF">
            <w:pPr>
              <w:pStyle w:val="TableText"/>
            </w:pPr>
            <w:r w:rsidRPr="001010E4">
              <w:t>All</w:t>
            </w:r>
          </w:p>
        </w:tc>
        <w:tc>
          <w:tcPr>
            <w:tcW w:w="1254" w:type="dxa"/>
          </w:tcPr>
          <w:p w14:paraId="6C63BE0F" w14:textId="77777777" w:rsidR="00B75ACA" w:rsidRPr="00512748" w:rsidRDefault="00B75ACA" w:rsidP="009202EF">
            <w:pPr>
              <w:pStyle w:val="TableTextCentered"/>
            </w:pPr>
            <w:r w:rsidRPr="00512748">
              <w:t>3,858</w:t>
            </w:r>
          </w:p>
        </w:tc>
        <w:tc>
          <w:tcPr>
            <w:tcW w:w="1255" w:type="dxa"/>
          </w:tcPr>
          <w:p w14:paraId="497F4906" w14:textId="77777777" w:rsidR="00B75ACA" w:rsidRPr="00512748" w:rsidRDefault="00B75ACA" w:rsidP="009202EF">
            <w:pPr>
              <w:pStyle w:val="TableTextCentered"/>
            </w:pPr>
            <w:r>
              <w:t>0.0</w:t>
            </w:r>
          </w:p>
        </w:tc>
        <w:tc>
          <w:tcPr>
            <w:tcW w:w="1254" w:type="dxa"/>
          </w:tcPr>
          <w:p w14:paraId="33214385" w14:textId="77777777" w:rsidR="00B75ACA" w:rsidRPr="00512748" w:rsidRDefault="00B75ACA" w:rsidP="009202EF">
            <w:pPr>
              <w:pStyle w:val="TableTextCentered"/>
            </w:pPr>
            <w:r>
              <w:t>0.8</w:t>
            </w:r>
          </w:p>
        </w:tc>
        <w:tc>
          <w:tcPr>
            <w:tcW w:w="1255" w:type="dxa"/>
          </w:tcPr>
          <w:p w14:paraId="1E282514" w14:textId="77777777" w:rsidR="00B75ACA" w:rsidRPr="00512748" w:rsidRDefault="00B75ACA" w:rsidP="009202EF">
            <w:pPr>
              <w:pStyle w:val="TableTextCentered"/>
            </w:pPr>
            <w:r>
              <w:t>0.4</w:t>
            </w:r>
          </w:p>
        </w:tc>
        <w:tc>
          <w:tcPr>
            <w:tcW w:w="1255" w:type="dxa"/>
          </w:tcPr>
          <w:p w14:paraId="052328FE" w14:textId="77777777" w:rsidR="00B75ACA" w:rsidRPr="00512748" w:rsidRDefault="00B75ACA" w:rsidP="009202EF">
            <w:pPr>
              <w:pStyle w:val="TableTextCentered"/>
            </w:pPr>
            <w:r>
              <w:t>1.4</w:t>
            </w:r>
          </w:p>
        </w:tc>
      </w:tr>
      <w:tr w:rsidR="00B75ACA" w:rsidRPr="000E2C7D" w14:paraId="67C164C3" w14:textId="77777777">
        <w:trPr>
          <w:jc w:val="center"/>
        </w:trPr>
        <w:tc>
          <w:tcPr>
            <w:tcW w:w="3052" w:type="dxa"/>
          </w:tcPr>
          <w:p w14:paraId="57D1D766" w14:textId="77777777" w:rsidR="00B75ACA" w:rsidRPr="001010E4" w:rsidRDefault="00B75ACA" w:rsidP="009202EF">
            <w:pPr>
              <w:pStyle w:val="TableText"/>
            </w:pPr>
            <w:r w:rsidRPr="001010E4">
              <w:t>African American/Black</w:t>
            </w:r>
          </w:p>
        </w:tc>
        <w:tc>
          <w:tcPr>
            <w:tcW w:w="1254" w:type="dxa"/>
          </w:tcPr>
          <w:p w14:paraId="28414C82" w14:textId="77777777" w:rsidR="00B75ACA" w:rsidRPr="00512748" w:rsidRDefault="00B75ACA" w:rsidP="009202EF">
            <w:pPr>
              <w:pStyle w:val="TableTextCentered"/>
            </w:pPr>
            <w:r w:rsidRPr="00512748">
              <w:t>67</w:t>
            </w:r>
          </w:p>
        </w:tc>
        <w:tc>
          <w:tcPr>
            <w:tcW w:w="1255" w:type="dxa"/>
          </w:tcPr>
          <w:p w14:paraId="6C20D2A4" w14:textId="23802C0F" w:rsidR="00B75ACA" w:rsidRPr="00512748" w:rsidRDefault="008E5BF5" w:rsidP="009202EF">
            <w:pPr>
              <w:pStyle w:val="TableTextCentered"/>
            </w:pPr>
            <w:r>
              <w:t>—</w:t>
            </w:r>
          </w:p>
        </w:tc>
        <w:tc>
          <w:tcPr>
            <w:tcW w:w="1254" w:type="dxa"/>
          </w:tcPr>
          <w:p w14:paraId="423DDF5B" w14:textId="0727069B" w:rsidR="00B75ACA" w:rsidRPr="00512748" w:rsidRDefault="008E5BF5" w:rsidP="009202EF">
            <w:pPr>
              <w:pStyle w:val="TableTextCentered"/>
            </w:pPr>
            <w:r>
              <w:t>—</w:t>
            </w:r>
          </w:p>
        </w:tc>
        <w:tc>
          <w:tcPr>
            <w:tcW w:w="1255" w:type="dxa"/>
          </w:tcPr>
          <w:p w14:paraId="5AAE709C" w14:textId="7F3522E6" w:rsidR="00B75ACA" w:rsidRPr="00512748" w:rsidRDefault="008E5BF5" w:rsidP="009202EF">
            <w:pPr>
              <w:pStyle w:val="TableTextCentered"/>
            </w:pPr>
            <w:r>
              <w:t>—</w:t>
            </w:r>
          </w:p>
        </w:tc>
        <w:tc>
          <w:tcPr>
            <w:tcW w:w="1255" w:type="dxa"/>
          </w:tcPr>
          <w:p w14:paraId="7123069B" w14:textId="77777777" w:rsidR="00B75ACA" w:rsidRPr="00512748" w:rsidRDefault="00B75ACA" w:rsidP="009202EF">
            <w:pPr>
              <w:pStyle w:val="TableTextCentered"/>
            </w:pPr>
            <w:r>
              <w:t>2.1</w:t>
            </w:r>
          </w:p>
        </w:tc>
      </w:tr>
      <w:tr w:rsidR="00B75ACA" w:rsidRPr="000E2C7D" w14:paraId="54D98E1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14381CF" w14:textId="77777777" w:rsidR="00B75ACA" w:rsidRPr="001010E4" w:rsidRDefault="00B75ACA" w:rsidP="009202EF">
            <w:pPr>
              <w:pStyle w:val="TableText"/>
            </w:pPr>
            <w:r w:rsidRPr="001010E4">
              <w:t>Asian</w:t>
            </w:r>
          </w:p>
        </w:tc>
        <w:tc>
          <w:tcPr>
            <w:tcW w:w="1254" w:type="dxa"/>
          </w:tcPr>
          <w:p w14:paraId="15D78412" w14:textId="77777777" w:rsidR="00B75ACA" w:rsidRPr="00512748" w:rsidRDefault="00B75ACA" w:rsidP="009202EF">
            <w:pPr>
              <w:pStyle w:val="TableTextCentered"/>
            </w:pPr>
            <w:r w:rsidRPr="00512748">
              <w:t>119</w:t>
            </w:r>
          </w:p>
        </w:tc>
        <w:tc>
          <w:tcPr>
            <w:tcW w:w="1255" w:type="dxa"/>
          </w:tcPr>
          <w:p w14:paraId="07F25DEA" w14:textId="3488D368" w:rsidR="00B75ACA" w:rsidRPr="00512748" w:rsidRDefault="008E5BF5" w:rsidP="009202EF">
            <w:pPr>
              <w:pStyle w:val="TableTextCentered"/>
            </w:pPr>
            <w:r>
              <w:t>—</w:t>
            </w:r>
          </w:p>
        </w:tc>
        <w:tc>
          <w:tcPr>
            <w:tcW w:w="1254" w:type="dxa"/>
          </w:tcPr>
          <w:p w14:paraId="7809A1E6" w14:textId="00230E62" w:rsidR="00B75ACA" w:rsidRPr="00512748" w:rsidRDefault="008E5BF5" w:rsidP="009202EF">
            <w:pPr>
              <w:pStyle w:val="TableTextCentered"/>
            </w:pPr>
            <w:r>
              <w:t>—</w:t>
            </w:r>
          </w:p>
        </w:tc>
        <w:tc>
          <w:tcPr>
            <w:tcW w:w="1255" w:type="dxa"/>
          </w:tcPr>
          <w:p w14:paraId="2494EC7B" w14:textId="5BEB71A8" w:rsidR="00B75ACA" w:rsidRPr="00512748" w:rsidRDefault="008E5BF5" w:rsidP="009202EF">
            <w:pPr>
              <w:pStyle w:val="TableTextCentered"/>
            </w:pPr>
            <w:r>
              <w:t>—</w:t>
            </w:r>
          </w:p>
        </w:tc>
        <w:tc>
          <w:tcPr>
            <w:tcW w:w="1255" w:type="dxa"/>
          </w:tcPr>
          <w:p w14:paraId="0040E68E" w14:textId="77777777" w:rsidR="00B75ACA" w:rsidRPr="00512748" w:rsidRDefault="00B75ACA" w:rsidP="009202EF">
            <w:pPr>
              <w:pStyle w:val="TableTextCentered"/>
            </w:pPr>
            <w:r>
              <w:t>0.3</w:t>
            </w:r>
          </w:p>
        </w:tc>
      </w:tr>
      <w:tr w:rsidR="00B75ACA" w:rsidRPr="000E2C7D" w14:paraId="7E2D1BCD" w14:textId="77777777">
        <w:trPr>
          <w:jc w:val="center"/>
        </w:trPr>
        <w:tc>
          <w:tcPr>
            <w:tcW w:w="3052" w:type="dxa"/>
          </w:tcPr>
          <w:p w14:paraId="392C93D2" w14:textId="77777777" w:rsidR="00B75ACA" w:rsidRPr="001010E4" w:rsidRDefault="00B75ACA" w:rsidP="009202EF">
            <w:pPr>
              <w:pStyle w:val="TableText"/>
            </w:pPr>
            <w:r w:rsidRPr="001010E4">
              <w:t>Hispanic/Latino</w:t>
            </w:r>
          </w:p>
        </w:tc>
        <w:tc>
          <w:tcPr>
            <w:tcW w:w="1254" w:type="dxa"/>
          </w:tcPr>
          <w:p w14:paraId="7E2FBF7E" w14:textId="77777777" w:rsidR="00B75ACA" w:rsidRPr="00512748" w:rsidRDefault="00B75ACA" w:rsidP="009202EF">
            <w:pPr>
              <w:pStyle w:val="TableTextCentered"/>
            </w:pPr>
            <w:r w:rsidRPr="00512748">
              <w:t>146</w:t>
            </w:r>
          </w:p>
        </w:tc>
        <w:tc>
          <w:tcPr>
            <w:tcW w:w="1255" w:type="dxa"/>
          </w:tcPr>
          <w:p w14:paraId="08D24DAC" w14:textId="727432BD" w:rsidR="00B75ACA" w:rsidRPr="00512748" w:rsidRDefault="008E5BF5" w:rsidP="009202EF">
            <w:pPr>
              <w:pStyle w:val="TableTextCentered"/>
            </w:pPr>
            <w:r>
              <w:t>—</w:t>
            </w:r>
          </w:p>
        </w:tc>
        <w:tc>
          <w:tcPr>
            <w:tcW w:w="1254" w:type="dxa"/>
          </w:tcPr>
          <w:p w14:paraId="06FA6D92" w14:textId="6ECB7CC9" w:rsidR="00B75ACA" w:rsidRPr="00512748" w:rsidRDefault="008E5BF5" w:rsidP="009202EF">
            <w:pPr>
              <w:pStyle w:val="TableTextCentered"/>
            </w:pPr>
            <w:r>
              <w:t>—</w:t>
            </w:r>
          </w:p>
        </w:tc>
        <w:tc>
          <w:tcPr>
            <w:tcW w:w="1255" w:type="dxa"/>
          </w:tcPr>
          <w:p w14:paraId="504A225A" w14:textId="0F7F1C3D" w:rsidR="00B75ACA" w:rsidRPr="00512748" w:rsidRDefault="008E5BF5" w:rsidP="009202EF">
            <w:pPr>
              <w:pStyle w:val="TableTextCentered"/>
            </w:pPr>
            <w:r>
              <w:t>—</w:t>
            </w:r>
          </w:p>
        </w:tc>
        <w:tc>
          <w:tcPr>
            <w:tcW w:w="1255" w:type="dxa"/>
          </w:tcPr>
          <w:p w14:paraId="4714A5E5" w14:textId="77777777" w:rsidR="00B75ACA" w:rsidRPr="00512748" w:rsidRDefault="00B75ACA" w:rsidP="009202EF">
            <w:pPr>
              <w:pStyle w:val="TableTextCentered"/>
            </w:pPr>
            <w:r>
              <w:t>1.8</w:t>
            </w:r>
          </w:p>
        </w:tc>
      </w:tr>
      <w:tr w:rsidR="00B75ACA" w:rsidRPr="000E2C7D" w14:paraId="4760387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39090F8" w14:textId="77777777" w:rsidR="00B75ACA" w:rsidRPr="001010E4" w:rsidRDefault="00B75ACA" w:rsidP="009202EF">
            <w:pPr>
              <w:pStyle w:val="TableText"/>
            </w:pPr>
            <w:r w:rsidRPr="001010E4">
              <w:rPr>
                <w:rFonts w:cstheme="minorHAnsi"/>
              </w:rPr>
              <w:t>Multi-Race, non-Hispanic/Latino</w:t>
            </w:r>
          </w:p>
        </w:tc>
        <w:tc>
          <w:tcPr>
            <w:tcW w:w="1254" w:type="dxa"/>
          </w:tcPr>
          <w:p w14:paraId="7C16398E" w14:textId="77777777" w:rsidR="00B75ACA" w:rsidRPr="00512748" w:rsidRDefault="00B75ACA" w:rsidP="009202EF">
            <w:pPr>
              <w:pStyle w:val="TableTextCentered"/>
            </w:pPr>
            <w:r w:rsidRPr="00512748">
              <w:t>130</w:t>
            </w:r>
          </w:p>
        </w:tc>
        <w:tc>
          <w:tcPr>
            <w:tcW w:w="1255" w:type="dxa"/>
          </w:tcPr>
          <w:p w14:paraId="7BAAF704" w14:textId="1A6B1552" w:rsidR="00B75ACA" w:rsidRPr="00512748" w:rsidRDefault="008E5BF5" w:rsidP="009202EF">
            <w:pPr>
              <w:pStyle w:val="TableTextCentered"/>
            </w:pPr>
            <w:r>
              <w:t>—</w:t>
            </w:r>
          </w:p>
        </w:tc>
        <w:tc>
          <w:tcPr>
            <w:tcW w:w="1254" w:type="dxa"/>
          </w:tcPr>
          <w:p w14:paraId="68D34D29" w14:textId="191DB75E" w:rsidR="00B75ACA" w:rsidRPr="00512748" w:rsidRDefault="008E5BF5" w:rsidP="009202EF">
            <w:pPr>
              <w:pStyle w:val="TableTextCentered"/>
            </w:pPr>
            <w:r>
              <w:t>—</w:t>
            </w:r>
          </w:p>
        </w:tc>
        <w:tc>
          <w:tcPr>
            <w:tcW w:w="1255" w:type="dxa"/>
          </w:tcPr>
          <w:p w14:paraId="0D440FB7" w14:textId="24105D0E" w:rsidR="00B75ACA" w:rsidRPr="00512748" w:rsidRDefault="008E5BF5" w:rsidP="009202EF">
            <w:pPr>
              <w:pStyle w:val="TableTextCentered"/>
            </w:pPr>
            <w:r>
              <w:t>—</w:t>
            </w:r>
          </w:p>
        </w:tc>
        <w:tc>
          <w:tcPr>
            <w:tcW w:w="1255" w:type="dxa"/>
          </w:tcPr>
          <w:p w14:paraId="071B8F97" w14:textId="77777777" w:rsidR="00B75ACA" w:rsidRPr="00512748" w:rsidRDefault="00B75ACA" w:rsidP="009202EF">
            <w:pPr>
              <w:pStyle w:val="TableTextCentered"/>
            </w:pPr>
            <w:r>
              <w:t>1.6</w:t>
            </w:r>
          </w:p>
        </w:tc>
      </w:tr>
      <w:tr w:rsidR="00B75ACA" w:rsidRPr="000E2C7D" w14:paraId="2439839B" w14:textId="77777777">
        <w:trPr>
          <w:jc w:val="center"/>
        </w:trPr>
        <w:tc>
          <w:tcPr>
            <w:tcW w:w="3052" w:type="dxa"/>
          </w:tcPr>
          <w:p w14:paraId="51643328" w14:textId="77777777" w:rsidR="00B75ACA" w:rsidRPr="001010E4" w:rsidRDefault="00B75ACA" w:rsidP="009202EF">
            <w:pPr>
              <w:pStyle w:val="TableText"/>
            </w:pPr>
            <w:r w:rsidRPr="001010E4">
              <w:t>Native American</w:t>
            </w:r>
          </w:p>
        </w:tc>
        <w:tc>
          <w:tcPr>
            <w:tcW w:w="1254" w:type="dxa"/>
          </w:tcPr>
          <w:p w14:paraId="0C0B6944" w14:textId="77777777" w:rsidR="00B75ACA" w:rsidRPr="00512748" w:rsidRDefault="00B75ACA" w:rsidP="009202EF">
            <w:pPr>
              <w:pStyle w:val="TableTextCentered"/>
            </w:pPr>
            <w:r w:rsidRPr="00512748">
              <w:t>2</w:t>
            </w:r>
          </w:p>
        </w:tc>
        <w:tc>
          <w:tcPr>
            <w:tcW w:w="1255" w:type="dxa"/>
          </w:tcPr>
          <w:p w14:paraId="2CD2001D" w14:textId="22CE95A4" w:rsidR="00B75ACA" w:rsidRPr="00512748" w:rsidRDefault="008E5BF5" w:rsidP="009202EF">
            <w:pPr>
              <w:pStyle w:val="TableTextCentered"/>
            </w:pPr>
            <w:r>
              <w:t>—</w:t>
            </w:r>
          </w:p>
        </w:tc>
        <w:tc>
          <w:tcPr>
            <w:tcW w:w="1254" w:type="dxa"/>
          </w:tcPr>
          <w:p w14:paraId="0F5B2B09" w14:textId="6A4F66DA" w:rsidR="00B75ACA" w:rsidRPr="00512748" w:rsidRDefault="008E5BF5" w:rsidP="009202EF">
            <w:pPr>
              <w:pStyle w:val="TableTextCentered"/>
            </w:pPr>
            <w:r>
              <w:t>—</w:t>
            </w:r>
          </w:p>
        </w:tc>
        <w:tc>
          <w:tcPr>
            <w:tcW w:w="1255" w:type="dxa"/>
          </w:tcPr>
          <w:p w14:paraId="378EAB39" w14:textId="0329B4D5" w:rsidR="00B75ACA" w:rsidRPr="00512748" w:rsidRDefault="008E5BF5" w:rsidP="009202EF">
            <w:pPr>
              <w:pStyle w:val="TableTextCentered"/>
            </w:pPr>
            <w:r>
              <w:t>—</w:t>
            </w:r>
          </w:p>
        </w:tc>
        <w:tc>
          <w:tcPr>
            <w:tcW w:w="1255" w:type="dxa"/>
          </w:tcPr>
          <w:p w14:paraId="774B70F6" w14:textId="77777777" w:rsidR="00B75ACA" w:rsidRPr="00512748" w:rsidRDefault="00B75ACA" w:rsidP="009202EF">
            <w:pPr>
              <w:pStyle w:val="TableTextCentered"/>
            </w:pPr>
            <w:r>
              <w:t>1.5</w:t>
            </w:r>
          </w:p>
        </w:tc>
      </w:tr>
      <w:tr w:rsidR="00B75ACA" w:rsidRPr="000E2C7D" w14:paraId="3AA9D21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D7A9D10" w14:textId="77777777" w:rsidR="00B75ACA" w:rsidRPr="001010E4" w:rsidRDefault="00B75ACA" w:rsidP="009202EF">
            <w:pPr>
              <w:pStyle w:val="TableText"/>
            </w:pPr>
            <w:r w:rsidRPr="001010E4">
              <w:rPr>
                <w:rFonts w:eastAsia="Times New Roman"/>
                <w:spacing w:val="-4"/>
              </w:rPr>
              <w:t>Native Hawaiian, Pacific Islander</w:t>
            </w:r>
          </w:p>
        </w:tc>
        <w:tc>
          <w:tcPr>
            <w:tcW w:w="1254" w:type="dxa"/>
          </w:tcPr>
          <w:p w14:paraId="73E83AC9" w14:textId="77777777" w:rsidR="00B75ACA" w:rsidRPr="00512748" w:rsidRDefault="00B75ACA" w:rsidP="009202EF">
            <w:pPr>
              <w:pStyle w:val="TableTextCentered"/>
            </w:pPr>
            <w:r w:rsidRPr="00512748">
              <w:t>2</w:t>
            </w:r>
          </w:p>
        </w:tc>
        <w:tc>
          <w:tcPr>
            <w:tcW w:w="1255" w:type="dxa"/>
          </w:tcPr>
          <w:p w14:paraId="2F243844" w14:textId="720AF79D" w:rsidR="00B75ACA" w:rsidRPr="00512748" w:rsidRDefault="008E5BF5" w:rsidP="009202EF">
            <w:pPr>
              <w:pStyle w:val="TableTextCentered"/>
            </w:pPr>
            <w:r>
              <w:t>—</w:t>
            </w:r>
          </w:p>
        </w:tc>
        <w:tc>
          <w:tcPr>
            <w:tcW w:w="1254" w:type="dxa"/>
          </w:tcPr>
          <w:p w14:paraId="1B8F5D4D" w14:textId="29CA30A2" w:rsidR="00B75ACA" w:rsidRPr="00512748" w:rsidRDefault="008E5BF5" w:rsidP="009202EF">
            <w:pPr>
              <w:pStyle w:val="TableTextCentered"/>
            </w:pPr>
            <w:r>
              <w:t>—</w:t>
            </w:r>
          </w:p>
        </w:tc>
        <w:tc>
          <w:tcPr>
            <w:tcW w:w="1255" w:type="dxa"/>
          </w:tcPr>
          <w:p w14:paraId="65FB0938" w14:textId="4CB8854D" w:rsidR="00B75ACA" w:rsidRPr="00512748" w:rsidRDefault="008E5BF5" w:rsidP="009202EF">
            <w:pPr>
              <w:pStyle w:val="TableTextCentered"/>
            </w:pPr>
            <w:r>
              <w:t>—</w:t>
            </w:r>
          </w:p>
        </w:tc>
        <w:tc>
          <w:tcPr>
            <w:tcW w:w="1255" w:type="dxa"/>
          </w:tcPr>
          <w:p w14:paraId="6A9D96A9" w14:textId="77777777" w:rsidR="00B75ACA" w:rsidRPr="00512748" w:rsidRDefault="00B75ACA" w:rsidP="009202EF">
            <w:pPr>
              <w:pStyle w:val="TableTextCentered"/>
            </w:pPr>
            <w:r>
              <w:t>1.4</w:t>
            </w:r>
          </w:p>
        </w:tc>
      </w:tr>
      <w:tr w:rsidR="00B75ACA" w:rsidRPr="000E2C7D" w14:paraId="6C7A506A" w14:textId="77777777">
        <w:trPr>
          <w:jc w:val="center"/>
        </w:trPr>
        <w:tc>
          <w:tcPr>
            <w:tcW w:w="3052" w:type="dxa"/>
          </w:tcPr>
          <w:p w14:paraId="1FEECB5A" w14:textId="77777777" w:rsidR="00B75ACA" w:rsidRPr="001010E4" w:rsidRDefault="00B75ACA" w:rsidP="009202EF">
            <w:pPr>
              <w:pStyle w:val="TableText"/>
            </w:pPr>
            <w:r w:rsidRPr="001010E4">
              <w:t>White</w:t>
            </w:r>
          </w:p>
        </w:tc>
        <w:tc>
          <w:tcPr>
            <w:tcW w:w="1254" w:type="dxa"/>
          </w:tcPr>
          <w:p w14:paraId="26FBF83D" w14:textId="77777777" w:rsidR="00B75ACA" w:rsidRPr="00512748" w:rsidRDefault="00B75ACA" w:rsidP="009202EF">
            <w:pPr>
              <w:pStyle w:val="TableTextCentered"/>
            </w:pPr>
            <w:r w:rsidRPr="00512748">
              <w:t>3,392</w:t>
            </w:r>
          </w:p>
        </w:tc>
        <w:tc>
          <w:tcPr>
            <w:tcW w:w="1255" w:type="dxa"/>
          </w:tcPr>
          <w:p w14:paraId="2B6F0D02" w14:textId="77777777" w:rsidR="00B75ACA" w:rsidRPr="00512748" w:rsidRDefault="00B75ACA" w:rsidP="009202EF">
            <w:pPr>
              <w:pStyle w:val="TableTextCentered"/>
            </w:pPr>
            <w:r>
              <w:t>0.0</w:t>
            </w:r>
          </w:p>
        </w:tc>
        <w:tc>
          <w:tcPr>
            <w:tcW w:w="1254" w:type="dxa"/>
          </w:tcPr>
          <w:p w14:paraId="5E52DF30" w14:textId="77777777" w:rsidR="00B75ACA" w:rsidRPr="00512748" w:rsidRDefault="00B75ACA" w:rsidP="009202EF">
            <w:pPr>
              <w:pStyle w:val="TableTextCentered"/>
            </w:pPr>
            <w:r>
              <w:t>0.8</w:t>
            </w:r>
          </w:p>
        </w:tc>
        <w:tc>
          <w:tcPr>
            <w:tcW w:w="1255" w:type="dxa"/>
          </w:tcPr>
          <w:p w14:paraId="2C492FFF" w14:textId="77777777" w:rsidR="00B75ACA" w:rsidRPr="00512748" w:rsidRDefault="00B75ACA" w:rsidP="009202EF">
            <w:pPr>
              <w:pStyle w:val="TableTextCentered"/>
            </w:pPr>
            <w:r>
              <w:t>0.3</w:t>
            </w:r>
          </w:p>
        </w:tc>
        <w:tc>
          <w:tcPr>
            <w:tcW w:w="1255" w:type="dxa"/>
          </w:tcPr>
          <w:p w14:paraId="0EC31146" w14:textId="77777777" w:rsidR="00B75ACA" w:rsidRPr="00512748" w:rsidRDefault="00B75ACA" w:rsidP="009202EF">
            <w:pPr>
              <w:pStyle w:val="TableTextCentered"/>
            </w:pPr>
            <w:r>
              <w:t>1.2</w:t>
            </w:r>
          </w:p>
        </w:tc>
      </w:tr>
      <w:tr w:rsidR="00B75ACA" w:rsidRPr="000E2C7D" w14:paraId="6C2DE16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B6BF63C" w14:textId="77777777" w:rsidR="00B75ACA" w:rsidRPr="001010E4" w:rsidRDefault="00B75ACA" w:rsidP="009202EF">
            <w:pPr>
              <w:pStyle w:val="TableText"/>
            </w:pPr>
            <w:r w:rsidRPr="001010E4">
              <w:t>High needs</w:t>
            </w:r>
          </w:p>
        </w:tc>
        <w:tc>
          <w:tcPr>
            <w:tcW w:w="1254" w:type="dxa"/>
          </w:tcPr>
          <w:p w14:paraId="67D21BDC" w14:textId="77777777" w:rsidR="00B75ACA" w:rsidRPr="00512748" w:rsidRDefault="00B75ACA" w:rsidP="009202EF">
            <w:pPr>
              <w:pStyle w:val="TableTextCentered"/>
            </w:pPr>
            <w:r w:rsidRPr="00512748">
              <w:t>949</w:t>
            </w:r>
          </w:p>
        </w:tc>
        <w:tc>
          <w:tcPr>
            <w:tcW w:w="1255" w:type="dxa"/>
          </w:tcPr>
          <w:p w14:paraId="0283AC61" w14:textId="77777777" w:rsidR="00B75ACA" w:rsidRPr="00512748" w:rsidRDefault="00B75ACA" w:rsidP="009202EF">
            <w:pPr>
              <w:pStyle w:val="TableTextCentered"/>
            </w:pPr>
            <w:r>
              <w:t>0.1</w:t>
            </w:r>
          </w:p>
        </w:tc>
        <w:tc>
          <w:tcPr>
            <w:tcW w:w="1254" w:type="dxa"/>
          </w:tcPr>
          <w:p w14:paraId="1078B678" w14:textId="77777777" w:rsidR="00B75ACA" w:rsidRPr="00512748" w:rsidRDefault="00B75ACA" w:rsidP="009202EF">
            <w:pPr>
              <w:pStyle w:val="TableTextCentered"/>
            </w:pPr>
            <w:r>
              <w:t>1.2</w:t>
            </w:r>
          </w:p>
        </w:tc>
        <w:tc>
          <w:tcPr>
            <w:tcW w:w="1255" w:type="dxa"/>
          </w:tcPr>
          <w:p w14:paraId="01FCDA0A" w14:textId="77777777" w:rsidR="00B75ACA" w:rsidRPr="00512748" w:rsidRDefault="00B75ACA" w:rsidP="009202EF">
            <w:pPr>
              <w:pStyle w:val="TableTextCentered"/>
            </w:pPr>
            <w:r>
              <w:t>0.9</w:t>
            </w:r>
          </w:p>
        </w:tc>
        <w:tc>
          <w:tcPr>
            <w:tcW w:w="1255" w:type="dxa"/>
          </w:tcPr>
          <w:p w14:paraId="5C455DD7" w14:textId="77777777" w:rsidR="00B75ACA" w:rsidRPr="00512748" w:rsidRDefault="00B75ACA" w:rsidP="009202EF">
            <w:pPr>
              <w:pStyle w:val="TableTextCentered"/>
            </w:pPr>
            <w:r>
              <w:t>2.0</w:t>
            </w:r>
          </w:p>
        </w:tc>
      </w:tr>
      <w:tr w:rsidR="00B75ACA" w:rsidRPr="000E2C7D" w14:paraId="231704DD" w14:textId="77777777">
        <w:trPr>
          <w:jc w:val="center"/>
        </w:trPr>
        <w:tc>
          <w:tcPr>
            <w:tcW w:w="3052" w:type="dxa"/>
          </w:tcPr>
          <w:p w14:paraId="372C9378" w14:textId="77777777" w:rsidR="00B75ACA" w:rsidRPr="001010E4" w:rsidRDefault="00B75ACA" w:rsidP="009202EF">
            <w:pPr>
              <w:pStyle w:val="TableText"/>
            </w:pPr>
            <w:r w:rsidRPr="001010E4">
              <w:t>Low income</w:t>
            </w:r>
          </w:p>
        </w:tc>
        <w:tc>
          <w:tcPr>
            <w:tcW w:w="1254" w:type="dxa"/>
          </w:tcPr>
          <w:p w14:paraId="442229DA" w14:textId="77777777" w:rsidR="00B75ACA" w:rsidRPr="00512748" w:rsidRDefault="00B75ACA" w:rsidP="009202EF">
            <w:pPr>
              <w:pStyle w:val="TableTextCentered"/>
            </w:pPr>
            <w:r w:rsidRPr="00512748">
              <w:t>333</w:t>
            </w:r>
          </w:p>
        </w:tc>
        <w:tc>
          <w:tcPr>
            <w:tcW w:w="1255" w:type="dxa"/>
          </w:tcPr>
          <w:p w14:paraId="6DAC6011" w14:textId="5DDEBBA1" w:rsidR="00B75ACA" w:rsidRPr="00512748" w:rsidRDefault="008E5BF5" w:rsidP="009202EF">
            <w:pPr>
              <w:pStyle w:val="TableTextCentered"/>
            </w:pPr>
            <w:r>
              <w:t>—</w:t>
            </w:r>
          </w:p>
        </w:tc>
        <w:tc>
          <w:tcPr>
            <w:tcW w:w="1254" w:type="dxa"/>
          </w:tcPr>
          <w:p w14:paraId="08EE5E25" w14:textId="77777777" w:rsidR="00B75ACA" w:rsidRPr="00512748" w:rsidRDefault="00B75ACA" w:rsidP="009202EF">
            <w:pPr>
              <w:pStyle w:val="TableTextCentered"/>
            </w:pPr>
            <w:r>
              <w:t>1.9</w:t>
            </w:r>
          </w:p>
        </w:tc>
        <w:tc>
          <w:tcPr>
            <w:tcW w:w="1255" w:type="dxa"/>
          </w:tcPr>
          <w:p w14:paraId="3B9E6F8F" w14:textId="77777777" w:rsidR="00B75ACA" w:rsidRPr="00512748" w:rsidRDefault="00B75ACA" w:rsidP="009202EF">
            <w:pPr>
              <w:pStyle w:val="TableTextCentered"/>
            </w:pPr>
            <w:r>
              <w:t>2.1</w:t>
            </w:r>
          </w:p>
        </w:tc>
        <w:tc>
          <w:tcPr>
            <w:tcW w:w="1255" w:type="dxa"/>
          </w:tcPr>
          <w:p w14:paraId="482A8AAE" w14:textId="77777777" w:rsidR="00B75ACA" w:rsidRPr="00512748" w:rsidRDefault="00B75ACA" w:rsidP="009202EF">
            <w:pPr>
              <w:pStyle w:val="TableTextCentered"/>
            </w:pPr>
            <w:r>
              <w:t>2.1</w:t>
            </w:r>
          </w:p>
        </w:tc>
      </w:tr>
      <w:tr w:rsidR="00B75ACA" w:rsidRPr="000E2C7D" w14:paraId="13A58EE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52248FC" w14:textId="2A7CE30D" w:rsidR="00B75ACA" w:rsidRPr="001010E4" w:rsidRDefault="00AE4E73" w:rsidP="009202EF">
            <w:pPr>
              <w:pStyle w:val="TableText"/>
            </w:pPr>
            <w:r>
              <w:t>English learners</w:t>
            </w:r>
          </w:p>
        </w:tc>
        <w:tc>
          <w:tcPr>
            <w:tcW w:w="1254" w:type="dxa"/>
          </w:tcPr>
          <w:p w14:paraId="4F56B5F3" w14:textId="77777777" w:rsidR="00B75ACA" w:rsidRPr="00512748" w:rsidRDefault="00B75ACA" w:rsidP="009202EF">
            <w:pPr>
              <w:pStyle w:val="TableTextCentered"/>
            </w:pPr>
            <w:r w:rsidRPr="00512748">
              <w:t>32</w:t>
            </w:r>
          </w:p>
        </w:tc>
        <w:tc>
          <w:tcPr>
            <w:tcW w:w="1255" w:type="dxa"/>
          </w:tcPr>
          <w:p w14:paraId="4C8F1347" w14:textId="44D0F577" w:rsidR="00B75ACA" w:rsidRPr="00512748" w:rsidRDefault="008E5BF5" w:rsidP="009202EF">
            <w:pPr>
              <w:pStyle w:val="TableTextCentered"/>
            </w:pPr>
            <w:r>
              <w:t>—</w:t>
            </w:r>
          </w:p>
        </w:tc>
        <w:tc>
          <w:tcPr>
            <w:tcW w:w="1254" w:type="dxa"/>
          </w:tcPr>
          <w:p w14:paraId="27E36921" w14:textId="1F65B83D" w:rsidR="00B75ACA" w:rsidRPr="00512748" w:rsidRDefault="008E5BF5" w:rsidP="009202EF">
            <w:pPr>
              <w:pStyle w:val="TableTextCentered"/>
            </w:pPr>
            <w:r>
              <w:t>—</w:t>
            </w:r>
          </w:p>
        </w:tc>
        <w:tc>
          <w:tcPr>
            <w:tcW w:w="1255" w:type="dxa"/>
          </w:tcPr>
          <w:p w14:paraId="5A44E4C3" w14:textId="1C59C61E" w:rsidR="00B75ACA" w:rsidRPr="00512748" w:rsidRDefault="008E5BF5" w:rsidP="009202EF">
            <w:pPr>
              <w:pStyle w:val="TableTextCentered"/>
            </w:pPr>
            <w:r>
              <w:t>—</w:t>
            </w:r>
          </w:p>
        </w:tc>
        <w:tc>
          <w:tcPr>
            <w:tcW w:w="1255" w:type="dxa"/>
          </w:tcPr>
          <w:p w14:paraId="2008FB83" w14:textId="77777777" w:rsidR="00B75ACA" w:rsidRPr="00512748" w:rsidRDefault="00B75ACA" w:rsidP="009202EF">
            <w:pPr>
              <w:pStyle w:val="TableTextCentered"/>
            </w:pPr>
            <w:r>
              <w:t>1.3</w:t>
            </w:r>
          </w:p>
        </w:tc>
      </w:tr>
      <w:tr w:rsidR="00B75ACA" w:rsidRPr="000E2C7D" w14:paraId="4FA633A6" w14:textId="77777777">
        <w:trPr>
          <w:jc w:val="center"/>
        </w:trPr>
        <w:tc>
          <w:tcPr>
            <w:tcW w:w="3052" w:type="dxa"/>
          </w:tcPr>
          <w:p w14:paraId="51691F18" w14:textId="77777777" w:rsidR="00B75ACA" w:rsidRPr="001010E4" w:rsidRDefault="00B75ACA" w:rsidP="009202EF">
            <w:pPr>
              <w:pStyle w:val="TableText"/>
            </w:pPr>
            <w:r w:rsidRPr="001010E4">
              <w:t>Students w/disabilities</w:t>
            </w:r>
          </w:p>
        </w:tc>
        <w:tc>
          <w:tcPr>
            <w:tcW w:w="1254" w:type="dxa"/>
          </w:tcPr>
          <w:p w14:paraId="48DAC55E" w14:textId="77777777" w:rsidR="00B75ACA" w:rsidRPr="00512748" w:rsidRDefault="00B75ACA" w:rsidP="009202EF">
            <w:pPr>
              <w:pStyle w:val="TableTextCentered"/>
            </w:pPr>
            <w:r w:rsidRPr="00512748">
              <w:t>706</w:t>
            </w:r>
          </w:p>
        </w:tc>
        <w:tc>
          <w:tcPr>
            <w:tcW w:w="1255" w:type="dxa"/>
          </w:tcPr>
          <w:p w14:paraId="0BD28556" w14:textId="3B122B17" w:rsidR="00B75ACA" w:rsidRPr="00512748" w:rsidRDefault="008E5BF5" w:rsidP="009202EF">
            <w:pPr>
              <w:pStyle w:val="TableTextCentered"/>
            </w:pPr>
            <w:r>
              <w:t>—</w:t>
            </w:r>
          </w:p>
        </w:tc>
        <w:tc>
          <w:tcPr>
            <w:tcW w:w="1254" w:type="dxa"/>
          </w:tcPr>
          <w:p w14:paraId="2651F415" w14:textId="77777777" w:rsidR="00B75ACA" w:rsidRPr="00512748" w:rsidRDefault="00B75ACA" w:rsidP="009202EF">
            <w:pPr>
              <w:pStyle w:val="TableTextCentered"/>
            </w:pPr>
            <w:r>
              <w:t>1.2</w:t>
            </w:r>
          </w:p>
        </w:tc>
        <w:tc>
          <w:tcPr>
            <w:tcW w:w="1255" w:type="dxa"/>
          </w:tcPr>
          <w:p w14:paraId="310D9A2E" w14:textId="77777777" w:rsidR="00B75ACA" w:rsidRPr="00512748" w:rsidRDefault="00B75ACA" w:rsidP="009202EF">
            <w:pPr>
              <w:pStyle w:val="TableTextCentered"/>
            </w:pPr>
            <w:r>
              <w:t>1.0</w:t>
            </w:r>
          </w:p>
        </w:tc>
        <w:tc>
          <w:tcPr>
            <w:tcW w:w="1255" w:type="dxa"/>
          </w:tcPr>
          <w:p w14:paraId="71E0944D" w14:textId="77777777" w:rsidR="00B75ACA" w:rsidRPr="00512748" w:rsidRDefault="00B75ACA" w:rsidP="009202EF">
            <w:pPr>
              <w:pStyle w:val="TableTextCentered"/>
            </w:pPr>
            <w:r>
              <w:t>2.5</w:t>
            </w:r>
          </w:p>
        </w:tc>
      </w:tr>
    </w:tbl>
    <w:p w14:paraId="5E5699C8" w14:textId="77777777" w:rsidR="00B75ACA" w:rsidRDefault="00B75ACA" w:rsidP="003C1333">
      <w:pPr>
        <w:pStyle w:val="TableTitle0"/>
      </w:pPr>
      <w:bookmarkStart w:id="212" w:name="_Toc158035187"/>
      <w:r w:rsidRPr="007955DD">
        <w:t>Table E</w:t>
      </w:r>
      <w:r>
        <w:t>20</w:t>
      </w:r>
      <w:r w:rsidRPr="007955DD">
        <w:t>. Out-of-School Suspension Rates by Student Group, 2021-2023</w:t>
      </w:r>
      <w:bookmarkEnd w:id="212"/>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B75ACA" w:rsidRPr="000E2C7D" w14:paraId="5924AE5A"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3B566C97" w14:textId="77777777" w:rsidR="00B75ACA" w:rsidRPr="00FA0D3E" w:rsidRDefault="00B75ACA" w:rsidP="009202EF">
            <w:pPr>
              <w:pStyle w:val="TableColHeadingCenter"/>
            </w:pPr>
            <w:r w:rsidRPr="00FA0D3E">
              <w:t>Group</w:t>
            </w:r>
          </w:p>
        </w:tc>
        <w:tc>
          <w:tcPr>
            <w:tcW w:w="1254" w:type="dxa"/>
            <w:vAlign w:val="center"/>
          </w:tcPr>
          <w:p w14:paraId="7D90BC03" w14:textId="430BE20E" w:rsidR="00B75ACA" w:rsidRPr="00FA0D3E" w:rsidRDefault="00B75ACA" w:rsidP="009202EF">
            <w:pPr>
              <w:pStyle w:val="TableColHeadingCenter"/>
            </w:pPr>
            <w:r w:rsidRPr="00FA0D3E">
              <w:t xml:space="preserve"># </w:t>
            </w:r>
            <w:r w:rsidR="00C6447D">
              <w:t>i</w:t>
            </w:r>
            <w:r w:rsidRPr="00FA0D3E">
              <w:t>ncluded (2023)</w:t>
            </w:r>
          </w:p>
        </w:tc>
        <w:tc>
          <w:tcPr>
            <w:tcW w:w="1255" w:type="dxa"/>
            <w:vAlign w:val="center"/>
          </w:tcPr>
          <w:p w14:paraId="3489B328" w14:textId="77777777" w:rsidR="00B75ACA" w:rsidRPr="00FA0D3E" w:rsidRDefault="00B75ACA" w:rsidP="009202EF">
            <w:pPr>
              <w:pStyle w:val="TableColHeadingCenter"/>
            </w:pPr>
            <w:r w:rsidRPr="00FA0D3E">
              <w:t>2021</w:t>
            </w:r>
          </w:p>
        </w:tc>
        <w:tc>
          <w:tcPr>
            <w:tcW w:w="1254" w:type="dxa"/>
            <w:vAlign w:val="center"/>
          </w:tcPr>
          <w:p w14:paraId="21AAC6F2" w14:textId="77777777" w:rsidR="00B75ACA" w:rsidRPr="00FA0D3E" w:rsidRDefault="00B75ACA" w:rsidP="009202EF">
            <w:pPr>
              <w:pStyle w:val="TableColHeadingCenter"/>
            </w:pPr>
            <w:r w:rsidRPr="00FA0D3E">
              <w:t>2022</w:t>
            </w:r>
          </w:p>
        </w:tc>
        <w:tc>
          <w:tcPr>
            <w:tcW w:w="1255" w:type="dxa"/>
            <w:vAlign w:val="center"/>
          </w:tcPr>
          <w:p w14:paraId="2F9EFB58" w14:textId="77777777" w:rsidR="00B75ACA" w:rsidRPr="00FA0D3E" w:rsidRDefault="00B75ACA" w:rsidP="009202EF">
            <w:pPr>
              <w:pStyle w:val="TableColHeadingCenter"/>
            </w:pPr>
            <w:r w:rsidRPr="00FA0D3E">
              <w:t>2023</w:t>
            </w:r>
          </w:p>
        </w:tc>
        <w:tc>
          <w:tcPr>
            <w:tcW w:w="1255" w:type="dxa"/>
            <w:vAlign w:val="center"/>
          </w:tcPr>
          <w:p w14:paraId="011D391D" w14:textId="77777777" w:rsidR="00B75ACA" w:rsidRPr="00FA0D3E" w:rsidRDefault="00B75ACA" w:rsidP="009202EF">
            <w:pPr>
              <w:pStyle w:val="TableColHeadingCenter"/>
            </w:pPr>
            <w:r w:rsidRPr="00FA0D3E">
              <w:t>State (2023</w:t>
            </w:r>
            <w:r>
              <w:t>)</w:t>
            </w:r>
          </w:p>
        </w:tc>
      </w:tr>
      <w:tr w:rsidR="00B75ACA" w:rsidRPr="000E2C7D" w14:paraId="478391D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F41A1F6" w14:textId="77777777" w:rsidR="00B75ACA" w:rsidRPr="001010E4" w:rsidRDefault="00B75ACA" w:rsidP="009202EF">
            <w:pPr>
              <w:pStyle w:val="TableText"/>
            </w:pPr>
            <w:r w:rsidRPr="001010E4">
              <w:t>All</w:t>
            </w:r>
          </w:p>
        </w:tc>
        <w:tc>
          <w:tcPr>
            <w:tcW w:w="1254" w:type="dxa"/>
          </w:tcPr>
          <w:p w14:paraId="43EF5BEB" w14:textId="77777777" w:rsidR="00B75ACA" w:rsidRPr="00512748" w:rsidRDefault="00B75ACA" w:rsidP="009202EF">
            <w:pPr>
              <w:pStyle w:val="TableTextCentered"/>
            </w:pPr>
            <w:r w:rsidRPr="00512748">
              <w:t>3,858</w:t>
            </w:r>
          </w:p>
        </w:tc>
        <w:tc>
          <w:tcPr>
            <w:tcW w:w="1255" w:type="dxa"/>
          </w:tcPr>
          <w:p w14:paraId="50A62275" w14:textId="77777777" w:rsidR="00B75ACA" w:rsidRPr="00512748" w:rsidRDefault="00B75ACA" w:rsidP="009202EF">
            <w:pPr>
              <w:pStyle w:val="TableTextCentered"/>
            </w:pPr>
            <w:r>
              <w:t>0.2</w:t>
            </w:r>
          </w:p>
        </w:tc>
        <w:tc>
          <w:tcPr>
            <w:tcW w:w="1254" w:type="dxa"/>
          </w:tcPr>
          <w:p w14:paraId="1084C56A" w14:textId="77777777" w:rsidR="00B75ACA" w:rsidRPr="00512748" w:rsidRDefault="00B75ACA" w:rsidP="009202EF">
            <w:pPr>
              <w:pStyle w:val="TableTextCentered"/>
            </w:pPr>
            <w:r>
              <w:t>0.5</w:t>
            </w:r>
          </w:p>
        </w:tc>
        <w:tc>
          <w:tcPr>
            <w:tcW w:w="1255" w:type="dxa"/>
          </w:tcPr>
          <w:p w14:paraId="50961DFE" w14:textId="77777777" w:rsidR="00B75ACA" w:rsidRPr="00512748" w:rsidRDefault="00B75ACA" w:rsidP="009202EF">
            <w:pPr>
              <w:pStyle w:val="TableTextCentered"/>
            </w:pPr>
            <w:r>
              <w:t>0.4</w:t>
            </w:r>
          </w:p>
        </w:tc>
        <w:tc>
          <w:tcPr>
            <w:tcW w:w="1255" w:type="dxa"/>
          </w:tcPr>
          <w:p w14:paraId="2A0972BD" w14:textId="77777777" w:rsidR="00B75ACA" w:rsidRPr="00512748" w:rsidRDefault="00B75ACA" w:rsidP="009202EF">
            <w:pPr>
              <w:pStyle w:val="TableTextCentered"/>
            </w:pPr>
            <w:r>
              <w:t>2.5</w:t>
            </w:r>
          </w:p>
        </w:tc>
      </w:tr>
      <w:tr w:rsidR="00B75ACA" w:rsidRPr="000E2C7D" w14:paraId="656124BF" w14:textId="77777777">
        <w:trPr>
          <w:jc w:val="center"/>
        </w:trPr>
        <w:tc>
          <w:tcPr>
            <w:tcW w:w="3052" w:type="dxa"/>
          </w:tcPr>
          <w:p w14:paraId="1D7F4631" w14:textId="77777777" w:rsidR="00B75ACA" w:rsidRPr="001010E4" w:rsidRDefault="00B75ACA" w:rsidP="009202EF">
            <w:pPr>
              <w:pStyle w:val="TableText"/>
            </w:pPr>
            <w:r w:rsidRPr="001010E4">
              <w:t>African American/Black</w:t>
            </w:r>
          </w:p>
        </w:tc>
        <w:tc>
          <w:tcPr>
            <w:tcW w:w="1254" w:type="dxa"/>
          </w:tcPr>
          <w:p w14:paraId="36B49227" w14:textId="77777777" w:rsidR="00B75ACA" w:rsidRPr="00512748" w:rsidRDefault="00B75ACA" w:rsidP="009202EF">
            <w:pPr>
              <w:pStyle w:val="TableTextCentered"/>
            </w:pPr>
            <w:r w:rsidRPr="00512748">
              <w:t>67</w:t>
            </w:r>
          </w:p>
        </w:tc>
        <w:tc>
          <w:tcPr>
            <w:tcW w:w="1255" w:type="dxa"/>
          </w:tcPr>
          <w:p w14:paraId="4857BF87" w14:textId="39EBFE9D" w:rsidR="00B75ACA" w:rsidRPr="00512748" w:rsidRDefault="008E5BF5" w:rsidP="009202EF">
            <w:pPr>
              <w:pStyle w:val="TableTextCentered"/>
            </w:pPr>
            <w:r>
              <w:t>—</w:t>
            </w:r>
          </w:p>
        </w:tc>
        <w:tc>
          <w:tcPr>
            <w:tcW w:w="1254" w:type="dxa"/>
          </w:tcPr>
          <w:p w14:paraId="695B8451" w14:textId="2D93AA79" w:rsidR="00B75ACA" w:rsidRPr="00512748" w:rsidRDefault="008E5BF5" w:rsidP="009202EF">
            <w:pPr>
              <w:pStyle w:val="TableTextCentered"/>
            </w:pPr>
            <w:r>
              <w:t>—</w:t>
            </w:r>
          </w:p>
        </w:tc>
        <w:tc>
          <w:tcPr>
            <w:tcW w:w="1255" w:type="dxa"/>
          </w:tcPr>
          <w:p w14:paraId="76F0154D" w14:textId="14FFAAD8" w:rsidR="00B75ACA" w:rsidRPr="00512748" w:rsidRDefault="008E5BF5" w:rsidP="009202EF">
            <w:pPr>
              <w:pStyle w:val="TableTextCentered"/>
            </w:pPr>
            <w:r>
              <w:t>—</w:t>
            </w:r>
          </w:p>
        </w:tc>
        <w:tc>
          <w:tcPr>
            <w:tcW w:w="1255" w:type="dxa"/>
          </w:tcPr>
          <w:p w14:paraId="736E312B" w14:textId="77777777" w:rsidR="00B75ACA" w:rsidRPr="00512748" w:rsidRDefault="00B75ACA" w:rsidP="009202EF">
            <w:pPr>
              <w:pStyle w:val="TableTextCentered"/>
            </w:pPr>
            <w:r>
              <w:t>5.0</w:t>
            </w:r>
          </w:p>
        </w:tc>
      </w:tr>
      <w:tr w:rsidR="00B75ACA" w:rsidRPr="000E2C7D" w14:paraId="539320A1"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ACBA367" w14:textId="77777777" w:rsidR="00B75ACA" w:rsidRPr="001010E4" w:rsidRDefault="00B75ACA" w:rsidP="009202EF">
            <w:pPr>
              <w:pStyle w:val="TableText"/>
            </w:pPr>
            <w:r w:rsidRPr="001010E4">
              <w:t>Asian</w:t>
            </w:r>
          </w:p>
        </w:tc>
        <w:tc>
          <w:tcPr>
            <w:tcW w:w="1254" w:type="dxa"/>
          </w:tcPr>
          <w:p w14:paraId="51489576" w14:textId="77777777" w:rsidR="00B75ACA" w:rsidRPr="00512748" w:rsidRDefault="00B75ACA" w:rsidP="009202EF">
            <w:pPr>
              <w:pStyle w:val="TableTextCentered"/>
            </w:pPr>
            <w:r w:rsidRPr="00512748">
              <w:t>119</w:t>
            </w:r>
          </w:p>
        </w:tc>
        <w:tc>
          <w:tcPr>
            <w:tcW w:w="1255" w:type="dxa"/>
          </w:tcPr>
          <w:p w14:paraId="689AB10C" w14:textId="2F49CD81" w:rsidR="00B75ACA" w:rsidRPr="00512748" w:rsidRDefault="008E5BF5" w:rsidP="009202EF">
            <w:pPr>
              <w:pStyle w:val="TableTextCentered"/>
            </w:pPr>
            <w:r>
              <w:t>—</w:t>
            </w:r>
          </w:p>
        </w:tc>
        <w:tc>
          <w:tcPr>
            <w:tcW w:w="1254" w:type="dxa"/>
          </w:tcPr>
          <w:p w14:paraId="118709C1" w14:textId="3D5D87B5" w:rsidR="00B75ACA" w:rsidRPr="00512748" w:rsidRDefault="008E5BF5" w:rsidP="009202EF">
            <w:pPr>
              <w:pStyle w:val="TableTextCentered"/>
            </w:pPr>
            <w:r>
              <w:t>—</w:t>
            </w:r>
          </w:p>
        </w:tc>
        <w:tc>
          <w:tcPr>
            <w:tcW w:w="1255" w:type="dxa"/>
          </w:tcPr>
          <w:p w14:paraId="048DF647" w14:textId="482C0D49" w:rsidR="00B75ACA" w:rsidRPr="00512748" w:rsidRDefault="008E5BF5" w:rsidP="009202EF">
            <w:pPr>
              <w:pStyle w:val="TableTextCentered"/>
            </w:pPr>
            <w:r>
              <w:t>—</w:t>
            </w:r>
          </w:p>
        </w:tc>
        <w:tc>
          <w:tcPr>
            <w:tcW w:w="1255" w:type="dxa"/>
          </w:tcPr>
          <w:p w14:paraId="552DA801" w14:textId="77777777" w:rsidR="00B75ACA" w:rsidRPr="00512748" w:rsidRDefault="00B75ACA" w:rsidP="009202EF">
            <w:pPr>
              <w:pStyle w:val="TableTextCentered"/>
            </w:pPr>
            <w:r>
              <w:t>0.6</w:t>
            </w:r>
          </w:p>
        </w:tc>
      </w:tr>
      <w:tr w:rsidR="00B75ACA" w:rsidRPr="000E2C7D" w14:paraId="187E1A9B" w14:textId="77777777">
        <w:trPr>
          <w:jc w:val="center"/>
        </w:trPr>
        <w:tc>
          <w:tcPr>
            <w:tcW w:w="3052" w:type="dxa"/>
          </w:tcPr>
          <w:p w14:paraId="4E579A67" w14:textId="77777777" w:rsidR="00B75ACA" w:rsidRPr="001010E4" w:rsidRDefault="00B75ACA" w:rsidP="009202EF">
            <w:pPr>
              <w:pStyle w:val="TableText"/>
            </w:pPr>
            <w:r w:rsidRPr="001010E4">
              <w:t>Hispanic/Latino</w:t>
            </w:r>
          </w:p>
        </w:tc>
        <w:tc>
          <w:tcPr>
            <w:tcW w:w="1254" w:type="dxa"/>
          </w:tcPr>
          <w:p w14:paraId="11CB3A10" w14:textId="77777777" w:rsidR="00B75ACA" w:rsidRPr="00512748" w:rsidRDefault="00B75ACA" w:rsidP="009202EF">
            <w:pPr>
              <w:pStyle w:val="TableTextCentered"/>
            </w:pPr>
            <w:r w:rsidRPr="00512748">
              <w:t>146</w:t>
            </w:r>
          </w:p>
        </w:tc>
        <w:tc>
          <w:tcPr>
            <w:tcW w:w="1255" w:type="dxa"/>
          </w:tcPr>
          <w:p w14:paraId="3C7F26B8" w14:textId="5D067DE3" w:rsidR="00B75ACA" w:rsidRPr="00512748" w:rsidRDefault="008E5BF5" w:rsidP="009202EF">
            <w:pPr>
              <w:pStyle w:val="TableTextCentered"/>
            </w:pPr>
            <w:r>
              <w:t>—</w:t>
            </w:r>
          </w:p>
        </w:tc>
        <w:tc>
          <w:tcPr>
            <w:tcW w:w="1254" w:type="dxa"/>
          </w:tcPr>
          <w:p w14:paraId="74FD2F71" w14:textId="5D185B88" w:rsidR="00B75ACA" w:rsidRPr="00512748" w:rsidRDefault="008E5BF5" w:rsidP="009202EF">
            <w:pPr>
              <w:pStyle w:val="TableTextCentered"/>
            </w:pPr>
            <w:r>
              <w:t>—</w:t>
            </w:r>
          </w:p>
        </w:tc>
        <w:tc>
          <w:tcPr>
            <w:tcW w:w="1255" w:type="dxa"/>
          </w:tcPr>
          <w:p w14:paraId="3011F0A5" w14:textId="0A7C6A18" w:rsidR="00B75ACA" w:rsidRPr="00512748" w:rsidRDefault="008E5BF5" w:rsidP="009202EF">
            <w:pPr>
              <w:pStyle w:val="TableTextCentered"/>
            </w:pPr>
            <w:r>
              <w:t>—</w:t>
            </w:r>
          </w:p>
        </w:tc>
        <w:tc>
          <w:tcPr>
            <w:tcW w:w="1255" w:type="dxa"/>
          </w:tcPr>
          <w:p w14:paraId="3B49C7AD" w14:textId="77777777" w:rsidR="00B75ACA" w:rsidRPr="00512748" w:rsidRDefault="00B75ACA" w:rsidP="009202EF">
            <w:pPr>
              <w:pStyle w:val="TableTextCentered"/>
            </w:pPr>
            <w:r>
              <w:t>3.9</w:t>
            </w:r>
          </w:p>
        </w:tc>
      </w:tr>
      <w:tr w:rsidR="00B75ACA" w:rsidRPr="000E2C7D" w14:paraId="300932A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8CF6F38" w14:textId="77777777" w:rsidR="00B75ACA" w:rsidRPr="001010E4" w:rsidRDefault="00B75ACA" w:rsidP="009202EF">
            <w:pPr>
              <w:pStyle w:val="TableText"/>
            </w:pPr>
            <w:r w:rsidRPr="001010E4">
              <w:rPr>
                <w:rFonts w:cstheme="minorHAnsi"/>
              </w:rPr>
              <w:t>Multi-Race, non-Hispanic/Latino</w:t>
            </w:r>
          </w:p>
        </w:tc>
        <w:tc>
          <w:tcPr>
            <w:tcW w:w="1254" w:type="dxa"/>
          </w:tcPr>
          <w:p w14:paraId="08EA990E" w14:textId="77777777" w:rsidR="00B75ACA" w:rsidRPr="00512748" w:rsidRDefault="00B75ACA" w:rsidP="009202EF">
            <w:pPr>
              <w:pStyle w:val="TableTextCentered"/>
            </w:pPr>
            <w:r w:rsidRPr="00512748">
              <w:t>130</w:t>
            </w:r>
          </w:p>
        </w:tc>
        <w:tc>
          <w:tcPr>
            <w:tcW w:w="1255" w:type="dxa"/>
          </w:tcPr>
          <w:p w14:paraId="2AFE5C2B" w14:textId="61FECD98" w:rsidR="00B75ACA" w:rsidRPr="00512748" w:rsidRDefault="008E5BF5" w:rsidP="009202EF">
            <w:pPr>
              <w:pStyle w:val="TableTextCentered"/>
            </w:pPr>
            <w:r>
              <w:t>—</w:t>
            </w:r>
          </w:p>
        </w:tc>
        <w:tc>
          <w:tcPr>
            <w:tcW w:w="1254" w:type="dxa"/>
          </w:tcPr>
          <w:p w14:paraId="7B22AC4B" w14:textId="072226E0" w:rsidR="00B75ACA" w:rsidRPr="00512748" w:rsidRDefault="008E5BF5" w:rsidP="009202EF">
            <w:pPr>
              <w:pStyle w:val="TableTextCentered"/>
            </w:pPr>
            <w:r>
              <w:t>—</w:t>
            </w:r>
          </w:p>
        </w:tc>
        <w:tc>
          <w:tcPr>
            <w:tcW w:w="1255" w:type="dxa"/>
          </w:tcPr>
          <w:p w14:paraId="7C38AECE" w14:textId="443A0D02" w:rsidR="00B75ACA" w:rsidRPr="00512748" w:rsidRDefault="008E5BF5" w:rsidP="009202EF">
            <w:pPr>
              <w:pStyle w:val="TableTextCentered"/>
            </w:pPr>
            <w:r>
              <w:t>—</w:t>
            </w:r>
          </w:p>
        </w:tc>
        <w:tc>
          <w:tcPr>
            <w:tcW w:w="1255" w:type="dxa"/>
          </w:tcPr>
          <w:p w14:paraId="259714E4" w14:textId="77777777" w:rsidR="00B75ACA" w:rsidRPr="00512748" w:rsidRDefault="00B75ACA" w:rsidP="009202EF">
            <w:pPr>
              <w:pStyle w:val="TableTextCentered"/>
            </w:pPr>
            <w:r>
              <w:t>3.0</w:t>
            </w:r>
          </w:p>
        </w:tc>
      </w:tr>
      <w:tr w:rsidR="00B75ACA" w:rsidRPr="000E2C7D" w14:paraId="33402869" w14:textId="77777777">
        <w:trPr>
          <w:jc w:val="center"/>
        </w:trPr>
        <w:tc>
          <w:tcPr>
            <w:tcW w:w="3052" w:type="dxa"/>
          </w:tcPr>
          <w:p w14:paraId="6BE87FD0" w14:textId="77777777" w:rsidR="00B75ACA" w:rsidRPr="001010E4" w:rsidRDefault="00B75ACA" w:rsidP="009202EF">
            <w:pPr>
              <w:pStyle w:val="TableText"/>
            </w:pPr>
            <w:r w:rsidRPr="001010E4">
              <w:t>Native American</w:t>
            </w:r>
          </w:p>
        </w:tc>
        <w:tc>
          <w:tcPr>
            <w:tcW w:w="1254" w:type="dxa"/>
          </w:tcPr>
          <w:p w14:paraId="517C3E48" w14:textId="77777777" w:rsidR="00B75ACA" w:rsidRPr="00512748" w:rsidRDefault="00B75ACA" w:rsidP="009202EF">
            <w:pPr>
              <w:pStyle w:val="TableTextCentered"/>
            </w:pPr>
            <w:r w:rsidRPr="00512748">
              <w:t>2</w:t>
            </w:r>
          </w:p>
        </w:tc>
        <w:tc>
          <w:tcPr>
            <w:tcW w:w="1255" w:type="dxa"/>
          </w:tcPr>
          <w:p w14:paraId="266E2367" w14:textId="0211D0F5" w:rsidR="00B75ACA" w:rsidRPr="00512748" w:rsidRDefault="008E5BF5" w:rsidP="009202EF">
            <w:pPr>
              <w:pStyle w:val="TableTextCentered"/>
            </w:pPr>
            <w:r>
              <w:t>—</w:t>
            </w:r>
          </w:p>
        </w:tc>
        <w:tc>
          <w:tcPr>
            <w:tcW w:w="1254" w:type="dxa"/>
          </w:tcPr>
          <w:p w14:paraId="6A50F8B0" w14:textId="008A0892" w:rsidR="00B75ACA" w:rsidRPr="00512748" w:rsidRDefault="008E5BF5" w:rsidP="009202EF">
            <w:pPr>
              <w:pStyle w:val="TableTextCentered"/>
            </w:pPr>
            <w:r>
              <w:t>—</w:t>
            </w:r>
          </w:p>
        </w:tc>
        <w:tc>
          <w:tcPr>
            <w:tcW w:w="1255" w:type="dxa"/>
          </w:tcPr>
          <w:p w14:paraId="3F6162B6" w14:textId="4A777A0B" w:rsidR="00B75ACA" w:rsidRPr="00512748" w:rsidRDefault="008E5BF5" w:rsidP="009202EF">
            <w:pPr>
              <w:pStyle w:val="TableTextCentered"/>
            </w:pPr>
            <w:r>
              <w:t>—</w:t>
            </w:r>
          </w:p>
        </w:tc>
        <w:tc>
          <w:tcPr>
            <w:tcW w:w="1255" w:type="dxa"/>
          </w:tcPr>
          <w:p w14:paraId="1614B3BD" w14:textId="77777777" w:rsidR="00B75ACA" w:rsidRPr="00512748" w:rsidRDefault="00B75ACA" w:rsidP="009202EF">
            <w:pPr>
              <w:pStyle w:val="TableTextCentered"/>
            </w:pPr>
            <w:r>
              <w:t>4.1</w:t>
            </w:r>
          </w:p>
        </w:tc>
      </w:tr>
      <w:tr w:rsidR="00B75ACA" w:rsidRPr="000E2C7D" w14:paraId="3908EE4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F5B1A50" w14:textId="77777777" w:rsidR="00B75ACA" w:rsidRPr="001010E4" w:rsidRDefault="00B75ACA" w:rsidP="009202EF">
            <w:pPr>
              <w:pStyle w:val="TableText"/>
            </w:pPr>
            <w:r w:rsidRPr="001010E4">
              <w:rPr>
                <w:rFonts w:eastAsia="Times New Roman"/>
                <w:spacing w:val="-4"/>
              </w:rPr>
              <w:t>Native Hawaiian, Pacific Islander</w:t>
            </w:r>
          </w:p>
        </w:tc>
        <w:tc>
          <w:tcPr>
            <w:tcW w:w="1254" w:type="dxa"/>
          </w:tcPr>
          <w:p w14:paraId="250D448F" w14:textId="77777777" w:rsidR="00B75ACA" w:rsidRPr="00512748" w:rsidRDefault="00B75ACA" w:rsidP="009202EF">
            <w:pPr>
              <w:pStyle w:val="TableTextCentered"/>
            </w:pPr>
            <w:r w:rsidRPr="00512748">
              <w:t>2</w:t>
            </w:r>
          </w:p>
        </w:tc>
        <w:tc>
          <w:tcPr>
            <w:tcW w:w="1255" w:type="dxa"/>
          </w:tcPr>
          <w:p w14:paraId="090BDF18" w14:textId="6491E0E3" w:rsidR="00B75ACA" w:rsidRPr="00512748" w:rsidRDefault="008E5BF5" w:rsidP="009202EF">
            <w:pPr>
              <w:pStyle w:val="TableTextCentered"/>
            </w:pPr>
            <w:r>
              <w:t>—</w:t>
            </w:r>
          </w:p>
        </w:tc>
        <w:tc>
          <w:tcPr>
            <w:tcW w:w="1254" w:type="dxa"/>
          </w:tcPr>
          <w:p w14:paraId="277A5797" w14:textId="4B6D5CF3" w:rsidR="00B75ACA" w:rsidRPr="00512748" w:rsidRDefault="008E5BF5" w:rsidP="009202EF">
            <w:pPr>
              <w:pStyle w:val="TableTextCentered"/>
            </w:pPr>
            <w:r>
              <w:t>—</w:t>
            </w:r>
          </w:p>
        </w:tc>
        <w:tc>
          <w:tcPr>
            <w:tcW w:w="1255" w:type="dxa"/>
          </w:tcPr>
          <w:p w14:paraId="1B7EF45B" w14:textId="3D93B31D" w:rsidR="00B75ACA" w:rsidRPr="00512748" w:rsidRDefault="008E5BF5" w:rsidP="009202EF">
            <w:pPr>
              <w:pStyle w:val="TableTextCentered"/>
            </w:pPr>
            <w:r>
              <w:t>—</w:t>
            </w:r>
          </w:p>
        </w:tc>
        <w:tc>
          <w:tcPr>
            <w:tcW w:w="1255" w:type="dxa"/>
          </w:tcPr>
          <w:p w14:paraId="7070F8E2" w14:textId="77777777" w:rsidR="00B75ACA" w:rsidRPr="00512748" w:rsidRDefault="00B75ACA" w:rsidP="009202EF">
            <w:pPr>
              <w:pStyle w:val="TableTextCentered"/>
            </w:pPr>
            <w:r>
              <w:t>3.1</w:t>
            </w:r>
          </w:p>
        </w:tc>
      </w:tr>
      <w:tr w:rsidR="00B75ACA" w:rsidRPr="000E2C7D" w14:paraId="146D7D3D" w14:textId="77777777">
        <w:trPr>
          <w:jc w:val="center"/>
        </w:trPr>
        <w:tc>
          <w:tcPr>
            <w:tcW w:w="3052" w:type="dxa"/>
          </w:tcPr>
          <w:p w14:paraId="26AA4DD9" w14:textId="77777777" w:rsidR="00B75ACA" w:rsidRPr="001010E4" w:rsidRDefault="00B75ACA" w:rsidP="009202EF">
            <w:pPr>
              <w:pStyle w:val="TableText"/>
            </w:pPr>
            <w:r w:rsidRPr="001010E4">
              <w:t>White</w:t>
            </w:r>
          </w:p>
        </w:tc>
        <w:tc>
          <w:tcPr>
            <w:tcW w:w="1254" w:type="dxa"/>
          </w:tcPr>
          <w:p w14:paraId="6E7943D0" w14:textId="77777777" w:rsidR="00B75ACA" w:rsidRPr="00512748" w:rsidRDefault="00B75ACA" w:rsidP="009202EF">
            <w:pPr>
              <w:pStyle w:val="TableTextCentered"/>
            </w:pPr>
            <w:r w:rsidRPr="00512748">
              <w:t>3,392</w:t>
            </w:r>
          </w:p>
        </w:tc>
        <w:tc>
          <w:tcPr>
            <w:tcW w:w="1255" w:type="dxa"/>
          </w:tcPr>
          <w:p w14:paraId="3D2B756E" w14:textId="77777777" w:rsidR="00B75ACA" w:rsidRPr="00512748" w:rsidRDefault="00B75ACA" w:rsidP="009202EF">
            <w:pPr>
              <w:pStyle w:val="TableTextCentered"/>
            </w:pPr>
            <w:r>
              <w:t>0.2</w:t>
            </w:r>
          </w:p>
        </w:tc>
        <w:tc>
          <w:tcPr>
            <w:tcW w:w="1254" w:type="dxa"/>
          </w:tcPr>
          <w:p w14:paraId="4744C1F8" w14:textId="77777777" w:rsidR="00B75ACA" w:rsidRPr="00512748" w:rsidRDefault="00B75ACA" w:rsidP="009202EF">
            <w:pPr>
              <w:pStyle w:val="TableTextCentered"/>
            </w:pPr>
            <w:r>
              <w:t>0.5</w:t>
            </w:r>
          </w:p>
        </w:tc>
        <w:tc>
          <w:tcPr>
            <w:tcW w:w="1255" w:type="dxa"/>
          </w:tcPr>
          <w:p w14:paraId="33D22C19" w14:textId="77777777" w:rsidR="00B75ACA" w:rsidRPr="00512748" w:rsidRDefault="00B75ACA" w:rsidP="009202EF">
            <w:pPr>
              <w:pStyle w:val="TableTextCentered"/>
            </w:pPr>
            <w:r>
              <w:t>0.3</w:t>
            </w:r>
          </w:p>
        </w:tc>
        <w:tc>
          <w:tcPr>
            <w:tcW w:w="1255" w:type="dxa"/>
          </w:tcPr>
          <w:p w14:paraId="20F28F3B" w14:textId="77777777" w:rsidR="00B75ACA" w:rsidRPr="00512748" w:rsidRDefault="00B75ACA" w:rsidP="009202EF">
            <w:pPr>
              <w:pStyle w:val="TableTextCentered"/>
            </w:pPr>
            <w:r>
              <w:t>1.6</w:t>
            </w:r>
          </w:p>
        </w:tc>
      </w:tr>
      <w:tr w:rsidR="00B75ACA" w:rsidRPr="000E2C7D" w14:paraId="72B9543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76A467B" w14:textId="77777777" w:rsidR="00B75ACA" w:rsidRPr="001010E4" w:rsidRDefault="00B75ACA" w:rsidP="009202EF">
            <w:pPr>
              <w:pStyle w:val="TableText"/>
            </w:pPr>
            <w:r w:rsidRPr="001010E4">
              <w:t>High needs</w:t>
            </w:r>
          </w:p>
        </w:tc>
        <w:tc>
          <w:tcPr>
            <w:tcW w:w="1254" w:type="dxa"/>
          </w:tcPr>
          <w:p w14:paraId="531EB4CC" w14:textId="77777777" w:rsidR="00B75ACA" w:rsidRPr="00512748" w:rsidRDefault="00B75ACA" w:rsidP="009202EF">
            <w:pPr>
              <w:pStyle w:val="TableTextCentered"/>
            </w:pPr>
            <w:r w:rsidRPr="00512748">
              <w:t>949</w:t>
            </w:r>
          </w:p>
        </w:tc>
        <w:tc>
          <w:tcPr>
            <w:tcW w:w="1255" w:type="dxa"/>
          </w:tcPr>
          <w:p w14:paraId="5C0AE753" w14:textId="77777777" w:rsidR="00B75ACA" w:rsidRPr="00512748" w:rsidRDefault="00B75ACA" w:rsidP="009202EF">
            <w:pPr>
              <w:pStyle w:val="TableTextCentered"/>
            </w:pPr>
            <w:r>
              <w:t>0.7</w:t>
            </w:r>
          </w:p>
        </w:tc>
        <w:tc>
          <w:tcPr>
            <w:tcW w:w="1254" w:type="dxa"/>
          </w:tcPr>
          <w:p w14:paraId="2959469A" w14:textId="77777777" w:rsidR="00B75ACA" w:rsidRPr="00512748" w:rsidRDefault="00B75ACA" w:rsidP="009202EF">
            <w:pPr>
              <w:pStyle w:val="TableTextCentered"/>
            </w:pPr>
            <w:r>
              <w:t>0.9</w:t>
            </w:r>
          </w:p>
        </w:tc>
        <w:tc>
          <w:tcPr>
            <w:tcW w:w="1255" w:type="dxa"/>
          </w:tcPr>
          <w:p w14:paraId="60F6478D" w14:textId="77777777" w:rsidR="00B75ACA" w:rsidRPr="00512748" w:rsidRDefault="00B75ACA" w:rsidP="009202EF">
            <w:pPr>
              <w:pStyle w:val="TableTextCentered"/>
            </w:pPr>
            <w:r>
              <w:t>1.1</w:t>
            </w:r>
          </w:p>
        </w:tc>
        <w:tc>
          <w:tcPr>
            <w:tcW w:w="1255" w:type="dxa"/>
          </w:tcPr>
          <w:p w14:paraId="6323E29C" w14:textId="77777777" w:rsidR="00B75ACA" w:rsidRPr="00512748" w:rsidRDefault="00B75ACA" w:rsidP="009202EF">
            <w:pPr>
              <w:pStyle w:val="TableTextCentered"/>
            </w:pPr>
            <w:r>
              <w:t>3.8</w:t>
            </w:r>
          </w:p>
        </w:tc>
      </w:tr>
      <w:tr w:rsidR="00B75ACA" w:rsidRPr="000E2C7D" w14:paraId="15465B46" w14:textId="77777777">
        <w:trPr>
          <w:jc w:val="center"/>
        </w:trPr>
        <w:tc>
          <w:tcPr>
            <w:tcW w:w="3052" w:type="dxa"/>
          </w:tcPr>
          <w:p w14:paraId="4AE077C7" w14:textId="77777777" w:rsidR="00B75ACA" w:rsidRPr="001010E4" w:rsidRDefault="00B75ACA" w:rsidP="009202EF">
            <w:pPr>
              <w:pStyle w:val="TableText"/>
            </w:pPr>
            <w:r w:rsidRPr="001010E4">
              <w:t>Low income</w:t>
            </w:r>
          </w:p>
        </w:tc>
        <w:tc>
          <w:tcPr>
            <w:tcW w:w="1254" w:type="dxa"/>
          </w:tcPr>
          <w:p w14:paraId="205FF752" w14:textId="77777777" w:rsidR="00B75ACA" w:rsidRPr="00512748" w:rsidRDefault="00B75ACA" w:rsidP="009202EF">
            <w:pPr>
              <w:pStyle w:val="TableTextCentered"/>
            </w:pPr>
            <w:r w:rsidRPr="00512748">
              <w:t>333</w:t>
            </w:r>
          </w:p>
        </w:tc>
        <w:tc>
          <w:tcPr>
            <w:tcW w:w="1255" w:type="dxa"/>
          </w:tcPr>
          <w:p w14:paraId="1C9FB917" w14:textId="664B3B65" w:rsidR="00B75ACA" w:rsidRPr="00512748" w:rsidRDefault="008E5BF5" w:rsidP="009202EF">
            <w:pPr>
              <w:pStyle w:val="TableTextCentered"/>
            </w:pPr>
            <w:r>
              <w:t>—</w:t>
            </w:r>
          </w:p>
        </w:tc>
        <w:tc>
          <w:tcPr>
            <w:tcW w:w="1254" w:type="dxa"/>
          </w:tcPr>
          <w:p w14:paraId="368C78F4" w14:textId="77777777" w:rsidR="00B75ACA" w:rsidRPr="00512748" w:rsidRDefault="00B75ACA" w:rsidP="009202EF">
            <w:pPr>
              <w:pStyle w:val="TableTextCentered"/>
            </w:pPr>
            <w:r>
              <w:t>1.1</w:t>
            </w:r>
          </w:p>
        </w:tc>
        <w:tc>
          <w:tcPr>
            <w:tcW w:w="1255" w:type="dxa"/>
          </w:tcPr>
          <w:p w14:paraId="4608FB10" w14:textId="77777777" w:rsidR="00B75ACA" w:rsidRPr="00512748" w:rsidRDefault="00B75ACA" w:rsidP="009202EF">
            <w:pPr>
              <w:pStyle w:val="TableTextCentered"/>
            </w:pPr>
            <w:r>
              <w:t>1.8</w:t>
            </w:r>
          </w:p>
        </w:tc>
        <w:tc>
          <w:tcPr>
            <w:tcW w:w="1255" w:type="dxa"/>
          </w:tcPr>
          <w:p w14:paraId="61946728" w14:textId="77777777" w:rsidR="00B75ACA" w:rsidRPr="00512748" w:rsidRDefault="00B75ACA" w:rsidP="009202EF">
            <w:pPr>
              <w:pStyle w:val="TableTextCentered"/>
            </w:pPr>
            <w:r>
              <w:t>4.3</w:t>
            </w:r>
          </w:p>
        </w:tc>
      </w:tr>
      <w:tr w:rsidR="00B75ACA" w:rsidRPr="000E2C7D" w14:paraId="39D2CFD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7285BEE" w14:textId="141F242B" w:rsidR="00B75ACA" w:rsidRPr="001010E4" w:rsidRDefault="00AE4E73" w:rsidP="009202EF">
            <w:pPr>
              <w:pStyle w:val="TableText"/>
            </w:pPr>
            <w:r w:rsidRPr="00AE4E73">
              <w:rPr>
                <w:spacing w:val="-4"/>
              </w:rPr>
              <w:t>English learners</w:t>
            </w:r>
          </w:p>
        </w:tc>
        <w:tc>
          <w:tcPr>
            <w:tcW w:w="1254" w:type="dxa"/>
          </w:tcPr>
          <w:p w14:paraId="725B8895" w14:textId="77777777" w:rsidR="00B75ACA" w:rsidRPr="00512748" w:rsidRDefault="00B75ACA" w:rsidP="009202EF">
            <w:pPr>
              <w:pStyle w:val="TableTextCentered"/>
            </w:pPr>
            <w:r w:rsidRPr="00512748">
              <w:t>32</w:t>
            </w:r>
          </w:p>
        </w:tc>
        <w:tc>
          <w:tcPr>
            <w:tcW w:w="1255" w:type="dxa"/>
          </w:tcPr>
          <w:p w14:paraId="3C93B523" w14:textId="6F32860D" w:rsidR="00B75ACA" w:rsidRPr="00512748" w:rsidRDefault="008E5BF5" w:rsidP="009202EF">
            <w:pPr>
              <w:pStyle w:val="TableTextCentered"/>
            </w:pPr>
            <w:r>
              <w:t>—</w:t>
            </w:r>
          </w:p>
        </w:tc>
        <w:tc>
          <w:tcPr>
            <w:tcW w:w="1254" w:type="dxa"/>
          </w:tcPr>
          <w:p w14:paraId="0998E70B" w14:textId="004DA44D" w:rsidR="00B75ACA" w:rsidRPr="00512748" w:rsidRDefault="008E5BF5" w:rsidP="009202EF">
            <w:pPr>
              <w:pStyle w:val="TableTextCentered"/>
            </w:pPr>
            <w:r>
              <w:t>—</w:t>
            </w:r>
          </w:p>
        </w:tc>
        <w:tc>
          <w:tcPr>
            <w:tcW w:w="1255" w:type="dxa"/>
          </w:tcPr>
          <w:p w14:paraId="49E456FB" w14:textId="3DA4CFF3" w:rsidR="00B75ACA" w:rsidRPr="00512748" w:rsidRDefault="008E5BF5" w:rsidP="009202EF">
            <w:pPr>
              <w:pStyle w:val="TableTextCentered"/>
            </w:pPr>
            <w:r>
              <w:t>—</w:t>
            </w:r>
          </w:p>
        </w:tc>
        <w:tc>
          <w:tcPr>
            <w:tcW w:w="1255" w:type="dxa"/>
          </w:tcPr>
          <w:p w14:paraId="57E9A7AF" w14:textId="77777777" w:rsidR="00B75ACA" w:rsidRPr="00512748" w:rsidRDefault="00B75ACA" w:rsidP="009202EF">
            <w:pPr>
              <w:pStyle w:val="TableTextCentered"/>
            </w:pPr>
            <w:r>
              <w:t>2.7</w:t>
            </w:r>
          </w:p>
        </w:tc>
      </w:tr>
      <w:tr w:rsidR="00B75ACA" w:rsidRPr="000E2C7D" w14:paraId="2140E530" w14:textId="77777777">
        <w:trPr>
          <w:jc w:val="center"/>
        </w:trPr>
        <w:tc>
          <w:tcPr>
            <w:tcW w:w="3052" w:type="dxa"/>
          </w:tcPr>
          <w:p w14:paraId="677D7C0B" w14:textId="77777777" w:rsidR="00B75ACA" w:rsidRPr="001010E4" w:rsidRDefault="00B75ACA" w:rsidP="009202EF">
            <w:pPr>
              <w:pStyle w:val="TableText"/>
            </w:pPr>
            <w:r w:rsidRPr="001010E4">
              <w:t>Students w/disabilities</w:t>
            </w:r>
          </w:p>
        </w:tc>
        <w:tc>
          <w:tcPr>
            <w:tcW w:w="1254" w:type="dxa"/>
          </w:tcPr>
          <w:p w14:paraId="540CB0A0" w14:textId="77777777" w:rsidR="00B75ACA" w:rsidRPr="00512748" w:rsidRDefault="00B75ACA" w:rsidP="009202EF">
            <w:pPr>
              <w:pStyle w:val="TableTextCentered"/>
            </w:pPr>
            <w:r w:rsidRPr="00512748">
              <w:t>706</w:t>
            </w:r>
          </w:p>
        </w:tc>
        <w:tc>
          <w:tcPr>
            <w:tcW w:w="1255" w:type="dxa"/>
          </w:tcPr>
          <w:p w14:paraId="05E0C2EB" w14:textId="76CA7D09" w:rsidR="00B75ACA" w:rsidRPr="00512748" w:rsidRDefault="008E5BF5" w:rsidP="009202EF">
            <w:pPr>
              <w:pStyle w:val="TableTextCentered"/>
            </w:pPr>
            <w:r>
              <w:t>—</w:t>
            </w:r>
          </w:p>
        </w:tc>
        <w:tc>
          <w:tcPr>
            <w:tcW w:w="1254" w:type="dxa"/>
          </w:tcPr>
          <w:p w14:paraId="1AA26E37" w14:textId="77777777" w:rsidR="00B75ACA" w:rsidRPr="00512748" w:rsidRDefault="00B75ACA" w:rsidP="009202EF">
            <w:pPr>
              <w:pStyle w:val="TableTextCentered"/>
            </w:pPr>
            <w:r>
              <w:t>0.8</w:t>
            </w:r>
          </w:p>
        </w:tc>
        <w:tc>
          <w:tcPr>
            <w:tcW w:w="1255" w:type="dxa"/>
          </w:tcPr>
          <w:p w14:paraId="646AFA56" w14:textId="77777777" w:rsidR="00B75ACA" w:rsidRPr="00512748" w:rsidRDefault="00B75ACA" w:rsidP="009202EF">
            <w:pPr>
              <w:pStyle w:val="TableTextCentered"/>
            </w:pPr>
            <w:r>
              <w:t>1.3</w:t>
            </w:r>
          </w:p>
        </w:tc>
        <w:tc>
          <w:tcPr>
            <w:tcW w:w="1255" w:type="dxa"/>
          </w:tcPr>
          <w:p w14:paraId="7712A495" w14:textId="77777777" w:rsidR="00B75ACA" w:rsidRPr="00512748" w:rsidRDefault="00B75ACA" w:rsidP="009202EF">
            <w:pPr>
              <w:pStyle w:val="TableTextCentered"/>
            </w:pPr>
            <w:r>
              <w:t>4.7</w:t>
            </w:r>
          </w:p>
        </w:tc>
      </w:tr>
    </w:tbl>
    <w:p w14:paraId="7DD529CB" w14:textId="77777777" w:rsidR="00B75ACA" w:rsidRDefault="00B75ACA">
      <w:pPr>
        <w:spacing w:line="240" w:lineRule="auto"/>
        <w:rPr>
          <w:rFonts w:ascii="Franklin Gothic Book" w:hAnsi="Franklin Gothic Book"/>
          <w:sz w:val="20"/>
          <w:szCs w:val="20"/>
        </w:rPr>
      </w:pPr>
      <w:bookmarkStart w:id="213" w:name="_Hlk138323870"/>
    </w:p>
    <w:p w14:paraId="75B154FE" w14:textId="77777777" w:rsidR="00B75ACA" w:rsidRDefault="00B75ACA">
      <w:pPr>
        <w:spacing w:line="240" w:lineRule="auto"/>
        <w:rPr>
          <w:rFonts w:ascii="Franklin Gothic Book" w:hAnsi="Franklin Gothic Book"/>
          <w:sz w:val="20"/>
          <w:szCs w:val="20"/>
        </w:rPr>
      </w:pPr>
      <w:r>
        <w:rPr>
          <w:rFonts w:ascii="Franklin Gothic Book" w:hAnsi="Franklin Gothic Book"/>
          <w:sz w:val="20"/>
          <w:szCs w:val="20"/>
        </w:rPr>
        <w:br w:type="page"/>
      </w:r>
    </w:p>
    <w:p w14:paraId="0DFAB8B6" w14:textId="77777777" w:rsidR="00B75ACA" w:rsidRPr="00420639" w:rsidRDefault="00B75ACA" w:rsidP="009202EF">
      <w:pPr>
        <w:pStyle w:val="TableTitle0"/>
      </w:pPr>
      <w:bookmarkStart w:id="214" w:name="_Toc158035188"/>
      <w:r w:rsidRPr="00420639">
        <w:lastRenderedPageBreak/>
        <w:t>Table E21. Advanced Coursework Completion Rates by Student Group, 2021-2023</w:t>
      </w:r>
      <w:bookmarkEnd w:id="214"/>
    </w:p>
    <w:tbl>
      <w:tblPr>
        <w:tblStyle w:val="MSVTable1"/>
        <w:tblW w:w="5000" w:type="pct"/>
        <w:jc w:val="center"/>
        <w:tblLook w:val="04A0" w:firstRow="1" w:lastRow="0" w:firstColumn="1" w:lastColumn="0" w:noHBand="0" w:noVBand="1"/>
      </w:tblPr>
      <w:tblGrid>
        <w:gridCol w:w="3049"/>
        <w:gridCol w:w="1259"/>
        <w:gridCol w:w="1259"/>
        <w:gridCol w:w="1259"/>
        <w:gridCol w:w="1259"/>
        <w:gridCol w:w="1259"/>
      </w:tblGrid>
      <w:tr w:rsidR="00B75ACA" w:rsidRPr="000E2C7D" w14:paraId="2D3DD7B9" w14:textId="77777777" w:rsidTr="009202EF">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668CDD0E" w14:textId="77777777" w:rsidR="00B75ACA" w:rsidRPr="004E4223" w:rsidRDefault="00B75ACA" w:rsidP="009202EF">
            <w:pPr>
              <w:pStyle w:val="TableColHeadingCenter"/>
            </w:pPr>
            <w:r w:rsidRPr="004E4223">
              <w:t>Group</w:t>
            </w:r>
          </w:p>
        </w:tc>
        <w:tc>
          <w:tcPr>
            <w:tcW w:w="1260" w:type="dxa"/>
            <w:vAlign w:val="center"/>
          </w:tcPr>
          <w:p w14:paraId="4509521B" w14:textId="512BAFBD" w:rsidR="00B75ACA" w:rsidRPr="004E4223" w:rsidRDefault="00B75ACA" w:rsidP="009202EF">
            <w:pPr>
              <w:pStyle w:val="TableColHeadingCenter"/>
            </w:pPr>
            <w:r w:rsidRPr="004E4223">
              <w:t xml:space="preserve"># </w:t>
            </w:r>
            <w:r w:rsidR="00C6447D">
              <w:t>i</w:t>
            </w:r>
            <w:r w:rsidRPr="004E4223">
              <w:t>ncluded (2023)</w:t>
            </w:r>
          </w:p>
        </w:tc>
        <w:tc>
          <w:tcPr>
            <w:tcW w:w="1260" w:type="dxa"/>
            <w:vAlign w:val="center"/>
          </w:tcPr>
          <w:p w14:paraId="119F9E7E" w14:textId="77777777" w:rsidR="00B75ACA" w:rsidRPr="004E4223" w:rsidRDefault="00B75ACA" w:rsidP="009202EF">
            <w:pPr>
              <w:pStyle w:val="TableColHeadingCenter"/>
            </w:pPr>
            <w:r w:rsidRPr="004E4223">
              <w:t>2021</w:t>
            </w:r>
          </w:p>
        </w:tc>
        <w:tc>
          <w:tcPr>
            <w:tcW w:w="1260" w:type="dxa"/>
            <w:vAlign w:val="center"/>
          </w:tcPr>
          <w:p w14:paraId="33900298" w14:textId="77777777" w:rsidR="00B75ACA" w:rsidRPr="004E4223" w:rsidRDefault="00B75ACA" w:rsidP="009202EF">
            <w:pPr>
              <w:pStyle w:val="TableColHeadingCenter"/>
            </w:pPr>
            <w:r w:rsidRPr="004E4223">
              <w:t>2022</w:t>
            </w:r>
          </w:p>
        </w:tc>
        <w:tc>
          <w:tcPr>
            <w:tcW w:w="1260" w:type="dxa"/>
            <w:vAlign w:val="center"/>
          </w:tcPr>
          <w:p w14:paraId="36C04B40" w14:textId="77777777" w:rsidR="00B75ACA" w:rsidRPr="004E4223" w:rsidRDefault="00B75ACA" w:rsidP="009202EF">
            <w:pPr>
              <w:pStyle w:val="TableColHeadingCenter"/>
            </w:pPr>
            <w:r w:rsidRPr="004E4223">
              <w:t>2023</w:t>
            </w:r>
          </w:p>
        </w:tc>
        <w:tc>
          <w:tcPr>
            <w:tcW w:w="1260" w:type="dxa"/>
            <w:vAlign w:val="center"/>
          </w:tcPr>
          <w:p w14:paraId="0A139B6A" w14:textId="77777777" w:rsidR="00B75ACA" w:rsidRPr="004E4223" w:rsidRDefault="00B75ACA" w:rsidP="009202EF">
            <w:pPr>
              <w:pStyle w:val="TableColHeadingCenter"/>
            </w:pPr>
            <w:r w:rsidRPr="004E4223">
              <w:t>State (2023</w:t>
            </w:r>
            <w:r>
              <w:t>)</w:t>
            </w:r>
          </w:p>
        </w:tc>
      </w:tr>
      <w:tr w:rsidR="00B75ACA" w:rsidRPr="000E2C7D" w14:paraId="1DD72AB1" w14:textId="77777777" w:rsidTr="009202EF">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889A01C" w14:textId="77777777" w:rsidR="00B75ACA" w:rsidRPr="001010E4" w:rsidRDefault="00B75ACA" w:rsidP="009202EF">
            <w:pPr>
              <w:pStyle w:val="TableText"/>
            </w:pPr>
            <w:r w:rsidRPr="001010E4">
              <w:t>All</w:t>
            </w:r>
          </w:p>
        </w:tc>
        <w:tc>
          <w:tcPr>
            <w:tcW w:w="1260" w:type="dxa"/>
          </w:tcPr>
          <w:p w14:paraId="12D02C17" w14:textId="77777777" w:rsidR="00B75ACA" w:rsidRPr="00015CFD" w:rsidRDefault="00B75ACA" w:rsidP="009202EF">
            <w:pPr>
              <w:pStyle w:val="TableTextCentered"/>
            </w:pPr>
            <w:r>
              <w:t>599</w:t>
            </w:r>
          </w:p>
        </w:tc>
        <w:tc>
          <w:tcPr>
            <w:tcW w:w="1260" w:type="dxa"/>
          </w:tcPr>
          <w:p w14:paraId="573820A2" w14:textId="77777777" w:rsidR="00B75ACA" w:rsidRPr="00015CFD" w:rsidRDefault="00B75ACA" w:rsidP="009202EF">
            <w:pPr>
              <w:pStyle w:val="TableTextCentered"/>
            </w:pPr>
            <w:r>
              <w:t>84.4</w:t>
            </w:r>
          </w:p>
        </w:tc>
        <w:tc>
          <w:tcPr>
            <w:tcW w:w="1260" w:type="dxa"/>
          </w:tcPr>
          <w:p w14:paraId="1F48BC1F" w14:textId="77777777" w:rsidR="00B75ACA" w:rsidRPr="00015CFD" w:rsidRDefault="00B75ACA" w:rsidP="009202EF">
            <w:pPr>
              <w:pStyle w:val="TableTextCentered"/>
            </w:pPr>
            <w:r>
              <w:t>83.8</w:t>
            </w:r>
          </w:p>
        </w:tc>
        <w:tc>
          <w:tcPr>
            <w:tcW w:w="1260" w:type="dxa"/>
          </w:tcPr>
          <w:p w14:paraId="4465BFDD" w14:textId="77777777" w:rsidR="00B75ACA" w:rsidRPr="00015CFD" w:rsidRDefault="00B75ACA" w:rsidP="009202EF">
            <w:pPr>
              <w:pStyle w:val="TableTextCentered"/>
            </w:pPr>
            <w:r>
              <w:t>87.8</w:t>
            </w:r>
          </w:p>
        </w:tc>
        <w:tc>
          <w:tcPr>
            <w:tcW w:w="1260" w:type="dxa"/>
          </w:tcPr>
          <w:p w14:paraId="0E7E4985" w14:textId="77777777" w:rsidR="00B75ACA" w:rsidRPr="00015CFD" w:rsidRDefault="00B75ACA" w:rsidP="009202EF">
            <w:pPr>
              <w:pStyle w:val="TableTextCentered"/>
            </w:pPr>
            <w:r w:rsidRPr="00015CFD">
              <w:t>65.8</w:t>
            </w:r>
          </w:p>
        </w:tc>
      </w:tr>
      <w:tr w:rsidR="00B75ACA" w:rsidRPr="000E2C7D" w14:paraId="593E210F" w14:textId="77777777" w:rsidTr="009202EF">
        <w:trPr>
          <w:jc w:val="center"/>
        </w:trPr>
        <w:tc>
          <w:tcPr>
            <w:tcW w:w="3052" w:type="dxa"/>
          </w:tcPr>
          <w:p w14:paraId="628D84B1" w14:textId="77777777" w:rsidR="00B75ACA" w:rsidRPr="001010E4" w:rsidRDefault="00B75ACA" w:rsidP="009202EF">
            <w:pPr>
              <w:pStyle w:val="TableText"/>
            </w:pPr>
            <w:r w:rsidRPr="001010E4">
              <w:t>African American/Black</w:t>
            </w:r>
          </w:p>
        </w:tc>
        <w:tc>
          <w:tcPr>
            <w:tcW w:w="1260" w:type="dxa"/>
          </w:tcPr>
          <w:p w14:paraId="6A286393" w14:textId="77777777" w:rsidR="00B75ACA" w:rsidRPr="00015CFD" w:rsidRDefault="00B75ACA" w:rsidP="009202EF">
            <w:pPr>
              <w:pStyle w:val="TableTextCentered"/>
            </w:pPr>
            <w:r>
              <w:t>7</w:t>
            </w:r>
          </w:p>
        </w:tc>
        <w:tc>
          <w:tcPr>
            <w:tcW w:w="1260" w:type="dxa"/>
          </w:tcPr>
          <w:p w14:paraId="2A80E01C" w14:textId="77777777" w:rsidR="00B75ACA" w:rsidRPr="00015CFD" w:rsidRDefault="00B75ACA" w:rsidP="009202EF">
            <w:pPr>
              <w:pStyle w:val="TableTextCentered"/>
            </w:pPr>
            <w:r>
              <w:t>36.4</w:t>
            </w:r>
          </w:p>
        </w:tc>
        <w:tc>
          <w:tcPr>
            <w:tcW w:w="1260" w:type="dxa"/>
          </w:tcPr>
          <w:p w14:paraId="2D22669E" w14:textId="77777777" w:rsidR="00B75ACA" w:rsidRPr="00015CFD" w:rsidRDefault="00B75ACA" w:rsidP="009202EF">
            <w:pPr>
              <w:pStyle w:val="TableTextCentered"/>
            </w:pPr>
            <w:r>
              <w:t>42.9</w:t>
            </w:r>
          </w:p>
        </w:tc>
        <w:tc>
          <w:tcPr>
            <w:tcW w:w="1260" w:type="dxa"/>
          </w:tcPr>
          <w:p w14:paraId="1BC78A13" w14:textId="77777777" w:rsidR="00B75ACA" w:rsidRPr="00015CFD" w:rsidRDefault="00B75ACA" w:rsidP="009202EF">
            <w:pPr>
              <w:pStyle w:val="TableTextCentered"/>
            </w:pPr>
            <w:r>
              <w:t>0.0</w:t>
            </w:r>
          </w:p>
        </w:tc>
        <w:tc>
          <w:tcPr>
            <w:tcW w:w="1260" w:type="dxa"/>
          </w:tcPr>
          <w:p w14:paraId="5108CA1A" w14:textId="77777777" w:rsidR="00B75ACA" w:rsidRPr="00015CFD" w:rsidRDefault="00B75ACA" w:rsidP="009202EF">
            <w:pPr>
              <w:pStyle w:val="TableTextCentered"/>
            </w:pPr>
            <w:r w:rsidRPr="00015CFD">
              <w:t>57.3</w:t>
            </w:r>
          </w:p>
        </w:tc>
      </w:tr>
      <w:tr w:rsidR="00B75ACA" w:rsidRPr="000E2C7D" w14:paraId="4C9F68C6" w14:textId="77777777" w:rsidTr="009202EF">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F871F94" w14:textId="77777777" w:rsidR="00B75ACA" w:rsidRPr="001010E4" w:rsidRDefault="00B75ACA" w:rsidP="009202EF">
            <w:pPr>
              <w:pStyle w:val="TableText"/>
            </w:pPr>
            <w:r w:rsidRPr="001010E4">
              <w:t>Asian</w:t>
            </w:r>
          </w:p>
        </w:tc>
        <w:tc>
          <w:tcPr>
            <w:tcW w:w="1260" w:type="dxa"/>
          </w:tcPr>
          <w:p w14:paraId="3DD35685" w14:textId="77777777" w:rsidR="00B75ACA" w:rsidRPr="00015CFD" w:rsidRDefault="00B75ACA" w:rsidP="009202EF">
            <w:pPr>
              <w:pStyle w:val="TableTextCentered"/>
            </w:pPr>
            <w:r>
              <w:t>17</w:t>
            </w:r>
          </w:p>
        </w:tc>
        <w:tc>
          <w:tcPr>
            <w:tcW w:w="1260" w:type="dxa"/>
          </w:tcPr>
          <w:p w14:paraId="6FAAF96A" w14:textId="77777777" w:rsidR="00B75ACA" w:rsidRPr="00015CFD" w:rsidRDefault="00B75ACA" w:rsidP="009202EF">
            <w:pPr>
              <w:pStyle w:val="TableTextCentered"/>
            </w:pPr>
            <w:r>
              <w:t>92.9</w:t>
            </w:r>
          </w:p>
        </w:tc>
        <w:tc>
          <w:tcPr>
            <w:tcW w:w="1260" w:type="dxa"/>
          </w:tcPr>
          <w:p w14:paraId="0D2F5431" w14:textId="77777777" w:rsidR="00B75ACA" w:rsidRPr="00015CFD" w:rsidRDefault="00B75ACA" w:rsidP="009202EF">
            <w:pPr>
              <w:pStyle w:val="TableTextCentered"/>
            </w:pPr>
            <w:r>
              <w:t>81.8</w:t>
            </w:r>
          </w:p>
        </w:tc>
        <w:tc>
          <w:tcPr>
            <w:tcW w:w="1260" w:type="dxa"/>
          </w:tcPr>
          <w:p w14:paraId="6BBD98DD" w14:textId="77777777" w:rsidR="00B75ACA" w:rsidRPr="00015CFD" w:rsidRDefault="00B75ACA" w:rsidP="009202EF">
            <w:pPr>
              <w:pStyle w:val="TableTextCentered"/>
            </w:pPr>
            <w:r>
              <w:t>100</w:t>
            </w:r>
          </w:p>
        </w:tc>
        <w:tc>
          <w:tcPr>
            <w:tcW w:w="1260" w:type="dxa"/>
          </w:tcPr>
          <w:p w14:paraId="639E57E9" w14:textId="77777777" w:rsidR="00B75ACA" w:rsidRPr="00015CFD" w:rsidRDefault="00B75ACA" w:rsidP="009202EF">
            <w:pPr>
              <w:pStyle w:val="TableTextCentered"/>
            </w:pPr>
            <w:r w:rsidRPr="00015CFD">
              <w:t>84.9</w:t>
            </w:r>
          </w:p>
        </w:tc>
      </w:tr>
      <w:tr w:rsidR="00B75ACA" w:rsidRPr="000E2C7D" w14:paraId="355872EF" w14:textId="77777777" w:rsidTr="009202EF">
        <w:trPr>
          <w:jc w:val="center"/>
        </w:trPr>
        <w:tc>
          <w:tcPr>
            <w:tcW w:w="3052" w:type="dxa"/>
          </w:tcPr>
          <w:p w14:paraId="1A8359AF" w14:textId="77777777" w:rsidR="00B75ACA" w:rsidRPr="001010E4" w:rsidRDefault="00B75ACA" w:rsidP="009202EF">
            <w:pPr>
              <w:pStyle w:val="TableText"/>
            </w:pPr>
            <w:r w:rsidRPr="001010E4">
              <w:t>Hispanic/Latino</w:t>
            </w:r>
          </w:p>
        </w:tc>
        <w:tc>
          <w:tcPr>
            <w:tcW w:w="1260" w:type="dxa"/>
          </w:tcPr>
          <w:p w14:paraId="3C145BAD" w14:textId="77777777" w:rsidR="00B75ACA" w:rsidRPr="00015CFD" w:rsidRDefault="00B75ACA" w:rsidP="009202EF">
            <w:pPr>
              <w:pStyle w:val="TableTextCentered"/>
            </w:pPr>
            <w:r>
              <w:t>21</w:t>
            </w:r>
          </w:p>
        </w:tc>
        <w:tc>
          <w:tcPr>
            <w:tcW w:w="1260" w:type="dxa"/>
          </w:tcPr>
          <w:p w14:paraId="740DD22A" w14:textId="77777777" w:rsidR="00B75ACA" w:rsidRPr="00015CFD" w:rsidRDefault="00B75ACA" w:rsidP="009202EF">
            <w:pPr>
              <w:pStyle w:val="TableTextCentered"/>
            </w:pPr>
            <w:r>
              <w:t>57.1</w:t>
            </w:r>
          </w:p>
        </w:tc>
        <w:tc>
          <w:tcPr>
            <w:tcW w:w="1260" w:type="dxa"/>
          </w:tcPr>
          <w:p w14:paraId="514478B0" w14:textId="77777777" w:rsidR="00B75ACA" w:rsidRPr="00015CFD" w:rsidRDefault="00B75ACA" w:rsidP="009202EF">
            <w:pPr>
              <w:pStyle w:val="TableTextCentered"/>
            </w:pPr>
            <w:r>
              <w:t>72.0</w:t>
            </w:r>
          </w:p>
        </w:tc>
        <w:tc>
          <w:tcPr>
            <w:tcW w:w="1260" w:type="dxa"/>
          </w:tcPr>
          <w:p w14:paraId="4AD6D346" w14:textId="77777777" w:rsidR="00B75ACA" w:rsidRPr="00015CFD" w:rsidRDefault="00B75ACA" w:rsidP="009202EF">
            <w:pPr>
              <w:pStyle w:val="TableTextCentered"/>
            </w:pPr>
            <w:r>
              <w:t>76.2</w:t>
            </w:r>
          </w:p>
        </w:tc>
        <w:tc>
          <w:tcPr>
            <w:tcW w:w="1260" w:type="dxa"/>
          </w:tcPr>
          <w:p w14:paraId="2E740E61" w14:textId="77777777" w:rsidR="00B75ACA" w:rsidRPr="00015CFD" w:rsidRDefault="00B75ACA" w:rsidP="009202EF">
            <w:pPr>
              <w:pStyle w:val="TableTextCentered"/>
            </w:pPr>
            <w:r w:rsidRPr="00015CFD">
              <w:t>51.2</w:t>
            </w:r>
          </w:p>
        </w:tc>
      </w:tr>
      <w:tr w:rsidR="00B75ACA" w:rsidRPr="000E2C7D" w14:paraId="412284C2" w14:textId="77777777" w:rsidTr="009202EF">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D3E108B" w14:textId="77777777" w:rsidR="00B75ACA" w:rsidRPr="001010E4" w:rsidRDefault="00B75ACA" w:rsidP="009202EF">
            <w:pPr>
              <w:pStyle w:val="TableText"/>
            </w:pPr>
            <w:r w:rsidRPr="001010E4">
              <w:rPr>
                <w:rFonts w:cstheme="minorHAnsi"/>
              </w:rPr>
              <w:t>Multi-Race, non-Hispanic/Latino</w:t>
            </w:r>
          </w:p>
        </w:tc>
        <w:tc>
          <w:tcPr>
            <w:tcW w:w="1260" w:type="dxa"/>
          </w:tcPr>
          <w:p w14:paraId="710D768A" w14:textId="77777777" w:rsidR="00B75ACA" w:rsidRPr="00015CFD" w:rsidRDefault="00B75ACA" w:rsidP="009202EF">
            <w:pPr>
              <w:pStyle w:val="TableTextCentered"/>
            </w:pPr>
            <w:r>
              <w:t>18</w:t>
            </w:r>
          </w:p>
        </w:tc>
        <w:tc>
          <w:tcPr>
            <w:tcW w:w="1260" w:type="dxa"/>
          </w:tcPr>
          <w:p w14:paraId="2C89885E" w14:textId="77777777" w:rsidR="00B75ACA" w:rsidRPr="00015CFD" w:rsidRDefault="00B75ACA" w:rsidP="009202EF">
            <w:pPr>
              <w:pStyle w:val="TableTextCentered"/>
            </w:pPr>
            <w:r>
              <w:t>83.3</w:t>
            </w:r>
          </w:p>
        </w:tc>
        <w:tc>
          <w:tcPr>
            <w:tcW w:w="1260" w:type="dxa"/>
          </w:tcPr>
          <w:p w14:paraId="334137EB" w14:textId="77777777" w:rsidR="00B75ACA" w:rsidRPr="00015CFD" w:rsidRDefault="00B75ACA" w:rsidP="009202EF">
            <w:pPr>
              <w:pStyle w:val="TableTextCentered"/>
            </w:pPr>
            <w:r>
              <w:t>90.9</w:t>
            </w:r>
          </w:p>
        </w:tc>
        <w:tc>
          <w:tcPr>
            <w:tcW w:w="1260" w:type="dxa"/>
          </w:tcPr>
          <w:p w14:paraId="680B0DEE" w14:textId="77777777" w:rsidR="00B75ACA" w:rsidRPr="00015CFD" w:rsidRDefault="00B75ACA" w:rsidP="009202EF">
            <w:pPr>
              <w:pStyle w:val="TableTextCentered"/>
            </w:pPr>
            <w:r>
              <w:t>94.4</w:t>
            </w:r>
          </w:p>
        </w:tc>
        <w:tc>
          <w:tcPr>
            <w:tcW w:w="1260" w:type="dxa"/>
          </w:tcPr>
          <w:p w14:paraId="0B226251" w14:textId="77777777" w:rsidR="00B75ACA" w:rsidRPr="00015CFD" w:rsidRDefault="00B75ACA" w:rsidP="009202EF">
            <w:pPr>
              <w:pStyle w:val="TableTextCentered"/>
            </w:pPr>
            <w:r w:rsidRPr="00015CFD">
              <w:t>67.4</w:t>
            </w:r>
          </w:p>
        </w:tc>
      </w:tr>
      <w:tr w:rsidR="00B75ACA" w:rsidRPr="000E2C7D" w14:paraId="7854B9F9" w14:textId="77777777" w:rsidTr="009202EF">
        <w:trPr>
          <w:jc w:val="center"/>
        </w:trPr>
        <w:tc>
          <w:tcPr>
            <w:tcW w:w="3052" w:type="dxa"/>
          </w:tcPr>
          <w:p w14:paraId="644BDD51" w14:textId="77777777" w:rsidR="00B75ACA" w:rsidRPr="001010E4" w:rsidRDefault="00B75ACA" w:rsidP="009202EF">
            <w:pPr>
              <w:pStyle w:val="TableText"/>
            </w:pPr>
            <w:r w:rsidRPr="001010E4">
              <w:t>Native American</w:t>
            </w:r>
          </w:p>
        </w:tc>
        <w:tc>
          <w:tcPr>
            <w:tcW w:w="1260" w:type="dxa"/>
          </w:tcPr>
          <w:p w14:paraId="4D765A45" w14:textId="1401CE0A" w:rsidR="00B75ACA" w:rsidRPr="00015CFD" w:rsidRDefault="008E5BF5" w:rsidP="009202EF">
            <w:pPr>
              <w:pStyle w:val="TableTextCentered"/>
            </w:pPr>
            <w:r>
              <w:t>—</w:t>
            </w:r>
          </w:p>
        </w:tc>
        <w:tc>
          <w:tcPr>
            <w:tcW w:w="1260" w:type="dxa"/>
          </w:tcPr>
          <w:p w14:paraId="5071EDD8" w14:textId="244A0A16" w:rsidR="00B75ACA" w:rsidRPr="00015CFD" w:rsidRDefault="008E5BF5" w:rsidP="009202EF">
            <w:pPr>
              <w:pStyle w:val="TableTextCentered"/>
            </w:pPr>
            <w:r>
              <w:t>—</w:t>
            </w:r>
          </w:p>
        </w:tc>
        <w:tc>
          <w:tcPr>
            <w:tcW w:w="1260" w:type="dxa"/>
          </w:tcPr>
          <w:p w14:paraId="3DBE5D12" w14:textId="4771A72A" w:rsidR="00B75ACA" w:rsidRPr="00015CFD" w:rsidRDefault="008E5BF5" w:rsidP="009202EF">
            <w:pPr>
              <w:pStyle w:val="TableTextCentered"/>
            </w:pPr>
            <w:r>
              <w:t>—</w:t>
            </w:r>
          </w:p>
        </w:tc>
        <w:tc>
          <w:tcPr>
            <w:tcW w:w="1260" w:type="dxa"/>
          </w:tcPr>
          <w:p w14:paraId="4B056111" w14:textId="6E26C06F" w:rsidR="00B75ACA" w:rsidRPr="00015CFD" w:rsidRDefault="008E5BF5" w:rsidP="009202EF">
            <w:pPr>
              <w:pStyle w:val="TableTextCentered"/>
            </w:pPr>
            <w:r>
              <w:t>—</w:t>
            </w:r>
          </w:p>
        </w:tc>
        <w:tc>
          <w:tcPr>
            <w:tcW w:w="1260" w:type="dxa"/>
          </w:tcPr>
          <w:p w14:paraId="2869A7BD" w14:textId="77777777" w:rsidR="00B75ACA" w:rsidRPr="00015CFD" w:rsidRDefault="00B75ACA" w:rsidP="009202EF">
            <w:pPr>
              <w:pStyle w:val="TableTextCentered"/>
            </w:pPr>
            <w:r w:rsidRPr="00015CFD">
              <w:t>50.6</w:t>
            </w:r>
          </w:p>
        </w:tc>
      </w:tr>
      <w:tr w:rsidR="00B75ACA" w:rsidRPr="000E2C7D" w14:paraId="24BB8F5F" w14:textId="77777777" w:rsidTr="009202EF">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56F8E20" w14:textId="77777777" w:rsidR="00B75ACA" w:rsidRPr="001010E4" w:rsidRDefault="00B75ACA" w:rsidP="009202EF">
            <w:pPr>
              <w:pStyle w:val="TableText"/>
            </w:pPr>
            <w:r w:rsidRPr="001010E4">
              <w:rPr>
                <w:rFonts w:eastAsia="Times New Roman"/>
                <w:spacing w:val="-4"/>
              </w:rPr>
              <w:t>Native Hawaiian, Pacific Islander</w:t>
            </w:r>
          </w:p>
        </w:tc>
        <w:tc>
          <w:tcPr>
            <w:tcW w:w="1260" w:type="dxa"/>
          </w:tcPr>
          <w:p w14:paraId="03AC4775" w14:textId="5FB15BC8" w:rsidR="00B75ACA" w:rsidRPr="00015CFD" w:rsidRDefault="008E5BF5" w:rsidP="009202EF">
            <w:pPr>
              <w:pStyle w:val="TableTextCentered"/>
            </w:pPr>
            <w:r>
              <w:t>—</w:t>
            </w:r>
          </w:p>
        </w:tc>
        <w:tc>
          <w:tcPr>
            <w:tcW w:w="1260" w:type="dxa"/>
          </w:tcPr>
          <w:p w14:paraId="033E0137" w14:textId="321AF26E" w:rsidR="00B75ACA" w:rsidRPr="00015CFD" w:rsidRDefault="008E5BF5" w:rsidP="009202EF">
            <w:pPr>
              <w:pStyle w:val="TableTextCentered"/>
            </w:pPr>
            <w:r>
              <w:t>—</w:t>
            </w:r>
          </w:p>
        </w:tc>
        <w:tc>
          <w:tcPr>
            <w:tcW w:w="1260" w:type="dxa"/>
          </w:tcPr>
          <w:p w14:paraId="7CC146CF" w14:textId="4ED33995" w:rsidR="00B75ACA" w:rsidRPr="00015CFD" w:rsidRDefault="008E5BF5" w:rsidP="009202EF">
            <w:pPr>
              <w:pStyle w:val="TableTextCentered"/>
            </w:pPr>
            <w:r>
              <w:t>—</w:t>
            </w:r>
          </w:p>
        </w:tc>
        <w:tc>
          <w:tcPr>
            <w:tcW w:w="1260" w:type="dxa"/>
          </w:tcPr>
          <w:p w14:paraId="1DC67D5F" w14:textId="1854D7E2" w:rsidR="00B75ACA" w:rsidRPr="00015CFD" w:rsidRDefault="008E5BF5" w:rsidP="009202EF">
            <w:pPr>
              <w:pStyle w:val="TableTextCentered"/>
            </w:pPr>
            <w:r>
              <w:t>—</w:t>
            </w:r>
          </w:p>
        </w:tc>
        <w:tc>
          <w:tcPr>
            <w:tcW w:w="1260" w:type="dxa"/>
          </w:tcPr>
          <w:p w14:paraId="62C46DF7" w14:textId="77777777" w:rsidR="00B75ACA" w:rsidRPr="00015CFD" w:rsidRDefault="00B75ACA" w:rsidP="009202EF">
            <w:pPr>
              <w:pStyle w:val="TableTextCentered"/>
            </w:pPr>
            <w:r w:rsidRPr="00015CFD">
              <w:t>60.0</w:t>
            </w:r>
          </w:p>
        </w:tc>
      </w:tr>
      <w:tr w:rsidR="00B75ACA" w:rsidRPr="000E2C7D" w14:paraId="7278DB21" w14:textId="77777777" w:rsidTr="009202EF">
        <w:trPr>
          <w:jc w:val="center"/>
        </w:trPr>
        <w:tc>
          <w:tcPr>
            <w:tcW w:w="3052" w:type="dxa"/>
          </w:tcPr>
          <w:p w14:paraId="4A7805E7" w14:textId="77777777" w:rsidR="00B75ACA" w:rsidRPr="001010E4" w:rsidRDefault="00B75ACA" w:rsidP="009202EF">
            <w:pPr>
              <w:pStyle w:val="TableText"/>
            </w:pPr>
            <w:r w:rsidRPr="001010E4">
              <w:t>White</w:t>
            </w:r>
          </w:p>
        </w:tc>
        <w:tc>
          <w:tcPr>
            <w:tcW w:w="1260" w:type="dxa"/>
          </w:tcPr>
          <w:p w14:paraId="79875950" w14:textId="77777777" w:rsidR="00B75ACA" w:rsidRPr="00015CFD" w:rsidRDefault="00B75ACA" w:rsidP="009202EF">
            <w:pPr>
              <w:pStyle w:val="TableTextCentered"/>
            </w:pPr>
            <w:r>
              <w:t>536</w:t>
            </w:r>
          </w:p>
        </w:tc>
        <w:tc>
          <w:tcPr>
            <w:tcW w:w="1260" w:type="dxa"/>
          </w:tcPr>
          <w:p w14:paraId="587A4F91" w14:textId="77777777" w:rsidR="00B75ACA" w:rsidRPr="00015CFD" w:rsidRDefault="00B75ACA" w:rsidP="009202EF">
            <w:pPr>
              <w:pStyle w:val="TableTextCentered"/>
            </w:pPr>
            <w:r>
              <w:t>86.1</w:t>
            </w:r>
          </w:p>
        </w:tc>
        <w:tc>
          <w:tcPr>
            <w:tcW w:w="1260" w:type="dxa"/>
          </w:tcPr>
          <w:p w14:paraId="674B511B" w14:textId="77777777" w:rsidR="00B75ACA" w:rsidRPr="00015CFD" w:rsidRDefault="00B75ACA" w:rsidP="009202EF">
            <w:pPr>
              <w:pStyle w:val="TableTextCentered"/>
            </w:pPr>
            <w:r>
              <w:t>84.6</w:t>
            </w:r>
          </w:p>
        </w:tc>
        <w:tc>
          <w:tcPr>
            <w:tcW w:w="1260" w:type="dxa"/>
          </w:tcPr>
          <w:p w14:paraId="4F735412" w14:textId="77777777" w:rsidR="00B75ACA" w:rsidRPr="00015CFD" w:rsidRDefault="00B75ACA" w:rsidP="009202EF">
            <w:pPr>
              <w:pStyle w:val="TableTextCentered"/>
            </w:pPr>
            <w:r>
              <w:t>88.8</w:t>
            </w:r>
          </w:p>
        </w:tc>
        <w:tc>
          <w:tcPr>
            <w:tcW w:w="1260" w:type="dxa"/>
          </w:tcPr>
          <w:p w14:paraId="166D1986" w14:textId="77777777" w:rsidR="00B75ACA" w:rsidRPr="00015CFD" w:rsidRDefault="00B75ACA" w:rsidP="009202EF">
            <w:pPr>
              <w:pStyle w:val="TableTextCentered"/>
            </w:pPr>
            <w:r w:rsidRPr="00015CFD">
              <w:t>70.4</w:t>
            </w:r>
          </w:p>
        </w:tc>
      </w:tr>
      <w:tr w:rsidR="00B75ACA" w:rsidRPr="000E2C7D" w14:paraId="63D8AFBE" w14:textId="77777777" w:rsidTr="009202EF">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17B7CB2" w14:textId="77777777" w:rsidR="00B75ACA" w:rsidRPr="001010E4" w:rsidRDefault="00B75ACA" w:rsidP="009202EF">
            <w:pPr>
              <w:pStyle w:val="TableText"/>
            </w:pPr>
            <w:r w:rsidRPr="001010E4">
              <w:t>High needs</w:t>
            </w:r>
          </w:p>
        </w:tc>
        <w:tc>
          <w:tcPr>
            <w:tcW w:w="1260" w:type="dxa"/>
          </w:tcPr>
          <w:p w14:paraId="196B8E4F" w14:textId="77777777" w:rsidR="00B75ACA" w:rsidRPr="00015CFD" w:rsidRDefault="00B75ACA" w:rsidP="009202EF">
            <w:pPr>
              <w:pStyle w:val="TableTextCentered"/>
            </w:pPr>
            <w:r>
              <w:t>72</w:t>
            </w:r>
          </w:p>
        </w:tc>
        <w:tc>
          <w:tcPr>
            <w:tcW w:w="1260" w:type="dxa"/>
          </w:tcPr>
          <w:p w14:paraId="4E3F37C7" w14:textId="77777777" w:rsidR="00B75ACA" w:rsidRPr="00015CFD" w:rsidRDefault="00B75ACA" w:rsidP="009202EF">
            <w:pPr>
              <w:pStyle w:val="TableTextCentered"/>
            </w:pPr>
            <w:r>
              <w:t>47.6</w:t>
            </w:r>
          </w:p>
        </w:tc>
        <w:tc>
          <w:tcPr>
            <w:tcW w:w="1260" w:type="dxa"/>
          </w:tcPr>
          <w:p w14:paraId="6A4BA748" w14:textId="77777777" w:rsidR="00B75ACA" w:rsidRPr="00015CFD" w:rsidRDefault="00B75ACA" w:rsidP="009202EF">
            <w:pPr>
              <w:pStyle w:val="TableTextCentered"/>
            </w:pPr>
            <w:r>
              <w:t>51.5</w:t>
            </w:r>
          </w:p>
        </w:tc>
        <w:tc>
          <w:tcPr>
            <w:tcW w:w="1260" w:type="dxa"/>
          </w:tcPr>
          <w:p w14:paraId="735D54C3" w14:textId="77777777" w:rsidR="00B75ACA" w:rsidRPr="00015CFD" w:rsidRDefault="00B75ACA" w:rsidP="009202EF">
            <w:pPr>
              <w:pStyle w:val="TableTextCentered"/>
            </w:pPr>
            <w:r>
              <w:t>45.8</w:t>
            </w:r>
          </w:p>
        </w:tc>
        <w:tc>
          <w:tcPr>
            <w:tcW w:w="1260" w:type="dxa"/>
          </w:tcPr>
          <w:p w14:paraId="5E89B459" w14:textId="77777777" w:rsidR="00B75ACA" w:rsidRPr="00015CFD" w:rsidRDefault="00B75ACA" w:rsidP="009202EF">
            <w:pPr>
              <w:pStyle w:val="TableTextCentered"/>
            </w:pPr>
            <w:r w:rsidRPr="00015CFD">
              <w:t>49.8</w:t>
            </w:r>
          </w:p>
        </w:tc>
      </w:tr>
      <w:tr w:rsidR="00B75ACA" w:rsidRPr="000E2C7D" w14:paraId="573CE69B" w14:textId="77777777" w:rsidTr="009202EF">
        <w:trPr>
          <w:jc w:val="center"/>
        </w:trPr>
        <w:tc>
          <w:tcPr>
            <w:tcW w:w="3052" w:type="dxa"/>
          </w:tcPr>
          <w:p w14:paraId="0ADAFE11" w14:textId="77777777" w:rsidR="00B75ACA" w:rsidRPr="001010E4" w:rsidRDefault="00B75ACA" w:rsidP="009202EF">
            <w:pPr>
              <w:pStyle w:val="TableText"/>
            </w:pPr>
            <w:r w:rsidRPr="001010E4">
              <w:t>Low income</w:t>
            </w:r>
          </w:p>
        </w:tc>
        <w:tc>
          <w:tcPr>
            <w:tcW w:w="1260" w:type="dxa"/>
          </w:tcPr>
          <w:p w14:paraId="0E519730" w14:textId="77777777" w:rsidR="00B75ACA" w:rsidRPr="00015CFD" w:rsidRDefault="00B75ACA" w:rsidP="009202EF">
            <w:pPr>
              <w:pStyle w:val="TableTextCentered"/>
            </w:pPr>
            <w:r>
              <w:t>38</w:t>
            </w:r>
          </w:p>
        </w:tc>
        <w:tc>
          <w:tcPr>
            <w:tcW w:w="1260" w:type="dxa"/>
          </w:tcPr>
          <w:p w14:paraId="6B21CB13" w14:textId="09EAA8E9" w:rsidR="00B75ACA" w:rsidRPr="00015CFD" w:rsidRDefault="008E5BF5" w:rsidP="009202EF">
            <w:pPr>
              <w:pStyle w:val="TableTextCentered"/>
            </w:pPr>
            <w:r>
              <w:t>—</w:t>
            </w:r>
          </w:p>
        </w:tc>
        <w:tc>
          <w:tcPr>
            <w:tcW w:w="1260" w:type="dxa"/>
          </w:tcPr>
          <w:p w14:paraId="0A78926A" w14:textId="77777777" w:rsidR="00B75ACA" w:rsidRPr="00015CFD" w:rsidRDefault="00B75ACA" w:rsidP="009202EF">
            <w:pPr>
              <w:pStyle w:val="TableTextCentered"/>
            </w:pPr>
            <w:r>
              <w:t>62.5</w:t>
            </w:r>
          </w:p>
        </w:tc>
        <w:tc>
          <w:tcPr>
            <w:tcW w:w="1260" w:type="dxa"/>
          </w:tcPr>
          <w:p w14:paraId="4E959F62" w14:textId="77777777" w:rsidR="00B75ACA" w:rsidRPr="00015CFD" w:rsidRDefault="00B75ACA" w:rsidP="009202EF">
            <w:pPr>
              <w:pStyle w:val="TableTextCentered"/>
            </w:pPr>
            <w:r>
              <w:t>57.9</w:t>
            </w:r>
          </w:p>
        </w:tc>
        <w:tc>
          <w:tcPr>
            <w:tcW w:w="1260" w:type="dxa"/>
          </w:tcPr>
          <w:p w14:paraId="5D105940" w14:textId="77777777" w:rsidR="00B75ACA" w:rsidRPr="00015CFD" w:rsidRDefault="00B75ACA" w:rsidP="009202EF">
            <w:pPr>
              <w:pStyle w:val="TableTextCentered"/>
            </w:pPr>
            <w:r w:rsidRPr="00015CFD">
              <w:t>50.7</w:t>
            </w:r>
          </w:p>
        </w:tc>
      </w:tr>
      <w:tr w:rsidR="00B75ACA" w:rsidRPr="000E2C7D" w14:paraId="2C69F8C2" w14:textId="77777777" w:rsidTr="001E109E">
        <w:trPr>
          <w:cnfStyle w:val="000000100000" w:firstRow="0" w:lastRow="0" w:firstColumn="0" w:lastColumn="0" w:oddVBand="0" w:evenVBand="0" w:oddHBand="1" w:evenHBand="0" w:firstRowFirstColumn="0" w:firstRowLastColumn="0" w:lastRowFirstColumn="0" w:lastRowLastColumn="0"/>
          <w:jc w:val="center"/>
        </w:trPr>
        <w:tc>
          <w:tcPr>
            <w:tcW w:w="3052" w:type="dxa"/>
            <w:vAlign w:val="center"/>
          </w:tcPr>
          <w:p w14:paraId="5667B9E6" w14:textId="13D6D630" w:rsidR="00B75ACA" w:rsidRPr="001010E4" w:rsidRDefault="00AE4E73" w:rsidP="001E109E">
            <w:pPr>
              <w:pStyle w:val="TableText"/>
            </w:pPr>
            <w:r>
              <w:t>English learners</w:t>
            </w:r>
          </w:p>
        </w:tc>
        <w:tc>
          <w:tcPr>
            <w:tcW w:w="1260" w:type="dxa"/>
          </w:tcPr>
          <w:p w14:paraId="6453947A" w14:textId="77777777" w:rsidR="00B75ACA" w:rsidRPr="00015CFD" w:rsidRDefault="00B75ACA" w:rsidP="009202EF">
            <w:pPr>
              <w:pStyle w:val="TableTextCentered"/>
            </w:pPr>
            <w:r>
              <w:t>1</w:t>
            </w:r>
          </w:p>
        </w:tc>
        <w:tc>
          <w:tcPr>
            <w:tcW w:w="1260" w:type="dxa"/>
          </w:tcPr>
          <w:p w14:paraId="75740A0C" w14:textId="0A5EA1C7" w:rsidR="00B75ACA" w:rsidRPr="00015CFD" w:rsidRDefault="008E5BF5" w:rsidP="009202EF">
            <w:pPr>
              <w:pStyle w:val="TableTextCentered"/>
            </w:pPr>
            <w:r>
              <w:t>—</w:t>
            </w:r>
          </w:p>
        </w:tc>
        <w:tc>
          <w:tcPr>
            <w:tcW w:w="1260" w:type="dxa"/>
          </w:tcPr>
          <w:p w14:paraId="7FB2669E" w14:textId="6B710C6F" w:rsidR="00B75ACA" w:rsidRPr="00015CFD" w:rsidRDefault="008E5BF5" w:rsidP="009202EF">
            <w:pPr>
              <w:pStyle w:val="TableTextCentered"/>
            </w:pPr>
            <w:r>
              <w:t>—</w:t>
            </w:r>
          </w:p>
        </w:tc>
        <w:tc>
          <w:tcPr>
            <w:tcW w:w="1260" w:type="dxa"/>
          </w:tcPr>
          <w:p w14:paraId="7A17A9C4" w14:textId="6AF6E08E" w:rsidR="00B75ACA" w:rsidRPr="00015CFD" w:rsidRDefault="008E5BF5" w:rsidP="009202EF">
            <w:pPr>
              <w:pStyle w:val="TableTextCentered"/>
            </w:pPr>
            <w:r>
              <w:t>—</w:t>
            </w:r>
          </w:p>
        </w:tc>
        <w:tc>
          <w:tcPr>
            <w:tcW w:w="1260" w:type="dxa"/>
          </w:tcPr>
          <w:p w14:paraId="78D8B378" w14:textId="77777777" w:rsidR="00B75ACA" w:rsidRPr="00015CFD" w:rsidRDefault="00B75ACA" w:rsidP="009202EF">
            <w:pPr>
              <w:pStyle w:val="TableTextCentered"/>
            </w:pPr>
            <w:r w:rsidRPr="00015CFD">
              <w:t>31.7</w:t>
            </w:r>
          </w:p>
        </w:tc>
      </w:tr>
      <w:tr w:rsidR="00B75ACA" w:rsidRPr="000E2C7D" w14:paraId="78627877" w14:textId="77777777" w:rsidTr="009202EF">
        <w:trPr>
          <w:jc w:val="center"/>
        </w:trPr>
        <w:tc>
          <w:tcPr>
            <w:tcW w:w="3052" w:type="dxa"/>
          </w:tcPr>
          <w:p w14:paraId="7878EF2F" w14:textId="77777777" w:rsidR="00B75ACA" w:rsidRPr="001010E4" w:rsidRDefault="00B75ACA" w:rsidP="009202EF">
            <w:pPr>
              <w:pStyle w:val="TableText"/>
            </w:pPr>
            <w:r w:rsidRPr="001010E4">
              <w:t>Students w/disabilities</w:t>
            </w:r>
          </w:p>
        </w:tc>
        <w:tc>
          <w:tcPr>
            <w:tcW w:w="1260" w:type="dxa"/>
          </w:tcPr>
          <w:p w14:paraId="527CCD91" w14:textId="77777777" w:rsidR="00B75ACA" w:rsidRPr="00015CFD" w:rsidRDefault="00B75ACA" w:rsidP="009202EF">
            <w:pPr>
              <w:pStyle w:val="TableTextCentered"/>
            </w:pPr>
            <w:r>
              <w:t>42</w:t>
            </w:r>
          </w:p>
        </w:tc>
        <w:tc>
          <w:tcPr>
            <w:tcW w:w="1260" w:type="dxa"/>
          </w:tcPr>
          <w:p w14:paraId="18E7184F" w14:textId="77777777" w:rsidR="00B75ACA" w:rsidRPr="00015CFD" w:rsidRDefault="00B75ACA" w:rsidP="009202EF">
            <w:pPr>
              <w:pStyle w:val="TableTextCentered"/>
            </w:pPr>
            <w:r>
              <w:t>33.9</w:t>
            </w:r>
          </w:p>
        </w:tc>
        <w:tc>
          <w:tcPr>
            <w:tcW w:w="1260" w:type="dxa"/>
          </w:tcPr>
          <w:p w14:paraId="749C4000" w14:textId="77777777" w:rsidR="00B75ACA" w:rsidRPr="00015CFD" w:rsidRDefault="00B75ACA" w:rsidP="009202EF">
            <w:pPr>
              <w:pStyle w:val="TableTextCentered"/>
            </w:pPr>
            <w:r>
              <w:t>31.1</w:t>
            </w:r>
          </w:p>
        </w:tc>
        <w:tc>
          <w:tcPr>
            <w:tcW w:w="1260" w:type="dxa"/>
          </w:tcPr>
          <w:p w14:paraId="29502DC6" w14:textId="77777777" w:rsidR="00B75ACA" w:rsidRPr="00015CFD" w:rsidRDefault="00B75ACA" w:rsidP="009202EF">
            <w:pPr>
              <w:pStyle w:val="TableTextCentered"/>
            </w:pPr>
            <w:r>
              <w:t>28.6</w:t>
            </w:r>
          </w:p>
        </w:tc>
        <w:tc>
          <w:tcPr>
            <w:tcW w:w="1260" w:type="dxa"/>
          </w:tcPr>
          <w:p w14:paraId="03F8BC75" w14:textId="77777777" w:rsidR="00B75ACA" w:rsidRPr="00015CFD" w:rsidRDefault="00B75ACA" w:rsidP="009202EF">
            <w:pPr>
              <w:pStyle w:val="TableTextCentered"/>
            </w:pPr>
            <w:r w:rsidRPr="00015CFD">
              <w:t>36.0</w:t>
            </w:r>
          </w:p>
        </w:tc>
      </w:tr>
    </w:tbl>
    <w:p w14:paraId="49EB00A8" w14:textId="77777777" w:rsidR="00B75ACA" w:rsidRPr="00420639" w:rsidRDefault="00B75ACA" w:rsidP="009202EF">
      <w:pPr>
        <w:pStyle w:val="TableTitle0"/>
      </w:pPr>
      <w:bookmarkStart w:id="215" w:name="_Toc158035189"/>
      <w:r w:rsidRPr="00420639">
        <w:t>Table E2</w:t>
      </w:r>
      <w:r>
        <w:t>2</w:t>
      </w:r>
      <w:r w:rsidRPr="00420639">
        <w:t xml:space="preserve">. </w:t>
      </w:r>
      <w:r>
        <w:t>Accountability Percentile and Classification</w:t>
      </w:r>
      <w:r w:rsidRPr="00420639">
        <w:t>,</w:t>
      </w:r>
      <w:r>
        <w:t xml:space="preserve"> </w:t>
      </w:r>
      <w:r w:rsidRPr="00420639">
        <w:t>2023</w:t>
      </w:r>
      <w:bookmarkEnd w:id="215"/>
    </w:p>
    <w:tbl>
      <w:tblPr>
        <w:tblStyle w:val="MSVTable1"/>
        <w:tblW w:w="5000" w:type="pct"/>
        <w:jc w:val="center"/>
        <w:tblLook w:val="04A0" w:firstRow="1" w:lastRow="0" w:firstColumn="1" w:lastColumn="0" w:noHBand="0" w:noVBand="1"/>
      </w:tblPr>
      <w:tblGrid>
        <w:gridCol w:w="2317"/>
        <w:gridCol w:w="1273"/>
        <w:gridCol w:w="1016"/>
        <w:gridCol w:w="2358"/>
        <w:gridCol w:w="2380"/>
      </w:tblGrid>
      <w:tr w:rsidR="00B75ACA" w:rsidRPr="000E2C7D" w14:paraId="025E4432" w14:textId="77777777" w:rsidTr="009202EF">
        <w:trPr>
          <w:cnfStyle w:val="100000000000" w:firstRow="1" w:lastRow="0" w:firstColumn="0" w:lastColumn="0" w:oddVBand="0" w:evenVBand="0" w:oddHBand="0" w:evenHBand="0" w:firstRowFirstColumn="0" w:firstRowLastColumn="0" w:lastRowFirstColumn="0" w:lastRowLastColumn="0"/>
          <w:jc w:val="center"/>
        </w:trPr>
        <w:tc>
          <w:tcPr>
            <w:tcW w:w="2317" w:type="dxa"/>
            <w:vAlign w:val="center"/>
          </w:tcPr>
          <w:p w14:paraId="57850179" w14:textId="77777777" w:rsidR="00B75ACA" w:rsidRPr="004E4223" w:rsidRDefault="00B75ACA" w:rsidP="009202EF">
            <w:pPr>
              <w:pStyle w:val="TableColHeadingCenter"/>
            </w:pPr>
            <w:r>
              <w:t>School</w:t>
            </w:r>
          </w:p>
        </w:tc>
        <w:tc>
          <w:tcPr>
            <w:tcW w:w="1273" w:type="dxa"/>
          </w:tcPr>
          <w:p w14:paraId="249673FF" w14:textId="482AA4E4" w:rsidR="00B75ACA" w:rsidRDefault="00B75ACA" w:rsidP="009202EF">
            <w:pPr>
              <w:pStyle w:val="TableColHeadingCenter"/>
            </w:pPr>
            <w:r w:rsidRPr="398D5370">
              <w:t xml:space="preserve">Progress </w:t>
            </w:r>
            <w:r w:rsidR="00C6447D">
              <w:t>t</w:t>
            </w:r>
            <w:r w:rsidRPr="398D5370">
              <w:t xml:space="preserve">oward </w:t>
            </w:r>
            <w:r w:rsidR="00C6447D">
              <w:t>i</w:t>
            </w:r>
            <w:r w:rsidRPr="398D5370">
              <w:t xml:space="preserve">mprovement </w:t>
            </w:r>
            <w:r w:rsidR="00C6447D">
              <w:t>t</w:t>
            </w:r>
            <w:r w:rsidRPr="398D5370">
              <w:t>argets (%)</w:t>
            </w:r>
          </w:p>
        </w:tc>
        <w:tc>
          <w:tcPr>
            <w:tcW w:w="1016" w:type="dxa"/>
            <w:vAlign w:val="center"/>
          </w:tcPr>
          <w:p w14:paraId="3AECCCD6" w14:textId="77777777" w:rsidR="00B75ACA" w:rsidRPr="004E4223" w:rsidRDefault="00B75ACA" w:rsidP="009202EF">
            <w:pPr>
              <w:pStyle w:val="TableColHeadingCenter"/>
            </w:pPr>
            <w:r>
              <w:t>Percentile</w:t>
            </w:r>
          </w:p>
        </w:tc>
        <w:tc>
          <w:tcPr>
            <w:tcW w:w="2358" w:type="dxa"/>
            <w:vAlign w:val="center"/>
          </w:tcPr>
          <w:p w14:paraId="297B075C" w14:textId="2704A269" w:rsidR="00B75ACA" w:rsidRPr="004E4223" w:rsidRDefault="00B75ACA" w:rsidP="009202EF">
            <w:pPr>
              <w:pStyle w:val="TableColHeadingCenter"/>
            </w:pPr>
            <w:r>
              <w:t xml:space="preserve">Overall </w:t>
            </w:r>
            <w:r w:rsidR="00C6447D">
              <w:t>c</w:t>
            </w:r>
            <w:r>
              <w:t>lassification</w:t>
            </w:r>
          </w:p>
        </w:tc>
        <w:tc>
          <w:tcPr>
            <w:tcW w:w="2380" w:type="dxa"/>
            <w:vAlign w:val="center"/>
          </w:tcPr>
          <w:p w14:paraId="6FD61130" w14:textId="77D758FA" w:rsidR="00B75ACA" w:rsidRPr="004E4223" w:rsidRDefault="00B75ACA" w:rsidP="009202EF">
            <w:pPr>
              <w:pStyle w:val="TableColHeadingCenter"/>
            </w:pPr>
            <w:r>
              <w:t xml:space="preserve">Reason for </w:t>
            </w:r>
            <w:r w:rsidR="00C6447D">
              <w:t>c</w:t>
            </w:r>
            <w:r>
              <w:t>lassification</w:t>
            </w:r>
          </w:p>
        </w:tc>
      </w:tr>
      <w:tr w:rsidR="00B75ACA" w:rsidRPr="000E2C7D" w14:paraId="40239414" w14:textId="77777777" w:rsidTr="009202EF">
        <w:trPr>
          <w:cnfStyle w:val="000000100000" w:firstRow="0" w:lastRow="0" w:firstColumn="0" w:lastColumn="0" w:oddVBand="0" w:evenVBand="0" w:oddHBand="1" w:evenHBand="0" w:firstRowFirstColumn="0" w:firstRowLastColumn="0" w:lastRowFirstColumn="0" w:lastRowLastColumn="0"/>
          <w:jc w:val="center"/>
        </w:trPr>
        <w:tc>
          <w:tcPr>
            <w:tcW w:w="2317" w:type="dxa"/>
            <w:vAlign w:val="center"/>
          </w:tcPr>
          <w:p w14:paraId="756AD90D" w14:textId="77777777" w:rsidR="00B75ACA" w:rsidRPr="001010E4" w:rsidRDefault="00B75ACA" w:rsidP="009202EF">
            <w:pPr>
              <w:pStyle w:val="TableText"/>
              <w:rPr>
                <w:szCs w:val="20"/>
              </w:rPr>
            </w:pPr>
            <w:r w:rsidRPr="001010E4">
              <w:t>District</w:t>
            </w:r>
          </w:p>
        </w:tc>
        <w:tc>
          <w:tcPr>
            <w:tcW w:w="1273" w:type="dxa"/>
            <w:vAlign w:val="center"/>
          </w:tcPr>
          <w:p w14:paraId="1F15ABFB" w14:textId="77777777" w:rsidR="00B75ACA" w:rsidRPr="001010E4" w:rsidRDefault="00B75ACA" w:rsidP="009202EF">
            <w:pPr>
              <w:pStyle w:val="TableTextCentered"/>
            </w:pPr>
            <w:r>
              <w:t>88</w:t>
            </w:r>
          </w:p>
        </w:tc>
        <w:tc>
          <w:tcPr>
            <w:tcW w:w="1016" w:type="dxa"/>
            <w:vAlign w:val="center"/>
          </w:tcPr>
          <w:p w14:paraId="1D738817" w14:textId="1B7D6FED" w:rsidR="00B75ACA" w:rsidRPr="001010E4" w:rsidRDefault="008E5BF5" w:rsidP="009202EF">
            <w:pPr>
              <w:pStyle w:val="TableTextCentered"/>
              <w:rPr>
                <w:szCs w:val="20"/>
              </w:rPr>
            </w:pPr>
            <w:r>
              <w:t>—</w:t>
            </w:r>
          </w:p>
        </w:tc>
        <w:tc>
          <w:tcPr>
            <w:tcW w:w="2358" w:type="dxa"/>
            <w:vAlign w:val="center"/>
          </w:tcPr>
          <w:p w14:paraId="74388DE7" w14:textId="77777777" w:rsidR="00B75ACA" w:rsidRPr="001010E4" w:rsidRDefault="00B75ACA" w:rsidP="009202EF">
            <w:pPr>
              <w:pStyle w:val="TableTextCentered"/>
              <w:rPr>
                <w:szCs w:val="20"/>
              </w:rPr>
            </w:pPr>
            <w:r w:rsidRPr="001010E4">
              <w:t xml:space="preserve">Not </w:t>
            </w:r>
            <w:r>
              <w:t>r</w:t>
            </w:r>
            <w:r w:rsidRPr="001010E4">
              <w:t xml:space="preserve">equiring </w:t>
            </w:r>
            <w:r>
              <w:t>a</w:t>
            </w:r>
            <w:r w:rsidRPr="001010E4">
              <w:t xml:space="preserve">ssistance or </w:t>
            </w:r>
            <w:r>
              <w:t>i</w:t>
            </w:r>
            <w:r w:rsidRPr="001010E4">
              <w:t>ntervention</w:t>
            </w:r>
          </w:p>
        </w:tc>
        <w:tc>
          <w:tcPr>
            <w:tcW w:w="2380" w:type="dxa"/>
            <w:vAlign w:val="center"/>
          </w:tcPr>
          <w:p w14:paraId="38A8D5EC" w14:textId="77777777" w:rsidR="00B75ACA" w:rsidRPr="001010E4" w:rsidRDefault="00B75ACA" w:rsidP="009202EF">
            <w:pPr>
              <w:pStyle w:val="TableTextCentered"/>
              <w:rPr>
                <w:szCs w:val="20"/>
              </w:rPr>
            </w:pPr>
            <w:r>
              <w:t>Meeting or exceeding targets</w:t>
            </w:r>
          </w:p>
        </w:tc>
      </w:tr>
      <w:tr w:rsidR="00B75ACA" w:rsidRPr="000E2C7D" w14:paraId="6AC65555" w14:textId="77777777" w:rsidTr="009202EF">
        <w:trPr>
          <w:jc w:val="center"/>
        </w:trPr>
        <w:tc>
          <w:tcPr>
            <w:tcW w:w="2317" w:type="dxa"/>
            <w:vAlign w:val="center"/>
          </w:tcPr>
          <w:p w14:paraId="2FF498D6" w14:textId="77777777" w:rsidR="00B75ACA" w:rsidRPr="001010E4" w:rsidRDefault="00B75ACA" w:rsidP="009202EF">
            <w:pPr>
              <w:pStyle w:val="TableText"/>
              <w:rPr>
                <w:szCs w:val="20"/>
              </w:rPr>
            </w:pPr>
            <w:r>
              <w:rPr>
                <w:szCs w:val="20"/>
              </w:rPr>
              <w:t>East Elementary School</w:t>
            </w:r>
          </w:p>
        </w:tc>
        <w:tc>
          <w:tcPr>
            <w:tcW w:w="1273" w:type="dxa"/>
            <w:vAlign w:val="center"/>
          </w:tcPr>
          <w:p w14:paraId="55980DDA" w14:textId="77777777" w:rsidR="00B75ACA" w:rsidRPr="001010E4" w:rsidRDefault="00B75ACA" w:rsidP="009202EF">
            <w:pPr>
              <w:pStyle w:val="TableTextCentered"/>
              <w:rPr>
                <w:szCs w:val="20"/>
              </w:rPr>
            </w:pPr>
            <w:r>
              <w:rPr>
                <w:szCs w:val="20"/>
              </w:rPr>
              <w:t>62</w:t>
            </w:r>
          </w:p>
        </w:tc>
        <w:tc>
          <w:tcPr>
            <w:tcW w:w="1016" w:type="dxa"/>
            <w:vAlign w:val="center"/>
          </w:tcPr>
          <w:p w14:paraId="4558424E" w14:textId="77777777" w:rsidR="00B75ACA" w:rsidRPr="001010E4" w:rsidRDefault="00B75ACA" w:rsidP="009202EF">
            <w:pPr>
              <w:pStyle w:val="TableTextCentered"/>
              <w:rPr>
                <w:szCs w:val="20"/>
              </w:rPr>
            </w:pPr>
            <w:r>
              <w:rPr>
                <w:szCs w:val="20"/>
              </w:rPr>
              <w:t>87</w:t>
            </w:r>
          </w:p>
        </w:tc>
        <w:tc>
          <w:tcPr>
            <w:tcW w:w="2358" w:type="dxa"/>
            <w:vAlign w:val="center"/>
          </w:tcPr>
          <w:p w14:paraId="65F48991" w14:textId="77777777" w:rsidR="00B75ACA" w:rsidRPr="001010E4" w:rsidRDefault="00B75ACA" w:rsidP="009202EF">
            <w:pPr>
              <w:pStyle w:val="TableTextCentered"/>
              <w:rPr>
                <w:szCs w:val="20"/>
              </w:rPr>
            </w:pPr>
            <w:r w:rsidRPr="001010E4">
              <w:t xml:space="preserve">Not </w:t>
            </w:r>
            <w:r>
              <w:t>r</w:t>
            </w:r>
            <w:r w:rsidRPr="001010E4">
              <w:t xml:space="preserve">equiring </w:t>
            </w:r>
            <w:r>
              <w:t>a</w:t>
            </w:r>
            <w:r w:rsidRPr="001010E4">
              <w:t xml:space="preserve">ssistance or </w:t>
            </w:r>
            <w:r>
              <w:t>i</w:t>
            </w:r>
            <w:r w:rsidRPr="001010E4">
              <w:t>ntervention</w:t>
            </w:r>
          </w:p>
        </w:tc>
        <w:tc>
          <w:tcPr>
            <w:tcW w:w="2380" w:type="dxa"/>
            <w:vAlign w:val="center"/>
          </w:tcPr>
          <w:p w14:paraId="714E7AB5" w14:textId="77777777" w:rsidR="00B75ACA" w:rsidRPr="001010E4" w:rsidRDefault="00B75ACA" w:rsidP="009202EF">
            <w:pPr>
              <w:pStyle w:val="TableTextCentered"/>
              <w:rPr>
                <w:szCs w:val="20"/>
              </w:rPr>
            </w:pPr>
            <w:r>
              <w:rPr>
                <w:szCs w:val="20"/>
              </w:rPr>
              <w:t>Substantial progress toward targets</w:t>
            </w:r>
          </w:p>
        </w:tc>
      </w:tr>
      <w:tr w:rsidR="00B75ACA" w:rsidRPr="000E2C7D" w14:paraId="6C249871" w14:textId="77777777" w:rsidTr="001E109E">
        <w:trPr>
          <w:cnfStyle w:val="000000100000" w:firstRow="0" w:lastRow="0" w:firstColumn="0" w:lastColumn="0" w:oddVBand="0" w:evenVBand="0" w:oddHBand="1" w:evenHBand="0" w:firstRowFirstColumn="0" w:firstRowLastColumn="0" w:lastRowFirstColumn="0" w:lastRowLastColumn="0"/>
          <w:jc w:val="center"/>
        </w:trPr>
        <w:tc>
          <w:tcPr>
            <w:tcW w:w="2317" w:type="dxa"/>
            <w:vAlign w:val="center"/>
          </w:tcPr>
          <w:p w14:paraId="55C48727" w14:textId="1C49F17F" w:rsidR="00B75ACA" w:rsidRPr="001010E4" w:rsidRDefault="00B75ACA" w:rsidP="001E109E">
            <w:pPr>
              <w:pStyle w:val="TableText"/>
              <w:rPr>
                <w:szCs w:val="20"/>
              </w:rPr>
            </w:pPr>
            <w:r>
              <w:rPr>
                <w:szCs w:val="20"/>
              </w:rPr>
              <w:t>Plymouth River</w:t>
            </w:r>
            <w:r w:rsidR="00C6447D">
              <w:rPr>
                <w:szCs w:val="20"/>
              </w:rPr>
              <w:t xml:space="preserve"> Elementary School</w:t>
            </w:r>
          </w:p>
        </w:tc>
        <w:tc>
          <w:tcPr>
            <w:tcW w:w="1273" w:type="dxa"/>
            <w:vAlign w:val="center"/>
          </w:tcPr>
          <w:p w14:paraId="6F81C4F2" w14:textId="77777777" w:rsidR="00B75ACA" w:rsidRPr="001010E4" w:rsidRDefault="00B75ACA" w:rsidP="009202EF">
            <w:pPr>
              <w:pStyle w:val="TableTextCentered"/>
              <w:rPr>
                <w:szCs w:val="20"/>
              </w:rPr>
            </w:pPr>
            <w:r>
              <w:rPr>
                <w:szCs w:val="20"/>
              </w:rPr>
              <w:t>91</w:t>
            </w:r>
          </w:p>
        </w:tc>
        <w:tc>
          <w:tcPr>
            <w:tcW w:w="1016" w:type="dxa"/>
            <w:vAlign w:val="center"/>
          </w:tcPr>
          <w:p w14:paraId="606D79B0" w14:textId="77777777" w:rsidR="00B75ACA" w:rsidRPr="001010E4" w:rsidRDefault="00B75ACA" w:rsidP="009202EF">
            <w:pPr>
              <w:pStyle w:val="TableTextCentered"/>
              <w:rPr>
                <w:szCs w:val="20"/>
              </w:rPr>
            </w:pPr>
            <w:r>
              <w:rPr>
                <w:szCs w:val="20"/>
              </w:rPr>
              <w:t>95</w:t>
            </w:r>
          </w:p>
        </w:tc>
        <w:tc>
          <w:tcPr>
            <w:tcW w:w="2358" w:type="dxa"/>
          </w:tcPr>
          <w:p w14:paraId="62E245DA" w14:textId="77777777" w:rsidR="00B75ACA" w:rsidRPr="001010E4" w:rsidRDefault="00B75ACA" w:rsidP="009202EF">
            <w:pPr>
              <w:pStyle w:val="TableTextCentered"/>
              <w:rPr>
                <w:szCs w:val="20"/>
              </w:rPr>
            </w:pPr>
            <w:r w:rsidRPr="00393682">
              <w:t>Not requiring assistance or intervention</w:t>
            </w:r>
          </w:p>
        </w:tc>
        <w:tc>
          <w:tcPr>
            <w:tcW w:w="2380" w:type="dxa"/>
            <w:vAlign w:val="center"/>
          </w:tcPr>
          <w:p w14:paraId="1D9EB223" w14:textId="77777777" w:rsidR="00B75ACA" w:rsidRPr="001010E4" w:rsidRDefault="00B75ACA" w:rsidP="009202EF">
            <w:pPr>
              <w:pStyle w:val="TableTextCentered"/>
              <w:rPr>
                <w:szCs w:val="20"/>
              </w:rPr>
            </w:pPr>
            <w:r>
              <w:rPr>
                <w:szCs w:val="20"/>
              </w:rPr>
              <w:t>School of Recognition</w:t>
            </w:r>
          </w:p>
        </w:tc>
      </w:tr>
      <w:tr w:rsidR="00B75ACA" w:rsidRPr="000E2C7D" w14:paraId="21B8712E" w14:textId="77777777" w:rsidTr="001E109E">
        <w:trPr>
          <w:jc w:val="center"/>
        </w:trPr>
        <w:tc>
          <w:tcPr>
            <w:tcW w:w="2317" w:type="dxa"/>
            <w:shd w:val="clear" w:color="auto" w:fill="auto"/>
            <w:vAlign w:val="center"/>
          </w:tcPr>
          <w:p w14:paraId="52F91BF0" w14:textId="3264B6C4" w:rsidR="00B75ACA" w:rsidRPr="001010E4" w:rsidRDefault="00B75ACA" w:rsidP="001E109E">
            <w:pPr>
              <w:pStyle w:val="TableText"/>
              <w:rPr>
                <w:szCs w:val="20"/>
              </w:rPr>
            </w:pPr>
            <w:r>
              <w:rPr>
                <w:szCs w:val="20"/>
              </w:rPr>
              <w:t xml:space="preserve">South Elementary </w:t>
            </w:r>
            <w:r w:rsidR="00C6447D">
              <w:rPr>
                <w:szCs w:val="20"/>
              </w:rPr>
              <w:t>School</w:t>
            </w:r>
          </w:p>
        </w:tc>
        <w:tc>
          <w:tcPr>
            <w:tcW w:w="1273" w:type="dxa"/>
            <w:vAlign w:val="center"/>
          </w:tcPr>
          <w:p w14:paraId="39B1ADD0" w14:textId="77777777" w:rsidR="00B75ACA" w:rsidRPr="001010E4" w:rsidRDefault="00B75ACA" w:rsidP="009202EF">
            <w:pPr>
              <w:pStyle w:val="TableTextCentered"/>
              <w:rPr>
                <w:szCs w:val="20"/>
              </w:rPr>
            </w:pPr>
            <w:r>
              <w:rPr>
                <w:szCs w:val="20"/>
              </w:rPr>
              <w:t>100</w:t>
            </w:r>
          </w:p>
        </w:tc>
        <w:tc>
          <w:tcPr>
            <w:tcW w:w="1016" w:type="dxa"/>
            <w:vAlign w:val="center"/>
          </w:tcPr>
          <w:p w14:paraId="7065E66B" w14:textId="77777777" w:rsidR="00B75ACA" w:rsidRPr="001010E4" w:rsidRDefault="00B75ACA" w:rsidP="009202EF">
            <w:pPr>
              <w:pStyle w:val="TableTextCentered"/>
              <w:rPr>
                <w:szCs w:val="20"/>
              </w:rPr>
            </w:pPr>
            <w:r>
              <w:rPr>
                <w:szCs w:val="20"/>
              </w:rPr>
              <w:t>99</w:t>
            </w:r>
          </w:p>
        </w:tc>
        <w:tc>
          <w:tcPr>
            <w:tcW w:w="2358" w:type="dxa"/>
          </w:tcPr>
          <w:p w14:paraId="10457941" w14:textId="77777777" w:rsidR="00B75ACA" w:rsidRPr="001010E4" w:rsidRDefault="00B75ACA" w:rsidP="009202EF">
            <w:pPr>
              <w:pStyle w:val="TableTextCentered"/>
              <w:rPr>
                <w:szCs w:val="20"/>
              </w:rPr>
            </w:pPr>
            <w:r w:rsidRPr="00393682">
              <w:t>Not requiring assistance or intervention</w:t>
            </w:r>
          </w:p>
        </w:tc>
        <w:tc>
          <w:tcPr>
            <w:tcW w:w="2380" w:type="dxa"/>
            <w:vAlign w:val="center"/>
          </w:tcPr>
          <w:p w14:paraId="5449791F" w14:textId="77777777" w:rsidR="00B75ACA" w:rsidRPr="001010E4" w:rsidRDefault="00B75ACA" w:rsidP="009202EF">
            <w:pPr>
              <w:pStyle w:val="TableTextCentered"/>
              <w:rPr>
                <w:szCs w:val="20"/>
              </w:rPr>
            </w:pPr>
            <w:r>
              <w:rPr>
                <w:szCs w:val="20"/>
              </w:rPr>
              <w:t>School of Recognition</w:t>
            </w:r>
          </w:p>
        </w:tc>
      </w:tr>
      <w:tr w:rsidR="00B75ACA" w:rsidRPr="000E2C7D" w14:paraId="1E844FC4" w14:textId="77777777" w:rsidTr="009202EF">
        <w:trPr>
          <w:cnfStyle w:val="000000100000" w:firstRow="0" w:lastRow="0" w:firstColumn="0" w:lastColumn="0" w:oddVBand="0" w:evenVBand="0" w:oddHBand="1" w:evenHBand="0" w:firstRowFirstColumn="0" w:firstRowLastColumn="0" w:lastRowFirstColumn="0" w:lastRowLastColumn="0"/>
          <w:jc w:val="center"/>
        </w:trPr>
        <w:tc>
          <w:tcPr>
            <w:tcW w:w="2317" w:type="dxa"/>
          </w:tcPr>
          <w:p w14:paraId="3BDAC029" w14:textId="363B8960" w:rsidR="00B75ACA" w:rsidRPr="001010E4" w:rsidRDefault="00B75ACA" w:rsidP="009202EF">
            <w:pPr>
              <w:pStyle w:val="TableText"/>
              <w:rPr>
                <w:szCs w:val="20"/>
              </w:rPr>
            </w:pPr>
            <w:r>
              <w:rPr>
                <w:szCs w:val="20"/>
              </w:rPr>
              <w:t>W</w:t>
            </w:r>
            <w:r w:rsidR="00C6447D">
              <w:rPr>
                <w:szCs w:val="20"/>
              </w:rPr>
              <w:t>illiam</w:t>
            </w:r>
            <w:r>
              <w:rPr>
                <w:szCs w:val="20"/>
              </w:rPr>
              <w:t xml:space="preserve"> L</w:t>
            </w:r>
            <w:r w:rsidR="00C6447D">
              <w:rPr>
                <w:szCs w:val="20"/>
              </w:rPr>
              <w:t>.</w:t>
            </w:r>
            <w:r>
              <w:rPr>
                <w:szCs w:val="20"/>
              </w:rPr>
              <w:t xml:space="preserve"> Foster Elementary</w:t>
            </w:r>
            <w:r w:rsidR="00C6447D">
              <w:rPr>
                <w:szCs w:val="20"/>
              </w:rPr>
              <w:t xml:space="preserve"> School</w:t>
            </w:r>
          </w:p>
        </w:tc>
        <w:tc>
          <w:tcPr>
            <w:tcW w:w="1273" w:type="dxa"/>
            <w:vAlign w:val="center"/>
          </w:tcPr>
          <w:p w14:paraId="520AC58D" w14:textId="77777777" w:rsidR="00B75ACA" w:rsidRPr="001010E4" w:rsidRDefault="00B75ACA" w:rsidP="009202EF">
            <w:pPr>
              <w:pStyle w:val="TableTextCentered"/>
              <w:rPr>
                <w:szCs w:val="20"/>
              </w:rPr>
            </w:pPr>
            <w:r>
              <w:rPr>
                <w:szCs w:val="20"/>
              </w:rPr>
              <w:t>99</w:t>
            </w:r>
          </w:p>
        </w:tc>
        <w:tc>
          <w:tcPr>
            <w:tcW w:w="1016" w:type="dxa"/>
            <w:vAlign w:val="center"/>
          </w:tcPr>
          <w:p w14:paraId="02499834" w14:textId="77777777" w:rsidR="00B75ACA" w:rsidRPr="001010E4" w:rsidRDefault="00B75ACA" w:rsidP="009202EF">
            <w:pPr>
              <w:pStyle w:val="TableTextCentered"/>
              <w:rPr>
                <w:szCs w:val="20"/>
              </w:rPr>
            </w:pPr>
            <w:r>
              <w:rPr>
                <w:szCs w:val="20"/>
              </w:rPr>
              <w:t>99</w:t>
            </w:r>
          </w:p>
        </w:tc>
        <w:tc>
          <w:tcPr>
            <w:tcW w:w="2358" w:type="dxa"/>
          </w:tcPr>
          <w:p w14:paraId="5C60BE88" w14:textId="77777777" w:rsidR="00B75ACA" w:rsidRPr="001010E4" w:rsidRDefault="00B75ACA" w:rsidP="009202EF">
            <w:pPr>
              <w:pStyle w:val="TableTextCentered"/>
              <w:rPr>
                <w:szCs w:val="20"/>
              </w:rPr>
            </w:pPr>
            <w:r w:rsidRPr="00393682">
              <w:t>Not requiring assistance or intervention</w:t>
            </w:r>
          </w:p>
        </w:tc>
        <w:tc>
          <w:tcPr>
            <w:tcW w:w="2380" w:type="dxa"/>
            <w:vAlign w:val="center"/>
          </w:tcPr>
          <w:p w14:paraId="067A57BB" w14:textId="77777777" w:rsidR="00B75ACA" w:rsidRPr="001010E4" w:rsidRDefault="00B75ACA" w:rsidP="009202EF">
            <w:pPr>
              <w:pStyle w:val="TableTextCentered"/>
              <w:rPr>
                <w:szCs w:val="20"/>
              </w:rPr>
            </w:pPr>
            <w:r>
              <w:rPr>
                <w:szCs w:val="20"/>
              </w:rPr>
              <w:t>Meeting or exceeding targets</w:t>
            </w:r>
          </w:p>
        </w:tc>
      </w:tr>
      <w:tr w:rsidR="00B75ACA" w:rsidRPr="000E2C7D" w14:paraId="62DB23ED" w14:textId="77777777" w:rsidTr="001E109E">
        <w:trPr>
          <w:jc w:val="center"/>
        </w:trPr>
        <w:tc>
          <w:tcPr>
            <w:tcW w:w="2317" w:type="dxa"/>
            <w:vAlign w:val="center"/>
          </w:tcPr>
          <w:p w14:paraId="54F4D9D5" w14:textId="77777777" w:rsidR="00B75ACA" w:rsidRPr="001010E4" w:rsidRDefault="00B75ACA" w:rsidP="001E109E">
            <w:pPr>
              <w:pStyle w:val="TableText"/>
              <w:rPr>
                <w:szCs w:val="20"/>
              </w:rPr>
            </w:pPr>
            <w:r>
              <w:rPr>
                <w:szCs w:val="20"/>
              </w:rPr>
              <w:t>Hingham Middle School</w:t>
            </w:r>
          </w:p>
        </w:tc>
        <w:tc>
          <w:tcPr>
            <w:tcW w:w="1273" w:type="dxa"/>
            <w:vAlign w:val="center"/>
          </w:tcPr>
          <w:p w14:paraId="5055B318" w14:textId="77777777" w:rsidR="00B75ACA" w:rsidRPr="001010E4" w:rsidRDefault="00B75ACA" w:rsidP="009202EF">
            <w:pPr>
              <w:pStyle w:val="TableTextCentered"/>
              <w:rPr>
                <w:szCs w:val="20"/>
              </w:rPr>
            </w:pPr>
            <w:r>
              <w:rPr>
                <w:szCs w:val="20"/>
              </w:rPr>
              <w:t>76</w:t>
            </w:r>
          </w:p>
        </w:tc>
        <w:tc>
          <w:tcPr>
            <w:tcW w:w="1016" w:type="dxa"/>
            <w:vAlign w:val="center"/>
          </w:tcPr>
          <w:p w14:paraId="02C47D15" w14:textId="77777777" w:rsidR="00B75ACA" w:rsidRPr="001010E4" w:rsidRDefault="00B75ACA" w:rsidP="009202EF">
            <w:pPr>
              <w:pStyle w:val="TableTextCentered"/>
              <w:rPr>
                <w:szCs w:val="20"/>
              </w:rPr>
            </w:pPr>
            <w:r>
              <w:rPr>
                <w:szCs w:val="20"/>
              </w:rPr>
              <w:t>84</w:t>
            </w:r>
          </w:p>
        </w:tc>
        <w:tc>
          <w:tcPr>
            <w:tcW w:w="2358" w:type="dxa"/>
          </w:tcPr>
          <w:p w14:paraId="46FF4E8B" w14:textId="77777777" w:rsidR="00B75ACA" w:rsidRPr="001010E4" w:rsidRDefault="00B75ACA" w:rsidP="009202EF">
            <w:pPr>
              <w:pStyle w:val="TableTextCentered"/>
              <w:rPr>
                <w:szCs w:val="20"/>
              </w:rPr>
            </w:pPr>
            <w:r w:rsidRPr="00393682">
              <w:t>Not requiring assistance or intervention</w:t>
            </w:r>
          </w:p>
        </w:tc>
        <w:tc>
          <w:tcPr>
            <w:tcW w:w="2380" w:type="dxa"/>
            <w:vAlign w:val="center"/>
          </w:tcPr>
          <w:p w14:paraId="4B750204" w14:textId="77777777" w:rsidR="00B75ACA" w:rsidRPr="001010E4" w:rsidRDefault="00B75ACA" w:rsidP="009202EF">
            <w:pPr>
              <w:pStyle w:val="TableTextCentered"/>
              <w:rPr>
                <w:szCs w:val="20"/>
              </w:rPr>
            </w:pPr>
            <w:r>
              <w:rPr>
                <w:szCs w:val="20"/>
              </w:rPr>
              <w:t>Meeting or exceeding targets</w:t>
            </w:r>
          </w:p>
        </w:tc>
      </w:tr>
      <w:tr w:rsidR="00B75ACA" w:rsidRPr="000E2C7D" w14:paraId="1ADC9144" w14:textId="77777777" w:rsidTr="001E109E">
        <w:trPr>
          <w:cnfStyle w:val="000000100000" w:firstRow="0" w:lastRow="0" w:firstColumn="0" w:lastColumn="0" w:oddVBand="0" w:evenVBand="0" w:oddHBand="1" w:evenHBand="0" w:firstRowFirstColumn="0" w:firstRowLastColumn="0" w:lastRowFirstColumn="0" w:lastRowLastColumn="0"/>
          <w:jc w:val="center"/>
        </w:trPr>
        <w:tc>
          <w:tcPr>
            <w:tcW w:w="2317" w:type="dxa"/>
            <w:vAlign w:val="center"/>
          </w:tcPr>
          <w:p w14:paraId="0BFE1816" w14:textId="00DB6825" w:rsidR="00B75ACA" w:rsidRPr="001010E4" w:rsidRDefault="00B75ACA" w:rsidP="001E109E">
            <w:pPr>
              <w:pStyle w:val="TableText"/>
              <w:rPr>
                <w:szCs w:val="20"/>
              </w:rPr>
            </w:pPr>
            <w:r>
              <w:rPr>
                <w:szCs w:val="20"/>
              </w:rPr>
              <w:t>Hingham High</w:t>
            </w:r>
            <w:r w:rsidR="00C6447D">
              <w:rPr>
                <w:szCs w:val="20"/>
              </w:rPr>
              <w:t xml:space="preserve"> School</w:t>
            </w:r>
          </w:p>
        </w:tc>
        <w:tc>
          <w:tcPr>
            <w:tcW w:w="1273" w:type="dxa"/>
            <w:vAlign w:val="center"/>
          </w:tcPr>
          <w:p w14:paraId="2DEEC76E" w14:textId="77777777" w:rsidR="00B75ACA" w:rsidRPr="001010E4" w:rsidRDefault="00B75ACA" w:rsidP="009202EF">
            <w:pPr>
              <w:pStyle w:val="TableTextCentered"/>
              <w:rPr>
                <w:szCs w:val="20"/>
              </w:rPr>
            </w:pPr>
            <w:r>
              <w:rPr>
                <w:szCs w:val="20"/>
              </w:rPr>
              <w:t>96</w:t>
            </w:r>
          </w:p>
        </w:tc>
        <w:tc>
          <w:tcPr>
            <w:tcW w:w="1016" w:type="dxa"/>
            <w:vAlign w:val="center"/>
          </w:tcPr>
          <w:p w14:paraId="3C658CB8" w14:textId="77777777" w:rsidR="00B75ACA" w:rsidRPr="001010E4" w:rsidRDefault="00B75ACA" w:rsidP="009202EF">
            <w:pPr>
              <w:pStyle w:val="TableTextCentered"/>
              <w:rPr>
                <w:szCs w:val="20"/>
              </w:rPr>
            </w:pPr>
            <w:r>
              <w:rPr>
                <w:szCs w:val="20"/>
              </w:rPr>
              <w:t>90</w:t>
            </w:r>
          </w:p>
        </w:tc>
        <w:tc>
          <w:tcPr>
            <w:tcW w:w="2358" w:type="dxa"/>
          </w:tcPr>
          <w:p w14:paraId="1ED44CCE" w14:textId="77777777" w:rsidR="00B75ACA" w:rsidRPr="001010E4" w:rsidRDefault="00B75ACA" w:rsidP="009202EF">
            <w:pPr>
              <w:pStyle w:val="TableTextCentered"/>
              <w:rPr>
                <w:szCs w:val="20"/>
              </w:rPr>
            </w:pPr>
            <w:r w:rsidRPr="00393682">
              <w:t>Not requiring assistance or intervention</w:t>
            </w:r>
          </w:p>
        </w:tc>
        <w:tc>
          <w:tcPr>
            <w:tcW w:w="2380" w:type="dxa"/>
            <w:vAlign w:val="center"/>
          </w:tcPr>
          <w:p w14:paraId="51934C22" w14:textId="77777777" w:rsidR="00B75ACA" w:rsidRPr="001010E4" w:rsidRDefault="00B75ACA" w:rsidP="009202EF">
            <w:pPr>
              <w:pStyle w:val="TableTextCentered"/>
              <w:rPr>
                <w:szCs w:val="20"/>
              </w:rPr>
            </w:pPr>
            <w:r>
              <w:rPr>
                <w:szCs w:val="20"/>
              </w:rPr>
              <w:t>Meeting or exceeding targets</w:t>
            </w:r>
          </w:p>
        </w:tc>
      </w:tr>
      <w:bookmarkEnd w:id="213"/>
    </w:tbl>
    <w:p w14:paraId="1A8E62F5" w14:textId="77777777" w:rsidR="00254505" w:rsidRPr="00FD06ED" w:rsidRDefault="00254505" w:rsidP="00C6447D">
      <w:pPr>
        <w:pStyle w:val="BodyText"/>
      </w:pPr>
    </w:p>
    <w:sectPr w:rsidR="00254505" w:rsidRPr="00FD06ED" w:rsidSect="009202EF">
      <w:headerReference w:type="default" r:id="rId104"/>
      <w:footerReference w:type="default" r:id="rId105"/>
      <w:footerReference w:type="first" r:id="rId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6DAFE" w14:textId="77777777" w:rsidR="00B322A6" w:rsidRDefault="00B322A6" w:rsidP="00B93273">
      <w:pPr>
        <w:spacing w:line="240" w:lineRule="auto"/>
      </w:pPr>
      <w:r>
        <w:separator/>
      </w:r>
    </w:p>
  </w:endnote>
  <w:endnote w:type="continuationSeparator" w:id="0">
    <w:p w14:paraId="40098A3D" w14:textId="77777777" w:rsidR="00B322A6" w:rsidRDefault="00B322A6" w:rsidP="00B93273">
      <w:pPr>
        <w:spacing w:line="240" w:lineRule="auto"/>
      </w:pPr>
      <w:r>
        <w:continuationSeparator/>
      </w:r>
    </w:p>
  </w:endnote>
  <w:endnote w:type="continuationNotice" w:id="1">
    <w:p w14:paraId="7E261148" w14:textId="77777777" w:rsidR="00B322A6" w:rsidRDefault="00B322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Helvetica Neue">
    <w:altName w:val="Sylfaen"/>
    <w:charset w:val="00"/>
    <w:family w:val="auto"/>
    <w:pitch w:val="variable"/>
    <w:sig w:usb0="E50002FF" w:usb1="500079DB" w:usb2="00000010" w:usb3="00000000" w:csb0="00000001"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F0DE" w14:textId="2AB1B2AA" w:rsidR="00E315A4" w:rsidRPr="004668E7" w:rsidRDefault="00AA07D0" w:rsidP="00E315A4">
    <w:pPr>
      <w:pStyle w:val="Footer"/>
    </w:pPr>
    <w:r>
      <w:rPr>
        <w:rStyle w:val="FranklinGothicDemi"/>
        <w:color w:val="44546A" w:themeColor="text2"/>
      </w:rPr>
      <w:t>Hingham</w:t>
    </w:r>
    <w:r w:rsidRPr="00B3679E">
      <w:rPr>
        <w:rStyle w:val="FranklinGothicDemi"/>
        <w:color w:val="44546A" w:themeColor="text2"/>
      </w:rPr>
      <w:t xml:space="preserve"> Public Schools</w:t>
    </w:r>
    <w:r w:rsidR="00E315A4" w:rsidRPr="0055077E">
      <w:rPr>
        <w:rStyle w:val="FranklinGothicDemi"/>
        <w:color w:val="7698D4"/>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4336" w14:textId="4515A6D3" w:rsidR="00B75ACA" w:rsidRPr="004668E7" w:rsidRDefault="00B75ACA" w:rsidP="00B75ACA">
    <w:pPr>
      <w:pStyle w:val="Footer"/>
    </w:pPr>
    <w:r>
      <w:rPr>
        <w:rStyle w:val="FranklinGothicDemi"/>
        <w:color w:val="44546A" w:themeColor="text2"/>
      </w:rPr>
      <w:t>Hingham</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3</w:t>
    </w:r>
    <w:r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AF40" w14:textId="2FFA68D9" w:rsidR="002E7525" w:rsidRPr="004668E7" w:rsidRDefault="00AA07D0" w:rsidP="002E7525">
    <w:pPr>
      <w:pStyle w:val="Footer"/>
    </w:pPr>
    <w:r>
      <w:rPr>
        <w:rStyle w:val="FranklinGothicDemi"/>
        <w:color w:val="44546A" w:themeColor="text2"/>
      </w:rPr>
      <w:t>Hingham</w:t>
    </w:r>
    <w:r w:rsidRPr="00B3679E">
      <w:rPr>
        <w:rStyle w:val="FranklinGothicDemi"/>
        <w:color w:val="44546A" w:themeColor="text2"/>
      </w:rPr>
      <w:t xml:space="preserve"> Public Schools</w:t>
    </w:r>
    <w:r w:rsidR="002E7525" w:rsidRPr="0055077E">
      <w:rPr>
        <w:rStyle w:val="FranklinGothicDemi"/>
        <w:color w:val="7698D4"/>
      </w:rPr>
      <w:t xml:space="preserve"> </w:t>
    </w:r>
    <w:r w:rsidR="002E7525">
      <w:ptab w:relativeTo="margin" w:alignment="right" w:leader="none"/>
    </w:r>
    <w:r w:rsidR="002E7525" w:rsidRPr="0055077E">
      <w:t xml:space="preserve"> 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page E-</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7480" w14:textId="55CB4DAB" w:rsidR="00E315A4" w:rsidRPr="004668E7" w:rsidRDefault="00C9503E" w:rsidP="00E315A4">
    <w:pPr>
      <w:pStyle w:val="Footer"/>
    </w:pPr>
    <w:r>
      <w:rPr>
        <w:rStyle w:val="FranklinGothicDemi"/>
        <w:color w:val="44546A" w:themeColor="text2"/>
      </w:rPr>
      <w:t>Hingham</w:t>
    </w:r>
    <w:r w:rsidR="00946862" w:rsidRPr="00B3679E">
      <w:rPr>
        <w:rStyle w:val="FranklinGothicDemi"/>
        <w:color w:val="44546A" w:themeColor="text2"/>
      </w:rPr>
      <w:t xml:space="preserve"> Public Schools</w:t>
    </w:r>
    <w:r w:rsidR="00E315A4" w:rsidRPr="0055077E">
      <w:rPr>
        <w:rStyle w:val="FranklinGothicDemi"/>
        <w:color w:val="7698D4"/>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53BE90D1" w:rsidR="00FF48CB" w:rsidRPr="004668E7" w:rsidRDefault="00AA07D0" w:rsidP="00E315A4">
    <w:pPr>
      <w:pStyle w:val="Footer"/>
    </w:pPr>
    <w:r>
      <w:rPr>
        <w:rStyle w:val="FranklinGothicDemi"/>
        <w:color w:val="44546A" w:themeColor="text2"/>
      </w:rPr>
      <w:t>Hingham</w:t>
    </w:r>
    <w:r w:rsidRPr="00B3679E">
      <w:rPr>
        <w:rStyle w:val="FranklinGothicDemi"/>
        <w:color w:val="44546A" w:themeColor="text2"/>
      </w:rPr>
      <w:t xml:space="preserve"> Public Schools</w:t>
    </w:r>
    <w:r w:rsidR="00FF48CB" w:rsidRPr="0055077E">
      <w:rPr>
        <w:rStyle w:val="FranklinGothicDemi"/>
        <w:color w:val="7698D4"/>
      </w:rPr>
      <w:t xml:space="preserve">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4929" w14:textId="073F6778" w:rsidR="00486B55" w:rsidRPr="004668E7" w:rsidRDefault="00AA07D0" w:rsidP="00E315A4">
    <w:pPr>
      <w:pStyle w:val="Footer"/>
    </w:pPr>
    <w:r>
      <w:rPr>
        <w:rStyle w:val="FranklinGothicDemi"/>
        <w:color w:val="44546A" w:themeColor="text2"/>
      </w:rPr>
      <w:t>Hingham</w:t>
    </w:r>
    <w:r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68AD" w14:textId="77777777" w:rsidR="00B47AE8" w:rsidRPr="00F31A73" w:rsidRDefault="00B47AE8">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8ADC" w14:textId="1C21B214" w:rsidR="00B47AE8" w:rsidRPr="007A0CFB" w:rsidRDefault="007A0CFB" w:rsidP="007A0CFB">
    <w:pPr>
      <w:pStyle w:val="Footer"/>
    </w:pPr>
    <w:r>
      <w:rPr>
        <w:rStyle w:val="FranklinGothicDemi"/>
        <w:color w:val="44546A" w:themeColor="text2"/>
      </w:rPr>
      <w:t>Hingham</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3C60" w14:textId="4F2E7F54" w:rsidR="00486B55" w:rsidRPr="004668E7" w:rsidRDefault="00AA07D0" w:rsidP="002E7525">
    <w:pPr>
      <w:pStyle w:val="Footer"/>
    </w:pPr>
    <w:r>
      <w:rPr>
        <w:rStyle w:val="FranklinGothicDemi"/>
        <w:color w:val="44546A" w:themeColor="text2"/>
      </w:rPr>
      <w:t>Hingham</w:t>
    </w:r>
    <w:r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D9187" w14:textId="77777777" w:rsidR="00B322A6" w:rsidRDefault="00B322A6" w:rsidP="00B93273">
      <w:pPr>
        <w:spacing w:line="240" w:lineRule="auto"/>
      </w:pPr>
      <w:r>
        <w:separator/>
      </w:r>
    </w:p>
  </w:footnote>
  <w:footnote w:type="continuationSeparator" w:id="0">
    <w:p w14:paraId="2BC91770" w14:textId="77777777" w:rsidR="00B322A6" w:rsidRDefault="00B322A6" w:rsidP="00B93273">
      <w:pPr>
        <w:spacing w:line="240" w:lineRule="auto"/>
      </w:pPr>
      <w:r>
        <w:continuationSeparator/>
      </w:r>
    </w:p>
  </w:footnote>
  <w:footnote w:type="continuationNotice" w:id="1">
    <w:p w14:paraId="56962657" w14:textId="77777777" w:rsidR="00B322A6" w:rsidRDefault="00B322A6">
      <w:pPr>
        <w:spacing w:line="240" w:lineRule="auto"/>
      </w:pPr>
    </w:p>
  </w:footnote>
  <w:footnote w:id="2">
    <w:p w14:paraId="6D1987A1" w14:textId="29414962" w:rsidR="002A424E" w:rsidRDefault="002A424E">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5469F680" w14:textId="44B257A9" w:rsidR="00FA5863" w:rsidRDefault="00FA5863">
      <w:pPr>
        <w:pStyle w:val="FootnoteText"/>
      </w:pPr>
      <w:r>
        <w:rPr>
          <w:rStyle w:val="FootnoteReference"/>
        </w:rPr>
        <w:footnoteRef/>
      </w:r>
      <w:r>
        <w:t xml:space="preserve"> CURATE: CUrriculum RAtings by TEachers. See </w:t>
      </w:r>
      <w:hyperlink r:id="rId3" w:history="1">
        <w:r w:rsidRPr="00FA5863">
          <w:rPr>
            <w:rStyle w:val="Hyperlink"/>
          </w:rPr>
          <w:t>https://www.doe.mass.edu/instruction/curate</w:t>
        </w:r>
      </w:hyperlink>
      <w:r>
        <w:t>.</w:t>
      </w:r>
    </w:p>
  </w:footnote>
  <w:footnote w:id="5">
    <w:p w14:paraId="7AF71291" w14:textId="1863E0CE" w:rsidR="00BC0AE8" w:rsidRDefault="00BC0AE8" w:rsidP="00BC0AE8">
      <w:pPr>
        <w:pStyle w:val="FootnoteText"/>
      </w:pPr>
      <w:r>
        <w:rPr>
          <w:rStyle w:val="FootnoteReference"/>
        </w:rPr>
        <w:footnoteRef/>
      </w:r>
      <w:r>
        <w:t xml:space="preserve"> Districts with similar demographics and similar wealth are based on </w:t>
      </w:r>
      <w:hyperlink r:id="rId4" w:history="1">
        <w:r w:rsidR="00DE5DB4" w:rsidRPr="00DE5DB4">
          <w:rPr>
            <w:rStyle w:val="Hyperlink"/>
          </w:rPr>
          <w:t>Resource Allocation and District Action Reports (RADAR) data</w:t>
        </w:r>
      </w:hyperlink>
      <w:r w:rsidR="00DE5DB4">
        <w:t xml:space="preserve"> </w:t>
      </w:r>
      <w:r>
        <w:t xml:space="preserve">retrieved </w:t>
      </w:r>
      <w:r w:rsidR="00BF51F1">
        <w:t xml:space="preserve">in </w:t>
      </w:r>
      <w:r>
        <w:t>February 2024.</w:t>
      </w:r>
    </w:p>
  </w:footnote>
  <w:footnote w:id="6">
    <w:p w14:paraId="7C29F70A" w14:textId="74B534F7" w:rsidR="00C90F93" w:rsidRDefault="00C90F93">
      <w:pPr>
        <w:pStyle w:val="FootnoteText"/>
      </w:pPr>
      <w:r>
        <w:rPr>
          <w:rStyle w:val="FootnoteReference"/>
        </w:rPr>
        <w:footnoteRef/>
      </w:r>
      <w:r>
        <w:t xml:space="preserve"> </w:t>
      </w:r>
      <w:r>
        <w:rPr>
          <w:rFonts w:ascii="Franklin Gothic Book" w:hAnsi="Franklin Gothic Book"/>
        </w:rPr>
        <w:t>Average student growth percentile (SGP) ranges: Very Low Growth = 1.0</w:t>
      </w:r>
      <w:r w:rsidR="008E5BF5">
        <w:rPr>
          <w:rFonts w:ascii="Franklin Gothic Book" w:hAnsi="Franklin Gothic Book"/>
        </w:rPr>
        <w:t>—</w:t>
      </w:r>
      <w:r>
        <w:rPr>
          <w:rFonts w:ascii="Franklin Gothic Book" w:hAnsi="Franklin Gothic Book"/>
        </w:rPr>
        <w:t>29.9, Low Growth = 30.0</w:t>
      </w:r>
      <w:r w:rsidR="008E5BF5">
        <w:rPr>
          <w:rFonts w:ascii="Franklin Gothic Book" w:hAnsi="Franklin Gothic Book"/>
        </w:rPr>
        <w:t>—</w:t>
      </w:r>
      <w:r>
        <w:rPr>
          <w:rFonts w:ascii="Franklin Gothic Book" w:hAnsi="Franklin Gothic Book"/>
        </w:rPr>
        <w:t>39.9, Typical Growth = 40.0</w:t>
      </w:r>
      <w:r w:rsidR="008E5BF5">
        <w:rPr>
          <w:rFonts w:ascii="Franklin Gothic Book" w:hAnsi="Franklin Gothic Book"/>
        </w:rPr>
        <w:t>—</w:t>
      </w:r>
      <w:r>
        <w:rPr>
          <w:rFonts w:ascii="Franklin Gothic Book" w:hAnsi="Franklin Gothic Book"/>
        </w:rPr>
        <w:t>59.9, Exceeded Typical Growth = 60.0 or higher.</w:t>
      </w:r>
    </w:p>
  </w:footnote>
  <w:footnote w:id="7">
    <w:p w14:paraId="2605EB19" w14:textId="4FC7C76C" w:rsidR="001974B5" w:rsidRDefault="001974B5">
      <w:pPr>
        <w:pStyle w:val="FootnoteText"/>
      </w:pPr>
      <w:r>
        <w:rPr>
          <w:rStyle w:val="FootnoteReference"/>
        </w:rPr>
        <w:footnoteRef/>
      </w:r>
      <w:r>
        <w:t xml:space="preserve"> More recent editions of this curriculum </w:t>
      </w:r>
      <w:r w:rsidR="00BB5C1A">
        <w:t>are rated as meets expectations.</w:t>
      </w:r>
    </w:p>
  </w:footnote>
  <w:footnote w:id="8">
    <w:p w14:paraId="288BCE55" w14:textId="77777777" w:rsidR="00B47AE8" w:rsidRPr="00F008EE" w:rsidRDefault="00B47AE8">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A6B40" w14:textId="77777777" w:rsidR="00B47AE8" w:rsidRPr="00FF6528" w:rsidRDefault="00B47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D1F2" w14:textId="77777777" w:rsidR="0047269F" w:rsidRDefault="0047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6604C1"/>
    <w:multiLevelType w:val="hybridMultilevel"/>
    <w:tmpl w:val="3146CC2E"/>
    <w:lvl w:ilvl="0" w:tplc="C4706E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6" w15:restartNumberingAfterBreak="0">
    <w:nsid w:val="30BC5B56"/>
    <w:multiLevelType w:val="hybridMultilevel"/>
    <w:tmpl w:val="BF04A6F8"/>
    <w:styleLink w:val="TableBulletList"/>
    <w:lvl w:ilvl="0" w:tplc="32F44698">
      <w:start w:val="2023"/>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8"/>
  </w:num>
  <w:num w:numId="2" w16cid:durableId="1081218223">
    <w:abstractNumId w:val="1"/>
  </w:num>
  <w:num w:numId="3" w16cid:durableId="1729691725">
    <w:abstractNumId w:val="10"/>
  </w:num>
  <w:num w:numId="4" w16cid:durableId="142703376">
    <w:abstractNumId w:val="9"/>
  </w:num>
  <w:num w:numId="5" w16cid:durableId="913396038">
    <w:abstractNumId w:val="11"/>
  </w:num>
  <w:num w:numId="6" w16cid:durableId="1534149646">
    <w:abstractNumId w:val="5"/>
  </w:num>
  <w:num w:numId="7" w16cid:durableId="2036345692">
    <w:abstractNumId w:val="2"/>
  </w:num>
  <w:num w:numId="8" w16cid:durableId="885028805">
    <w:abstractNumId w:val="7"/>
  </w:num>
  <w:num w:numId="9" w16cid:durableId="425224381">
    <w:abstractNumId w:val="0"/>
  </w:num>
  <w:num w:numId="10" w16cid:durableId="1153259004">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930849361">
    <w:abstractNumId w:val="3"/>
  </w:num>
  <w:num w:numId="12" w16cid:durableId="900946771">
    <w:abstractNumId w:val="4"/>
  </w:num>
  <w:num w:numId="13" w16cid:durableId="174855422">
    <w:abstractNumId w:val="6"/>
  </w:num>
  <w:num w:numId="14" w16cid:durableId="18071611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s-MX"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375"/>
    <w:rsid w:val="000005C0"/>
    <w:rsid w:val="0000072F"/>
    <w:rsid w:val="000007A2"/>
    <w:rsid w:val="00000848"/>
    <w:rsid w:val="00000E6A"/>
    <w:rsid w:val="00000FE2"/>
    <w:rsid w:val="00001062"/>
    <w:rsid w:val="00001154"/>
    <w:rsid w:val="00001256"/>
    <w:rsid w:val="00001441"/>
    <w:rsid w:val="00001549"/>
    <w:rsid w:val="000016F6"/>
    <w:rsid w:val="00001770"/>
    <w:rsid w:val="000018E9"/>
    <w:rsid w:val="000019DF"/>
    <w:rsid w:val="00001B71"/>
    <w:rsid w:val="00001BC9"/>
    <w:rsid w:val="00001DC2"/>
    <w:rsid w:val="00001DDD"/>
    <w:rsid w:val="00001F56"/>
    <w:rsid w:val="00002346"/>
    <w:rsid w:val="0000282B"/>
    <w:rsid w:val="000028CC"/>
    <w:rsid w:val="00002979"/>
    <w:rsid w:val="00002A69"/>
    <w:rsid w:val="00002AC6"/>
    <w:rsid w:val="00002B4D"/>
    <w:rsid w:val="00002D97"/>
    <w:rsid w:val="00003041"/>
    <w:rsid w:val="00003102"/>
    <w:rsid w:val="000032CF"/>
    <w:rsid w:val="0000358A"/>
    <w:rsid w:val="0000392B"/>
    <w:rsid w:val="00003B2C"/>
    <w:rsid w:val="00003BDF"/>
    <w:rsid w:val="00003EE9"/>
    <w:rsid w:val="00003F99"/>
    <w:rsid w:val="00004366"/>
    <w:rsid w:val="00004618"/>
    <w:rsid w:val="00004688"/>
    <w:rsid w:val="00004CA6"/>
    <w:rsid w:val="00005140"/>
    <w:rsid w:val="0000539F"/>
    <w:rsid w:val="0000547F"/>
    <w:rsid w:val="00005503"/>
    <w:rsid w:val="000056CF"/>
    <w:rsid w:val="0000576D"/>
    <w:rsid w:val="00005772"/>
    <w:rsid w:val="00005788"/>
    <w:rsid w:val="00005E2A"/>
    <w:rsid w:val="00005E86"/>
    <w:rsid w:val="00006369"/>
    <w:rsid w:val="00006535"/>
    <w:rsid w:val="00006720"/>
    <w:rsid w:val="00006A9E"/>
    <w:rsid w:val="00006B6E"/>
    <w:rsid w:val="00006C2E"/>
    <w:rsid w:val="00006D68"/>
    <w:rsid w:val="00006D6E"/>
    <w:rsid w:val="00006E08"/>
    <w:rsid w:val="00007082"/>
    <w:rsid w:val="000074E9"/>
    <w:rsid w:val="000077D9"/>
    <w:rsid w:val="00007844"/>
    <w:rsid w:val="0000797E"/>
    <w:rsid w:val="00007E17"/>
    <w:rsid w:val="00007F19"/>
    <w:rsid w:val="00007F5C"/>
    <w:rsid w:val="000101AC"/>
    <w:rsid w:val="000101D1"/>
    <w:rsid w:val="00010273"/>
    <w:rsid w:val="00010284"/>
    <w:rsid w:val="0001039E"/>
    <w:rsid w:val="00010577"/>
    <w:rsid w:val="0001057D"/>
    <w:rsid w:val="000106CC"/>
    <w:rsid w:val="00010862"/>
    <w:rsid w:val="000108AB"/>
    <w:rsid w:val="000108D8"/>
    <w:rsid w:val="00010A80"/>
    <w:rsid w:val="00010AA8"/>
    <w:rsid w:val="00010E07"/>
    <w:rsid w:val="00010E1B"/>
    <w:rsid w:val="00010F5D"/>
    <w:rsid w:val="0001110A"/>
    <w:rsid w:val="00011273"/>
    <w:rsid w:val="00011279"/>
    <w:rsid w:val="000114E1"/>
    <w:rsid w:val="000115AA"/>
    <w:rsid w:val="000117A3"/>
    <w:rsid w:val="000118B8"/>
    <w:rsid w:val="00012235"/>
    <w:rsid w:val="00012287"/>
    <w:rsid w:val="00012875"/>
    <w:rsid w:val="000128B0"/>
    <w:rsid w:val="000128DF"/>
    <w:rsid w:val="00012A59"/>
    <w:rsid w:val="00012B8A"/>
    <w:rsid w:val="00012C2A"/>
    <w:rsid w:val="00012CE2"/>
    <w:rsid w:val="00012E1D"/>
    <w:rsid w:val="00012EF4"/>
    <w:rsid w:val="000132E0"/>
    <w:rsid w:val="00013372"/>
    <w:rsid w:val="00013A6C"/>
    <w:rsid w:val="00013B83"/>
    <w:rsid w:val="00013C83"/>
    <w:rsid w:val="00013F89"/>
    <w:rsid w:val="000143B1"/>
    <w:rsid w:val="0001449B"/>
    <w:rsid w:val="0001469C"/>
    <w:rsid w:val="00014B4F"/>
    <w:rsid w:val="00014E60"/>
    <w:rsid w:val="00015100"/>
    <w:rsid w:val="000153E3"/>
    <w:rsid w:val="000153F9"/>
    <w:rsid w:val="00015617"/>
    <w:rsid w:val="000158A6"/>
    <w:rsid w:val="000158B4"/>
    <w:rsid w:val="00015B77"/>
    <w:rsid w:val="00015C1A"/>
    <w:rsid w:val="00015E32"/>
    <w:rsid w:val="00016619"/>
    <w:rsid w:val="000167D3"/>
    <w:rsid w:val="00016B2E"/>
    <w:rsid w:val="00016CF7"/>
    <w:rsid w:val="00016FA4"/>
    <w:rsid w:val="000171E2"/>
    <w:rsid w:val="000172D2"/>
    <w:rsid w:val="00017356"/>
    <w:rsid w:val="000178B0"/>
    <w:rsid w:val="00017E51"/>
    <w:rsid w:val="0002025B"/>
    <w:rsid w:val="00020262"/>
    <w:rsid w:val="000204A5"/>
    <w:rsid w:val="000204FD"/>
    <w:rsid w:val="0002069B"/>
    <w:rsid w:val="000207E2"/>
    <w:rsid w:val="00020820"/>
    <w:rsid w:val="00020EF6"/>
    <w:rsid w:val="00020F57"/>
    <w:rsid w:val="000210A6"/>
    <w:rsid w:val="00021305"/>
    <w:rsid w:val="0002142B"/>
    <w:rsid w:val="00021474"/>
    <w:rsid w:val="0002155D"/>
    <w:rsid w:val="00021887"/>
    <w:rsid w:val="00021945"/>
    <w:rsid w:val="00021C9D"/>
    <w:rsid w:val="00021D18"/>
    <w:rsid w:val="00021F6B"/>
    <w:rsid w:val="00021FBE"/>
    <w:rsid w:val="00022103"/>
    <w:rsid w:val="0002248C"/>
    <w:rsid w:val="000225F5"/>
    <w:rsid w:val="000226AF"/>
    <w:rsid w:val="00022841"/>
    <w:rsid w:val="000228D9"/>
    <w:rsid w:val="000229D4"/>
    <w:rsid w:val="00022A59"/>
    <w:rsid w:val="00022AB3"/>
    <w:rsid w:val="00022C15"/>
    <w:rsid w:val="0002314E"/>
    <w:rsid w:val="00023229"/>
    <w:rsid w:val="00023308"/>
    <w:rsid w:val="0002338F"/>
    <w:rsid w:val="000233BD"/>
    <w:rsid w:val="00023452"/>
    <w:rsid w:val="000235E1"/>
    <w:rsid w:val="00023D23"/>
    <w:rsid w:val="00023D8C"/>
    <w:rsid w:val="00023EFF"/>
    <w:rsid w:val="0002405B"/>
    <w:rsid w:val="0002429B"/>
    <w:rsid w:val="000245D8"/>
    <w:rsid w:val="000246CC"/>
    <w:rsid w:val="00024991"/>
    <w:rsid w:val="00024C70"/>
    <w:rsid w:val="00024DB6"/>
    <w:rsid w:val="00024FB4"/>
    <w:rsid w:val="000250D0"/>
    <w:rsid w:val="000252D1"/>
    <w:rsid w:val="000254C0"/>
    <w:rsid w:val="00025573"/>
    <w:rsid w:val="000257CC"/>
    <w:rsid w:val="00025889"/>
    <w:rsid w:val="0002599D"/>
    <w:rsid w:val="00025B2A"/>
    <w:rsid w:val="00025C70"/>
    <w:rsid w:val="00025EC1"/>
    <w:rsid w:val="00026585"/>
    <w:rsid w:val="000265B1"/>
    <w:rsid w:val="000266CF"/>
    <w:rsid w:val="000266F9"/>
    <w:rsid w:val="00026781"/>
    <w:rsid w:val="00026849"/>
    <w:rsid w:val="000269CC"/>
    <w:rsid w:val="00026ACA"/>
    <w:rsid w:val="00026AF2"/>
    <w:rsid w:val="00026AF9"/>
    <w:rsid w:val="00026B5D"/>
    <w:rsid w:val="00027064"/>
    <w:rsid w:val="0002706A"/>
    <w:rsid w:val="0002717A"/>
    <w:rsid w:val="00027474"/>
    <w:rsid w:val="00027590"/>
    <w:rsid w:val="00027A4E"/>
    <w:rsid w:val="00027B14"/>
    <w:rsid w:val="00027D38"/>
    <w:rsid w:val="000303C3"/>
    <w:rsid w:val="000305D1"/>
    <w:rsid w:val="000306D1"/>
    <w:rsid w:val="00030930"/>
    <w:rsid w:val="0003096C"/>
    <w:rsid w:val="00030E2D"/>
    <w:rsid w:val="0003102F"/>
    <w:rsid w:val="00031148"/>
    <w:rsid w:val="000312DC"/>
    <w:rsid w:val="000318B3"/>
    <w:rsid w:val="000318D2"/>
    <w:rsid w:val="000319AA"/>
    <w:rsid w:val="00031ACE"/>
    <w:rsid w:val="00031E6C"/>
    <w:rsid w:val="00031F14"/>
    <w:rsid w:val="0003201F"/>
    <w:rsid w:val="00032202"/>
    <w:rsid w:val="0003232B"/>
    <w:rsid w:val="0003247A"/>
    <w:rsid w:val="00032527"/>
    <w:rsid w:val="0003271B"/>
    <w:rsid w:val="00032818"/>
    <w:rsid w:val="00032BBB"/>
    <w:rsid w:val="00032C71"/>
    <w:rsid w:val="0003301A"/>
    <w:rsid w:val="00033204"/>
    <w:rsid w:val="0003332F"/>
    <w:rsid w:val="000335F7"/>
    <w:rsid w:val="000337D9"/>
    <w:rsid w:val="000337EC"/>
    <w:rsid w:val="00033A41"/>
    <w:rsid w:val="00033C8E"/>
    <w:rsid w:val="00033DAA"/>
    <w:rsid w:val="00033E0E"/>
    <w:rsid w:val="00033F3D"/>
    <w:rsid w:val="00034159"/>
    <w:rsid w:val="0003415B"/>
    <w:rsid w:val="000344FD"/>
    <w:rsid w:val="00034633"/>
    <w:rsid w:val="000347C9"/>
    <w:rsid w:val="0003489D"/>
    <w:rsid w:val="000349C1"/>
    <w:rsid w:val="00034A8C"/>
    <w:rsid w:val="00034B0E"/>
    <w:rsid w:val="00034F23"/>
    <w:rsid w:val="000351D5"/>
    <w:rsid w:val="000357C6"/>
    <w:rsid w:val="000359B1"/>
    <w:rsid w:val="00035AAB"/>
    <w:rsid w:val="00035B43"/>
    <w:rsid w:val="00035CD8"/>
    <w:rsid w:val="00035E0C"/>
    <w:rsid w:val="000360FB"/>
    <w:rsid w:val="0003622C"/>
    <w:rsid w:val="00036310"/>
    <w:rsid w:val="00036417"/>
    <w:rsid w:val="00036461"/>
    <w:rsid w:val="0003647C"/>
    <w:rsid w:val="00036731"/>
    <w:rsid w:val="000367BE"/>
    <w:rsid w:val="00036A39"/>
    <w:rsid w:val="00036AEC"/>
    <w:rsid w:val="00036D02"/>
    <w:rsid w:val="00036D85"/>
    <w:rsid w:val="00036FB7"/>
    <w:rsid w:val="000370AF"/>
    <w:rsid w:val="00037239"/>
    <w:rsid w:val="00037299"/>
    <w:rsid w:val="00037357"/>
    <w:rsid w:val="000376BC"/>
    <w:rsid w:val="00037709"/>
    <w:rsid w:val="00037736"/>
    <w:rsid w:val="0003783A"/>
    <w:rsid w:val="000378D0"/>
    <w:rsid w:val="0003791F"/>
    <w:rsid w:val="00037FFB"/>
    <w:rsid w:val="00040018"/>
    <w:rsid w:val="00040051"/>
    <w:rsid w:val="000400CD"/>
    <w:rsid w:val="00040166"/>
    <w:rsid w:val="000405FD"/>
    <w:rsid w:val="00040643"/>
    <w:rsid w:val="0004074D"/>
    <w:rsid w:val="00040A41"/>
    <w:rsid w:val="00040AB5"/>
    <w:rsid w:val="00040AC3"/>
    <w:rsid w:val="00040D81"/>
    <w:rsid w:val="00040D99"/>
    <w:rsid w:val="00041000"/>
    <w:rsid w:val="00041094"/>
    <w:rsid w:val="0004134A"/>
    <w:rsid w:val="0004150D"/>
    <w:rsid w:val="000415A0"/>
    <w:rsid w:val="000416E4"/>
    <w:rsid w:val="00041749"/>
    <w:rsid w:val="00041849"/>
    <w:rsid w:val="0004190A"/>
    <w:rsid w:val="00041BC4"/>
    <w:rsid w:val="000420E4"/>
    <w:rsid w:val="00042155"/>
    <w:rsid w:val="00042249"/>
    <w:rsid w:val="000425A4"/>
    <w:rsid w:val="000425B6"/>
    <w:rsid w:val="00042D1F"/>
    <w:rsid w:val="00042DA5"/>
    <w:rsid w:val="000435A4"/>
    <w:rsid w:val="00043656"/>
    <w:rsid w:val="0004368C"/>
    <w:rsid w:val="000439C3"/>
    <w:rsid w:val="00043A2E"/>
    <w:rsid w:val="00043B1B"/>
    <w:rsid w:val="00043DD3"/>
    <w:rsid w:val="00044478"/>
    <w:rsid w:val="00044507"/>
    <w:rsid w:val="000445F8"/>
    <w:rsid w:val="00044652"/>
    <w:rsid w:val="000447A7"/>
    <w:rsid w:val="0004490A"/>
    <w:rsid w:val="00044A0A"/>
    <w:rsid w:val="00044BE9"/>
    <w:rsid w:val="00044D82"/>
    <w:rsid w:val="00045304"/>
    <w:rsid w:val="0004554F"/>
    <w:rsid w:val="00045618"/>
    <w:rsid w:val="000456A3"/>
    <w:rsid w:val="00045C34"/>
    <w:rsid w:val="00045CDF"/>
    <w:rsid w:val="00045DE1"/>
    <w:rsid w:val="000461A6"/>
    <w:rsid w:val="000462B6"/>
    <w:rsid w:val="00046776"/>
    <w:rsid w:val="000467D3"/>
    <w:rsid w:val="000468DB"/>
    <w:rsid w:val="00046A17"/>
    <w:rsid w:val="00046F02"/>
    <w:rsid w:val="0004761D"/>
    <w:rsid w:val="00047BFC"/>
    <w:rsid w:val="00047CB5"/>
    <w:rsid w:val="00050065"/>
    <w:rsid w:val="0005027A"/>
    <w:rsid w:val="000504A2"/>
    <w:rsid w:val="000506F6"/>
    <w:rsid w:val="0005080E"/>
    <w:rsid w:val="000508E8"/>
    <w:rsid w:val="00050BDF"/>
    <w:rsid w:val="00050D30"/>
    <w:rsid w:val="0005111C"/>
    <w:rsid w:val="00051234"/>
    <w:rsid w:val="00051441"/>
    <w:rsid w:val="00051545"/>
    <w:rsid w:val="000515E2"/>
    <w:rsid w:val="00051784"/>
    <w:rsid w:val="00051916"/>
    <w:rsid w:val="0005197C"/>
    <w:rsid w:val="00051A06"/>
    <w:rsid w:val="00051CDF"/>
    <w:rsid w:val="00051D53"/>
    <w:rsid w:val="00052503"/>
    <w:rsid w:val="00052A00"/>
    <w:rsid w:val="00052A73"/>
    <w:rsid w:val="00052E4D"/>
    <w:rsid w:val="0005312C"/>
    <w:rsid w:val="000531A4"/>
    <w:rsid w:val="000535F4"/>
    <w:rsid w:val="000538C4"/>
    <w:rsid w:val="000538C7"/>
    <w:rsid w:val="00053A02"/>
    <w:rsid w:val="00053B52"/>
    <w:rsid w:val="00053C2F"/>
    <w:rsid w:val="00053C32"/>
    <w:rsid w:val="00054120"/>
    <w:rsid w:val="0005426F"/>
    <w:rsid w:val="000542F8"/>
    <w:rsid w:val="000543FF"/>
    <w:rsid w:val="00054534"/>
    <w:rsid w:val="0005469C"/>
    <w:rsid w:val="0005490F"/>
    <w:rsid w:val="00054BA1"/>
    <w:rsid w:val="00054C4B"/>
    <w:rsid w:val="000550F5"/>
    <w:rsid w:val="00055311"/>
    <w:rsid w:val="0005532E"/>
    <w:rsid w:val="0005568C"/>
    <w:rsid w:val="000559BE"/>
    <w:rsid w:val="00055A63"/>
    <w:rsid w:val="00055B97"/>
    <w:rsid w:val="00055DB0"/>
    <w:rsid w:val="00055E11"/>
    <w:rsid w:val="00055EC5"/>
    <w:rsid w:val="00055F30"/>
    <w:rsid w:val="00055F7F"/>
    <w:rsid w:val="00056419"/>
    <w:rsid w:val="000566D9"/>
    <w:rsid w:val="0005689C"/>
    <w:rsid w:val="000568B5"/>
    <w:rsid w:val="00056910"/>
    <w:rsid w:val="0005713B"/>
    <w:rsid w:val="0005715C"/>
    <w:rsid w:val="000571F8"/>
    <w:rsid w:val="00057311"/>
    <w:rsid w:val="00057465"/>
    <w:rsid w:val="00057627"/>
    <w:rsid w:val="00057640"/>
    <w:rsid w:val="00057923"/>
    <w:rsid w:val="00057C1F"/>
    <w:rsid w:val="00057D64"/>
    <w:rsid w:val="000601CE"/>
    <w:rsid w:val="000602C3"/>
    <w:rsid w:val="00060449"/>
    <w:rsid w:val="00060891"/>
    <w:rsid w:val="00060911"/>
    <w:rsid w:val="00060A1E"/>
    <w:rsid w:val="00060EE3"/>
    <w:rsid w:val="00060F62"/>
    <w:rsid w:val="00060FA4"/>
    <w:rsid w:val="0006119A"/>
    <w:rsid w:val="0006120B"/>
    <w:rsid w:val="000612A7"/>
    <w:rsid w:val="00061364"/>
    <w:rsid w:val="000615CE"/>
    <w:rsid w:val="000619D3"/>
    <w:rsid w:val="00061AD3"/>
    <w:rsid w:val="00061B14"/>
    <w:rsid w:val="00061C04"/>
    <w:rsid w:val="00061D91"/>
    <w:rsid w:val="00061E39"/>
    <w:rsid w:val="0006204C"/>
    <w:rsid w:val="00062229"/>
    <w:rsid w:val="00062296"/>
    <w:rsid w:val="000624F4"/>
    <w:rsid w:val="00062651"/>
    <w:rsid w:val="000626C0"/>
    <w:rsid w:val="0006270F"/>
    <w:rsid w:val="00062808"/>
    <w:rsid w:val="00062AEC"/>
    <w:rsid w:val="00062EE4"/>
    <w:rsid w:val="000631E5"/>
    <w:rsid w:val="000635B6"/>
    <w:rsid w:val="000635FE"/>
    <w:rsid w:val="00063A5C"/>
    <w:rsid w:val="00063B57"/>
    <w:rsid w:val="00063E37"/>
    <w:rsid w:val="00064BAE"/>
    <w:rsid w:val="00064CA9"/>
    <w:rsid w:val="00064F77"/>
    <w:rsid w:val="0006502E"/>
    <w:rsid w:val="0006503A"/>
    <w:rsid w:val="000651CA"/>
    <w:rsid w:val="000653B1"/>
    <w:rsid w:val="00065402"/>
    <w:rsid w:val="00065432"/>
    <w:rsid w:val="0006545F"/>
    <w:rsid w:val="000654EF"/>
    <w:rsid w:val="0006587A"/>
    <w:rsid w:val="00065994"/>
    <w:rsid w:val="00065BEE"/>
    <w:rsid w:val="00066074"/>
    <w:rsid w:val="00066258"/>
    <w:rsid w:val="00066404"/>
    <w:rsid w:val="00066696"/>
    <w:rsid w:val="0006679F"/>
    <w:rsid w:val="000668AA"/>
    <w:rsid w:val="00066BAA"/>
    <w:rsid w:val="00066FDA"/>
    <w:rsid w:val="0006710D"/>
    <w:rsid w:val="000671A2"/>
    <w:rsid w:val="000673D6"/>
    <w:rsid w:val="000674BF"/>
    <w:rsid w:val="000674DF"/>
    <w:rsid w:val="0006769B"/>
    <w:rsid w:val="00067821"/>
    <w:rsid w:val="00067A7B"/>
    <w:rsid w:val="00067C19"/>
    <w:rsid w:val="00067C61"/>
    <w:rsid w:val="00067D09"/>
    <w:rsid w:val="00067F0A"/>
    <w:rsid w:val="000702DD"/>
    <w:rsid w:val="000705C1"/>
    <w:rsid w:val="0007063A"/>
    <w:rsid w:val="0007067C"/>
    <w:rsid w:val="00070789"/>
    <w:rsid w:val="0007099C"/>
    <w:rsid w:val="00070BFE"/>
    <w:rsid w:val="00070D40"/>
    <w:rsid w:val="00070E17"/>
    <w:rsid w:val="00070F88"/>
    <w:rsid w:val="00071079"/>
    <w:rsid w:val="00071094"/>
    <w:rsid w:val="0007122C"/>
    <w:rsid w:val="000714EC"/>
    <w:rsid w:val="00071577"/>
    <w:rsid w:val="000715C5"/>
    <w:rsid w:val="0007178A"/>
    <w:rsid w:val="000718E7"/>
    <w:rsid w:val="00071976"/>
    <w:rsid w:val="00071D0B"/>
    <w:rsid w:val="00071F0F"/>
    <w:rsid w:val="000721DA"/>
    <w:rsid w:val="00072612"/>
    <w:rsid w:val="0007278C"/>
    <w:rsid w:val="000727C0"/>
    <w:rsid w:val="00072A0B"/>
    <w:rsid w:val="00072A0F"/>
    <w:rsid w:val="00073182"/>
    <w:rsid w:val="000732FF"/>
    <w:rsid w:val="0007338E"/>
    <w:rsid w:val="000733A3"/>
    <w:rsid w:val="0007353F"/>
    <w:rsid w:val="0007356B"/>
    <w:rsid w:val="00073652"/>
    <w:rsid w:val="00073735"/>
    <w:rsid w:val="00073A71"/>
    <w:rsid w:val="00073A89"/>
    <w:rsid w:val="00073B98"/>
    <w:rsid w:val="00073C95"/>
    <w:rsid w:val="00073E9B"/>
    <w:rsid w:val="000744EE"/>
    <w:rsid w:val="00074596"/>
    <w:rsid w:val="000746F1"/>
    <w:rsid w:val="0007474A"/>
    <w:rsid w:val="000748C8"/>
    <w:rsid w:val="000749FA"/>
    <w:rsid w:val="00075198"/>
    <w:rsid w:val="0007554C"/>
    <w:rsid w:val="00075740"/>
    <w:rsid w:val="000757FC"/>
    <w:rsid w:val="000759A7"/>
    <w:rsid w:val="00075C17"/>
    <w:rsid w:val="00075CC3"/>
    <w:rsid w:val="00075F0D"/>
    <w:rsid w:val="000760AD"/>
    <w:rsid w:val="000760FD"/>
    <w:rsid w:val="00076289"/>
    <w:rsid w:val="0007642E"/>
    <w:rsid w:val="0007649C"/>
    <w:rsid w:val="00076CB8"/>
    <w:rsid w:val="00076D2B"/>
    <w:rsid w:val="00076E84"/>
    <w:rsid w:val="00077210"/>
    <w:rsid w:val="00077612"/>
    <w:rsid w:val="000776A3"/>
    <w:rsid w:val="00077769"/>
    <w:rsid w:val="00077A1E"/>
    <w:rsid w:val="00077B80"/>
    <w:rsid w:val="00077E4F"/>
    <w:rsid w:val="00077F96"/>
    <w:rsid w:val="0007A753"/>
    <w:rsid w:val="00080147"/>
    <w:rsid w:val="0008016F"/>
    <w:rsid w:val="000807CA"/>
    <w:rsid w:val="000808AA"/>
    <w:rsid w:val="000808B4"/>
    <w:rsid w:val="00080CAB"/>
    <w:rsid w:val="00080D9F"/>
    <w:rsid w:val="00080F66"/>
    <w:rsid w:val="0008112B"/>
    <w:rsid w:val="0008116D"/>
    <w:rsid w:val="00081342"/>
    <w:rsid w:val="0008146E"/>
    <w:rsid w:val="0008170C"/>
    <w:rsid w:val="00081797"/>
    <w:rsid w:val="000817BC"/>
    <w:rsid w:val="00081AB3"/>
    <w:rsid w:val="00081C18"/>
    <w:rsid w:val="00081D14"/>
    <w:rsid w:val="00081DEA"/>
    <w:rsid w:val="000821E7"/>
    <w:rsid w:val="00082224"/>
    <w:rsid w:val="00082407"/>
    <w:rsid w:val="000824BD"/>
    <w:rsid w:val="00082739"/>
    <w:rsid w:val="00082898"/>
    <w:rsid w:val="000829A5"/>
    <w:rsid w:val="00082AD6"/>
    <w:rsid w:val="00082CE8"/>
    <w:rsid w:val="00082E46"/>
    <w:rsid w:val="00083035"/>
    <w:rsid w:val="000831EE"/>
    <w:rsid w:val="000833FE"/>
    <w:rsid w:val="00083571"/>
    <w:rsid w:val="000837EC"/>
    <w:rsid w:val="00083834"/>
    <w:rsid w:val="00083874"/>
    <w:rsid w:val="00083AA1"/>
    <w:rsid w:val="00083C0F"/>
    <w:rsid w:val="00083C11"/>
    <w:rsid w:val="00084056"/>
    <w:rsid w:val="000841EF"/>
    <w:rsid w:val="00084235"/>
    <w:rsid w:val="00084777"/>
    <w:rsid w:val="0008499B"/>
    <w:rsid w:val="00084C5B"/>
    <w:rsid w:val="000851BC"/>
    <w:rsid w:val="000853A4"/>
    <w:rsid w:val="000854EC"/>
    <w:rsid w:val="000855A5"/>
    <w:rsid w:val="0008578A"/>
    <w:rsid w:val="00085B4C"/>
    <w:rsid w:val="00085B91"/>
    <w:rsid w:val="00085C80"/>
    <w:rsid w:val="00085E05"/>
    <w:rsid w:val="00085FA0"/>
    <w:rsid w:val="0008601D"/>
    <w:rsid w:val="0008658D"/>
    <w:rsid w:val="000866A4"/>
    <w:rsid w:val="00086735"/>
    <w:rsid w:val="000867F4"/>
    <w:rsid w:val="0008680C"/>
    <w:rsid w:val="00086978"/>
    <w:rsid w:val="00086A54"/>
    <w:rsid w:val="00086BC5"/>
    <w:rsid w:val="00086CED"/>
    <w:rsid w:val="00086DB8"/>
    <w:rsid w:val="00086DD0"/>
    <w:rsid w:val="00086F01"/>
    <w:rsid w:val="00087059"/>
    <w:rsid w:val="00087141"/>
    <w:rsid w:val="000872BB"/>
    <w:rsid w:val="00087448"/>
    <w:rsid w:val="00087509"/>
    <w:rsid w:val="00087BF2"/>
    <w:rsid w:val="00087CCA"/>
    <w:rsid w:val="00087E28"/>
    <w:rsid w:val="00087F75"/>
    <w:rsid w:val="0009000B"/>
    <w:rsid w:val="00090190"/>
    <w:rsid w:val="000902DF"/>
    <w:rsid w:val="00090329"/>
    <w:rsid w:val="000903B5"/>
    <w:rsid w:val="0009049E"/>
    <w:rsid w:val="00090AA8"/>
    <w:rsid w:val="00090C4F"/>
    <w:rsid w:val="00090CA8"/>
    <w:rsid w:val="00090F3D"/>
    <w:rsid w:val="0009110B"/>
    <w:rsid w:val="0009137F"/>
    <w:rsid w:val="00091416"/>
    <w:rsid w:val="00091487"/>
    <w:rsid w:val="0009171C"/>
    <w:rsid w:val="00091B32"/>
    <w:rsid w:val="00091C74"/>
    <w:rsid w:val="00091D52"/>
    <w:rsid w:val="00091FC8"/>
    <w:rsid w:val="000920A1"/>
    <w:rsid w:val="00092459"/>
    <w:rsid w:val="00092479"/>
    <w:rsid w:val="00092595"/>
    <w:rsid w:val="00092BC5"/>
    <w:rsid w:val="00092E24"/>
    <w:rsid w:val="00092FA3"/>
    <w:rsid w:val="00093111"/>
    <w:rsid w:val="00093671"/>
    <w:rsid w:val="00093888"/>
    <w:rsid w:val="00093A9A"/>
    <w:rsid w:val="00093F97"/>
    <w:rsid w:val="0009410A"/>
    <w:rsid w:val="000943A3"/>
    <w:rsid w:val="000943BE"/>
    <w:rsid w:val="0009453E"/>
    <w:rsid w:val="000946B5"/>
    <w:rsid w:val="00094990"/>
    <w:rsid w:val="000949DA"/>
    <w:rsid w:val="00094B67"/>
    <w:rsid w:val="00094BAF"/>
    <w:rsid w:val="00094C72"/>
    <w:rsid w:val="00094DCC"/>
    <w:rsid w:val="000951A2"/>
    <w:rsid w:val="00095344"/>
    <w:rsid w:val="00095555"/>
    <w:rsid w:val="000955BD"/>
    <w:rsid w:val="000955BF"/>
    <w:rsid w:val="0009569F"/>
    <w:rsid w:val="000958BB"/>
    <w:rsid w:val="00095934"/>
    <w:rsid w:val="00095D02"/>
    <w:rsid w:val="00095D1E"/>
    <w:rsid w:val="00095DB9"/>
    <w:rsid w:val="00095F98"/>
    <w:rsid w:val="000960A4"/>
    <w:rsid w:val="000960C6"/>
    <w:rsid w:val="000961CD"/>
    <w:rsid w:val="000962FC"/>
    <w:rsid w:val="000964BD"/>
    <w:rsid w:val="00096658"/>
    <w:rsid w:val="00096745"/>
    <w:rsid w:val="000967A9"/>
    <w:rsid w:val="000967D5"/>
    <w:rsid w:val="00096949"/>
    <w:rsid w:val="0009694C"/>
    <w:rsid w:val="00096B40"/>
    <w:rsid w:val="00096D0A"/>
    <w:rsid w:val="00096E39"/>
    <w:rsid w:val="00096E57"/>
    <w:rsid w:val="00097198"/>
    <w:rsid w:val="000971AA"/>
    <w:rsid w:val="0009726E"/>
    <w:rsid w:val="0009751C"/>
    <w:rsid w:val="00097619"/>
    <w:rsid w:val="00097746"/>
    <w:rsid w:val="00097766"/>
    <w:rsid w:val="0009780C"/>
    <w:rsid w:val="00097884"/>
    <w:rsid w:val="000979D0"/>
    <w:rsid w:val="000979D2"/>
    <w:rsid w:val="00097AFD"/>
    <w:rsid w:val="000A0282"/>
    <w:rsid w:val="000A0353"/>
    <w:rsid w:val="000A0391"/>
    <w:rsid w:val="000A0520"/>
    <w:rsid w:val="000A05CA"/>
    <w:rsid w:val="000A089C"/>
    <w:rsid w:val="000A08AB"/>
    <w:rsid w:val="000A08F1"/>
    <w:rsid w:val="000A0945"/>
    <w:rsid w:val="000A0B62"/>
    <w:rsid w:val="000A0BC4"/>
    <w:rsid w:val="000A0F76"/>
    <w:rsid w:val="000A1225"/>
    <w:rsid w:val="000A1413"/>
    <w:rsid w:val="000A142D"/>
    <w:rsid w:val="000A14DF"/>
    <w:rsid w:val="000A178B"/>
    <w:rsid w:val="000A1960"/>
    <w:rsid w:val="000A1A29"/>
    <w:rsid w:val="000A1D3B"/>
    <w:rsid w:val="000A1E30"/>
    <w:rsid w:val="000A2063"/>
    <w:rsid w:val="000A238E"/>
    <w:rsid w:val="000A23D6"/>
    <w:rsid w:val="000A23F3"/>
    <w:rsid w:val="000A27A9"/>
    <w:rsid w:val="000A29FE"/>
    <w:rsid w:val="000A2CA6"/>
    <w:rsid w:val="000A2D17"/>
    <w:rsid w:val="000A2D97"/>
    <w:rsid w:val="000A2F67"/>
    <w:rsid w:val="000A2F6C"/>
    <w:rsid w:val="000A2F89"/>
    <w:rsid w:val="000A32D9"/>
    <w:rsid w:val="000A32E0"/>
    <w:rsid w:val="000A3451"/>
    <w:rsid w:val="000A362A"/>
    <w:rsid w:val="000A371B"/>
    <w:rsid w:val="000A3AD4"/>
    <w:rsid w:val="000A4000"/>
    <w:rsid w:val="000A4054"/>
    <w:rsid w:val="000A40FE"/>
    <w:rsid w:val="000A4494"/>
    <w:rsid w:val="000A44F2"/>
    <w:rsid w:val="000A45A4"/>
    <w:rsid w:val="000A4C3C"/>
    <w:rsid w:val="000A4F3F"/>
    <w:rsid w:val="000A4FC3"/>
    <w:rsid w:val="000A4FFC"/>
    <w:rsid w:val="000A549E"/>
    <w:rsid w:val="000A5501"/>
    <w:rsid w:val="000A5626"/>
    <w:rsid w:val="000A562D"/>
    <w:rsid w:val="000A5B42"/>
    <w:rsid w:val="000A5CB2"/>
    <w:rsid w:val="000A5FC8"/>
    <w:rsid w:val="000A62B6"/>
    <w:rsid w:val="000A62DA"/>
    <w:rsid w:val="000A64DE"/>
    <w:rsid w:val="000A66DE"/>
    <w:rsid w:val="000A675E"/>
    <w:rsid w:val="000A698D"/>
    <w:rsid w:val="000A6A90"/>
    <w:rsid w:val="000A6C52"/>
    <w:rsid w:val="000A6CAB"/>
    <w:rsid w:val="000A6E1D"/>
    <w:rsid w:val="000A6E41"/>
    <w:rsid w:val="000A6E79"/>
    <w:rsid w:val="000A6F83"/>
    <w:rsid w:val="000A70B7"/>
    <w:rsid w:val="000A7285"/>
    <w:rsid w:val="000A74C3"/>
    <w:rsid w:val="000A77C6"/>
    <w:rsid w:val="000A7881"/>
    <w:rsid w:val="000A79EF"/>
    <w:rsid w:val="000A7C85"/>
    <w:rsid w:val="000B0059"/>
    <w:rsid w:val="000B00BA"/>
    <w:rsid w:val="000B020D"/>
    <w:rsid w:val="000B0452"/>
    <w:rsid w:val="000B0540"/>
    <w:rsid w:val="000B0B03"/>
    <w:rsid w:val="000B111D"/>
    <w:rsid w:val="000B121B"/>
    <w:rsid w:val="000B1261"/>
    <w:rsid w:val="000B14AC"/>
    <w:rsid w:val="000B16E8"/>
    <w:rsid w:val="000B1890"/>
    <w:rsid w:val="000B1985"/>
    <w:rsid w:val="000B1A66"/>
    <w:rsid w:val="000B1B53"/>
    <w:rsid w:val="000B1BBE"/>
    <w:rsid w:val="000B1DD2"/>
    <w:rsid w:val="000B26A1"/>
    <w:rsid w:val="000B2767"/>
    <w:rsid w:val="000B28D0"/>
    <w:rsid w:val="000B2A70"/>
    <w:rsid w:val="000B331A"/>
    <w:rsid w:val="000B3344"/>
    <w:rsid w:val="000B35EB"/>
    <w:rsid w:val="000B38C7"/>
    <w:rsid w:val="000B3DD7"/>
    <w:rsid w:val="000B3ED7"/>
    <w:rsid w:val="000B3F3C"/>
    <w:rsid w:val="000B3F78"/>
    <w:rsid w:val="000B4184"/>
    <w:rsid w:val="000B41D5"/>
    <w:rsid w:val="000B4247"/>
    <w:rsid w:val="000B4787"/>
    <w:rsid w:val="000B481E"/>
    <w:rsid w:val="000B4AD6"/>
    <w:rsid w:val="000B4C6B"/>
    <w:rsid w:val="000B4EDE"/>
    <w:rsid w:val="000B516F"/>
    <w:rsid w:val="000B5285"/>
    <w:rsid w:val="000B55EC"/>
    <w:rsid w:val="000B591B"/>
    <w:rsid w:val="000B5947"/>
    <w:rsid w:val="000B597D"/>
    <w:rsid w:val="000B59FA"/>
    <w:rsid w:val="000B5C75"/>
    <w:rsid w:val="000B5F50"/>
    <w:rsid w:val="000B6022"/>
    <w:rsid w:val="000B61E2"/>
    <w:rsid w:val="000B621C"/>
    <w:rsid w:val="000B6282"/>
    <w:rsid w:val="000B6415"/>
    <w:rsid w:val="000B6429"/>
    <w:rsid w:val="000B653A"/>
    <w:rsid w:val="000B6549"/>
    <w:rsid w:val="000B66C1"/>
    <w:rsid w:val="000B6723"/>
    <w:rsid w:val="000B69CB"/>
    <w:rsid w:val="000B6D78"/>
    <w:rsid w:val="000B6E5D"/>
    <w:rsid w:val="000B6EB0"/>
    <w:rsid w:val="000B6EB9"/>
    <w:rsid w:val="000B6EF0"/>
    <w:rsid w:val="000B6FF3"/>
    <w:rsid w:val="000B70E7"/>
    <w:rsid w:val="000B7384"/>
    <w:rsid w:val="000B7404"/>
    <w:rsid w:val="000B766F"/>
    <w:rsid w:val="000B79A1"/>
    <w:rsid w:val="000C0340"/>
    <w:rsid w:val="000C04C3"/>
    <w:rsid w:val="000C07E8"/>
    <w:rsid w:val="000C09E4"/>
    <w:rsid w:val="000C09E9"/>
    <w:rsid w:val="000C0BE2"/>
    <w:rsid w:val="000C0C8E"/>
    <w:rsid w:val="000C0D5D"/>
    <w:rsid w:val="000C0DDF"/>
    <w:rsid w:val="000C17D8"/>
    <w:rsid w:val="000C1851"/>
    <w:rsid w:val="000C1877"/>
    <w:rsid w:val="000C1B9A"/>
    <w:rsid w:val="000C1E06"/>
    <w:rsid w:val="000C21CC"/>
    <w:rsid w:val="000C250B"/>
    <w:rsid w:val="000C25E0"/>
    <w:rsid w:val="000C2734"/>
    <w:rsid w:val="000C2E63"/>
    <w:rsid w:val="000C2F1F"/>
    <w:rsid w:val="000C2FE5"/>
    <w:rsid w:val="000C3084"/>
    <w:rsid w:val="000C3B0A"/>
    <w:rsid w:val="000C3D88"/>
    <w:rsid w:val="000C3F30"/>
    <w:rsid w:val="000C3FC8"/>
    <w:rsid w:val="000C40E7"/>
    <w:rsid w:val="000C416D"/>
    <w:rsid w:val="000C4171"/>
    <w:rsid w:val="000C44F7"/>
    <w:rsid w:val="000C45E8"/>
    <w:rsid w:val="000C48E6"/>
    <w:rsid w:val="000C4CF6"/>
    <w:rsid w:val="000C523A"/>
    <w:rsid w:val="000C5346"/>
    <w:rsid w:val="000C5355"/>
    <w:rsid w:val="000C5674"/>
    <w:rsid w:val="000C58DE"/>
    <w:rsid w:val="000C5BF3"/>
    <w:rsid w:val="000C6262"/>
    <w:rsid w:val="000C6286"/>
    <w:rsid w:val="000C639B"/>
    <w:rsid w:val="000C6546"/>
    <w:rsid w:val="000C66DE"/>
    <w:rsid w:val="000C6832"/>
    <w:rsid w:val="000C68E9"/>
    <w:rsid w:val="000C6C39"/>
    <w:rsid w:val="000C6DDE"/>
    <w:rsid w:val="000C6E80"/>
    <w:rsid w:val="000C7117"/>
    <w:rsid w:val="000C7434"/>
    <w:rsid w:val="000C797B"/>
    <w:rsid w:val="000C7A7C"/>
    <w:rsid w:val="000C7D8C"/>
    <w:rsid w:val="000C7F95"/>
    <w:rsid w:val="000D0110"/>
    <w:rsid w:val="000D01C5"/>
    <w:rsid w:val="000D03EB"/>
    <w:rsid w:val="000D05D9"/>
    <w:rsid w:val="000D088C"/>
    <w:rsid w:val="000D0AB9"/>
    <w:rsid w:val="000D0C90"/>
    <w:rsid w:val="000D0CE5"/>
    <w:rsid w:val="000D0CF0"/>
    <w:rsid w:val="000D0E64"/>
    <w:rsid w:val="000D0E6E"/>
    <w:rsid w:val="000D0F01"/>
    <w:rsid w:val="000D0FC1"/>
    <w:rsid w:val="000D0FC5"/>
    <w:rsid w:val="000D12DC"/>
    <w:rsid w:val="000D1425"/>
    <w:rsid w:val="000D18BE"/>
    <w:rsid w:val="000D1A3C"/>
    <w:rsid w:val="000D1A97"/>
    <w:rsid w:val="000D1DC4"/>
    <w:rsid w:val="000D1E53"/>
    <w:rsid w:val="000D1F65"/>
    <w:rsid w:val="000D20EF"/>
    <w:rsid w:val="000D219C"/>
    <w:rsid w:val="000D22CA"/>
    <w:rsid w:val="000D2318"/>
    <w:rsid w:val="000D25C5"/>
    <w:rsid w:val="000D276B"/>
    <w:rsid w:val="000D3038"/>
    <w:rsid w:val="000D3173"/>
    <w:rsid w:val="000D32C5"/>
    <w:rsid w:val="000D3519"/>
    <w:rsid w:val="000D354D"/>
    <w:rsid w:val="000D3556"/>
    <w:rsid w:val="000D35A4"/>
    <w:rsid w:val="000D36A9"/>
    <w:rsid w:val="000D3BC5"/>
    <w:rsid w:val="000D3BE3"/>
    <w:rsid w:val="000D3C55"/>
    <w:rsid w:val="000D3CED"/>
    <w:rsid w:val="000D3D04"/>
    <w:rsid w:val="000D4177"/>
    <w:rsid w:val="000D4364"/>
    <w:rsid w:val="000D43B9"/>
    <w:rsid w:val="000D450C"/>
    <w:rsid w:val="000D45C3"/>
    <w:rsid w:val="000D4612"/>
    <w:rsid w:val="000D46C3"/>
    <w:rsid w:val="000D4905"/>
    <w:rsid w:val="000D4BAF"/>
    <w:rsid w:val="000D4C8A"/>
    <w:rsid w:val="000D4F90"/>
    <w:rsid w:val="000D5030"/>
    <w:rsid w:val="000D514A"/>
    <w:rsid w:val="000D551F"/>
    <w:rsid w:val="000D5653"/>
    <w:rsid w:val="000D5A09"/>
    <w:rsid w:val="000D5BF0"/>
    <w:rsid w:val="000D5DFA"/>
    <w:rsid w:val="000D5E21"/>
    <w:rsid w:val="000D5F09"/>
    <w:rsid w:val="000D6049"/>
    <w:rsid w:val="000D606E"/>
    <w:rsid w:val="000D6083"/>
    <w:rsid w:val="000D60DA"/>
    <w:rsid w:val="000D635A"/>
    <w:rsid w:val="000D6920"/>
    <w:rsid w:val="000D6C06"/>
    <w:rsid w:val="000D7033"/>
    <w:rsid w:val="000D70A7"/>
    <w:rsid w:val="000D71C1"/>
    <w:rsid w:val="000D720B"/>
    <w:rsid w:val="000D7224"/>
    <w:rsid w:val="000D731A"/>
    <w:rsid w:val="000D759D"/>
    <w:rsid w:val="000D7A20"/>
    <w:rsid w:val="000D7A40"/>
    <w:rsid w:val="000D7D5A"/>
    <w:rsid w:val="000D7F47"/>
    <w:rsid w:val="000E0208"/>
    <w:rsid w:val="000E0241"/>
    <w:rsid w:val="000E02E4"/>
    <w:rsid w:val="000E03FD"/>
    <w:rsid w:val="000E0498"/>
    <w:rsid w:val="000E0525"/>
    <w:rsid w:val="000E05CB"/>
    <w:rsid w:val="000E08C7"/>
    <w:rsid w:val="000E0CA5"/>
    <w:rsid w:val="000E0E5C"/>
    <w:rsid w:val="000E0EBE"/>
    <w:rsid w:val="000E0F52"/>
    <w:rsid w:val="000E143A"/>
    <w:rsid w:val="000E152B"/>
    <w:rsid w:val="000E1ADE"/>
    <w:rsid w:val="000E1B9A"/>
    <w:rsid w:val="000E1F12"/>
    <w:rsid w:val="000E208A"/>
    <w:rsid w:val="000E227D"/>
    <w:rsid w:val="000E249B"/>
    <w:rsid w:val="000E25C5"/>
    <w:rsid w:val="000E2785"/>
    <w:rsid w:val="000E27BE"/>
    <w:rsid w:val="000E27C3"/>
    <w:rsid w:val="000E2852"/>
    <w:rsid w:val="000E2D46"/>
    <w:rsid w:val="000E2DF4"/>
    <w:rsid w:val="000E3082"/>
    <w:rsid w:val="000E3136"/>
    <w:rsid w:val="000E32F4"/>
    <w:rsid w:val="000E364A"/>
    <w:rsid w:val="000E3732"/>
    <w:rsid w:val="000E3981"/>
    <w:rsid w:val="000E39EE"/>
    <w:rsid w:val="000E3BAD"/>
    <w:rsid w:val="000E3DCD"/>
    <w:rsid w:val="000E3F56"/>
    <w:rsid w:val="000E43BA"/>
    <w:rsid w:val="000E4713"/>
    <w:rsid w:val="000E483D"/>
    <w:rsid w:val="000E4E2A"/>
    <w:rsid w:val="000E4E62"/>
    <w:rsid w:val="000E5095"/>
    <w:rsid w:val="000E540D"/>
    <w:rsid w:val="000E5482"/>
    <w:rsid w:val="000E5545"/>
    <w:rsid w:val="000E568D"/>
    <w:rsid w:val="000E59CE"/>
    <w:rsid w:val="000E59F2"/>
    <w:rsid w:val="000E5CB2"/>
    <w:rsid w:val="000E630A"/>
    <w:rsid w:val="000E64B4"/>
    <w:rsid w:val="000E6576"/>
    <w:rsid w:val="000E66D2"/>
    <w:rsid w:val="000E678B"/>
    <w:rsid w:val="000E67C7"/>
    <w:rsid w:val="000E67D2"/>
    <w:rsid w:val="000E6B61"/>
    <w:rsid w:val="000E6FB7"/>
    <w:rsid w:val="000E7612"/>
    <w:rsid w:val="000E765D"/>
    <w:rsid w:val="000E7714"/>
    <w:rsid w:val="000E77B8"/>
    <w:rsid w:val="000E7965"/>
    <w:rsid w:val="000E7ACA"/>
    <w:rsid w:val="000E7C01"/>
    <w:rsid w:val="000E7D51"/>
    <w:rsid w:val="000E7D7D"/>
    <w:rsid w:val="000F01A5"/>
    <w:rsid w:val="000F01D0"/>
    <w:rsid w:val="000F037B"/>
    <w:rsid w:val="000F04F6"/>
    <w:rsid w:val="000F0525"/>
    <w:rsid w:val="000F0816"/>
    <w:rsid w:val="000F09B2"/>
    <w:rsid w:val="000F0ABC"/>
    <w:rsid w:val="000F0C58"/>
    <w:rsid w:val="000F0D2B"/>
    <w:rsid w:val="000F10E5"/>
    <w:rsid w:val="000F117A"/>
    <w:rsid w:val="000F131C"/>
    <w:rsid w:val="000F1344"/>
    <w:rsid w:val="000F13C3"/>
    <w:rsid w:val="000F142B"/>
    <w:rsid w:val="000F14F5"/>
    <w:rsid w:val="000F16BC"/>
    <w:rsid w:val="000F179D"/>
    <w:rsid w:val="000F1920"/>
    <w:rsid w:val="000F1A53"/>
    <w:rsid w:val="000F1AA3"/>
    <w:rsid w:val="000F1B19"/>
    <w:rsid w:val="000F208D"/>
    <w:rsid w:val="000F21C3"/>
    <w:rsid w:val="000F223F"/>
    <w:rsid w:val="000F23B2"/>
    <w:rsid w:val="000F242C"/>
    <w:rsid w:val="000F24D8"/>
    <w:rsid w:val="000F2718"/>
    <w:rsid w:val="000F27B7"/>
    <w:rsid w:val="000F2821"/>
    <w:rsid w:val="000F2856"/>
    <w:rsid w:val="000F2930"/>
    <w:rsid w:val="000F2A83"/>
    <w:rsid w:val="000F2AD5"/>
    <w:rsid w:val="000F2B81"/>
    <w:rsid w:val="000F2BF2"/>
    <w:rsid w:val="000F2C12"/>
    <w:rsid w:val="000F2D80"/>
    <w:rsid w:val="000F2EB6"/>
    <w:rsid w:val="000F3436"/>
    <w:rsid w:val="000F34B4"/>
    <w:rsid w:val="000F355B"/>
    <w:rsid w:val="000F38AA"/>
    <w:rsid w:val="000F3ADB"/>
    <w:rsid w:val="000F3B47"/>
    <w:rsid w:val="000F3B8A"/>
    <w:rsid w:val="000F4034"/>
    <w:rsid w:val="000F43DE"/>
    <w:rsid w:val="000F4640"/>
    <w:rsid w:val="000F4991"/>
    <w:rsid w:val="000F4DDB"/>
    <w:rsid w:val="000F51B6"/>
    <w:rsid w:val="000F52FF"/>
    <w:rsid w:val="000F530C"/>
    <w:rsid w:val="000F54AF"/>
    <w:rsid w:val="000F57E7"/>
    <w:rsid w:val="000F5A52"/>
    <w:rsid w:val="000F5BC2"/>
    <w:rsid w:val="000F5FA8"/>
    <w:rsid w:val="000F628B"/>
    <w:rsid w:val="000F6487"/>
    <w:rsid w:val="000F65CC"/>
    <w:rsid w:val="000F6625"/>
    <w:rsid w:val="000F6750"/>
    <w:rsid w:val="000F68A1"/>
    <w:rsid w:val="000F6B5A"/>
    <w:rsid w:val="000F6B5C"/>
    <w:rsid w:val="000F6C17"/>
    <w:rsid w:val="000F6CCC"/>
    <w:rsid w:val="000F6ECE"/>
    <w:rsid w:val="000F719C"/>
    <w:rsid w:val="000F72A4"/>
    <w:rsid w:val="000F7394"/>
    <w:rsid w:val="000F7594"/>
    <w:rsid w:val="000F77BA"/>
    <w:rsid w:val="000F7B76"/>
    <w:rsid w:val="000F7C65"/>
    <w:rsid w:val="000F7C81"/>
    <w:rsid w:val="000F7DD9"/>
    <w:rsid w:val="00100137"/>
    <w:rsid w:val="0010015F"/>
    <w:rsid w:val="00100284"/>
    <w:rsid w:val="00100553"/>
    <w:rsid w:val="0010075A"/>
    <w:rsid w:val="00100875"/>
    <w:rsid w:val="00100ADE"/>
    <w:rsid w:val="00100CAF"/>
    <w:rsid w:val="00100F47"/>
    <w:rsid w:val="00101088"/>
    <w:rsid w:val="00101258"/>
    <w:rsid w:val="001012EE"/>
    <w:rsid w:val="0010140E"/>
    <w:rsid w:val="00101624"/>
    <w:rsid w:val="001017EC"/>
    <w:rsid w:val="00101A9C"/>
    <w:rsid w:val="00101B28"/>
    <w:rsid w:val="00101B40"/>
    <w:rsid w:val="00101E63"/>
    <w:rsid w:val="00101E75"/>
    <w:rsid w:val="0010200B"/>
    <w:rsid w:val="00102660"/>
    <w:rsid w:val="00102932"/>
    <w:rsid w:val="00102CA2"/>
    <w:rsid w:val="001031A3"/>
    <w:rsid w:val="001032C0"/>
    <w:rsid w:val="0010352C"/>
    <w:rsid w:val="00103854"/>
    <w:rsid w:val="00103A82"/>
    <w:rsid w:val="00103CA7"/>
    <w:rsid w:val="00103CD7"/>
    <w:rsid w:val="00103F47"/>
    <w:rsid w:val="001045B7"/>
    <w:rsid w:val="0010478F"/>
    <w:rsid w:val="001048A9"/>
    <w:rsid w:val="00104914"/>
    <w:rsid w:val="00104AC9"/>
    <w:rsid w:val="00104B5B"/>
    <w:rsid w:val="00104FF4"/>
    <w:rsid w:val="0010512F"/>
    <w:rsid w:val="00105636"/>
    <w:rsid w:val="0010587E"/>
    <w:rsid w:val="001058D5"/>
    <w:rsid w:val="00105B1B"/>
    <w:rsid w:val="00105FC8"/>
    <w:rsid w:val="0010609C"/>
    <w:rsid w:val="001064A2"/>
    <w:rsid w:val="00106691"/>
    <w:rsid w:val="001068CB"/>
    <w:rsid w:val="0010691E"/>
    <w:rsid w:val="00106BA1"/>
    <w:rsid w:val="00106BAD"/>
    <w:rsid w:val="00106D28"/>
    <w:rsid w:val="00106D7A"/>
    <w:rsid w:val="00106F57"/>
    <w:rsid w:val="00106FAF"/>
    <w:rsid w:val="00107399"/>
    <w:rsid w:val="001073E3"/>
    <w:rsid w:val="001074CF"/>
    <w:rsid w:val="001078FE"/>
    <w:rsid w:val="00107AC9"/>
    <w:rsid w:val="00107ACD"/>
    <w:rsid w:val="00107B4A"/>
    <w:rsid w:val="00107B55"/>
    <w:rsid w:val="001100C1"/>
    <w:rsid w:val="001101A4"/>
    <w:rsid w:val="0011025A"/>
    <w:rsid w:val="00110370"/>
    <w:rsid w:val="00110389"/>
    <w:rsid w:val="00110397"/>
    <w:rsid w:val="00110440"/>
    <w:rsid w:val="001106F5"/>
    <w:rsid w:val="00110787"/>
    <w:rsid w:val="001107BE"/>
    <w:rsid w:val="001107D3"/>
    <w:rsid w:val="001108F3"/>
    <w:rsid w:val="00110935"/>
    <w:rsid w:val="00110958"/>
    <w:rsid w:val="00110972"/>
    <w:rsid w:val="00110B97"/>
    <w:rsid w:val="00110D8F"/>
    <w:rsid w:val="00110DC2"/>
    <w:rsid w:val="00110E6F"/>
    <w:rsid w:val="001111DA"/>
    <w:rsid w:val="001111F0"/>
    <w:rsid w:val="0011137C"/>
    <w:rsid w:val="0011148A"/>
    <w:rsid w:val="001115E6"/>
    <w:rsid w:val="00111856"/>
    <w:rsid w:val="001118A0"/>
    <w:rsid w:val="001118DA"/>
    <w:rsid w:val="00111931"/>
    <w:rsid w:val="00111B05"/>
    <w:rsid w:val="00111DE7"/>
    <w:rsid w:val="00112220"/>
    <w:rsid w:val="001123E7"/>
    <w:rsid w:val="00112516"/>
    <w:rsid w:val="00112C80"/>
    <w:rsid w:val="00112D0A"/>
    <w:rsid w:val="00112E5E"/>
    <w:rsid w:val="00112E67"/>
    <w:rsid w:val="00113026"/>
    <w:rsid w:val="001131AC"/>
    <w:rsid w:val="0011344C"/>
    <w:rsid w:val="001136C7"/>
    <w:rsid w:val="0011384F"/>
    <w:rsid w:val="001138D2"/>
    <w:rsid w:val="0011397F"/>
    <w:rsid w:val="00113B27"/>
    <w:rsid w:val="00113C86"/>
    <w:rsid w:val="00113CB9"/>
    <w:rsid w:val="00114069"/>
    <w:rsid w:val="0011411A"/>
    <w:rsid w:val="001141F2"/>
    <w:rsid w:val="001143C0"/>
    <w:rsid w:val="0011441F"/>
    <w:rsid w:val="001144B8"/>
    <w:rsid w:val="00114501"/>
    <w:rsid w:val="001145AE"/>
    <w:rsid w:val="001145F4"/>
    <w:rsid w:val="0011464F"/>
    <w:rsid w:val="00114B68"/>
    <w:rsid w:val="00114CDD"/>
    <w:rsid w:val="00114D41"/>
    <w:rsid w:val="00114D53"/>
    <w:rsid w:val="00115292"/>
    <w:rsid w:val="001153E5"/>
    <w:rsid w:val="0011548C"/>
    <w:rsid w:val="001154A1"/>
    <w:rsid w:val="0011559E"/>
    <w:rsid w:val="00115998"/>
    <w:rsid w:val="00115A7C"/>
    <w:rsid w:val="00115B82"/>
    <w:rsid w:val="00115BE0"/>
    <w:rsid w:val="00115EB9"/>
    <w:rsid w:val="00116673"/>
    <w:rsid w:val="001166A5"/>
    <w:rsid w:val="00116997"/>
    <w:rsid w:val="00116ACD"/>
    <w:rsid w:val="00116DA0"/>
    <w:rsid w:val="001172B0"/>
    <w:rsid w:val="00117331"/>
    <w:rsid w:val="001176F8"/>
    <w:rsid w:val="00117879"/>
    <w:rsid w:val="00117A4F"/>
    <w:rsid w:val="00117D14"/>
    <w:rsid w:val="00117D77"/>
    <w:rsid w:val="00117F57"/>
    <w:rsid w:val="00120173"/>
    <w:rsid w:val="00120524"/>
    <w:rsid w:val="0012063E"/>
    <w:rsid w:val="00120887"/>
    <w:rsid w:val="00120970"/>
    <w:rsid w:val="00120B6C"/>
    <w:rsid w:val="00120C7A"/>
    <w:rsid w:val="00120FA8"/>
    <w:rsid w:val="0012128D"/>
    <w:rsid w:val="001215E9"/>
    <w:rsid w:val="0012161D"/>
    <w:rsid w:val="001216DA"/>
    <w:rsid w:val="00121708"/>
    <w:rsid w:val="00121956"/>
    <w:rsid w:val="00121984"/>
    <w:rsid w:val="00122198"/>
    <w:rsid w:val="001223D7"/>
    <w:rsid w:val="0012267B"/>
    <w:rsid w:val="001228D5"/>
    <w:rsid w:val="001228E5"/>
    <w:rsid w:val="00122DDF"/>
    <w:rsid w:val="00122E83"/>
    <w:rsid w:val="00122E9D"/>
    <w:rsid w:val="0012304B"/>
    <w:rsid w:val="001231B6"/>
    <w:rsid w:val="001231DB"/>
    <w:rsid w:val="00123587"/>
    <w:rsid w:val="00123765"/>
    <w:rsid w:val="001237C7"/>
    <w:rsid w:val="001239B2"/>
    <w:rsid w:val="00123CA4"/>
    <w:rsid w:val="00123FAD"/>
    <w:rsid w:val="00124281"/>
    <w:rsid w:val="001245AB"/>
    <w:rsid w:val="0012487B"/>
    <w:rsid w:val="001248DE"/>
    <w:rsid w:val="00124942"/>
    <w:rsid w:val="00124B89"/>
    <w:rsid w:val="00124FDE"/>
    <w:rsid w:val="0012534E"/>
    <w:rsid w:val="001257A5"/>
    <w:rsid w:val="001258B6"/>
    <w:rsid w:val="001258E0"/>
    <w:rsid w:val="00125ABC"/>
    <w:rsid w:val="00125D1C"/>
    <w:rsid w:val="00125EE5"/>
    <w:rsid w:val="00125FB8"/>
    <w:rsid w:val="00126392"/>
    <w:rsid w:val="00126594"/>
    <w:rsid w:val="001266E6"/>
    <w:rsid w:val="0012688F"/>
    <w:rsid w:val="001268C2"/>
    <w:rsid w:val="001269E3"/>
    <w:rsid w:val="00126C51"/>
    <w:rsid w:val="00126E74"/>
    <w:rsid w:val="00127018"/>
    <w:rsid w:val="00127187"/>
    <w:rsid w:val="001271AD"/>
    <w:rsid w:val="0012752E"/>
    <w:rsid w:val="00127A3F"/>
    <w:rsid w:val="00127BD3"/>
    <w:rsid w:val="00127C9D"/>
    <w:rsid w:val="00127D02"/>
    <w:rsid w:val="00127D7E"/>
    <w:rsid w:val="00127DEB"/>
    <w:rsid w:val="00127E88"/>
    <w:rsid w:val="001300D7"/>
    <w:rsid w:val="0013036A"/>
    <w:rsid w:val="00130617"/>
    <w:rsid w:val="00130736"/>
    <w:rsid w:val="001307C3"/>
    <w:rsid w:val="0013086C"/>
    <w:rsid w:val="0013090E"/>
    <w:rsid w:val="00130EF2"/>
    <w:rsid w:val="0013120C"/>
    <w:rsid w:val="00131707"/>
    <w:rsid w:val="00131978"/>
    <w:rsid w:val="001319DE"/>
    <w:rsid w:val="00131B3D"/>
    <w:rsid w:val="00131B64"/>
    <w:rsid w:val="00131DDD"/>
    <w:rsid w:val="00131E97"/>
    <w:rsid w:val="00131EB2"/>
    <w:rsid w:val="0013203B"/>
    <w:rsid w:val="001320EB"/>
    <w:rsid w:val="001321D2"/>
    <w:rsid w:val="00132238"/>
    <w:rsid w:val="00132352"/>
    <w:rsid w:val="0013247F"/>
    <w:rsid w:val="00132526"/>
    <w:rsid w:val="0013270C"/>
    <w:rsid w:val="00132C8D"/>
    <w:rsid w:val="001330C5"/>
    <w:rsid w:val="001333C2"/>
    <w:rsid w:val="001334DF"/>
    <w:rsid w:val="0013362B"/>
    <w:rsid w:val="0013397D"/>
    <w:rsid w:val="00133BF4"/>
    <w:rsid w:val="00133C93"/>
    <w:rsid w:val="00133D51"/>
    <w:rsid w:val="00134037"/>
    <w:rsid w:val="00134299"/>
    <w:rsid w:val="0013431B"/>
    <w:rsid w:val="001344C1"/>
    <w:rsid w:val="00134797"/>
    <w:rsid w:val="001349CD"/>
    <w:rsid w:val="00134DBE"/>
    <w:rsid w:val="00134DE5"/>
    <w:rsid w:val="00134E2B"/>
    <w:rsid w:val="00134F2C"/>
    <w:rsid w:val="00134F73"/>
    <w:rsid w:val="0013516E"/>
    <w:rsid w:val="00135185"/>
    <w:rsid w:val="001352FC"/>
    <w:rsid w:val="001354E2"/>
    <w:rsid w:val="00135568"/>
    <w:rsid w:val="001355ED"/>
    <w:rsid w:val="00135612"/>
    <w:rsid w:val="00135906"/>
    <w:rsid w:val="0013594E"/>
    <w:rsid w:val="001359BB"/>
    <w:rsid w:val="00135A88"/>
    <w:rsid w:val="00135B49"/>
    <w:rsid w:val="00135C80"/>
    <w:rsid w:val="00135D2D"/>
    <w:rsid w:val="00135D44"/>
    <w:rsid w:val="00135DC2"/>
    <w:rsid w:val="00136057"/>
    <w:rsid w:val="001360A4"/>
    <w:rsid w:val="0013616A"/>
    <w:rsid w:val="00136180"/>
    <w:rsid w:val="00136283"/>
    <w:rsid w:val="001362BA"/>
    <w:rsid w:val="0013644B"/>
    <w:rsid w:val="0013649A"/>
    <w:rsid w:val="0013692F"/>
    <w:rsid w:val="00136A4C"/>
    <w:rsid w:val="00136A95"/>
    <w:rsid w:val="00136BAE"/>
    <w:rsid w:val="00136CFD"/>
    <w:rsid w:val="00136DB6"/>
    <w:rsid w:val="00136EF8"/>
    <w:rsid w:val="00137019"/>
    <w:rsid w:val="0013746F"/>
    <w:rsid w:val="00137530"/>
    <w:rsid w:val="00137898"/>
    <w:rsid w:val="00137989"/>
    <w:rsid w:val="00137EC7"/>
    <w:rsid w:val="001401F7"/>
    <w:rsid w:val="00140685"/>
    <w:rsid w:val="00140799"/>
    <w:rsid w:val="001407DA"/>
    <w:rsid w:val="00140848"/>
    <w:rsid w:val="00140876"/>
    <w:rsid w:val="00140C81"/>
    <w:rsid w:val="00140D72"/>
    <w:rsid w:val="0014107B"/>
    <w:rsid w:val="00141253"/>
    <w:rsid w:val="00141266"/>
    <w:rsid w:val="001413ED"/>
    <w:rsid w:val="001416F3"/>
    <w:rsid w:val="001416FE"/>
    <w:rsid w:val="001417CE"/>
    <w:rsid w:val="001418D7"/>
    <w:rsid w:val="00141DA8"/>
    <w:rsid w:val="00141DAB"/>
    <w:rsid w:val="00141DE7"/>
    <w:rsid w:val="001420B7"/>
    <w:rsid w:val="001421BD"/>
    <w:rsid w:val="00142249"/>
    <w:rsid w:val="001423D4"/>
    <w:rsid w:val="00142685"/>
    <w:rsid w:val="00142938"/>
    <w:rsid w:val="00142A64"/>
    <w:rsid w:val="00142CF5"/>
    <w:rsid w:val="001430C7"/>
    <w:rsid w:val="0014319A"/>
    <w:rsid w:val="00143462"/>
    <w:rsid w:val="001436B3"/>
    <w:rsid w:val="001436E1"/>
    <w:rsid w:val="0014378B"/>
    <w:rsid w:val="00143E86"/>
    <w:rsid w:val="00144298"/>
    <w:rsid w:val="0014439E"/>
    <w:rsid w:val="00144555"/>
    <w:rsid w:val="00144983"/>
    <w:rsid w:val="001449C0"/>
    <w:rsid w:val="00145183"/>
    <w:rsid w:val="00145696"/>
    <w:rsid w:val="001456E9"/>
    <w:rsid w:val="00145774"/>
    <w:rsid w:val="00145A16"/>
    <w:rsid w:val="00145C2C"/>
    <w:rsid w:val="00145D58"/>
    <w:rsid w:val="0014600C"/>
    <w:rsid w:val="00146047"/>
    <w:rsid w:val="0014624B"/>
    <w:rsid w:val="00146356"/>
    <w:rsid w:val="001468EA"/>
    <w:rsid w:val="00146BDA"/>
    <w:rsid w:val="00146BDE"/>
    <w:rsid w:val="00146C31"/>
    <w:rsid w:val="00146C4C"/>
    <w:rsid w:val="0014726E"/>
    <w:rsid w:val="001472C3"/>
    <w:rsid w:val="001472DE"/>
    <w:rsid w:val="001472F0"/>
    <w:rsid w:val="00147362"/>
    <w:rsid w:val="0014755C"/>
    <w:rsid w:val="001475F9"/>
    <w:rsid w:val="0014762F"/>
    <w:rsid w:val="00147656"/>
    <w:rsid w:val="00147685"/>
    <w:rsid w:val="001478CB"/>
    <w:rsid w:val="00147E03"/>
    <w:rsid w:val="00150160"/>
    <w:rsid w:val="001504B5"/>
    <w:rsid w:val="001505A5"/>
    <w:rsid w:val="00150604"/>
    <w:rsid w:val="00150683"/>
    <w:rsid w:val="001507A1"/>
    <w:rsid w:val="00150BAD"/>
    <w:rsid w:val="00150C64"/>
    <w:rsid w:val="00150D2C"/>
    <w:rsid w:val="00150D65"/>
    <w:rsid w:val="001511C8"/>
    <w:rsid w:val="0015123F"/>
    <w:rsid w:val="0015135A"/>
    <w:rsid w:val="001515EE"/>
    <w:rsid w:val="001516AB"/>
    <w:rsid w:val="00151727"/>
    <w:rsid w:val="00151929"/>
    <w:rsid w:val="00151DE9"/>
    <w:rsid w:val="00151E76"/>
    <w:rsid w:val="001522D4"/>
    <w:rsid w:val="00152665"/>
    <w:rsid w:val="00152785"/>
    <w:rsid w:val="0015290A"/>
    <w:rsid w:val="00152A30"/>
    <w:rsid w:val="00152AB4"/>
    <w:rsid w:val="00152B5F"/>
    <w:rsid w:val="00152E9E"/>
    <w:rsid w:val="00152EDE"/>
    <w:rsid w:val="00152F89"/>
    <w:rsid w:val="00152FC2"/>
    <w:rsid w:val="001536B1"/>
    <w:rsid w:val="00153726"/>
    <w:rsid w:val="0015382B"/>
    <w:rsid w:val="001538E6"/>
    <w:rsid w:val="00153B70"/>
    <w:rsid w:val="00153EE7"/>
    <w:rsid w:val="00153F2E"/>
    <w:rsid w:val="001540A9"/>
    <w:rsid w:val="0015432D"/>
    <w:rsid w:val="001543B9"/>
    <w:rsid w:val="001546F9"/>
    <w:rsid w:val="00154B2C"/>
    <w:rsid w:val="00154CF2"/>
    <w:rsid w:val="00154E08"/>
    <w:rsid w:val="00154FBB"/>
    <w:rsid w:val="00154FFA"/>
    <w:rsid w:val="001550BE"/>
    <w:rsid w:val="001550D9"/>
    <w:rsid w:val="001551E9"/>
    <w:rsid w:val="00155328"/>
    <w:rsid w:val="001554CE"/>
    <w:rsid w:val="00155502"/>
    <w:rsid w:val="001555E8"/>
    <w:rsid w:val="00155662"/>
    <w:rsid w:val="00155800"/>
    <w:rsid w:val="00155844"/>
    <w:rsid w:val="0015588D"/>
    <w:rsid w:val="0015590E"/>
    <w:rsid w:val="00155B90"/>
    <w:rsid w:val="00155C30"/>
    <w:rsid w:val="00155CF0"/>
    <w:rsid w:val="00155E6B"/>
    <w:rsid w:val="00156149"/>
    <w:rsid w:val="00156320"/>
    <w:rsid w:val="00156560"/>
    <w:rsid w:val="00156820"/>
    <w:rsid w:val="0015684F"/>
    <w:rsid w:val="001568EB"/>
    <w:rsid w:val="00156BC5"/>
    <w:rsid w:val="00156ECC"/>
    <w:rsid w:val="00156F85"/>
    <w:rsid w:val="001571D6"/>
    <w:rsid w:val="00157848"/>
    <w:rsid w:val="001578D5"/>
    <w:rsid w:val="00157923"/>
    <w:rsid w:val="00157C2E"/>
    <w:rsid w:val="00157C3E"/>
    <w:rsid w:val="001600A5"/>
    <w:rsid w:val="001604FC"/>
    <w:rsid w:val="001607B8"/>
    <w:rsid w:val="00160B1F"/>
    <w:rsid w:val="00160B73"/>
    <w:rsid w:val="00160CB7"/>
    <w:rsid w:val="00160DAC"/>
    <w:rsid w:val="00160EA8"/>
    <w:rsid w:val="00160EFF"/>
    <w:rsid w:val="00160FAF"/>
    <w:rsid w:val="00160FC1"/>
    <w:rsid w:val="00160FDC"/>
    <w:rsid w:val="00161027"/>
    <w:rsid w:val="0016104D"/>
    <w:rsid w:val="00161126"/>
    <w:rsid w:val="00161288"/>
    <w:rsid w:val="00161441"/>
    <w:rsid w:val="00161502"/>
    <w:rsid w:val="00161C5E"/>
    <w:rsid w:val="00161ED5"/>
    <w:rsid w:val="001620D8"/>
    <w:rsid w:val="001621B5"/>
    <w:rsid w:val="001625FF"/>
    <w:rsid w:val="0016260A"/>
    <w:rsid w:val="00162624"/>
    <w:rsid w:val="001626CA"/>
    <w:rsid w:val="0016277C"/>
    <w:rsid w:val="00162A07"/>
    <w:rsid w:val="00162AE8"/>
    <w:rsid w:val="00162AE9"/>
    <w:rsid w:val="00162F63"/>
    <w:rsid w:val="00163397"/>
    <w:rsid w:val="001633F3"/>
    <w:rsid w:val="001633FB"/>
    <w:rsid w:val="0016353D"/>
    <w:rsid w:val="00163547"/>
    <w:rsid w:val="00163705"/>
    <w:rsid w:val="00163AB4"/>
    <w:rsid w:val="00163C7A"/>
    <w:rsid w:val="00163D0D"/>
    <w:rsid w:val="00163D62"/>
    <w:rsid w:val="001641C9"/>
    <w:rsid w:val="00164269"/>
    <w:rsid w:val="00164313"/>
    <w:rsid w:val="0016441F"/>
    <w:rsid w:val="001646F4"/>
    <w:rsid w:val="00164776"/>
    <w:rsid w:val="001647A5"/>
    <w:rsid w:val="00164975"/>
    <w:rsid w:val="00164B82"/>
    <w:rsid w:val="00164C58"/>
    <w:rsid w:val="00165535"/>
    <w:rsid w:val="00165621"/>
    <w:rsid w:val="00165678"/>
    <w:rsid w:val="0016597D"/>
    <w:rsid w:val="00165D89"/>
    <w:rsid w:val="00165F47"/>
    <w:rsid w:val="0016650E"/>
    <w:rsid w:val="00166513"/>
    <w:rsid w:val="001665E8"/>
    <w:rsid w:val="00166661"/>
    <w:rsid w:val="001666C6"/>
    <w:rsid w:val="001669D9"/>
    <w:rsid w:val="00166B25"/>
    <w:rsid w:val="00166FA8"/>
    <w:rsid w:val="001671C4"/>
    <w:rsid w:val="00167540"/>
    <w:rsid w:val="00167649"/>
    <w:rsid w:val="0016780E"/>
    <w:rsid w:val="00167AB5"/>
    <w:rsid w:val="00167E19"/>
    <w:rsid w:val="0017030A"/>
    <w:rsid w:val="00170315"/>
    <w:rsid w:val="0017068F"/>
    <w:rsid w:val="001706AB"/>
    <w:rsid w:val="00170809"/>
    <w:rsid w:val="0017094A"/>
    <w:rsid w:val="00170991"/>
    <w:rsid w:val="00170A8B"/>
    <w:rsid w:val="00170AF5"/>
    <w:rsid w:val="00170EF5"/>
    <w:rsid w:val="0017109F"/>
    <w:rsid w:val="0017119D"/>
    <w:rsid w:val="0017126D"/>
    <w:rsid w:val="001715D4"/>
    <w:rsid w:val="001716D4"/>
    <w:rsid w:val="00171750"/>
    <w:rsid w:val="00171751"/>
    <w:rsid w:val="001718AA"/>
    <w:rsid w:val="00171A08"/>
    <w:rsid w:val="00171AB8"/>
    <w:rsid w:val="00171C31"/>
    <w:rsid w:val="00171D28"/>
    <w:rsid w:val="00171E02"/>
    <w:rsid w:val="001721B5"/>
    <w:rsid w:val="001725E1"/>
    <w:rsid w:val="001727C7"/>
    <w:rsid w:val="00172AA9"/>
    <w:rsid w:val="00172AAC"/>
    <w:rsid w:val="00172CC9"/>
    <w:rsid w:val="00172D8C"/>
    <w:rsid w:val="001730C9"/>
    <w:rsid w:val="00173585"/>
    <w:rsid w:val="001735D9"/>
    <w:rsid w:val="0017398C"/>
    <w:rsid w:val="001739EF"/>
    <w:rsid w:val="00173A31"/>
    <w:rsid w:val="00173C3C"/>
    <w:rsid w:val="00173D2E"/>
    <w:rsid w:val="00173E43"/>
    <w:rsid w:val="00173EA3"/>
    <w:rsid w:val="00173ECD"/>
    <w:rsid w:val="00174381"/>
    <w:rsid w:val="00174451"/>
    <w:rsid w:val="001746AC"/>
    <w:rsid w:val="00174A93"/>
    <w:rsid w:val="00174D3F"/>
    <w:rsid w:val="00174DA2"/>
    <w:rsid w:val="00174DE3"/>
    <w:rsid w:val="00174EA9"/>
    <w:rsid w:val="00175139"/>
    <w:rsid w:val="001751C0"/>
    <w:rsid w:val="0017522E"/>
    <w:rsid w:val="00175546"/>
    <w:rsid w:val="00175B1E"/>
    <w:rsid w:val="00175B45"/>
    <w:rsid w:val="00175D2C"/>
    <w:rsid w:val="00175D85"/>
    <w:rsid w:val="00175E24"/>
    <w:rsid w:val="00175F07"/>
    <w:rsid w:val="00175FA4"/>
    <w:rsid w:val="00176082"/>
    <w:rsid w:val="001760A8"/>
    <w:rsid w:val="00176178"/>
    <w:rsid w:val="001761E2"/>
    <w:rsid w:val="0017637E"/>
    <w:rsid w:val="00176AAD"/>
    <w:rsid w:val="00176E8F"/>
    <w:rsid w:val="00176EF2"/>
    <w:rsid w:val="00176FC7"/>
    <w:rsid w:val="00177061"/>
    <w:rsid w:val="00177557"/>
    <w:rsid w:val="001778BC"/>
    <w:rsid w:val="001778F2"/>
    <w:rsid w:val="00177AB4"/>
    <w:rsid w:val="00177BDB"/>
    <w:rsid w:val="00177C94"/>
    <w:rsid w:val="00177CA3"/>
    <w:rsid w:val="00177E1E"/>
    <w:rsid w:val="00177F14"/>
    <w:rsid w:val="00177F4E"/>
    <w:rsid w:val="00177F96"/>
    <w:rsid w:val="0018005C"/>
    <w:rsid w:val="001801B6"/>
    <w:rsid w:val="00180491"/>
    <w:rsid w:val="0018054F"/>
    <w:rsid w:val="00180760"/>
    <w:rsid w:val="001807F4"/>
    <w:rsid w:val="00180844"/>
    <w:rsid w:val="00180AD1"/>
    <w:rsid w:val="00180B92"/>
    <w:rsid w:val="00180BA6"/>
    <w:rsid w:val="00180BAC"/>
    <w:rsid w:val="00180BAD"/>
    <w:rsid w:val="00180C3B"/>
    <w:rsid w:val="00180CFD"/>
    <w:rsid w:val="00180F0C"/>
    <w:rsid w:val="001812B7"/>
    <w:rsid w:val="00181538"/>
    <w:rsid w:val="00181767"/>
    <w:rsid w:val="0018177F"/>
    <w:rsid w:val="00181912"/>
    <w:rsid w:val="0018193C"/>
    <w:rsid w:val="00181B36"/>
    <w:rsid w:val="00181BD9"/>
    <w:rsid w:val="00181E61"/>
    <w:rsid w:val="0018239B"/>
    <w:rsid w:val="001826AC"/>
    <w:rsid w:val="00182733"/>
    <w:rsid w:val="00182754"/>
    <w:rsid w:val="00182872"/>
    <w:rsid w:val="0018298F"/>
    <w:rsid w:val="00182A36"/>
    <w:rsid w:val="00182B10"/>
    <w:rsid w:val="00182BE5"/>
    <w:rsid w:val="001833E1"/>
    <w:rsid w:val="001835E1"/>
    <w:rsid w:val="0018372E"/>
    <w:rsid w:val="0018382A"/>
    <w:rsid w:val="001838E7"/>
    <w:rsid w:val="001838F0"/>
    <w:rsid w:val="00183A27"/>
    <w:rsid w:val="00183A41"/>
    <w:rsid w:val="00183B22"/>
    <w:rsid w:val="00183B9B"/>
    <w:rsid w:val="00183D47"/>
    <w:rsid w:val="00183D88"/>
    <w:rsid w:val="0018405F"/>
    <w:rsid w:val="001841DF"/>
    <w:rsid w:val="00184230"/>
    <w:rsid w:val="001843EC"/>
    <w:rsid w:val="0018479E"/>
    <w:rsid w:val="00184AAF"/>
    <w:rsid w:val="00184B9C"/>
    <w:rsid w:val="00184BAA"/>
    <w:rsid w:val="00184C42"/>
    <w:rsid w:val="00184D6A"/>
    <w:rsid w:val="0018500F"/>
    <w:rsid w:val="0018509B"/>
    <w:rsid w:val="00185359"/>
    <w:rsid w:val="0018536F"/>
    <w:rsid w:val="00185408"/>
    <w:rsid w:val="00185832"/>
    <w:rsid w:val="00185B60"/>
    <w:rsid w:val="00185D6F"/>
    <w:rsid w:val="00185E11"/>
    <w:rsid w:val="001861BD"/>
    <w:rsid w:val="001861D6"/>
    <w:rsid w:val="00186348"/>
    <w:rsid w:val="0018649A"/>
    <w:rsid w:val="0018650C"/>
    <w:rsid w:val="0018656B"/>
    <w:rsid w:val="00186570"/>
    <w:rsid w:val="0018661B"/>
    <w:rsid w:val="0018676B"/>
    <w:rsid w:val="00186789"/>
    <w:rsid w:val="001868D2"/>
    <w:rsid w:val="001868D6"/>
    <w:rsid w:val="00186CF2"/>
    <w:rsid w:val="00186DE9"/>
    <w:rsid w:val="00186F72"/>
    <w:rsid w:val="001872F8"/>
    <w:rsid w:val="00187366"/>
    <w:rsid w:val="00187375"/>
    <w:rsid w:val="00187404"/>
    <w:rsid w:val="00187479"/>
    <w:rsid w:val="001874DD"/>
    <w:rsid w:val="00187887"/>
    <w:rsid w:val="00187A5F"/>
    <w:rsid w:val="00187F0D"/>
    <w:rsid w:val="00187FE7"/>
    <w:rsid w:val="00187FE9"/>
    <w:rsid w:val="001900DD"/>
    <w:rsid w:val="001901AA"/>
    <w:rsid w:val="001903ED"/>
    <w:rsid w:val="001906F3"/>
    <w:rsid w:val="00190743"/>
    <w:rsid w:val="00190843"/>
    <w:rsid w:val="00190B9B"/>
    <w:rsid w:val="00190C73"/>
    <w:rsid w:val="00190EEB"/>
    <w:rsid w:val="0019120B"/>
    <w:rsid w:val="0019122C"/>
    <w:rsid w:val="0019133A"/>
    <w:rsid w:val="0019144D"/>
    <w:rsid w:val="0019170B"/>
    <w:rsid w:val="00191720"/>
    <w:rsid w:val="0019189B"/>
    <w:rsid w:val="00191C84"/>
    <w:rsid w:val="00191D84"/>
    <w:rsid w:val="00191E46"/>
    <w:rsid w:val="001922F0"/>
    <w:rsid w:val="001924A1"/>
    <w:rsid w:val="00192643"/>
    <w:rsid w:val="00192671"/>
    <w:rsid w:val="0019267A"/>
    <w:rsid w:val="001927FE"/>
    <w:rsid w:val="00192A7C"/>
    <w:rsid w:val="00192BD7"/>
    <w:rsid w:val="00192CE7"/>
    <w:rsid w:val="00192E95"/>
    <w:rsid w:val="0019309F"/>
    <w:rsid w:val="001930AD"/>
    <w:rsid w:val="001933E7"/>
    <w:rsid w:val="001934E3"/>
    <w:rsid w:val="00193DC0"/>
    <w:rsid w:val="00193F3A"/>
    <w:rsid w:val="00193F6E"/>
    <w:rsid w:val="001940FB"/>
    <w:rsid w:val="00194249"/>
    <w:rsid w:val="0019442B"/>
    <w:rsid w:val="001944A8"/>
    <w:rsid w:val="0019459C"/>
    <w:rsid w:val="001947A9"/>
    <w:rsid w:val="001947C0"/>
    <w:rsid w:val="00194967"/>
    <w:rsid w:val="00194BC6"/>
    <w:rsid w:val="00194BFC"/>
    <w:rsid w:val="00195235"/>
    <w:rsid w:val="001952D4"/>
    <w:rsid w:val="0019541E"/>
    <w:rsid w:val="001958A6"/>
    <w:rsid w:val="00195B31"/>
    <w:rsid w:val="00195FE5"/>
    <w:rsid w:val="001963D4"/>
    <w:rsid w:val="0019644E"/>
    <w:rsid w:val="0019678E"/>
    <w:rsid w:val="00196B54"/>
    <w:rsid w:val="00196B5C"/>
    <w:rsid w:val="00196EC9"/>
    <w:rsid w:val="00197333"/>
    <w:rsid w:val="001974B5"/>
    <w:rsid w:val="00197725"/>
    <w:rsid w:val="00197735"/>
    <w:rsid w:val="001978F4"/>
    <w:rsid w:val="00197A10"/>
    <w:rsid w:val="00197EF7"/>
    <w:rsid w:val="00197F8F"/>
    <w:rsid w:val="00197FBE"/>
    <w:rsid w:val="001A024E"/>
    <w:rsid w:val="001A02E6"/>
    <w:rsid w:val="001A031B"/>
    <w:rsid w:val="001A03C9"/>
    <w:rsid w:val="001A0659"/>
    <w:rsid w:val="001A0873"/>
    <w:rsid w:val="001A08D5"/>
    <w:rsid w:val="001A0938"/>
    <w:rsid w:val="001A0D11"/>
    <w:rsid w:val="001A0D28"/>
    <w:rsid w:val="001A0E2B"/>
    <w:rsid w:val="001A0E74"/>
    <w:rsid w:val="001A11C3"/>
    <w:rsid w:val="001A1250"/>
    <w:rsid w:val="001A126F"/>
    <w:rsid w:val="001A12E3"/>
    <w:rsid w:val="001A1417"/>
    <w:rsid w:val="001A14F8"/>
    <w:rsid w:val="001A15A7"/>
    <w:rsid w:val="001A1616"/>
    <w:rsid w:val="001A17D7"/>
    <w:rsid w:val="001A1A65"/>
    <w:rsid w:val="001A1B32"/>
    <w:rsid w:val="001A200C"/>
    <w:rsid w:val="001A207E"/>
    <w:rsid w:val="001A2547"/>
    <w:rsid w:val="001A2581"/>
    <w:rsid w:val="001A26F7"/>
    <w:rsid w:val="001A272C"/>
    <w:rsid w:val="001A283F"/>
    <w:rsid w:val="001A29AB"/>
    <w:rsid w:val="001A2BFB"/>
    <w:rsid w:val="001A2C4E"/>
    <w:rsid w:val="001A2CE7"/>
    <w:rsid w:val="001A2DCE"/>
    <w:rsid w:val="001A2DFF"/>
    <w:rsid w:val="001A2F01"/>
    <w:rsid w:val="001A2F43"/>
    <w:rsid w:val="001A327A"/>
    <w:rsid w:val="001A350F"/>
    <w:rsid w:val="001A3B21"/>
    <w:rsid w:val="001A3B67"/>
    <w:rsid w:val="001A3D25"/>
    <w:rsid w:val="001A3D60"/>
    <w:rsid w:val="001A3E27"/>
    <w:rsid w:val="001A3FFA"/>
    <w:rsid w:val="001A4063"/>
    <w:rsid w:val="001A4190"/>
    <w:rsid w:val="001A41A1"/>
    <w:rsid w:val="001A4365"/>
    <w:rsid w:val="001A446D"/>
    <w:rsid w:val="001A49CD"/>
    <w:rsid w:val="001A4ABC"/>
    <w:rsid w:val="001A4B07"/>
    <w:rsid w:val="001A4BDC"/>
    <w:rsid w:val="001A4C11"/>
    <w:rsid w:val="001A4DFC"/>
    <w:rsid w:val="001A4E6F"/>
    <w:rsid w:val="001A4F18"/>
    <w:rsid w:val="001A4FA7"/>
    <w:rsid w:val="001A5014"/>
    <w:rsid w:val="001A52F4"/>
    <w:rsid w:val="001A5473"/>
    <w:rsid w:val="001A565E"/>
    <w:rsid w:val="001A582C"/>
    <w:rsid w:val="001A59BD"/>
    <w:rsid w:val="001A6037"/>
    <w:rsid w:val="001A605B"/>
    <w:rsid w:val="001A612A"/>
    <w:rsid w:val="001A61D8"/>
    <w:rsid w:val="001A621E"/>
    <w:rsid w:val="001A6290"/>
    <w:rsid w:val="001A6417"/>
    <w:rsid w:val="001A64E3"/>
    <w:rsid w:val="001A65F7"/>
    <w:rsid w:val="001A6750"/>
    <w:rsid w:val="001A6819"/>
    <w:rsid w:val="001A6BED"/>
    <w:rsid w:val="001A6D27"/>
    <w:rsid w:val="001A6DB0"/>
    <w:rsid w:val="001A6EE4"/>
    <w:rsid w:val="001A6F92"/>
    <w:rsid w:val="001A7371"/>
    <w:rsid w:val="001A741A"/>
    <w:rsid w:val="001A7447"/>
    <w:rsid w:val="001A76EE"/>
    <w:rsid w:val="001A7A94"/>
    <w:rsid w:val="001A7AC4"/>
    <w:rsid w:val="001A7B96"/>
    <w:rsid w:val="001A7C1A"/>
    <w:rsid w:val="001A7EB6"/>
    <w:rsid w:val="001A7F25"/>
    <w:rsid w:val="001A7FE2"/>
    <w:rsid w:val="001A7FE6"/>
    <w:rsid w:val="001B000D"/>
    <w:rsid w:val="001B0039"/>
    <w:rsid w:val="001B0118"/>
    <w:rsid w:val="001B0310"/>
    <w:rsid w:val="001B0464"/>
    <w:rsid w:val="001B0588"/>
    <w:rsid w:val="001B05B7"/>
    <w:rsid w:val="001B0AB6"/>
    <w:rsid w:val="001B0C12"/>
    <w:rsid w:val="001B0DD4"/>
    <w:rsid w:val="001B0FC6"/>
    <w:rsid w:val="001B1271"/>
    <w:rsid w:val="001B12AD"/>
    <w:rsid w:val="001B14A0"/>
    <w:rsid w:val="001B1577"/>
    <w:rsid w:val="001B1C4D"/>
    <w:rsid w:val="001B1EEF"/>
    <w:rsid w:val="001B1F25"/>
    <w:rsid w:val="001B215E"/>
    <w:rsid w:val="001B228B"/>
    <w:rsid w:val="001B2403"/>
    <w:rsid w:val="001B26D5"/>
    <w:rsid w:val="001B2D4A"/>
    <w:rsid w:val="001B2DEB"/>
    <w:rsid w:val="001B2E5F"/>
    <w:rsid w:val="001B2F02"/>
    <w:rsid w:val="001B3073"/>
    <w:rsid w:val="001B30D2"/>
    <w:rsid w:val="001B333A"/>
    <w:rsid w:val="001B350D"/>
    <w:rsid w:val="001B3657"/>
    <w:rsid w:val="001B3705"/>
    <w:rsid w:val="001B376B"/>
    <w:rsid w:val="001B37A0"/>
    <w:rsid w:val="001B38A8"/>
    <w:rsid w:val="001B39F4"/>
    <w:rsid w:val="001B3A9D"/>
    <w:rsid w:val="001B3D32"/>
    <w:rsid w:val="001B3E04"/>
    <w:rsid w:val="001B4067"/>
    <w:rsid w:val="001B40A8"/>
    <w:rsid w:val="001B4127"/>
    <w:rsid w:val="001B4145"/>
    <w:rsid w:val="001B42AC"/>
    <w:rsid w:val="001B42B1"/>
    <w:rsid w:val="001B4501"/>
    <w:rsid w:val="001B4AD2"/>
    <w:rsid w:val="001B4B29"/>
    <w:rsid w:val="001B4BF8"/>
    <w:rsid w:val="001B4CB8"/>
    <w:rsid w:val="001B50B2"/>
    <w:rsid w:val="001B50D3"/>
    <w:rsid w:val="001B53D5"/>
    <w:rsid w:val="001B5445"/>
    <w:rsid w:val="001B5515"/>
    <w:rsid w:val="001B559C"/>
    <w:rsid w:val="001B57D8"/>
    <w:rsid w:val="001B5C01"/>
    <w:rsid w:val="001B5EB1"/>
    <w:rsid w:val="001B6014"/>
    <w:rsid w:val="001B637D"/>
    <w:rsid w:val="001B63D4"/>
    <w:rsid w:val="001B65D9"/>
    <w:rsid w:val="001B65EE"/>
    <w:rsid w:val="001B6659"/>
    <w:rsid w:val="001B6951"/>
    <w:rsid w:val="001B6A04"/>
    <w:rsid w:val="001B6C55"/>
    <w:rsid w:val="001B6D65"/>
    <w:rsid w:val="001B72DA"/>
    <w:rsid w:val="001B7471"/>
    <w:rsid w:val="001B769A"/>
    <w:rsid w:val="001B774D"/>
    <w:rsid w:val="001B786A"/>
    <w:rsid w:val="001B794A"/>
    <w:rsid w:val="001B7C29"/>
    <w:rsid w:val="001B7DFE"/>
    <w:rsid w:val="001B7EB8"/>
    <w:rsid w:val="001B7FB3"/>
    <w:rsid w:val="001B7FD6"/>
    <w:rsid w:val="001C00CD"/>
    <w:rsid w:val="001C0232"/>
    <w:rsid w:val="001C02A7"/>
    <w:rsid w:val="001C02BD"/>
    <w:rsid w:val="001C03A9"/>
    <w:rsid w:val="001C063D"/>
    <w:rsid w:val="001C069F"/>
    <w:rsid w:val="001C08EF"/>
    <w:rsid w:val="001C09C2"/>
    <w:rsid w:val="001C09FE"/>
    <w:rsid w:val="001C0AF8"/>
    <w:rsid w:val="001C0B07"/>
    <w:rsid w:val="001C0B46"/>
    <w:rsid w:val="001C0C3A"/>
    <w:rsid w:val="001C0C7B"/>
    <w:rsid w:val="001C0CAA"/>
    <w:rsid w:val="001C0D28"/>
    <w:rsid w:val="001C0F47"/>
    <w:rsid w:val="001C11D4"/>
    <w:rsid w:val="001C127E"/>
    <w:rsid w:val="001C129E"/>
    <w:rsid w:val="001C1356"/>
    <w:rsid w:val="001C13B3"/>
    <w:rsid w:val="001C14B5"/>
    <w:rsid w:val="001C17F6"/>
    <w:rsid w:val="001C1849"/>
    <w:rsid w:val="001C1866"/>
    <w:rsid w:val="001C1A7A"/>
    <w:rsid w:val="001C1C5B"/>
    <w:rsid w:val="001C1DC0"/>
    <w:rsid w:val="001C1EC9"/>
    <w:rsid w:val="001C1FE1"/>
    <w:rsid w:val="001C20F7"/>
    <w:rsid w:val="001C20FF"/>
    <w:rsid w:val="001C2224"/>
    <w:rsid w:val="001C22E9"/>
    <w:rsid w:val="001C2465"/>
    <w:rsid w:val="001C26F1"/>
    <w:rsid w:val="001C28E3"/>
    <w:rsid w:val="001C2919"/>
    <w:rsid w:val="001C29F7"/>
    <w:rsid w:val="001C2A51"/>
    <w:rsid w:val="001C2D00"/>
    <w:rsid w:val="001C2D45"/>
    <w:rsid w:val="001C2F2F"/>
    <w:rsid w:val="001C2F67"/>
    <w:rsid w:val="001C2F6F"/>
    <w:rsid w:val="001C30BF"/>
    <w:rsid w:val="001C341B"/>
    <w:rsid w:val="001C3665"/>
    <w:rsid w:val="001C368F"/>
    <w:rsid w:val="001C378B"/>
    <w:rsid w:val="001C37C6"/>
    <w:rsid w:val="001C38F4"/>
    <w:rsid w:val="001C3DF5"/>
    <w:rsid w:val="001C3EA2"/>
    <w:rsid w:val="001C3F5D"/>
    <w:rsid w:val="001C3FB3"/>
    <w:rsid w:val="001C3FF8"/>
    <w:rsid w:val="001C40F5"/>
    <w:rsid w:val="001C4650"/>
    <w:rsid w:val="001C49DE"/>
    <w:rsid w:val="001C4B0F"/>
    <w:rsid w:val="001C4B6B"/>
    <w:rsid w:val="001C4DE1"/>
    <w:rsid w:val="001C4E54"/>
    <w:rsid w:val="001C4F09"/>
    <w:rsid w:val="001C507C"/>
    <w:rsid w:val="001C554A"/>
    <w:rsid w:val="001C57FE"/>
    <w:rsid w:val="001C59DD"/>
    <w:rsid w:val="001C5AB9"/>
    <w:rsid w:val="001C5C4F"/>
    <w:rsid w:val="001C5CA3"/>
    <w:rsid w:val="001C6193"/>
    <w:rsid w:val="001C629D"/>
    <w:rsid w:val="001C63B2"/>
    <w:rsid w:val="001C63E5"/>
    <w:rsid w:val="001C64A2"/>
    <w:rsid w:val="001C656C"/>
    <w:rsid w:val="001C658F"/>
    <w:rsid w:val="001C65B2"/>
    <w:rsid w:val="001C65C6"/>
    <w:rsid w:val="001C6C9C"/>
    <w:rsid w:val="001C6CA3"/>
    <w:rsid w:val="001C6F8F"/>
    <w:rsid w:val="001C7304"/>
    <w:rsid w:val="001C7364"/>
    <w:rsid w:val="001C775B"/>
    <w:rsid w:val="001C7A6B"/>
    <w:rsid w:val="001C7B8F"/>
    <w:rsid w:val="001C7C0F"/>
    <w:rsid w:val="001C7E6A"/>
    <w:rsid w:val="001C7F3F"/>
    <w:rsid w:val="001D000E"/>
    <w:rsid w:val="001D01BF"/>
    <w:rsid w:val="001D01FA"/>
    <w:rsid w:val="001D02F4"/>
    <w:rsid w:val="001D03A9"/>
    <w:rsid w:val="001D0A57"/>
    <w:rsid w:val="001D0AFC"/>
    <w:rsid w:val="001D0B59"/>
    <w:rsid w:val="001D0D91"/>
    <w:rsid w:val="001D0E2E"/>
    <w:rsid w:val="001D0F42"/>
    <w:rsid w:val="001D132E"/>
    <w:rsid w:val="001D14AF"/>
    <w:rsid w:val="001D16C7"/>
    <w:rsid w:val="001D19D6"/>
    <w:rsid w:val="001D1C9F"/>
    <w:rsid w:val="001D1D63"/>
    <w:rsid w:val="001D1F38"/>
    <w:rsid w:val="001D1FCD"/>
    <w:rsid w:val="001D20F9"/>
    <w:rsid w:val="001D23DB"/>
    <w:rsid w:val="001D23EF"/>
    <w:rsid w:val="001D269F"/>
    <w:rsid w:val="001D2A23"/>
    <w:rsid w:val="001D2A8A"/>
    <w:rsid w:val="001D2AAD"/>
    <w:rsid w:val="001D2B1D"/>
    <w:rsid w:val="001D2DAF"/>
    <w:rsid w:val="001D2E84"/>
    <w:rsid w:val="001D2EF6"/>
    <w:rsid w:val="001D3019"/>
    <w:rsid w:val="001D3080"/>
    <w:rsid w:val="001D3112"/>
    <w:rsid w:val="001D33EE"/>
    <w:rsid w:val="001D36EF"/>
    <w:rsid w:val="001D3739"/>
    <w:rsid w:val="001D37CA"/>
    <w:rsid w:val="001D393B"/>
    <w:rsid w:val="001D3945"/>
    <w:rsid w:val="001D39C9"/>
    <w:rsid w:val="001D3E00"/>
    <w:rsid w:val="001D3F95"/>
    <w:rsid w:val="001D4289"/>
    <w:rsid w:val="001D432F"/>
    <w:rsid w:val="001D46C2"/>
    <w:rsid w:val="001D4738"/>
    <w:rsid w:val="001D47CE"/>
    <w:rsid w:val="001D48E8"/>
    <w:rsid w:val="001D4B37"/>
    <w:rsid w:val="001D4B9B"/>
    <w:rsid w:val="001D4E40"/>
    <w:rsid w:val="001D4EEF"/>
    <w:rsid w:val="001D502F"/>
    <w:rsid w:val="001D5071"/>
    <w:rsid w:val="001D55E1"/>
    <w:rsid w:val="001D596D"/>
    <w:rsid w:val="001D5A33"/>
    <w:rsid w:val="001D5E7E"/>
    <w:rsid w:val="001D608F"/>
    <w:rsid w:val="001D6113"/>
    <w:rsid w:val="001D6680"/>
    <w:rsid w:val="001D66B9"/>
    <w:rsid w:val="001D672A"/>
    <w:rsid w:val="001D67CE"/>
    <w:rsid w:val="001D6C0D"/>
    <w:rsid w:val="001D6C2D"/>
    <w:rsid w:val="001D6D12"/>
    <w:rsid w:val="001D6E33"/>
    <w:rsid w:val="001D6EF0"/>
    <w:rsid w:val="001D71D8"/>
    <w:rsid w:val="001D738A"/>
    <w:rsid w:val="001D7420"/>
    <w:rsid w:val="001D7696"/>
    <w:rsid w:val="001D78B5"/>
    <w:rsid w:val="001D7C0B"/>
    <w:rsid w:val="001E0010"/>
    <w:rsid w:val="001E0093"/>
    <w:rsid w:val="001E06AD"/>
    <w:rsid w:val="001E06F4"/>
    <w:rsid w:val="001E0782"/>
    <w:rsid w:val="001E0A80"/>
    <w:rsid w:val="001E0B51"/>
    <w:rsid w:val="001E0BC4"/>
    <w:rsid w:val="001E0BCA"/>
    <w:rsid w:val="001E0D0B"/>
    <w:rsid w:val="001E109E"/>
    <w:rsid w:val="001E1244"/>
    <w:rsid w:val="001E147D"/>
    <w:rsid w:val="001E14B1"/>
    <w:rsid w:val="001E1502"/>
    <w:rsid w:val="001E162B"/>
    <w:rsid w:val="001E1631"/>
    <w:rsid w:val="001E176D"/>
    <w:rsid w:val="001E18A9"/>
    <w:rsid w:val="001E1CBC"/>
    <w:rsid w:val="001E1F71"/>
    <w:rsid w:val="001E202B"/>
    <w:rsid w:val="001E20E7"/>
    <w:rsid w:val="001E2242"/>
    <w:rsid w:val="001E23A9"/>
    <w:rsid w:val="001E24A2"/>
    <w:rsid w:val="001E27E6"/>
    <w:rsid w:val="001E28E7"/>
    <w:rsid w:val="001E2A39"/>
    <w:rsid w:val="001E2D8F"/>
    <w:rsid w:val="001E2E32"/>
    <w:rsid w:val="001E2FBA"/>
    <w:rsid w:val="001E32B8"/>
    <w:rsid w:val="001E3410"/>
    <w:rsid w:val="001E35B0"/>
    <w:rsid w:val="001E386E"/>
    <w:rsid w:val="001E3A32"/>
    <w:rsid w:val="001E3B83"/>
    <w:rsid w:val="001E3C7A"/>
    <w:rsid w:val="001E3CDC"/>
    <w:rsid w:val="001E3D2F"/>
    <w:rsid w:val="001E43A5"/>
    <w:rsid w:val="001E458E"/>
    <w:rsid w:val="001E465D"/>
    <w:rsid w:val="001E496D"/>
    <w:rsid w:val="001E4F2F"/>
    <w:rsid w:val="001E4F36"/>
    <w:rsid w:val="001E5241"/>
    <w:rsid w:val="001E53E5"/>
    <w:rsid w:val="001E5486"/>
    <w:rsid w:val="001E5578"/>
    <w:rsid w:val="001E5596"/>
    <w:rsid w:val="001E565D"/>
    <w:rsid w:val="001E59D8"/>
    <w:rsid w:val="001E59DC"/>
    <w:rsid w:val="001E59F9"/>
    <w:rsid w:val="001E5CBE"/>
    <w:rsid w:val="001E5E71"/>
    <w:rsid w:val="001E5EE3"/>
    <w:rsid w:val="001E6683"/>
    <w:rsid w:val="001E68F4"/>
    <w:rsid w:val="001E6BBB"/>
    <w:rsid w:val="001E6BED"/>
    <w:rsid w:val="001E6CA5"/>
    <w:rsid w:val="001E6E01"/>
    <w:rsid w:val="001E6E39"/>
    <w:rsid w:val="001E6FEE"/>
    <w:rsid w:val="001E71DD"/>
    <w:rsid w:val="001E73C1"/>
    <w:rsid w:val="001E73FB"/>
    <w:rsid w:val="001E76CF"/>
    <w:rsid w:val="001E776B"/>
    <w:rsid w:val="001E778A"/>
    <w:rsid w:val="001E7AE8"/>
    <w:rsid w:val="001E7B92"/>
    <w:rsid w:val="001E7D25"/>
    <w:rsid w:val="001F02DE"/>
    <w:rsid w:val="001F03D5"/>
    <w:rsid w:val="001F06C4"/>
    <w:rsid w:val="001F079B"/>
    <w:rsid w:val="001F07B6"/>
    <w:rsid w:val="001F0A4C"/>
    <w:rsid w:val="001F0D07"/>
    <w:rsid w:val="001F0E66"/>
    <w:rsid w:val="001F0E86"/>
    <w:rsid w:val="001F10A9"/>
    <w:rsid w:val="001F126D"/>
    <w:rsid w:val="001F12C4"/>
    <w:rsid w:val="001F13D4"/>
    <w:rsid w:val="001F1407"/>
    <w:rsid w:val="001F1550"/>
    <w:rsid w:val="001F15BC"/>
    <w:rsid w:val="001F15BE"/>
    <w:rsid w:val="001F168E"/>
    <w:rsid w:val="001F1C17"/>
    <w:rsid w:val="001F20B5"/>
    <w:rsid w:val="001F212F"/>
    <w:rsid w:val="001F2145"/>
    <w:rsid w:val="001F232F"/>
    <w:rsid w:val="001F236E"/>
    <w:rsid w:val="001F2667"/>
    <w:rsid w:val="001F27CF"/>
    <w:rsid w:val="001F2869"/>
    <w:rsid w:val="001F29EF"/>
    <w:rsid w:val="001F2B49"/>
    <w:rsid w:val="001F2E07"/>
    <w:rsid w:val="001F2E66"/>
    <w:rsid w:val="001F3045"/>
    <w:rsid w:val="001F3059"/>
    <w:rsid w:val="001F31A3"/>
    <w:rsid w:val="001F3221"/>
    <w:rsid w:val="001F32D9"/>
    <w:rsid w:val="001F33E3"/>
    <w:rsid w:val="001F351E"/>
    <w:rsid w:val="001F3760"/>
    <w:rsid w:val="001F39FF"/>
    <w:rsid w:val="001F3D0A"/>
    <w:rsid w:val="001F441E"/>
    <w:rsid w:val="001F4618"/>
    <w:rsid w:val="001F48B1"/>
    <w:rsid w:val="001F4B2E"/>
    <w:rsid w:val="001F4BB6"/>
    <w:rsid w:val="001F4CD2"/>
    <w:rsid w:val="001F4ED0"/>
    <w:rsid w:val="001F507F"/>
    <w:rsid w:val="001F5204"/>
    <w:rsid w:val="001F533B"/>
    <w:rsid w:val="001F545E"/>
    <w:rsid w:val="001F54A8"/>
    <w:rsid w:val="001F5AF0"/>
    <w:rsid w:val="001F5BEF"/>
    <w:rsid w:val="001F6024"/>
    <w:rsid w:val="001F6088"/>
    <w:rsid w:val="001F62B1"/>
    <w:rsid w:val="001F62EE"/>
    <w:rsid w:val="001F68EC"/>
    <w:rsid w:val="001F6E48"/>
    <w:rsid w:val="001F707C"/>
    <w:rsid w:val="001F76BD"/>
    <w:rsid w:val="001F7AB5"/>
    <w:rsid w:val="001F7AE9"/>
    <w:rsid w:val="001F7E72"/>
    <w:rsid w:val="002003AE"/>
    <w:rsid w:val="00200673"/>
    <w:rsid w:val="002006FA"/>
    <w:rsid w:val="00200C55"/>
    <w:rsid w:val="00200CBD"/>
    <w:rsid w:val="00201036"/>
    <w:rsid w:val="00201120"/>
    <w:rsid w:val="00201731"/>
    <w:rsid w:val="00201962"/>
    <w:rsid w:val="00201A01"/>
    <w:rsid w:val="00201A34"/>
    <w:rsid w:val="00201B91"/>
    <w:rsid w:val="00201C8C"/>
    <w:rsid w:val="00201E53"/>
    <w:rsid w:val="00202031"/>
    <w:rsid w:val="002021FA"/>
    <w:rsid w:val="002025EB"/>
    <w:rsid w:val="002028AB"/>
    <w:rsid w:val="00202947"/>
    <w:rsid w:val="00202B06"/>
    <w:rsid w:val="00202BD3"/>
    <w:rsid w:val="00202C61"/>
    <w:rsid w:val="00202E4E"/>
    <w:rsid w:val="0020319C"/>
    <w:rsid w:val="002031AD"/>
    <w:rsid w:val="00203251"/>
    <w:rsid w:val="00203296"/>
    <w:rsid w:val="00203317"/>
    <w:rsid w:val="002034EB"/>
    <w:rsid w:val="00203577"/>
    <w:rsid w:val="0020388F"/>
    <w:rsid w:val="002038B0"/>
    <w:rsid w:val="00203969"/>
    <w:rsid w:val="00203A21"/>
    <w:rsid w:val="00203B96"/>
    <w:rsid w:val="00203CD0"/>
    <w:rsid w:val="00203D5B"/>
    <w:rsid w:val="002040F8"/>
    <w:rsid w:val="00204127"/>
    <w:rsid w:val="002041D8"/>
    <w:rsid w:val="002042C4"/>
    <w:rsid w:val="0020433A"/>
    <w:rsid w:val="00204575"/>
    <w:rsid w:val="002047A4"/>
    <w:rsid w:val="002048FB"/>
    <w:rsid w:val="00204ABE"/>
    <w:rsid w:val="00204B82"/>
    <w:rsid w:val="00204C11"/>
    <w:rsid w:val="00204D03"/>
    <w:rsid w:val="00204DD9"/>
    <w:rsid w:val="0020547E"/>
    <w:rsid w:val="00205744"/>
    <w:rsid w:val="00205765"/>
    <w:rsid w:val="0020580B"/>
    <w:rsid w:val="00205C29"/>
    <w:rsid w:val="00205F06"/>
    <w:rsid w:val="0020620A"/>
    <w:rsid w:val="0020626F"/>
    <w:rsid w:val="00206583"/>
    <w:rsid w:val="00206AFC"/>
    <w:rsid w:val="00206BE7"/>
    <w:rsid w:val="00206C36"/>
    <w:rsid w:val="00207056"/>
    <w:rsid w:val="00207170"/>
    <w:rsid w:val="00207258"/>
    <w:rsid w:val="0020737E"/>
    <w:rsid w:val="0020768F"/>
    <w:rsid w:val="002077A7"/>
    <w:rsid w:val="0020784B"/>
    <w:rsid w:val="002079D7"/>
    <w:rsid w:val="00207AF2"/>
    <w:rsid w:val="002100FA"/>
    <w:rsid w:val="00210173"/>
    <w:rsid w:val="00210343"/>
    <w:rsid w:val="00210614"/>
    <w:rsid w:val="00210B80"/>
    <w:rsid w:val="00210C0C"/>
    <w:rsid w:val="00210C39"/>
    <w:rsid w:val="00210D33"/>
    <w:rsid w:val="00210DDC"/>
    <w:rsid w:val="00210E5A"/>
    <w:rsid w:val="0021116B"/>
    <w:rsid w:val="00211519"/>
    <w:rsid w:val="0021178F"/>
    <w:rsid w:val="002118F0"/>
    <w:rsid w:val="002119DF"/>
    <w:rsid w:val="00211A63"/>
    <w:rsid w:val="00211B1B"/>
    <w:rsid w:val="00211BCD"/>
    <w:rsid w:val="00211C22"/>
    <w:rsid w:val="00211DAF"/>
    <w:rsid w:val="00211F17"/>
    <w:rsid w:val="002121E6"/>
    <w:rsid w:val="00212712"/>
    <w:rsid w:val="0021280B"/>
    <w:rsid w:val="00212857"/>
    <w:rsid w:val="00212C5F"/>
    <w:rsid w:val="00212CD6"/>
    <w:rsid w:val="00212DFF"/>
    <w:rsid w:val="00213374"/>
    <w:rsid w:val="002133B3"/>
    <w:rsid w:val="0021359B"/>
    <w:rsid w:val="00213688"/>
    <w:rsid w:val="00213771"/>
    <w:rsid w:val="00214407"/>
    <w:rsid w:val="002144E4"/>
    <w:rsid w:val="0021463C"/>
    <w:rsid w:val="002146EA"/>
    <w:rsid w:val="00214871"/>
    <w:rsid w:val="002148A5"/>
    <w:rsid w:val="00214B6C"/>
    <w:rsid w:val="002152DB"/>
    <w:rsid w:val="002152DC"/>
    <w:rsid w:val="002155B9"/>
    <w:rsid w:val="002156AE"/>
    <w:rsid w:val="0021591D"/>
    <w:rsid w:val="00215CE7"/>
    <w:rsid w:val="00216134"/>
    <w:rsid w:val="0021618B"/>
    <w:rsid w:val="002163B2"/>
    <w:rsid w:val="002164B6"/>
    <w:rsid w:val="002166D7"/>
    <w:rsid w:val="002166F3"/>
    <w:rsid w:val="002168CF"/>
    <w:rsid w:val="00216B64"/>
    <w:rsid w:val="00216D67"/>
    <w:rsid w:val="00217022"/>
    <w:rsid w:val="002170D6"/>
    <w:rsid w:val="00217645"/>
    <w:rsid w:val="00217901"/>
    <w:rsid w:val="00217AB6"/>
    <w:rsid w:val="00217D0D"/>
    <w:rsid w:val="00220725"/>
    <w:rsid w:val="00220B4F"/>
    <w:rsid w:val="00220C6F"/>
    <w:rsid w:val="00220C72"/>
    <w:rsid w:val="00220E30"/>
    <w:rsid w:val="00220EF3"/>
    <w:rsid w:val="002212E6"/>
    <w:rsid w:val="00221417"/>
    <w:rsid w:val="00221B30"/>
    <w:rsid w:val="00221BBA"/>
    <w:rsid w:val="00221C13"/>
    <w:rsid w:val="00221CB6"/>
    <w:rsid w:val="0022220E"/>
    <w:rsid w:val="00222D31"/>
    <w:rsid w:val="00222D3E"/>
    <w:rsid w:val="00222F8A"/>
    <w:rsid w:val="00222FFC"/>
    <w:rsid w:val="002231A4"/>
    <w:rsid w:val="0022340F"/>
    <w:rsid w:val="0022349B"/>
    <w:rsid w:val="002234D6"/>
    <w:rsid w:val="00223628"/>
    <w:rsid w:val="00223823"/>
    <w:rsid w:val="0022388C"/>
    <w:rsid w:val="0022396E"/>
    <w:rsid w:val="002239CB"/>
    <w:rsid w:val="00223ABE"/>
    <w:rsid w:val="00223E77"/>
    <w:rsid w:val="00223F79"/>
    <w:rsid w:val="00224345"/>
    <w:rsid w:val="00224888"/>
    <w:rsid w:val="00224974"/>
    <w:rsid w:val="002249C4"/>
    <w:rsid w:val="002250FC"/>
    <w:rsid w:val="002254A2"/>
    <w:rsid w:val="002254D7"/>
    <w:rsid w:val="0022553A"/>
    <w:rsid w:val="002255F0"/>
    <w:rsid w:val="002256C8"/>
    <w:rsid w:val="00225A29"/>
    <w:rsid w:val="00225B62"/>
    <w:rsid w:val="00225CAA"/>
    <w:rsid w:val="00225E96"/>
    <w:rsid w:val="00226022"/>
    <w:rsid w:val="0022608D"/>
    <w:rsid w:val="002260AC"/>
    <w:rsid w:val="0022615C"/>
    <w:rsid w:val="0022637F"/>
    <w:rsid w:val="002263D4"/>
    <w:rsid w:val="00226452"/>
    <w:rsid w:val="00226473"/>
    <w:rsid w:val="0022647E"/>
    <w:rsid w:val="002264EE"/>
    <w:rsid w:val="0022688D"/>
    <w:rsid w:val="002268EB"/>
    <w:rsid w:val="00226B71"/>
    <w:rsid w:val="00226C86"/>
    <w:rsid w:val="00226C9E"/>
    <w:rsid w:val="00226DFF"/>
    <w:rsid w:val="00226E0A"/>
    <w:rsid w:val="00226E31"/>
    <w:rsid w:val="00226EA9"/>
    <w:rsid w:val="00226ECF"/>
    <w:rsid w:val="002275F8"/>
    <w:rsid w:val="002277DA"/>
    <w:rsid w:val="00227A9B"/>
    <w:rsid w:val="0022D535"/>
    <w:rsid w:val="0023014A"/>
    <w:rsid w:val="002301E2"/>
    <w:rsid w:val="002302D6"/>
    <w:rsid w:val="00230474"/>
    <w:rsid w:val="00230563"/>
    <w:rsid w:val="0023089D"/>
    <w:rsid w:val="00230977"/>
    <w:rsid w:val="00230A20"/>
    <w:rsid w:val="00230E3D"/>
    <w:rsid w:val="00231113"/>
    <w:rsid w:val="0023126A"/>
    <w:rsid w:val="002313E3"/>
    <w:rsid w:val="00231515"/>
    <w:rsid w:val="00231A4E"/>
    <w:rsid w:val="00231BFC"/>
    <w:rsid w:val="00231DEB"/>
    <w:rsid w:val="00231E24"/>
    <w:rsid w:val="00231EDB"/>
    <w:rsid w:val="00231FBE"/>
    <w:rsid w:val="0023202A"/>
    <w:rsid w:val="0023205A"/>
    <w:rsid w:val="0023206D"/>
    <w:rsid w:val="0023212E"/>
    <w:rsid w:val="00232177"/>
    <w:rsid w:val="00232252"/>
    <w:rsid w:val="00232273"/>
    <w:rsid w:val="002323ED"/>
    <w:rsid w:val="00232670"/>
    <w:rsid w:val="00232A2F"/>
    <w:rsid w:val="00232D03"/>
    <w:rsid w:val="00232FA8"/>
    <w:rsid w:val="002330CB"/>
    <w:rsid w:val="002331B4"/>
    <w:rsid w:val="002332A7"/>
    <w:rsid w:val="002332C6"/>
    <w:rsid w:val="002333D1"/>
    <w:rsid w:val="0023348B"/>
    <w:rsid w:val="0023364A"/>
    <w:rsid w:val="00233A21"/>
    <w:rsid w:val="00233B17"/>
    <w:rsid w:val="00233B5D"/>
    <w:rsid w:val="00233BD9"/>
    <w:rsid w:val="00233C46"/>
    <w:rsid w:val="00233EBE"/>
    <w:rsid w:val="0023436C"/>
    <w:rsid w:val="00234418"/>
    <w:rsid w:val="002344E3"/>
    <w:rsid w:val="002347DF"/>
    <w:rsid w:val="002348ED"/>
    <w:rsid w:val="00234B4C"/>
    <w:rsid w:val="00234CC1"/>
    <w:rsid w:val="00234EBB"/>
    <w:rsid w:val="00235116"/>
    <w:rsid w:val="0023555E"/>
    <w:rsid w:val="0023568D"/>
    <w:rsid w:val="00235976"/>
    <w:rsid w:val="00235A31"/>
    <w:rsid w:val="00235B01"/>
    <w:rsid w:val="00235DA4"/>
    <w:rsid w:val="00235E0D"/>
    <w:rsid w:val="002360E5"/>
    <w:rsid w:val="002364E7"/>
    <w:rsid w:val="0023672D"/>
    <w:rsid w:val="00236765"/>
    <w:rsid w:val="0023693C"/>
    <w:rsid w:val="0023695F"/>
    <w:rsid w:val="00236A0E"/>
    <w:rsid w:val="00236A96"/>
    <w:rsid w:val="00236C98"/>
    <w:rsid w:val="00236D4B"/>
    <w:rsid w:val="00236F4A"/>
    <w:rsid w:val="0023706C"/>
    <w:rsid w:val="00237220"/>
    <w:rsid w:val="002378FD"/>
    <w:rsid w:val="00237901"/>
    <w:rsid w:val="00237985"/>
    <w:rsid w:val="00237AD8"/>
    <w:rsid w:val="00237B30"/>
    <w:rsid w:val="00237B33"/>
    <w:rsid w:val="00237B94"/>
    <w:rsid w:val="00237D99"/>
    <w:rsid w:val="00240153"/>
    <w:rsid w:val="00240398"/>
    <w:rsid w:val="002409E1"/>
    <w:rsid w:val="00240B66"/>
    <w:rsid w:val="00240BEE"/>
    <w:rsid w:val="00240EDF"/>
    <w:rsid w:val="002413C7"/>
    <w:rsid w:val="00241539"/>
    <w:rsid w:val="002415E6"/>
    <w:rsid w:val="00241750"/>
    <w:rsid w:val="00241AEB"/>
    <w:rsid w:val="00241CAC"/>
    <w:rsid w:val="00241CAD"/>
    <w:rsid w:val="00241D17"/>
    <w:rsid w:val="00241DC7"/>
    <w:rsid w:val="00241FB4"/>
    <w:rsid w:val="0024216B"/>
    <w:rsid w:val="00242259"/>
    <w:rsid w:val="002422F3"/>
    <w:rsid w:val="00242346"/>
    <w:rsid w:val="002423A0"/>
    <w:rsid w:val="0024252D"/>
    <w:rsid w:val="00242548"/>
    <w:rsid w:val="0024280C"/>
    <w:rsid w:val="002428A0"/>
    <w:rsid w:val="00242A0F"/>
    <w:rsid w:val="00242BC6"/>
    <w:rsid w:val="00242C73"/>
    <w:rsid w:val="00242DD1"/>
    <w:rsid w:val="00242DE6"/>
    <w:rsid w:val="00242EFD"/>
    <w:rsid w:val="00243094"/>
    <w:rsid w:val="002430EC"/>
    <w:rsid w:val="00243133"/>
    <w:rsid w:val="002431A3"/>
    <w:rsid w:val="002432F7"/>
    <w:rsid w:val="0024337E"/>
    <w:rsid w:val="002434C0"/>
    <w:rsid w:val="0024371D"/>
    <w:rsid w:val="00243755"/>
    <w:rsid w:val="00243847"/>
    <w:rsid w:val="002438B3"/>
    <w:rsid w:val="00243BA3"/>
    <w:rsid w:val="00243C83"/>
    <w:rsid w:val="00243CA1"/>
    <w:rsid w:val="00243D98"/>
    <w:rsid w:val="00243F95"/>
    <w:rsid w:val="002441FE"/>
    <w:rsid w:val="002442D3"/>
    <w:rsid w:val="002442E9"/>
    <w:rsid w:val="00244357"/>
    <w:rsid w:val="002447C3"/>
    <w:rsid w:val="00244A51"/>
    <w:rsid w:val="00244A7F"/>
    <w:rsid w:val="00244AC7"/>
    <w:rsid w:val="00244F1C"/>
    <w:rsid w:val="00245359"/>
    <w:rsid w:val="002453B2"/>
    <w:rsid w:val="0024565F"/>
    <w:rsid w:val="00245665"/>
    <w:rsid w:val="002458A7"/>
    <w:rsid w:val="0024599A"/>
    <w:rsid w:val="00245AF7"/>
    <w:rsid w:val="00245EA4"/>
    <w:rsid w:val="00245F0D"/>
    <w:rsid w:val="0024600C"/>
    <w:rsid w:val="00246161"/>
    <w:rsid w:val="00246482"/>
    <w:rsid w:val="002464A5"/>
    <w:rsid w:val="00246A24"/>
    <w:rsid w:val="00246BA4"/>
    <w:rsid w:val="00246C27"/>
    <w:rsid w:val="0024741F"/>
    <w:rsid w:val="0024752B"/>
    <w:rsid w:val="00247601"/>
    <w:rsid w:val="002478D5"/>
    <w:rsid w:val="00247911"/>
    <w:rsid w:val="00247A62"/>
    <w:rsid w:val="00247E51"/>
    <w:rsid w:val="00247E94"/>
    <w:rsid w:val="00247FDF"/>
    <w:rsid w:val="002500B6"/>
    <w:rsid w:val="0025047A"/>
    <w:rsid w:val="002506CA"/>
    <w:rsid w:val="002507EF"/>
    <w:rsid w:val="00250C76"/>
    <w:rsid w:val="00250DA7"/>
    <w:rsid w:val="00250EB7"/>
    <w:rsid w:val="00251335"/>
    <w:rsid w:val="0025148E"/>
    <w:rsid w:val="00251813"/>
    <w:rsid w:val="0025197F"/>
    <w:rsid w:val="00251A1A"/>
    <w:rsid w:val="00251B9D"/>
    <w:rsid w:val="00251C6A"/>
    <w:rsid w:val="00251CFB"/>
    <w:rsid w:val="00252469"/>
    <w:rsid w:val="00252520"/>
    <w:rsid w:val="0025253D"/>
    <w:rsid w:val="0025293B"/>
    <w:rsid w:val="00252A20"/>
    <w:rsid w:val="00252CC7"/>
    <w:rsid w:val="002531F0"/>
    <w:rsid w:val="00253350"/>
    <w:rsid w:val="00253681"/>
    <w:rsid w:val="0025398D"/>
    <w:rsid w:val="00253B91"/>
    <w:rsid w:val="00253B94"/>
    <w:rsid w:val="00253BE2"/>
    <w:rsid w:val="00253C4E"/>
    <w:rsid w:val="00253C75"/>
    <w:rsid w:val="00253FC3"/>
    <w:rsid w:val="00254140"/>
    <w:rsid w:val="00254360"/>
    <w:rsid w:val="002544B2"/>
    <w:rsid w:val="00254505"/>
    <w:rsid w:val="0025461C"/>
    <w:rsid w:val="002547AD"/>
    <w:rsid w:val="002548A1"/>
    <w:rsid w:val="002548F6"/>
    <w:rsid w:val="002549DF"/>
    <w:rsid w:val="00254F72"/>
    <w:rsid w:val="002551D8"/>
    <w:rsid w:val="002551E6"/>
    <w:rsid w:val="002551ED"/>
    <w:rsid w:val="00255216"/>
    <w:rsid w:val="00255247"/>
    <w:rsid w:val="002552DB"/>
    <w:rsid w:val="00255303"/>
    <w:rsid w:val="0025539B"/>
    <w:rsid w:val="00255438"/>
    <w:rsid w:val="00255811"/>
    <w:rsid w:val="002559D0"/>
    <w:rsid w:val="00255DAD"/>
    <w:rsid w:val="00255E05"/>
    <w:rsid w:val="00255E9B"/>
    <w:rsid w:val="00255F83"/>
    <w:rsid w:val="00256485"/>
    <w:rsid w:val="00256710"/>
    <w:rsid w:val="00256781"/>
    <w:rsid w:val="00256833"/>
    <w:rsid w:val="0025696A"/>
    <w:rsid w:val="00256A62"/>
    <w:rsid w:val="00256AB2"/>
    <w:rsid w:val="00256BCF"/>
    <w:rsid w:val="00256F7C"/>
    <w:rsid w:val="002572F6"/>
    <w:rsid w:val="0025747A"/>
    <w:rsid w:val="002576F1"/>
    <w:rsid w:val="002578B9"/>
    <w:rsid w:val="002579CC"/>
    <w:rsid w:val="00257AF6"/>
    <w:rsid w:val="00257CB0"/>
    <w:rsid w:val="002600D9"/>
    <w:rsid w:val="002601C6"/>
    <w:rsid w:val="00260258"/>
    <w:rsid w:val="00260455"/>
    <w:rsid w:val="00260736"/>
    <w:rsid w:val="00260861"/>
    <w:rsid w:val="00260A21"/>
    <w:rsid w:val="00260ACF"/>
    <w:rsid w:val="00260D21"/>
    <w:rsid w:val="00260EFF"/>
    <w:rsid w:val="00260FCC"/>
    <w:rsid w:val="002611F4"/>
    <w:rsid w:val="002617CA"/>
    <w:rsid w:val="0026194E"/>
    <w:rsid w:val="00261C83"/>
    <w:rsid w:val="00261CA6"/>
    <w:rsid w:val="00261CD1"/>
    <w:rsid w:val="00261FA6"/>
    <w:rsid w:val="00262288"/>
    <w:rsid w:val="00262683"/>
    <w:rsid w:val="00262775"/>
    <w:rsid w:val="00262792"/>
    <w:rsid w:val="002627E7"/>
    <w:rsid w:val="002629B0"/>
    <w:rsid w:val="00262A6A"/>
    <w:rsid w:val="00262BF8"/>
    <w:rsid w:val="00262C0D"/>
    <w:rsid w:val="002632C3"/>
    <w:rsid w:val="00263576"/>
    <w:rsid w:val="00263688"/>
    <w:rsid w:val="0026388E"/>
    <w:rsid w:val="00263A23"/>
    <w:rsid w:val="00263B07"/>
    <w:rsid w:val="00263BC6"/>
    <w:rsid w:val="00263C36"/>
    <w:rsid w:val="00263D44"/>
    <w:rsid w:val="00263E6F"/>
    <w:rsid w:val="00263EA5"/>
    <w:rsid w:val="002643C7"/>
    <w:rsid w:val="00264442"/>
    <w:rsid w:val="002648A3"/>
    <w:rsid w:val="00264A21"/>
    <w:rsid w:val="00265028"/>
    <w:rsid w:val="002655B2"/>
    <w:rsid w:val="002656AE"/>
    <w:rsid w:val="00265790"/>
    <w:rsid w:val="00265A60"/>
    <w:rsid w:val="00265B23"/>
    <w:rsid w:val="00265B94"/>
    <w:rsid w:val="00265BA8"/>
    <w:rsid w:val="00265C4D"/>
    <w:rsid w:val="00265DE3"/>
    <w:rsid w:val="00265E4D"/>
    <w:rsid w:val="0026600B"/>
    <w:rsid w:val="00266428"/>
    <w:rsid w:val="0026648D"/>
    <w:rsid w:val="002669BC"/>
    <w:rsid w:val="00266BAF"/>
    <w:rsid w:val="00266D65"/>
    <w:rsid w:val="00266F68"/>
    <w:rsid w:val="00266F71"/>
    <w:rsid w:val="0026748C"/>
    <w:rsid w:val="0026751B"/>
    <w:rsid w:val="00267C4A"/>
    <w:rsid w:val="00267CD2"/>
    <w:rsid w:val="00267DF5"/>
    <w:rsid w:val="00267EAF"/>
    <w:rsid w:val="00268E49"/>
    <w:rsid w:val="00270045"/>
    <w:rsid w:val="00270424"/>
    <w:rsid w:val="00270568"/>
    <w:rsid w:val="00270A88"/>
    <w:rsid w:val="00270DD7"/>
    <w:rsid w:val="00270EB7"/>
    <w:rsid w:val="002710A5"/>
    <w:rsid w:val="00271342"/>
    <w:rsid w:val="00271603"/>
    <w:rsid w:val="0027189E"/>
    <w:rsid w:val="002718EB"/>
    <w:rsid w:val="00271B61"/>
    <w:rsid w:val="00271C65"/>
    <w:rsid w:val="00271F40"/>
    <w:rsid w:val="00271FB1"/>
    <w:rsid w:val="00272183"/>
    <w:rsid w:val="0027221E"/>
    <w:rsid w:val="0027253F"/>
    <w:rsid w:val="0027269F"/>
    <w:rsid w:val="002727D0"/>
    <w:rsid w:val="00272B3C"/>
    <w:rsid w:val="00272D59"/>
    <w:rsid w:val="00272DE5"/>
    <w:rsid w:val="00272E8F"/>
    <w:rsid w:val="00273230"/>
    <w:rsid w:val="002733C3"/>
    <w:rsid w:val="00273806"/>
    <w:rsid w:val="00273A82"/>
    <w:rsid w:val="00273AD6"/>
    <w:rsid w:val="00273B6B"/>
    <w:rsid w:val="00273BE4"/>
    <w:rsid w:val="00273C4C"/>
    <w:rsid w:val="00273E21"/>
    <w:rsid w:val="00273E5F"/>
    <w:rsid w:val="00273EEC"/>
    <w:rsid w:val="00274038"/>
    <w:rsid w:val="002741A8"/>
    <w:rsid w:val="002743AB"/>
    <w:rsid w:val="00274427"/>
    <w:rsid w:val="00274598"/>
    <w:rsid w:val="00274636"/>
    <w:rsid w:val="00274BEF"/>
    <w:rsid w:val="00274F16"/>
    <w:rsid w:val="0027524A"/>
    <w:rsid w:val="0027525D"/>
    <w:rsid w:val="0027544F"/>
    <w:rsid w:val="002756C7"/>
    <w:rsid w:val="002756F7"/>
    <w:rsid w:val="00275822"/>
    <w:rsid w:val="00275F4D"/>
    <w:rsid w:val="0027610E"/>
    <w:rsid w:val="002763F4"/>
    <w:rsid w:val="00276443"/>
    <w:rsid w:val="0027683A"/>
    <w:rsid w:val="002768F6"/>
    <w:rsid w:val="00276CB3"/>
    <w:rsid w:val="00276E2E"/>
    <w:rsid w:val="00277618"/>
    <w:rsid w:val="0027761B"/>
    <w:rsid w:val="00277762"/>
    <w:rsid w:val="002778A8"/>
    <w:rsid w:val="00277964"/>
    <w:rsid w:val="00277B51"/>
    <w:rsid w:val="002800FE"/>
    <w:rsid w:val="0028033D"/>
    <w:rsid w:val="002803C4"/>
    <w:rsid w:val="002805CB"/>
    <w:rsid w:val="00280E95"/>
    <w:rsid w:val="00281176"/>
    <w:rsid w:val="002813AE"/>
    <w:rsid w:val="002815C4"/>
    <w:rsid w:val="00281D22"/>
    <w:rsid w:val="002820DA"/>
    <w:rsid w:val="002821D5"/>
    <w:rsid w:val="0028244C"/>
    <w:rsid w:val="00282599"/>
    <w:rsid w:val="00282616"/>
    <w:rsid w:val="002828F3"/>
    <w:rsid w:val="00282986"/>
    <w:rsid w:val="00282D4A"/>
    <w:rsid w:val="00282E0C"/>
    <w:rsid w:val="00283014"/>
    <w:rsid w:val="0028343A"/>
    <w:rsid w:val="002835F3"/>
    <w:rsid w:val="00283AFC"/>
    <w:rsid w:val="00283E15"/>
    <w:rsid w:val="00284126"/>
    <w:rsid w:val="00284A55"/>
    <w:rsid w:val="00284C04"/>
    <w:rsid w:val="00285154"/>
    <w:rsid w:val="00285163"/>
    <w:rsid w:val="002854AF"/>
    <w:rsid w:val="002856EE"/>
    <w:rsid w:val="00285813"/>
    <w:rsid w:val="00285838"/>
    <w:rsid w:val="0028585E"/>
    <w:rsid w:val="00285B81"/>
    <w:rsid w:val="00285E94"/>
    <w:rsid w:val="00286323"/>
    <w:rsid w:val="002863CD"/>
    <w:rsid w:val="002864AF"/>
    <w:rsid w:val="002864D7"/>
    <w:rsid w:val="00286879"/>
    <w:rsid w:val="00286AC9"/>
    <w:rsid w:val="00286BAA"/>
    <w:rsid w:val="00286C14"/>
    <w:rsid w:val="00286DC3"/>
    <w:rsid w:val="00286E5C"/>
    <w:rsid w:val="00286E70"/>
    <w:rsid w:val="00287138"/>
    <w:rsid w:val="00287311"/>
    <w:rsid w:val="00287363"/>
    <w:rsid w:val="0028754A"/>
    <w:rsid w:val="0028766A"/>
    <w:rsid w:val="0028773F"/>
    <w:rsid w:val="002877BD"/>
    <w:rsid w:val="00287841"/>
    <w:rsid w:val="00287979"/>
    <w:rsid w:val="00287A64"/>
    <w:rsid w:val="00287CFF"/>
    <w:rsid w:val="00287D18"/>
    <w:rsid w:val="00287E85"/>
    <w:rsid w:val="00287EFD"/>
    <w:rsid w:val="00290014"/>
    <w:rsid w:val="00290196"/>
    <w:rsid w:val="00290250"/>
    <w:rsid w:val="00290360"/>
    <w:rsid w:val="002904EB"/>
    <w:rsid w:val="002908B1"/>
    <w:rsid w:val="00290B22"/>
    <w:rsid w:val="00290E61"/>
    <w:rsid w:val="00291083"/>
    <w:rsid w:val="0029120D"/>
    <w:rsid w:val="00291311"/>
    <w:rsid w:val="002914F6"/>
    <w:rsid w:val="00291883"/>
    <w:rsid w:val="00291958"/>
    <w:rsid w:val="00291AC5"/>
    <w:rsid w:val="00291BFE"/>
    <w:rsid w:val="00291F23"/>
    <w:rsid w:val="0029200E"/>
    <w:rsid w:val="0029222B"/>
    <w:rsid w:val="002923BC"/>
    <w:rsid w:val="00292E85"/>
    <w:rsid w:val="00293296"/>
    <w:rsid w:val="00293369"/>
    <w:rsid w:val="00293388"/>
    <w:rsid w:val="002933A9"/>
    <w:rsid w:val="0029387F"/>
    <w:rsid w:val="002938B9"/>
    <w:rsid w:val="00294087"/>
    <w:rsid w:val="00294350"/>
    <w:rsid w:val="00294364"/>
    <w:rsid w:val="0029455E"/>
    <w:rsid w:val="00294650"/>
    <w:rsid w:val="002947C0"/>
    <w:rsid w:val="0029498E"/>
    <w:rsid w:val="002949FE"/>
    <w:rsid w:val="00294A2A"/>
    <w:rsid w:val="00294C7E"/>
    <w:rsid w:val="00294CFE"/>
    <w:rsid w:val="00294F55"/>
    <w:rsid w:val="002956CA"/>
    <w:rsid w:val="00295714"/>
    <w:rsid w:val="00295764"/>
    <w:rsid w:val="00295B60"/>
    <w:rsid w:val="00295C5A"/>
    <w:rsid w:val="00295D56"/>
    <w:rsid w:val="00296089"/>
    <w:rsid w:val="00296304"/>
    <w:rsid w:val="002965B7"/>
    <w:rsid w:val="002968EE"/>
    <w:rsid w:val="00296AB7"/>
    <w:rsid w:val="00296B07"/>
    <w:rsid w:val="00296C5D"/>
    <w:rsid w:val="00296D99"/>
    <w:rsid w:val="00296E36"/>
    <w:rsid w:val="0029723D"/>
    <w:rsid w:val="0029740B"/>
    <w:rsid w:val="00297682"/>
    <w:rsid w:val="002A005F"/>
    <w:rsid w:val="002A01D2"/>
    <w:rsid w:val="002A02C7"/>
    <w:rsid w:val="002A08A4"/>
    <w:rsid w:val="002A0AD2"/>
    <w:rsid w:val="002A0B00"/>
    <w:rsid w:val="002A1214"/>
    <w:rsid w:val="002A136B"/>
    <w:rsid w:val="002A19D6"/>
    <w:rsid w:val="002A1B9E"/>
    <w:rsid w:val="002A1C2E"/>
    <w:rsid w:val="002A1EC3"/>
    <w:rsid w:val="002A1EF8"/>
    <w:rsid w:val="002A1FDC"/>
    <w:rsid w:val="002A25BD"/>
    <w:rsid w:val="002A2766"/>
    <w:rsid w:val="002A27B4"/>
    <w:rsid w:val="002A28B1"/>
    <w:rsid w:val="002A2965"/>
    <w:rsid w:val="002A29C6"/>
    <w:rsid w:val="002A2ACB"/>
    <w:rsid w:val="002A2B93"/>
    <w:rsid w:val="002A2D12"/>
    <w:rsid w:val="002A2E43"/>
    <w:rsid w:val="002A2E63"/>
    <w:rsid w:val="002A3295"/>
    <w:rsid w:val="002A3324"/>
    <w:rsid w:val="002A3337"/>
    <w:rsid w:val="002A3453"/>
    <w:rsid w:val="002A36F3"/>
    <w:rsid w:val="002A390D"/>
    <w:rsid w:val="002A3928"/>
    <w:rsid w:val="002A3D40"/>
    <w:rsid w:val="002A3DCA"/>
    <w:rsid w:val="002A3F11"/>
    <w:rsid w:val="002A40FF"/>
    <w:rsid w:val="002A424B"/>
    <w:rsid w:val="002A424E"/>
    <w:rsid w:val="002A4400"/>
    <w:rsid w:val="002A4510"/>
    <w:rsid w:val="002A45F1"/>
    <w:rsid w:val="002A465D"/>
    <w:rsid w:val="002A4698"/>
    <w:rsid w:val="002A4AE7"/>
    <w:rsid w:val="002A4BE4"/>
    <w:rsid w:val="002A4CB1"/>
    <w:rsid w:val="002A4DE0"/>
    <w:rsid w:val="002A5188"/>
    <w:rsid w:val="002A51D6"/>
    <w:rsid w:val="002A5295"/>
    <w:rsid w:val="002A5367"/>
    <w:rsid w:val="002A54B1"/>
    <w:rsid w:val="002A5651"/>
    <w:rsid w:val="002A5833"/>
    <w:rsid w:val="002A5A1B"/>
    <w:rsid w:val="002A5DEC"/>
    <w:rsid w:val="002A5EB1"/>
    <w:rsid w:val="002A5EB8"/>
    <w:rsid w:val="002A5FA1"/>
    <w:rsid w:val="002A5FA6"/>
    <w:rsid w:val="002A680A"/>
    <w:rsid w:val="002A6928"/>
    <w:rsid w:val="002A6959"/>
    <w:rsid w:val="002A6979"/>
    <w:rsid w:val="002A6CC0"/>
    <w:rsid w:val="002A6CEA"/>
    <w:rsid w:val="002A6E0C"/>
    <w:rsid w:val="002A6E0D"/>
    <w:rsid w:val="002A6E0E"/>
    <w:rsid w:val="002A757A"/>
    <w:rsid w:val="002A7729"/>
    <w:rsid w:val="002A7798"/>
    <w:rsid w:val="002A77CF"/>
    <w:rsid w:val="002A7AB0"/>
    <w:rsid w:val="002A7D5B"/>
    <w:rsid w:val="002A7E15"/>
    <w:rsid w:val="002B0017"/>
    <w:rsid w:val="002B01D6"/>
    <w:rsid w:val="002B051B"/>
    <w:rsid w:val="002B056C"/>
    <w:rsid w:val="002B059F"/>
    <w:rsid w:val="002B08CE"/>
    <w:rsid w:val="002B0C5B"/>
    <w:rsid w:val="002B0E85"/>
    <w:rsid w:val="002B0EB0"/>
    <w:rsid w:val="002B0ED3"/>
    <w:rsid w:val="002B11EE"/>
    <w:rsid w:val="002B12E3"/>
    <w:rsid w:val="002B1407"/>
    <w:rsid w:val="002B14C6"/>
    <w:rsid w:val="002B157D"/>
    <w:rsid w:val="002B1A5A"/>
    <w:rsid w:val="002B1AAB"/>
    <w:rsid w:val="002B1B1A"/>
    <w:rsid w:val="002B1BE4"/>
    <w:rsid w:val="002B1C8D"/>
    <w:rsid w:val="002B1DFF"/>
    <w:rsid w:val="002B1EAB"/>
    <w:rsid w:val="002B1FD0"/>
    <w:rsid w:val="002B20D9"/>
    <w:rsid w:val="002B217C"/>
    <w:rsid w:val="002B2298"/>
    <w:rsid w:val="002B23A6"/>
    <w:rsid w:val="002B24C6"/>
    <w:rsid w:val="002B27DB"/>
    <w:rsid w:val="002B2A99"/>
    <w:rsid w:val="002B336B"/>
    <w:rsid w:val="002B351B"/>
    <w:rsid w:val="002B37FC"/>
    <w:rsid w:val="002B388E"/>
    <w:rsid w:val="002B3A90"/>
    <w:rsid w:val="002B3AF0"/>
    <w:rsid w:val="002B3E86"/>
    <w:rsid w:val="002B41BE"/>
    <w:rsid w:val="002B42AA"/>
    <w:rsid w:val="002B4344"/>
    <w:rsid w:val="002B445E"/>
    <w:rsid w:val="002B45D3"/>
    <w:rsid w:val="002B480A"/>
    <w:rsid w:val="002B4954"/>
    <w:rsid w:val="002B4CEF"/>
    <w:rsid w:val="002B4E6C"/>
    <w:rsid w:val="002B4F12"/>
    <w:rsid w:val="002B53D2"/>
    <w:rsid w:val="002B5515"/>
    <w:rsid w:val="002B59FB"/>
    <w:rsid w:val="002B5A9C"/>
    <w:rsid w:val="002B5EB1"/>
    <w:rsid w:val="002B601F"/>
    <w:rsid w:val="002B603F"/>
    <w:rsid w:val="002B62F9"/>
    <w:rsid w:val="002B634C"/>
    <w:rsid w:val="002B68AB"/>
    <w:rsid w:val="002B694A"/>
    <w:rsid w:val="002B6A0C"/>
    <w:rsid w:val="002B6C0C"/>
    <w:rsid w:val="002B6CBA"/>
    <w:rsid w:val="002B6D64"/>
    <w:rsid w:val="002B7287"/>
    <w:rsid w:val="002B7665"/>
    <w:rsid w:val="002B767A"/>
    <w:rsid w:val="002B7955"/>
    <w:rsid w:val="002B7972"/>
    <w:rsid w:val="002B7C9E"/>
    <w:rsid w:val="002B7E68"/>
    <w:rsid w:val="002C00E8"/>
    <w:rsid w:val="002C0345"/>
    <w:rsid w:val="002C041F"/>
    <w:rsid w:val="002C0612"/>
    <w:rsid w:val="002C06B6"/>
    <w:rsid w:val="002C0724"/>
    <w:rsid w:val="002C07E9"/>
    <w:rsid w:val="002C0DDE"/>
    <w:rsid w:val="002C0E11"/>
    <w:rsid w:val="002C0E59"/>
    <w:rsid w:val="002C10AE"/>
    <w:rsid w:val="002C12A3"/>
    <w:rsid w:val="002C14AF"/>
    <w:rsid w:val="002C14B3"/>
    <w:rsid w:val="002C16F3"/>
    <w:rsid w:val="002C1711"/>
    <w:rsid w:val="002C1792"/>
    <w:rsid w:val="002C17B8"/>
    <w:rsid w:val="002C18A1"/>
    <w:rsid w:val="002C1913"/>
    <w:rsid w:val="002C19EB"/>
    <w:rsid w:val="002C1A40"/>
    <w:rsid w:val="002C1A79"/>
    <w:rsid w:val="002C1B3B"/>
    <w:rsid w:val="002C1BD9"/>
    <w:rsid w:val="002C1C19"/>
    <w:rsid w:val="002C1C3B"/>
    <w:rsid w:val="002C1D1B"/>
    <w:rsid w:val="002C2055"/>
    <w:rsid w:val="002C23FF"/>
    <w:rsid w:val="002C2459"/>
    <w:rsid w:val="002C2593"/>
    <w:rsid w:val="002C2645"/>
    <w:rsid w:val="002C2715"/>
    <w:rsid w:val="002C2C24"/>
    <w:rsid w:val="002C2CC9"/>
    <w:rsid w:val="002C2E00"/>
    <w:rsid w:val="002C2E1A"/>
    <w:rsid w:val="002C2EA8"/>
    <w:rsid w:val="002C2F17"/>
    <w:rsid w:val="002C2F20"/>
    <w:rsid w:val="002C30CA"/>
    <w:rsid w:val="002C32ED"/>
    <w:rsid w:val="002C36B6"/>
    <w:rsid w:val="002C378D"/>
    <w:rsid w:val="002C3D55"/>
    <w:rsid w:val="002C4047"/>
    <w:rsid w:val="002C40C9"/>
    <w:rsid w:val="002C4365"/>
    <w:rsid w:val="002C46C6"/>
    <w:rsid w:val="002C47BD"/>
    <w:rsid w:val="002C492D"/>
    <w:rsid w:val="002C4E6B"/>
    <w:rsid w:val="002C51F0"/>
    <w:rsid w:val="002C539F"/>
    <w:rsid w:val="002C554A"/>
    <w:rsid w:val="002C59FA"/>
    <w:rsid w:val="002C5CCE"/>
    <w:rsid w:val="002C5D97"/>
    <w:rsid w:val="002C5DA4"/>
    <w:rsid w:val="002C5F13"/>
    <w:rsid w:val="002C626C"/>
    <w:rsid w:val="002C644E"/>
    <w:rsid w:val="002C6526"/>
    <w:rsid w:val="002C6A8C"/>
    <w:rsid w:val="002C6ADF"/>
    <w:rsid w:val="002C6BEF"/>
    <w:rsid w:val="002C6E1C"/>
    <w:rsid w:val="002C6E83"/>
    <w:rsid w:val="002C6FCE"/>
    <w:rsid w:val="002C702C"/>
    <w:rsid w:val="002C7042"/>
    <w:rsid w:val="002C7048"/>
    <w:rsid w:val="002C71C3"/>
    <w:rsid w:val="002C7395"/>
    <w:rsid w:val="002C7570"/>
    <w:rsid w:val="002C7618"/>
    <w:rsid w:val="002C780B"/>
    <w:rsid w:val="002C78F7"/>
    <w:rsid w:val="002C7CA2"/>
    <w:rsid w:val="002C7FBB"/>
    <w:rsid w:val="002D0061"/>
    <w:rsid w:val="002D037D"/>
    <w:rsid w:val="002D054C"/>
    <w:rsid w:val="002D05BB"/>
    <w:rsid w:val="002D08D8"/>
    <w:rsid w:val="002D0950"/>
    <w:rsid w:val="002D0CF0"/>
    <w:rsid w:val="002D0CF3"/>
    <w:rsid w:val="002D0E01"/>
    <w:rsid w:val="002D1360"/>
    <w:rsid w:val="002D17F5"/>
    <w:rsid w:val="002D1C79"/>
    <w:rsid w:val="002D1CB9"/>
    <w:rsid w:val="002D2014"/>
    <w:rsid w:val="002D216F"/>
    <w:rsid w:val="002D21CF"/>
    <w:rsid w:val="002D22EB"/>
    <w:rsid w:val="002D23BE"/>
    <w:rsid w:val="002D2534"/>
    <w:rsid w:val="002D2728"/>
    <w:rsid w:val="002D27C8"/>
    <w:rsid w:val="002D2AC4"/>
    <w:rsid w:val="002D2B16"/>
    <w:rsid w:val="002D2C62"/>
    <w:rsid w:val="002D2F79"/>
    <w:rsid w:val="002D3078"/>
    <w:rsid w:val="002D30A8"/>
    <w:rsid w:val="002D3B2D"/>
    <w:rsid w:val="002D3DAD"/>
    <w:rsid w:val="002D3E61"/>
    <w:rsid w:val="002D4D52"/>
    <w:rsid w:val="002D5348"/>
    <w:rsid w:val="002D5529"/>
    <w:rsid w:val="002D5682"/>
    <w:rsid w:val="002D5716"/>
    <w:rsid w:val="002D58F3"/>
    <w:rsid w:val="002D594E"/>
    <w:rsid w:val="002D59DB"/>
    <w:rsid w:val="002D5A19"/>
    <w:rsid w:val="002D5B2F"/>
    <w:rsid w:val="002D5C15"/>
    <w:rsid w:val="002D5DFA"/>
    <w:rsid w:val="002D5F4B"/>
    <w:rsid w:val="002D611C"/>
    <w:rsid w:val="002D62BD"/>
    <w:rsid w:val="002D6445"/>
    <w:rsid w:val="002D64DC"/>
    <w:rsid w:val="002D66F9"/>
    <w:rsid w:val="002D6764"/>
    <w:rsid w:val="002D691E"/>
    <w:rsid w:val="002D6A6E"/>
    <w:rsid w:val="002D6BDC"/>
    <w:rsid w:val="002D6D76"/>
    <w:rsid w:val="002D6ED7"/>
    <w:rsid w:val="002D704B"/>
    <w:rsid w:val="002D7116"/>
    <w:rsid w:val="002D7254"/>
    <w:rsid w:val="002D732A"/>
    <w:rsid w:val="002D7591"/>
    <w:rsid w:val="002D75DC"/>
    <w:rsid w:val="002D7E63"/>
    <w:rsid w:val="002D7F57"/>
    <w:rsid w:val="002E0402"/>
    <w:rsid w:val="002E040D"/>
    <w:rsid w:val="002E087E"/>
    <w:rsid w:val="002E08DD"/>
    <w:rsid w:val="002E0A7B"/>
    <w:rsid w:val="002E0D4C"/>
    <w:rsid w:val="002E0D6A"/>
    <w:rsid w:val="002E136A"/>
    <w:rsid w:val="002E154B"/>
    <w:rsid w:val="002E15DB"/>
    <w:rsid w:val="002E1E77"/>
    <w:rsid w:val="002E20D5"/>
    <w:rsid w:val="002E2286"/>
    <w:rsid w:val="002E28BE"/>
    <w:rsid w:val="002E2B20"/>
    <w:rsid w:val="002E2BC6"/>
    <w:rsid w:val="002E2CFC"/>
    <w:rsid w:val="002E2D27"/>
    <w:rsid w:val="002E308A"/>
    <w:rsid w:val="002E30B4"/>
    <w:rsid w:val="002E313F"/>
    <w:rsid w:val="002E348E"/>
    <w:rsid w:val="002E3969"/>
    <w:rsid w:val="002E403E"/>
    <w:rsid w:val="002E41CB"/>
    <w:rsid w:val="002E43B9"/>
    <w:rsid w:val="002E4544"/>
    <w:rsid w:val="002E46AD"/>
    <w:rsid w:val="002E4729"/>
    <w:rsid w:val="002E4873"/>
    <w:rsid w:val="002E4B5C"/>
    <w:rsid w:val="002E4F0B"/>
    <w:rsid w:val="002E50C1"/>
    <w:rsid w:val="002E5103"/>
    <w:rsid w:val="002E536D"/>
    <w:rsid w:val="002E5393"/>
    <w:rsid w:val="002E5637"/>
    <w:rsid w:val="002E5686"/>
    <w:rsid w:val="002E5990"/>
    <w:rsid w:val="002E59E3"/>
    <w:rsid w:val="002E5B0F"/>
    <w:rsid w:val="002E5B4C"/>
    <w:rsid w:val="002E5D61"/>
    <w:rsid w:val="002E6018"/>
    <w:rsid w:val="002E6375"/>
    <w:rsid w:val="002E6414"/>
    <w:rsid w:val="002E6554"/>
    <w:rsid w:val="002E6588"/>
    <w:rsid w:val="002E658E"/>
    <w:rsid w:val="002E6912"/>
    <w:rsid w:val="002E6AD6"/>
    <w:rsid w:val="002E6BD4"/>
    <w:rsid w:val="002E7063"/>
    <w:rsid w:val="002E71A1"/>
    <w:rsid w:val="002E71C4"/>
    <w:rsid w:val="002E723A"/>
    <w:rsid w:val="002E732C"/>
    <w:rsid w:val="002E7396"/>
    <w:rsid w:val="002E74E6"/>
    <w:rsid w:val="002E7525"/>
    <w:rsid w:val="002E7651"/>
    <w:rsid w:val="002E7699"/>
    <w:rsid w:val="002E78B9"/>
    <w:rsid w:val="002E7A00"/>
    <w:rsid w:val="002E7BBB"/>
    <w:rsid w:val="002E7CFB"/>
    <w:rsid w:val="002E7D0E"/>
    <w:rsid w:val="002E7FFB"/>
    <w:rsid w:val="002F002B"/>
    <w:rsid w:val="002F0389"/>
    <w:rsid w:val="002F0736"/>
    <w:rsid w:val="002F0764"/>
    <w:rsid w:val="002F07D6"/>
    <w:rsid w:val="002F089A"/>
    <w:rsid w:val="002F0B0A"/>
    <w:rsid w:val="002F0D49"/>
    <w:rsid w:val="002F0EA3"/>
    <w:rsid w:val="002F0F60"/>
    <w:rsid w:val="002F1090"/>
    <w:rsid w:val="002F13CA"/>
    <w:rsid w:val="002F13DA"/>
    <w:rsid w:val="002F17A0"/>
    <w:rsid w:val="002F1941"/>
    <w:rsid w:val="002F1C17"/>
    <w:rsid w:val="002F1C21"/>
    <w:rsid w:val="002F1C59"/>
    <w:rsid w:val="002F1D39"/>
    <w:rsid w:val="002F1EBE"/>
    <w:rsid w:val="002F20B1"/>
    <w:rsid w:val="002F20B8"/>
    <w:rsid w:val="002F2219"/>
    <w:rsid w:val="002F24CD"/>
    <w:rsid w:val="002F28C0"/>
    <w:rsid w:val="002F28FE"/>
    <w:rsid w:val="002F291F"/>
    <w:rsid w:val="002F2994"/>
    <w:rsid w:val="002F2A1C"/>
    <w:rsid w:val="002F2F74"/>
    <w:rsid w:val="002F30AB"/>
    <w:rsid w:val="002F3101"/>
    <w:rsid w:val="002F3271"/>
    <w:rsid w:val="002F3515"/>
    <w:rsid w:val="002F3688"/>
    <w:rsid w:val="002F37FF"/>
    <w:rsid w:val="002F3CE6"/>
    <w:rsid w:val="002F3E5A"/>
    <w:rsid w:val="002F3F36"/>
    <w:rsid w:val="002F413D"/>
    <w:rsid w:val="002F42A3"/>
    <w:rsid w:val="002F4341"/>
    <w:rsid w:val="002F44BC"/>
    <w:rsid w:val="002F47B2"/>
    <w:rsid w:val="002F4847"/>
    <w:rsid w:val="002F48AD"/>
    <w:rsid w:val="002F4A6A"/>
    <w:rsid w:val="002F5215"/>
    <w:rsid w:val="002F528E"/>
    <w:rsid w:val="002F5353"/>
    <w:rsid w:val="002F542C"/>
    <w:rsid w:val="002F54AE"/>
    <w:rsid w:val="002F54B5"/>
    <w:rsid w:val="002F55A7"/>
    <w:rsid w:val="002F57C2"/>
    <w:rsid w:val="002F58F2"/>
    <w:rsid w:val="002F5939"/>
    <w:rsid w:val="002F5C90"/>
    <w:rsid w:val="002F5E17"/>
    <w:rsid w:val="002F60F3"/>
    <w:rsid w:val="002F6282"/>
    <w:rsid w:val="002F6334"/>
    <w:rsid w:val="002F634E"/>
    <w:rsid w:val="002F674C"/>
    <w:rsid w:val="002F6BE5"/>
    <w:rsid w:val="002F6CEF"/>
    <w:rsid w:val="002F6E69"/>
    <w:rsid w:val="002F704B"/>
    <w:rsid w:val="002F7084"/>
    <w:rsid w:val="002F709B"/>
    <w:rsid w:val="002F71B7"/>
    <w:rsid w:val="002F71BD"/>
    <w:rsid w:val="002F7268"/>
    <w:rsid w:val="002F757E"/>
    <w:rsid w:val="002F75C5"/>
    <w:rsid w:val="002F7BCD"/>
    <w:rsid w:val="002F7D59"/>
    <w:rsid w:val="002F7ED1"/>
    <w:rsid w:val="002F7F70"/>
    <w:rsid w:val="0030027C"/>
    <w:rsid w:val="00300311"/>
    <w:rsid w:val="00300345"/>
    <w:rsid w:val="003005B5"/>
    <w:rsid w:val="00300DEB"/>
    <w:rsid w:val="00300EAD"/>
    <w:rsid w:val="00300F41"/>
    <w:rsid w:val="00301011"/>
    <w:rsid w:val="00301081"/>
    <w:rsid w:val="00301524"/>
    <w:rsid w:val="003016BA"/>
    <w:rsid w:val="00301B03"/>
    <w:rsid w:val="00301E54"/>
    <w:rsid w:val="00301FB3"/>
    <w:rsid w:val="003022E8"/>
    <w:rsid w:val="00302408"/>
    <w:rsid w:val="0030275F"/>
    <w:rsid w:val="003028FA"/>
    <w:rsid w:val="00302958"/>
    <w:rsid w:val="00302E29"/>
    <w:rsid w:val="00302F5A"/>
    <w:rsid w:val="00303117"/>
    <w:rsid w:val="00303542"/>
    <w:rsid w:val="0030371A"/>
    <w:rsid w:val="00303BF8"/>
    <w:rsid w:val="00303CDF"/>
    <w:rsid w:val="0030409D"/>
    <w:rsid w:val="003043F1"/>
    <w:rsid w:val="003048A1"/>
    <w:rsid w:val="00304B93"/>
    <w:rsid w:val="00305359"/>
    <w:rsid w:val="00305393"/>
    <w:rsid w:val="00305B1C"/>
    <w:rsid w:val="0030604D"/>
    <w:rsid w:val="00306269"/>
    <w:rsid w:val="0030637D"/>
    <w:rsid w:val="003066C8"/>
    <w:rsid w:val="00306950"/>
    <w:rsid w:val="00306960"/>
    <w:rsid w:val="003069B4"/>
    <w:rsid w:val="00306AB4"/>
    <w:rsid w:val="00306C9B"/>
    <w:rsid w:val="00306DD7"/>
    <w:rsid w:val="00306F4B"/>
    <w:rsid w:val="00306F96"/>
    <w:rsid w:val="0030720E"/>
    <w:rsid w:val="003073BD"/>
    <w:rsid w:val="0030740F"/>
    <w:rsid w:val="0030752A"/>
    <w:rsid w:val="0030778D"/>
    <w:rsid w:val="0030787B"/>
    <w:rsid w:val="00307D78"/>
    <w:rsid w:val="00307E55"/>
    <w:rsid w:val="00307FC1"/>
    <w:rsid w:val="0031056D"/>
    <w:rsid w:val="003105BD"/>
    <w:rsid w:val="003105EE"/>
    <w:rsid w:val="00310675"/>
    <w:rsid w:val="003108D7"/>
    <w:rsid w:val="00310913"/>
    <w:rsid w:val="00310A99"/>
    <w:rsid w:val="00310D08"/>
    <w:rsid w:val="00310E4B"/>
    <w:rsid w:val="00310F2B"/>
    <w:rsid w:val="00310F76"/>
    <w:rsid w:val="00311095"/>
    <w:rsid w:val="00311275"/>
    <w:rsid w:val="003112C7"/>
    <w:rsid w:val="00311302"/>
    <w:rsid w:val="0031143D"/>
    <w:rsid w:val="003114CC"/>
    <w:rsid w:val="00311650"/>
    <w:rsid w:val="00311B0B"/>
    <w:rsid w:val="0031214D"/>
    <w:rsid w:val="00312246"/>
    <w:rsid w:val="003124B5"/>
    <w:rsid w:val="00312534"/>
    <w:rsid w:val="00312594"/>
    <w:rsid w:val="003125BD"/>
    <w:rsid w:val="003125C3"/>
    <w:rsid w:val="003125CE"/>
    <w:rsid w:val="00312718"/>
    <w:rsid w:val="00312796"/>
    <w:rsid w:val="00312BE0"/>
    <w:rsid w:val="00312C7E"/>
    <w:rsid w:val="00312D01"/>
    <w:rsid w:val="00312DDE"/>
    <w:rsid w:val="00313326"/>
    <w:rsid w:val="0031341F"/>
    <w:rsid w:val="00313472"/>
    <w:rsid w:val="0031349A"/>
    <w:rsid w:val="0031378F"/>
    <w:rsid w:val="003139D0"/>
    <w:rsid w:val="00313BC4"/>
    <w:rsid w:val="00313C05"/>
    <w:rsid w:val="00313E54"/>
    <w:rsid w:val="00314340"/>
    <w:rsid w:val="00314C74"/>
    <w:rsid w:val="00314CCF"/>
    <w:rsid w:val="00314D91"/>
    <w:rsid w:val="00314E12"/>
    <w:rsid w:val="00315250"/>
    <w:rsid w:val="00315274"/>
    <w:rsid w:val="003152C3"/>
    <w:rsid w:val="00315330"/>
    <w:rsid w:val="00315341"/>
    <w:rsid w:val="00315607"/>
    <w:rsid w:val="00315717"/>
    <w:rsid w:val="0031584D"/>
    <w:rsid w:val="003158C3"/>
    <w:rsid w:val="0031594E"/>
    <w:rsid w:val="00315B34"/>
    <w:rsid w:val="00315B4D"/>
    <w:rsid w:val="00315F4E"/>
    <w:rsid w:val="00316022"/>
    <w:rsid w:val="00316192"/>
    <w:rsid w:val="003162DA"/>
    <w:rsid w:val="0031631E"/>
    <w:rsid w:val="0031639E"/>
    <w:rsid w:val="003163D8"/>
    <w:rsid w:val="0031647A"/>
    <w:rsid w:val="00316556"/>
    <w:rsid w:val="003165C1"/>
    <w:rsid w:val="003167A0"/>
    <w:rsid w:val="00316A14"/>
    <w:rsid w:val="00316AA7"/>
    <w:rsid w:val="00316B8B"/>
    <w:rsid w:val="00316BAE"/>
    <w:rsid w:val="00316C90"/>
    <w:rsid w:val="00316D1A"/>
    <w:rsid w:val="00316DC0"/>
    <w:rsid w:val="00316E1A"/>
    <w:rsid w:val="00316E6C"/>
    <w:rsid w:val="00317141"/>
    <w:rsid w:val="003171E8"/>
    <w:rsid w:val="00317ABF"/>
    <w:rsid w:val="00317C07"/>
    <w:rsid w:val="00317C5C"/>
    <w:rsid w:val="00317E63"/>
    <w:rsid w:val="003200A7"/>
    <w:rsid w:val="00320205"/>
    <w:rsid w:val="003202DA"/>
    <w:rsid w:val="00320331"/>
    <w:rsid w:val="00320399"/>
    <w:rsid w:val="00320410"/>
    <w:rsid w:val="00320766"/>
    <w:rsid w:val="0032086E"/>
    <w:rsid w:val="00320A00"/>
    <w:rsid w:val="00320BBE"/>
    <w:rsid w:val="00320BDF"/>
    <w:rsid w:val="00320DEF"/>
    <w:rsid w:val="00320F9B"/>
    <w:rsid w:val="00321006"/>
    <w:rsid w:val="003211BC"/>
    <w:rsid w:val="003215A3"/>
    <w:rsid w:val="00321709"/>
    <w:rsid w:val="00321789"/>
    <w:rsid w:val="00321A7A"/>
    <w:rsid w:val="00321BFC"/>
    <w:rsid w:val="00321C2C"/>
    <w:rsid w:val="00321C3B"/>
    <w:rsid w:val="00321C8A"/>
    <w:rsid w:val="00321C8E"/>
    <w:rsid w:val="00321D4A"/>
    <w:rsid w:val="00321D66"/>
    <w:rsid w:val="00321DEE"/>
    <w:rsid w:val="00321F68"/>
    <w:rsid w:val="003221EC"/>
    <w:rsid w:val="0032225D"/>
    <w:rsid w:val="00322286"/>
    <w:rsid w:val="00322834"/>
    <w:rsid w:val="00322854"/>
    <w:rsid w:val="00322B37"/>
    <w:rsid w:val="00322C01"/>
    <w:rsid w:val="00322C8D"/>
    <w:rsid w:val="00322E18"/>
    <w:rsid w:val="00323244"/>
    <w:rsid w:val="0032333D"/>
    <w:rsid w:val="00323458"/>
    <w:rsid w:val="00323513"/>
    <w:rsid w:val="00323A7F"/>
    <w:rsid w:val="0032451E"/>
    <w:rsid w:val="003245EF"/>
    <w:rsid w:val="00324906"/>
    <w:rsid w:val="003249A7"/>
    <w:rsid w:val="00324DE2"/>
    <w:rsid w:val="0032515B"/>
    <w:rsid w:val="003254D7"/>
    <w:rsid w:val="0032552F"/>
    <w:rsid w:val="00325733"/>
    <w:rsid w:val="00325763"/>
    <w:rsid w:val="00325851"/>
    <w:rsid w:val="003258EC"/>
    <w:rsid w:val="00325AEB"/>
    <w:rsid w:val="00325F0B"/>
    <w:rsid w:val="00325FE0"/>
    <w:rsid w:val="00326267"/>
    <w:rsid w:val="00326331"/>
    <w:rsid w:val="0032635B"/>
    <w:rsid w:val="003264B4"/>
    <w:rsid w:val="00326A61"/>
    <w:rsid w:val="00326B2E"/>
    <w:rsid w:val="00326B33"/>
    <w:rsid w:val="00326B90"/>
    <w:rsid w:val="00326D94"/>
    <w:rsid w:val="00326F41"/>
    <w:rsid w:val="003271E7"/>
    <w:rsid w:val="00327398"/>
    <w:rsid w:val="003273BA"/>
    <w:rsid w:val="00327584"/>
    <w:rsid w:val="00327890"/>
    <w:rsid w:val="00327913"/>
    <w:rsid w:val="00327CE6"/>
    <w:rsid w:val="00327D4B"/>
    <w:rsid w:val="00327F22"/>
    <w:rsid w:val="00330299"/>
    <w:rsid w:val="00330326"/>
    <w:rsid w:val="0033036C"/>
    <w:rsid w:val="003304C7"/>
    <w:rsid w:val="003307A9"/>
    <w:rsid w:val="00330A11"/>
    <w:rsid w:val="00330A8F"/>
    <w:rsid w:val="00330C3D"/>
    <w:rsid w:val="00330E12"/>
    <w:rsid w:val="00330FBF"/>
    <w:rsid w:val="00331083"/>
    <w:rsid w:val="0033114E"/>
    <w:rsid w:val="003313FB"/>
    <w:rsid w:val="0033147B"/>
    <w:rsid w:val="00331575"/>
    <w:rsid w:val="003315A7"/>
    <w:rsid w:val="003316BE"/>
    <w:rsid w:val="0033171A"/>
    <w:rsid w:val="003317E0"/>
    <w:rsid w:val="00331AB7"/>
    <w:rsid w:val="00331B5B"/>
    <w:rsid w:val="00331F2F"/>
    <w:rsid w:val="00331F6C"/>
    <w:rsid w:val="00332324"/>
    <w:rsid w:val="003325C0"/>
    <w:rsid w:val="00332660"/>
    <w:rsid w:val="00332858"/>
    <w:rsid w:val="00332AF5"/>
    <w:rsid w:val="00332D0E"/>
    <w:rsid w:val="00332D8F"/>
    <w:rsid w:val="00332E80"/>
    <w:rsid w:val="003331A5"/>
    <w:rsid w:val="003331A9"/>
    <w:rsid w:val="003333DB"/>
    <w:rsid w:val="00333527"/>
    <w:rsid w:val="003335A1"/>
    <w:rsid w:val="0033363C"/>
    <w:rsid w:val="0033368F"/>
    <w:rsid w:val="00333705"/>
    <w:rsid w:val="003337AD"/>
    <w:rsid w:val="00333905"/>
    <w:rsid w:val="0033391F"/>
    <w:rsid w:val="00333B63"/>
    <w:rsid w:val="00333C5F"/>
    <w:rsid w:val="00333D20"/>
    <w:rsid w:val="00333FE2"/>
    <w:rsid w:val="0033422D"/>
    <w:rsid w:val="00334296"/>
    <w:rsid w:val="003343A3"/>
    <w:rsid w:val="0033440D"/>
    <w:rsid w:val="00334823"/>
    <w:rsid w:val="00334828"/>
    <w:rsid w:val="00334A0B"/>
    <w:rsid w:val="00334CE5"/>
    <w:rsid w:val="0033508B"/>
    <w:rsid w:val="003350D5"/>
    <w:rsid w:val="00335464"/>
    <w:rsid w:val="00335737"/>
    <w:rsid w:val="0033587E"/>
    <w:rsid w:val="00335AB9"/>
    <w:rsid w:val="00335AC8"/>
    <w:rsid w:val="00335C0C"/>
    <w:rsid w:val="00335EE2"/>
    <w:rsid w:val="0033656F"/>
    <w:rsid w:val="00336578"/>
    <w:rsid w:val="0033660F"/>
    <w:rsid w:val="00336690"/>
    <w:rsid w:val="00336937"/>
    <w:rsid w:val="0033698B"/>
    <w:rsid w:val="00336A9A"/>
    <w:rsid w:val="00336C5E"/>
    <w:rsid w:val="00336CA8"/>
    <w:rsid w:val="00337002"/>
    <w:rsid w:val="00337104"/>
    <w:rsid w:val="003371B8"/>
    <w:rsid w:val="00337219"/>
    <w:rsid w:val="00337578"/>
    <w:rsid w:val="00337763"/>
    <w:rsid w:val="00337927"/>
    <w:rsid w:val="00337B65"/>
    <w:rsid w:val="00337BB3"/>
    <w:rsid w:val="00340094"/>
    <w:rsid w:val="00340175"/>
    <w:rsid w:val="00340220"/>
    <w:rsid w:val="00340438"/>
    <w:rsid w:val="0034068B"/>
    <w:rsid w:val="003406A6"/>
    <w:rsid w:val="00340B2B"/>
    <w:rsid w:val="00340B3E"/>
    <w:rsid w:val="00340E34"/>
    <w:rsid w:val="00340F1E"/>
    <w:rsid w:val="00341134"/>
    <w:rsid w:val="0034118B"/>
    <w:rsid w:val="00341339"/>
    <w:rsid w:val="0034134E"/>
    <w:rsid w:val="00341410"/>
    <w:rsid w:val="003414D2"/>
    <w:rsid w:val="0034156E"/>
    <w:rsid w:val="003417B6"/>
    <w:rsid w:val="003417C1"/>
    <w:rsid w:val="00341814"/>
    <w:rsid w:val="00341891"/>
    <w:rsid w:val="00341D48"/>
    <w:rsid w:val="00341E35"/>
    <w:rsid w:val="003421C5"/>
    <w:rsid w:val="00342350"/>
    <w:rsid w:val="00342479"/>
    <w:rsid w:val="00342670"/>
    <w:rsid w:val="0034269B"/>
    <w:rsid w:val="003427AC"/>
    <w:rsid w:val="00342923"/>
    <w:rsid w:val="0034298C"/>
    <w:rsid w:val="003429C8"/>
    <w:rsid w:val="00342B51"/>
    <w:rsid w:val="00342B7E"/>
    <w:rsid w:val="00342BA1"/>
    <w:rsid w:val="00342E92"/>
    <w:rsid w:val="00342F29"/>
    <w:rsid w:val="00343226"/>
    <w:rsid w:val="0034372B"/>
    <w:rsid w:val="00343B72"/>
    <w:rsid w:val="00343BF5"/>
    <w:rsid w:val="003440B3"/>
    <w:rsid w:val="00344180"/>
    <w:rsid w:val="003441DF"/>
    <w:rsid w:val="00344395"/>
    <w:rsid w:val="00344397"/>
    <w:rsid w:val="003443CA"/>
    <w:rsid w:val="003444BF"/>
    <w:rsid w:val="003444E8"/>
    <w:rsid w:val="00344F2F"/>
    <w:rsid w:val="00344FBA"/>
    <w:rsid w:val="003454B9"/>
    <w:rsid w:val="00345570"/>
    <w:rsid w:val="00345582"/>
    <w:rsid w:val="0034568C"/>
    <w:rsid w:val="003456E2"/>
    <w:rsid w:val="0034576D"/>
    <w:rsid w:val="00345882"/>
    <w:rsid w:val="00345973"/>
    <w:rsid w:val="00345CB5"/>
    <w:rsid w:val="00345CD1"/>
    <w:rsid w:val="00345EE3"/>
    <w:rsid w:val="00345FAC"/>
    <w:rsid w:val="003462FE"/>
    <w:rsid w:val="00346507"/>
    <w:rsid w:val="00346588"/>
    <w:rsid w:val="003465FC"/>
    <w:rsid w:val="003466A4"/>
    <w:rsid w:val="0034687F"/>
    <w:rsid w:val="00346911"/>
    <w:rsid w:val="00346B09"/>
    <w:rsid w:val="00346D45"/>
    <w:rsid w:val="00346D94"/>
    <w:rsid w:val="00346DFC"/>
    <w:rsid w:val="00346E54"/>
    <w:rsid w:val="00347021"/>
    <w:rsid w:val="003473C2"/>
    <w:rsid w:val="003475B7"/>
    <w:rsid w:val="003478F3"/>
    <w:rsid w:val="00347A94"/>
    <w:rsid w:val="00347BAE"/>
    <w:rsid w:val="00347E88"/>
    <w:rsid w:val="00350132"/>
    <w:rsid w:val="00350384"/>
    <w:rsid w:val="0035039A"/>
    <w:rsid w:val="003503ED"/>
    <w:rsid w:val="00350684"/>
    <w:rsid w:val="00350CFF"/>
    <w:rsid w:val="00350D97"/>
    <w:rsid w:val="00351121"/>
    <w:rsid w:val="00351698"/>
    <w:rsid w:val="00351838"/>
    <w:rsid w:val="00351A15"/>
    <w:rsid w:val="00351A24"/>
    <w:rsid w:val="00351D10"/>
    <w:rsid w:val="00351E2A"/>
    <w:rsid w:val="00351F35"/>
    <w:rsid w:val="00352188"/>
    <w:rsid w:val="003526BA"/>
    <w:rsid w:val="00352A2C"/>
    <w:rsid w:val="00352BB8"/>
    <w:rsid w:val="00352C16"/>
    <w:rsid w:val="00352ED1"/>
    <w:rsid w:val="00352FBF"/>
    <w:rsid w:val="00352FD9"/>
    <w:rsid w:val="00352FDD"/>
    <w:rsid w:val="0035300D"/>
    <w:rsid w:val="00353087"/>
    <w:rsid w:val="003530B9"/>
    <w:rsid w:val="003534D6"/>
    <w:rsid w:val="003536A5"/>
    <w:rsid w:val="00353F42"/>
    <w:rsid w:val="003540B7"/>
    <w:rsid w:val="00354306"/>
    <w:rsid w:val="00354456"/>
    <w:rsid w:val="003545EB"/>
    <w:rsid w:val="003546A6"/>
    <w:rsid w:val="0035487F"/>
    <w:rsid w:val="003549DE"/>
    <w:rsid w:val="003551AF"/>
    <w:rsid w:val="00355270"/>
    <w:rsid w:val="0035571E"/>
    <w:rsid w:val="00355760"/>
    <w:rsid w:val="00355DE5"/>
    <w:rsid w:val="00355E2B"/>
    <w:rsid w:val="00355E4A"/>
    <w:rsid w:val="003560B2"/>
    <w:rsid w:val="00356104"/>
    <w:rsid w:val="00356142"/>
    <w:rsid w:val="003562AD"/>
    <w:rsid w:val="00356313"/>
    <w:rsid w:val="00356347"/>
    <w:rsid w:val="00356484"/>
    <w:rsid w:val="0035669A"/>
    <w:rsid w:val="003568E7"/>
    <w:rsid w:val="00356904"/>
    <w:rsid w:val="00356C6A"/>
    <w:rsid w:val="00356DCE"/>
    <w:rsid w:val="00357040"/>
    <w:rsid w:val="0035707C"/>
    <w:rsid w:val="003571E3"/>
    <w:rsid w:val="0035763A"/>
    <w:rsid w:val="0035770A"/>
    <w:rsid w:val="00357C23"/>
    <w:rsid w:val="00357C9A"/>
    <w:rsid w:val="00360102"/>
    <w:rsid w:val="00360105"/>
    <w:rsid w:val="00360358"/>
    <w:rsid w:val="0036039A"/>
    <w:rsid w:val="003605DE"/>
    <w:rsid w:val="0036061A"/>
    <w:rsid w:val="00360637"/>
    <w:rsid w:val="003608EF"/>
    <w:rsid w:val="00360A84"/>
    <w:rsid w:val="00360AFD"/>
    <w:rsid w:val="00360D0F"/>
    <w:rsid w:val="00361461"/>
    <w:rsid w:val="0036146B"/>
    <w:rsid w:val="003617A3"/>
    <w:rsid w:val="00361AAA"/>
    <w:rsid w:val="00361B6F"/>
    <w:rsid w:val="00361C3A"/>
    <w:rsid w:val="00361CEB"/>
    <w:rsid w:val="00361D41"/>
    <w:rsid w:val="00361F25"/>
    <w:rsid w:val="00362016"/>
    <w:rsid w:val="00362042"/>
    <w:rsid w:val="00362069"/>
    <w:rsid w:val="0036212B"/>
    <w:rsid w:val="00362133"/>
    <w:rsid w:val="0036224D"/>
    <w:rsid w:val="003624F8"/>
    <w:rsid w:val="00362542"/>
    <w:rsid w:val="00362AAC"/>
    <w:rsid w:val="00362B3A"/>
    <w:rsid w:val="00362E74"/>
    <w:rsid w:val="00362FE3"/>
    <w:rsid w:val="003633C0"/>
    <w:rsid w:val="00363461"/>
    <w:rsid w:val="00363563"/>
    <w:rsid w:val="003636C1"/>
    <w:rsid w:val="003636F8"/>
    <w:rsid w:val="0036385C"/>
    <w:rsid w:val="0036391F"/>
    <w:rsid w:val="00363A1F"/>
    <w:rsid w:val="00363CE9"/>
    <w:rsid w:val="00363D60"/>
    <w:rsid w:val="003643EA"/>
    <w:rsid w:val="003645DB"/>
    <w:rsid w:val="003646CA"/>
    <w:rsid w:val="00364821"/>
    <w:rsid w:val="0036482B"/>
    <w:rsid w:val="003648EF"/>
    <w:rsid w:val="0036494F"/>
    <w:rsid w:val="00364CDF"/>
    <w:rsid w:val="00364E4B"/>
    <w:rsid w:val="00365066"/>
    <w:rsid w:val="003650BE"/>
    <w:rsid w:val="003650F6"/>
    <w:rsid w:val="0036533B"/>
    <w:rsid w:val="003654B3"/>
    <w:rsid w:val="0036565D"/>
    <w:rsid w:val="00365732"/>
    <w:rsid w:val="0036582D"/>
    <w:rsid w:val="00365941"/>
    <w:rsid w:val="00365BDF"/>
    <w:rsid w:val="00365C6E"/>
    <w:rsid w:val="00365CC6"/>
    <w:rsid w:val="00365D61"/>
    <w:rsid w:val="00365D79"/>
    <w:rsid w:val="00365E33"/>
    <w:rsid w:val="00365FA4"/>
    <w:rsid w:val="00366050"/>
    <w:rsid w:val="003660E2"/>
    <w:rsid w:val="003661BF"/>
    <w:rsid w:val="00366B75"/>
    <w:rsid w:val="00366ECB"/>
    <w:rsid w:val="00366ED8"/>
    <w:rsid w:val="0036742F"/>
    <w:rsid w:val="003674E8"/>
    <w:rsid w:val="00367780"/>
    <w:rsid w:val="0036781B"/>
    <w:rsid w:val="00367820"/>
    <w:rsid w:val="00367937"/>
    <w:rsid w:val="00367B75"/>
    <w:rsid w:val="00367CAC"/>
    <w:rsid w:val="00367FD2"/>
    <w:rsid w:val="0037032A"/>
    <w:rsid w:val="00370789"/>
    <w:rsid w:val="00370B87"/>
    <w:rsid w:val="00370BCA"/>
    <w:rsid w:val="00370CED"/>
    <w:rsid w:val="00370EAD"/>
    <w:rsid w:val="00370F70"/>
    <w:rsid w:val="003710A4"/>
    <w:rsid w:val="0037113D"/>
    <w:rsid w:val="003716DB"/>
    <w:rsid w:val="00371940"/>
    <w:rsid w:val="00371E1C"/>
    <w:rsid w:val="00371FB1"/>
    <w:rsid w:val="00372475"/>
    <w:rsid w:val="003724BE"/>
    <w:rsid w:val="003724FF"/>
    <w:rsid w:val="00372681"/>
    <w:rsid w:val="00372693"/>
    <w:rsid w:val="0037269D"/>
    <w:rsid w:val="003726EA"/>
    <w:rsid w:val="00372DC3"/>
    <w:rsid w:val="0037303C"/>
    <w:rsid w:val="003731DB"/>
    <w:rsid w:val="00373294"/>
    <w:rsid w:val="003733B6"/>
    <w:rsid w:val="003733DD"/>
    <w:rsid w:val="00373AF3"/>
    <w:rsid w:val="00373C05"/>
    <w:rsid w:val="00373FA0"/>
    <w:rsid w:val="0037406F"/>
    <w:rsid w:val="003740ED"/>
    <w:rsid w:val="003741E9"/>
    <w:rsid w:val="0037461C"/>
    <w:rsid w:val="003748E7"/>
    <w:rsid w:val="0037497B"/>
    <w:rsid w:val="003749C2"/>
    <w:rsid w:val="00374A46"/>
    <w:rsid w:val="00374C03"/>
    <w:rsid w:val="00374D01"/>
    <w:rsid w:val="00374F65"/>
    <w:rsid w:val="00374FF3"/>
    <w:rsid w:val="00375061"/>
    <w:rsid w:val="00375069"/>
    <w:rsid w:val="00375462"/>
    <w:rsid w:val="0037552C"/>
    <w:rsid w:val="00375625"/>
    <w:rsid w:val="003756BF"/>
    <w:rsid w:val="003758ED"/>
    <w:rsid w:val="00375DC3"/>
    <w:rsid w:val="00375FC5"/>
    <w:rsid w:val="00376186"/>
    <w:rsid w:val="00376236"/>
    <w:rsid w:val="00376BE1"/>
    <w:rsid w:val="00376BFF"/>
    <w:rsid w:val="00376D74"/>
    <w:rsid w:val="00377145"/>
    <w:rsid w:val="003771D0"/>
    <w:rsid w:val="003775E5"/>
    <w:rsid w:val="00377602"/>
    <w:rsid w:val="003776A5"/>
    <w:rsid w:val="0037777A"/>
    <w:rsid w:val="00377880"/>
    <w:rsid w:val="00377ED4"/>
    <w:rsid w:val="00377EED"/>
    <w:rsid w:val="00377F83"/>
    <w:rsid w:val="0038001B"/>
    <w:rsid w:val="0038001F"/>
    <w:rsid w:val="0038009B"/>
    <w:rsid w:val="003801EE"/>
    <w:rsid w:val="00380318"/>
    <w:rsid w:val="0038039A"/>
    <w:rsid w:val="00380422"/>
    <w:rsid w:val="003804CC"/>
    <w:rsid w:val="003808B5"/>
    <w:rsid w:val="003808D3"/>
    <w:rsid w:val="00380A2B"/>
    <w:rsid w:val="0038100B"/>
    <w:rsid w:val="003810B2"/>
    <w:rsid w:val="00381702"/>
    <w:rsid w:val="00381AB2"/>
    <w:rsid w:val="00381AB6"/>
    <w:rsid w:val="00381B97"/>
    <w:rsid w:val="00381C92"/>
    <w:rsid w:val="00381CAF"/>
    <w:rsid w:val="00381CC2"/>
    <w:rsid w:val="00381F3D"/>
    <w:rsid w:val="00382005"/>
    <w:rsid w:val="00382129"/>
    <w:rsid w:val="00382280"/>
    <w:rsid w:val="003823FE"/>
    <w:rsid w:val="003825EE"/>
    <w:rsid w:val="003828A8"/>
    <w:rsid w:val="00382B57"/>
    <w:rsid w:val="00382D24"/>
    <w:rsid w:val="00382E98"/>
    <w:rsid w:val="00382FCA"/>
    <w:rsid w:val="00383251"/>
    <w:rsid w:val="00383360"/>
    <w:rsid w:val="003833AD"/>
    <w:rsid w:val="00383668"/>
    <w:rsid w:val="003836C6"/>
    <w:rsid w:val="003837CA"/>
    <w:rsid w:val="00383A19"/>
    <w:rsid w:val="00383BDD"/>
    <w:rsid w:val="00383D64"/>
    <w:rsid w:val="00383EAC"/>
    <w:rsid w:val="00383EE1"/>
    <w:rsid w:val="0038420C"/>
    <w:rsid w:val="003843D4"/>
    <w:rsid w:val="00384414"/>
    <w:rsid w:val="003848FD"/>
    <w:rsid w:val="00384A85"/>
    <w:rsid w:val="00384B1C"/>
    <w:rsid w:val="00384BA5"/>
    <w:rsid w:val="003850F6"/>
    <w:rsid w:val="003855AB"/>
    <w:rsid w:val="003855B4"/>
    <w:rsid w:val="003855EF"/>
    <w:rsid w:val="003858B7"/>
    <w:rsid w:val="00385CCE"/>
    <w:rsid w:val="00385DD6"/>
    <w:rsid w:val="00385FB2"/>
    <w:rsid w:val="00386168"/>
    <w:rsid w:val="00386357"/>
    <w:rsid w:val="003868F1"/>
    <w:rsid w:val="00386980"/>
    <w:rsid w:val="00386ACC"/>
    <w:rsid w:val="00386C9E"/>
    <w:rsid w:val="00386DB6"/>
    <w:rsid w:val="00386DF4"/>
    <w:rsid w:val="00386E57"/>
    <w:rsid w:val="003875DF"/>
    <w:rsid w:val="0038767C"/>
    <w:rsid w:val="003876E9"/>
    <w:rsid w:val="00387777"/>
    <w:rsid w:val="003878A2"/>
    <w:rsid w:val="00387930"/>
    <w:rsid w:val="00387A27"/>
    <w:rsid w:val="00387AAF"/>
    <w:rsid w:val="00387BB6"/>
    <w:rsid w:val="00390012"/>
    <w:rsid w:val="00390133"/>
    <w:rsid w:val="003901B6"/>
    <w:rsid w:val="00390577"/>
    <w:rsid w:val="00390727"/>
    <w:rsid w:val="00390834"/>
    <w:rsid w:val="003908B8"/>
    <w:rsid w:val="003909DD"/>
    <w:rsid w:val="00390BBD"/>
    <w:rsid w:val="00390C80"/>
    <w:rsid w:val="00390E17"/>
    <w:rsid w:val="00390EB5"/>
    <w:rsid w:val="00390FD6"/>
    <w:rsid w:val="00391083"/>
    <w:rsid w:val="00391087"/>
    <w:rsid w:val="0039121C"/>
    <w:rsid w:val="003915B4"/>
    <w:rsid w:val="003915B8"/>
    <w:rsid w:val="00391751"/>
    <w:rsid w:val="003917B3"/>
    <w:rsid w:val="00391899"/>
    <w:rsid w:val="0039190E"/>
    <w:rsid w:val="003919E9"/>
    <w:rsid w:val="00391F9D"/>
    <w:rsid w:val="00392267"/>
    <w:rsid w:val="003925CE"/>
    <w:rsid w:val="003926CA"/>
    <w:rsid w:val="003928D6"/>
    <w:rsid w:val="00392981"/>
    <w:rsid w:val="00392A67"/>
    <w:rsid w:val="00392B2A"/>
    <w:rsid w:val="00392B63"/>
    <w:rsid w:val="003931B9"/>
    <w:rsid w:val="003932C1"/>
    <w:rsid w:val="0039349A"/>
    <w:rsid w:val="0039370B"/>
    <w:rsid w:val="00393B47"/>
    <w:rsid w:val="00393BE9"/>
    <w:rsid w:val="00393E6D"/>
    <w:rsid w:val="00394250"/>
    <w:rsid w:val="0039459B"/>
    <w:rsid w:val="003946FC"/>
    <w:rsid w:val="00394B9F"/>
    <w:rsid w:val="00394C09"/>
    <w:rsid w:val="00394DB6"/>
    <w:rsid w:val="00394F4B"/>
    <w:rsid w:val="003951C4"/>
    <w:rsid w:val="0039558D"/>
    <w:rsid w:val="003958DA"/>
    <w:rsid w:val="00395A5A"/>
    <w:rsid w:val="00395B17"/>
    <w:rsid w:val="00395C79"/>
    <w:rsid w:val="00395CDB"/>
    <w:rsid w:val="00395DDF"/>
    <w:rsid w:val="0039602C"/>
    <w:rsid w:val="003962CC"/>
    <w:rsid w:val="00396307"/>
    <w:rsid w:val="003965F6"/>
    <w:rsid w:val="00396655"/>
    <w:rsid w:val="00396782"/>
    <w:rsid w:val="003967F1"/>
    <w:rsid w:val="00396A0D"/>
    <w:rsid w:val="00396A9A"/>
    <w:rsid w:val="00396D90"/>
    <w:rsid w:val="00396E71"/>
    <w:rsid w:val="003970FF"/>
    <w:rsid w:val="00397322"/>
    <w:rsid w:val="00397543"/>
    <w:rsid w:val="00397665"/>
    <w:rsid w:val="00397A7B"/>
    <w:rsid w:val="00397D37"/>
    <w:rsid w:val="003A02AD"/>
    <w:rsid w:val="003A0376"/>
    <w:rsid w:val="003A0538"/>
    <w:rsid w:val="003A0DAC"/>
    <w:rsid w:val="003A1037"/>
    <w:rsid w:val="003A11F7"/>
    <w:rsid w:val="003A155C"/>
    <w:rsid w:val="003A15C3"/>
    <w:rsid w:val="003A1DE3"/>
    <w:rsid w:val="003A1E95"/>
    <w:rsid w:val="003A20DF"/>
    <w:rsid w:val="003A215D"/>
    <w:rsid w:val="003A21B3"/>
    <w:rsid w:val="003A2207"/>
    <w:rsid w:val="003A22FD"/>
    <w:rsid w:val="003A232E"/>
    <w:rsid w:val="003A2478"/>
    <w:rsid w:val="003A255B"/>
    <w:rsid w:val="003A259C"/>
    <w:rsid w:val="003A29B5"/>
    <w:rsid w:val="003A2A75"/>
    <w:rsid w:val="003A2EC6"/>
    <w:rsid w:val="003A2F4C"/>
    <w:rsid w:val="003A2FE9"/>
    <w:rsid w:val="003A3055"/>
    <w:rsid w:val="003A30E0"/>
    <w:rsid w:val="003A31B1"/>
    <w:rsid w:val="003A32FA"/>
    <w:rsid w:val="003A3326"/>
    <w:rsid w:val="003A33C2"/>
    <w:rsid w:val="003A34A2"/>
    <w:rsid w:val="003A36D4"/>
    <w:rsid w:val="003A3825"/>
    <w:rsid w:val="003A3889"/>
    <w:rsid w:val="003A39C6"/>
    <w:rsid w:val="003A3A0C"/>
    <w:rsid w:val="003A3BB6"/>
    <w:rsid w:val="003A422C"/>
    <w:rsid w:val="003A4239"/>
    <w:rsid w:val="003A44A7"/>
    <w:rsid w:val="003A45D7"/>
    <w:rsid w:val="003A4653"/>
    <w:rsid w:val="003A47CA"/>
    <w:rsid w:val="003A485D"/>
    <w:rsid w:val="003A49D9"/>
    <w:rsid w:val="003A4B57"/>
    <w:rsid w:val="003A4FA5"/>
    <w:rsid w:val="003A51F4"/>
    <w:rsid w:val="003A56AB"/>
    <w:rsid w:val="003A56D0"/>
    <w:rsid w:val="003A5813"/>
    <w:rsid w:val="003A5867"/>
    <w:rsid w:val="003A593D"/>
    <w:rsid w:val="003A593F"/>
    <w:rsid w:val="003A59D8"/>
    <w:rsid w:val="003A5B3A"/>
    <w:rsid w:val="003A5B9E"/>
    <w:rsid w:val="003A5C68"/>
    <w:rsid w:val="003A606A"/>
    <w:rsid w:val="003A62AC"/>
    <w:rsid w:val="003A6482"/>
    <w:rsid w:val="003A655B"/>
    <w:rsid w:val="003A664E"/>
    <w:rsid w:val="003A6A77"/>
    <w:rsid w:val="003A6D03"/>
    <w:rsid w:val="003A6D50"/>
    <w:rsid w:val="003A6D8A"/>
    <w:rsid w:val="003A6E85"/>
    <w:rsid w:val="003A6FCD"/>
    <w:rsid w:val="003A703C"/>
    <w:rsid w:val="003A72A5"/>
    <w:rsid w:val="003A72BC"/>
    <w:rsid w:val="003A796C"/>
    <w:rsid w:val="003A7971"/>
    <w:rsid w:val="003A7A5D"/>
    <w:rsid w:val="003B01DC"/>
    <w:rsid w:val="003B0210"/>
    <w:rsid w:val="003B03A4"/>
    <w:rsid w:val="003B0620"/>
    <w:rsid w:val="003B0CB5"/>
    <w:rsid w:val="003B0E15"/>
    <w:rsid w:val="003B1071"/>
    <w:rsid w:val="003B11B1"/>
    <w:rsid w:val="003B12B2"/>
    <w:rsid w:val="003B13EC"/>
    <w:rsid w:val="003B15CB"/>
    <w:rsid w:val="003B197E"/>
    <w:rsid w:val="003B1E80"/>
    <w:rsid w:val="003B22BF"/>
    <w:rsid w:val="003B26A7"/>
    <w:rsid w:val="003B275E"/>
    <w:rsid w:val="003B27ED"/>
    <w:rsid w:val="003B2803"/>
    <w:rsid w:val="003B2EEC"/>
    <w:rsid w:val="003B2F6E"/>
    <w:rsid w:val="003B31E7"/>
    <w:rsid w:val="003B3265"/>
    <w:rsid w:val="003B35B2"/>
    <w:rsid w:val="003B3A4F"/>
    <w:rsid w:val="003B3B0C"/>
    <w:rsid w:val="003B3B64"/>
    <w:rsid w:val="003B3D85"/>
    <w:rsid w:val="003B3F4D"/>
    <w:rsid w:val="003B4040"/>
    <w:rsid w:val="003B45CB"/>
    <w:rsid w:val="003B4667"/>
    <w:rsid w:val="003B4910"/>
    <w:rsid w:val="003B49CD"/>
    <w:rsid w:val="003B4A83"/>
    <w:rsid w:val="003B4AD2"/>
    <w:rsid w:val="003B4BD3"/>
    <w:rsid w:val="003B4C63"/>
    <w:rsid w:val="003B4E12"/>
    <w:rsid w:val="003B51F8"/>
    <w:rsid w:val="003B53FA"/>
    <w:rsid w:val="003B5501"/>
    <w:rsid w:val="003B55BD"/>
    <w:rsid w:val="003B5A08"/>
    <w:rsid w:val="003B5A56"/>
    <w:rsid w:val="003B5B5A"/>
    <w:rsid w:val="003B5E14"/>
    <w:rsid w:val="003B6018"/>
    <w:rsid w:val="003B6096"/>
    <w:rsid w:val="003B6181"/>
    <w:rsid w:val="003B634B"/>
    <w:rsid w:val="003B650E"/>
    <w:rsid w:val="003B65B9"/>
    <w:rsid w:val="003B65FA"/>
    <w:rsid w:val="003B660A"/>
    <w:rsid w:val="003B67B2"/>
    <w:rsid w:val="003B6955"/>
    <w:rsid w:val="003B69B6"/>
    <w:rsid w:val="003B6BAD"/>
    <w:rsid w:val="003B6BF7"/>
    <w:rsid w:val="003B6C16"/>
    <w:rsid w:val="003B6C34"/>
    <w:rsid w:val="003B6D84"/>
    <w:rsid w:val="003B71E8"/>
    <w:rsid w:val="003B73B8"/>
    <w:rsid w:val="003B73E7"/>
    <w:rsid w:val="003B744C"/>
    <w:rsid w:val="003B7496"/>
    <w:rsid w:val="003B74BC"/>
    <w:rsid w:val="003B7984"/>
    <w:rsid w:val="003B79A3"/>
    <w:rsid w:val="003B7A39"/>
    <w:rsid w:val="003B7BB0"/>
    <w:rsid w:val="003B7F77"/>
    <w:rsid w:val="003C03DE"/>
    <w:rsid w:val="003C0513"/>
    <w:rsid w:val="003C0613"/>
    <w:rsid w:val="003C06C3"/>
    <w:rsid w:val="003C06DA"/>
    <w:rsid w:val="003C0794"/>
    <w:rsid w:val="003C091A"/>
    <w:rsid w:val="003C106A"/>
    <w:rsid w:val="003C10A0"/>
    <w:rsid w:val="003C117D"/>
    <w:rsid w:val="003C12AD"/>
    <w:rsid w:val="003C1333"/>
    <w:rsid w:val="003C136E"/>
    <w:rsid w:val="003C15C8"/>
    <w:rsid w:val="003C1799"/>
    <w:rsid w:val="003C1A55"/>
    <w:rsid w:val="003C1B4E"/>
    <w:rsid w:val="003C1C4F"/>
    <w:rsid w:val="003C1D64"/>
    <w:rsid w:val="003C1E0D"/>
    <w:rsid w:val="003C2213"/>
    <w:rsid w:val="003C238B"/>
    <w:rsid w:val="003C2503"/>
    <w:rsid w:val="003C28E5"/>
    <w:rsid w:val="003C29C4"/>
    <w:rsid w:val="003C2ADC"/>
    <w:rsid w:val="003C2AF3"/>
    <w:rsid w:val="003C2BA2"/>
    <w:rsid w:val="003C2C93"/>
    <w:rsid w:val="003C2DFA"/>
    <w:rsid w:val="003C355A"/>
    <w:rsid w:val="003C3A15"/>
    <w:rsid w:val="003C3A9A"/>
    <w:rsid w:val="003C3B42"/>
    <w:rsid w:val="003C3CB7"/>
    <w:rsid w:val="003C3EA0"/>
    <w:rsid w:val="003C3F17"/>
    <w:rsid w:val="003C4283"/>
    <w:rsid w:val="003C42D9"/>
    <w:rsid w:val="003C43E2"/>
    <w:rsid w:val="003C4531"/>
    <w:rsid w:val="003C46C1"/>
    <w:rsid w:val="003C474F"/>
    <w:rsid w:val="003C4B85"/>
    <w:rsid w:val="003C50F8"/>
    <w:rsid w:val="003C5510"/>
    <w:rsid w:val="003C5758"/>
    <w:rsid w:val="003C5791"/>
    <w:rsid w:val="003C5873"/>
    <w:rsid w:val="003C5C1A"/>
    <w:rsid w:val="003C5D08"/>
    <w:rsid w:val="003C5D38"/>
    <w:rsid w:val="003C5DB4"/>
    <w:rsid w:val="003C5F25"/>
    <w:rsid w:val="003C5FAF"/>
    <w:rsid w:val="003C6021"/>
    <w:rsid w:val="003C6420"/>
    <w:rsid w:val="003C6911"/>
    <w:rsid w:val="003C6B00"/>
    <w:rsid w:val="003C6FE4"/>
    <w:rsid w:val="003C72A6"/>
    <w:rsid w:val="003C735C"/>
    <w:rsid w:val="003C7636"/>
    <w:rsid w:val="003C7A75"/>
    <w:rsid w:val="003C7C10"/>
    <w:rsid w:val="003C7C72"/>
    <w:rsid w:val="003C7D1F"/>
    <w:rsid w:val="003D02A5"/>
    <w:rsid w:val="003D0496"/>
    <w:rsid w:val="003D075C"/>
    <w:rsid w:val="003D0887"/>
    <w:rsid w:val="003D08E3"/>
    <w:rsid w:val="003D0A66"/>
    <w:rsid w:val="003D0BB5"/>
    <w:rsid w:val="003D0FB5"/>
    <w:rsid w:val="003D1158"/>
    <w:rsid w:val="003D115C"/>
    <w:rsid w:val="003D13D7"/>
    <w:rsid w:val="003D1413"/>
    <w:rsid w:val="003D1509"/>
    <w:rsid w:val="003D15EB"/>
    <w:rsid w:val="003D1CE8"/>
    <w:rsid w:val="003D2081"/>
    <w:rsid w:val="003D208F"/>
    <w:rsid w:val="003D20A1"/>
    <w:rsid w:val="003D20A3"/>
    <w:rsid w:val="003D20D1"/>
    <w:rsid w:val="003D20F6"/>
    <w:rsid w:val="003D2498"/>
    <w:rsid w:val="003D26C5"/>
    <w:rsid w:val="003D28ED"/>
    <w:rsid w:val="003D3126"/>
    <w:rsid w:val="003D3787"/>
    <w:rsid w:val="003D379A"/>
    <w:rsid w:val="003D3859"/>
    <w:rsid w:val="003D38C4"/>
    <w:rsid w:val="003D3CA7"/>
    <w:rsid w:val="003D3DA2"/>
    <w:rsid w:val="003D3E81"/>
    <w:rsid w:val="003D4103"/>
    <w:rsid w:val="003D4155"/>
    <w:rsid w:val="003D41D8"/>
    <w:rsid w:val="003D4230"/>
    <w:rsid w:val="003D4331"/>
    <w:rsid w:val="003D4537"/>
    <w:rsid w:val="003D4581"/>
    <w:rsid w:val="003D49E3"/>
    <w:rsid w:val="003D4AB6"/>
    <w:rsid w:val="003D550D"/>
    <w:rsid w:val="003D56F5"/>
    <w:rsid w:val="003D5906"/>
    <w:rsid w:val="003D5F12"/>
    <w:rsid w:val="003D6070"/>
    <w:rsid w:val="003D6190"/>
    <w:rsid w:val="003D661F"/>
    <w:rsid w:val="003D674B"/>
    <w:rsid w:val="003D6BE8"/>
    <w:rsid w:val="003D6C9A"/>
    <w:rsid w:val="003D6CBC"/>
    <w:rsid w:val="003D6CCF"/>
    <w:rsid w:val="003D6ECF"/>
    <w:rsid w:val="003D7139"/>
    <w:rsid w:val="003D719A"/>
    <w:rsid w:val="003D726B"/>
    <w:rsid w:val="003D739C"/>
    <w:rsid w:val="003D773F"/>
    <w:rsid w:val="003D7791"/>
    <w:rsid w:val="003D790F"/>
    <w:rsid w:val="003D7BE9"/>
    <w:rsid w:val="003D7C68"/>
    <w:rsid w:val="003D7C6D"/>
    <w:rsid w:val="003D7D78"/>
    <w:rsid w:val="003D7EBF"/>
    <w:rsid w:val="003E017C"/>
    <w:rsid w:val="003E022B"/>
    <w:rsid w:val="003E0399"/>
    <w:rsid w:val="003E04FC"/>
    <w:rsid w:val="003E082A"/>
    <w:rsid w:val="003E09D4"/>
    <w:rsid w:val="003E0A58"/>
    <w:rsid w:val="003E0B52"/>
    <w:rsid w:val="003E0B83"/>
    <w:rsid w:val="003E0BAC"/>
    <w:rsid w:val="003E0E3D"/>
    <w:rsid w:val="003E149B"/>
    <w:rsid w:val="003E14A0"/>
    <w:rsid w:val="003E16DD"/>
    <w:rsid w:val="003E1A80"/>
    <w:rsid w:val="003E1E92"/>
    <w:rsid w:val="003E1FC9"/>
    <w:rsid w:val="003E20BE"/>
    <w:rsid w:val="003E2126"/>
    <w:rsid w:val="003E2157"/>
    <w:rsid w:val="003E2268"/>
    <w:rsid w:val="003E2380"/>
    <w:rsid w:val="003E2381"/>
    <w:rsid w:val="003E268F"/>
    <w:rsid w:val="003E285D"/>
    <w:rsid w:val="003E2A49"/>
    <w:rsid w:val="003E2A8F"/>
    <w:rsid w:val="003E2D33"/>
    <w:rsid w:val="003E2DE9"/>
    <w:rsid w:val="003E327D"/>
    <w:rsid w:val="003E32FD"/>
    <w:rsid w:val="003E33BD"/>
    <w:rsid w:val="003E33EC"/>
    <w:rsid w:val="003E3476"/>
    <w:rsid w:val="003E3538"/>
    <w:rsid w:val="003E353F"/>
    <w:rsid w:val="003E356D"/>
    <w:rsid w:val="003E370B"/>
    <w:rsid w:val="003E3830"/>
    <w:rsid w:val="003E38A3"/>
    <w:rsid w:val="003E38E8"/>
    <w:rsid w:val="003E3C56"/>
    <w:rsid w:val="003E3D34"/>
    <w:rsid w:val="003E3D65"/>
    <w:rsid w:val="003E40D2"/>
    <w:rsid w:val="003E42CB"/>
    <w:rsid w:val="003E42EF"/>
    <w:rsid w:val="003E4362"/>
    <w:rsid w:val="003E44E9"/>
    <w:rsid w:val="003E46DA"/>
    <w:rsid w:val="003E49EC"/>
    <w:rsid w:val="003E4AD7"/>
    <w:rsid w:val="003E4F1D"/>
    <w:rsid w:val="003E4FE0"/>
    <w:rsid w:val="003E5011"/>
    <w:rsid w:val="003E540B"/>
    <w:rsid w:val="003E54D6"/>
    <w:rsid w:val="003E553F"/>
    <w:rsid w:val="003E5876"/>
    <w:rsid w:val="003E5A4F"/>
    <w:rsid w:val="003E5B4D"/>
    <w:rsid w:val="003E5F0B"/>
    <w:rsid w:val="003E60AA"/>
    <w:rsid w:val="003E63C4"/>
    <w:rsid w:val="003E65F6"/>
    <w:rsid w:val="003E6763"/>
    <w:rsid w:val="003E6891"/>
    <w:rsid w:val="003E6893"/>
    <w:rsid w:val="003E6C14"/>
    <w:rsid w:val="003E6D98"/>
    <w:rsid w:val="003E6DB3"/>
    <w:rsid w:val="003E6EA5"/>
    <w:rsid w:val="003E71C3"/>
    <w:rsid w:val="003E7382"/>
    <w:rsid w:val="003E7985"/>
    <w:rsid w:val="003E7E33"/>
    <w:rsid w:val="003F00C6"/>
    <w:rsid w:val="003F0179"/>
    <w:rsid w:val="003F0288"/>
    <w:rsid w:val="003F04C4"/>
    <w:rsid w:val="003F050D"/>
    <w:rsid w:val="003F0529"/>
    <w:rsid w:val="003F0742"/>
    <w:rsid w:val="003F0BCE"/>
    <w:rsid w:val="003F0C0A"/>
    <w:rsid w:val="003F0FD3"/>
    <w:rsid w:val="003F115A"/>
    <w:rsid w:val="003F1227"/>
    <w:rsid w:val="003F1252"/>
    <w:rsid w:val="003F168D"/>
    <w:rsid w:val="003F19AB"/>
    <w:rsid w:val="003F1CF9"/>
    <w:rsid w:val="003F1D97"/>
    <w:rsid w:val="003F1FC0"/>
    <w:rsid w:val="003F21E3"/>
    <w:rsid w:val="003F2488"/>
    <w:rsid w:val="003F2D4A"/>
    <w:rsid w:val="003F2E41"/>
    <w:rsid w:val="003F2F1A"/>
    <w:rsid w:val="003F31F8"/>
    <w:rsid w:val="003F3224"/>
    <w:rsid w:val="003F3514"/>
    <w:rsid w:val="003F3599"/>
    <w:rsid w:val="003F3859"/>
    <w:rsid w:val="003F3A32"/>
    <w:rsid w:val="003F3F20"/>
    <w:rsid w:val="003F4463"/>
    <w:rsid w:val="003F4641"/>
    <w:rsid w:val="003F467E"/>
    <w:rsid w:val="003F4748"/>
    <w:rsid w:val="003F48B9"/>
    <w:rsid w:val="003F4A74"/>
    <w:rsid w:val="003F5076"/>
    <w:rsid w:val="003F509B"/>
    <w:rsid w:val="003F5178"/>
    <w:rsid w:val="003F5716"/>
    <w:rsid w:val="003F57E7"/>
    <w:rsid w:val="003F5BBD"/>
    <w:rsid w:val="003F5BE7"/>
    <w:rsid w:val="003F60F7"/>
    <w:rsid w:val="003F6536"/>
    <w:rsid w:val="003F65B9"/>
    <w:rsid w:val="003F6871"/>
    <w:rsid w:val="003F693B"/>
    <w:rsid w:val="003F6AC7"/>
    <w:rsid w:val="003F6C7D"/>
    <w:rsid w:val="003F6C8D"/>
    <w:rsid w:val="003F6E32"/>
    <w:rsid w:val="003F7287"/>
    <w:rsid w:val="003F7541"/>
    <w:rsid w:val="003F79E9"/>
    <w:rsid w:val="003F7EA9"/>
    <w:rsid w:val="003F7EF7"/>
    <w:rsid w:val="003F7FC4"/>
    <w:rsid w:val="0040004F"/>
    <w:rsid w:val="004002C2"/>
    <w:rsid w:val="0040096C"/>
    <w:rsid w:val="00400AD7"/>
    <w:rsid w:val="00400B97"/>
    <w:rsid w:val="00401200"/>
    <w:rsid w:val="004012AF"/>
    <w:rsid w:val="00401729"/>
    <w:rsid w:val="00401892"/>
    <w:rsid w:val="00401898"/>
    <w:rsid w:val="00401DAE"/>
    <w:rsid w:val="0040206B"/>
    <w:rsid w:val="00402132"/>
    <w:rsid w:val="0040213C"/>
    <w:rsid w:val="004021EC"/>
    <w:rsid w:val="00402203"/>
    <w:rsid w:val="004025E1"/>
    <w:rsid w:val="004029BC"/>
    <w:rsid w:val="00402C1B"/>
    <w:rsid w:val="00402F1B"/>
    <w:rsid w:val="00402F47"/>
    <w:rsid w:val="00402F59"/>
    <w:rsid w:val="0040321A"/>
    <w:rsid w:val="0040327F"/>
    <w:rsid w:val="00403282"/>
    <w:rsid w:val="004033E7"/>
    <w:rsid w:val="00403467"/>
    <w:rsid w:val="0040349E"/>
    <w:rsid w:val="00403629"/>
    <w:rsid w:val="00403C65"/>
    <w:rsid w:val="00403D05"/>
    <w:rsid w:val="00404078"/>
    <w:rsid w:val="00404220"/>
    <w:rsid w:val="00404319"/>
    <w:rsid w:val="00404384"/>
    <w:rsid w:val="00404434"/>
    <w:rsid w:val="0040444E"/>
    <w:rsid w:val="004046D8"/>
    <w:rsid w:val="00404B76"/>
    <w:rsid w:val="00404D0E"/>
    <w:rsid w:val="00404D5C"/>
    <w:rsid w:val="00404FEE"/>
    <w:rsid w:val="004050FE"/>
    <w:rsid w:val="0040519C"/>
    <w:rsid w:val="004052DE"/>
    <w:rsid w:val="00405364"/>
    <w:rsid w:val="0040537B"/>
    <w:rsid w:val="004056A5"/>
    <w:rsid w:val="00405B79"/>
    <w:rsid w:val="00405C0E"/>
    <w:rsid w:val="00405CC0"/>
    <w:rsid w:val="00405D30"/>
    <w:rsid w:val="004061C6"/>
    <w:rsid w:val="00406241"/>
    <w:rsid w:val="0040668A"/>
    <w:rsid w:val="00406752"/>
    <w:rsid w:val="004068E3"/>
    <w:rsid w:val="0040695E"/>
    <w:rsid w:val="00406DCF"/>
    <w:rsid w:val="004071A2"/>
    <w:rsid w:val="004071AF"/>
    <w:rsid w:val="004071B3"/>
    <w:rsid w:val="004071E5"/>
    <w:rsid w:val="004072FE"/>
    <w:rsid w:val="00407330"/>
    <w:rsid w:val="0040733D"/>
    <w:rsid w:val="00407370"/>
    <w:rsid w:val="004073BA"/>
    <w:rsid w:val="00407460"/>
    <w:rsid w:val="0040753B"/>
    <w:rsid w:val="00407951"/>
    <w:rsid w:val="00407C43"/>
    <w:rsid w:val="00407C62"/>
    <w:rsid w:val="00407DAC"/>
    <w:rsid w:val="00407E41"/>
    <w:rsid w:val="00407F2A"/>
    <w:rsid w:val="00407FE5"/>
    <w:rsid w:val="0041049F"/>
    <w:rsid w:val="0041058B"/>
    <w:rsid w:val="0041070F"/>
    <w:rsid w:val="00410866"/>
    <w:rsid w:val="00410DDE"/>
    <w:rsid w:val="00410E09"/>
    <w:rsid w:val="00410E0E"/>
    <w:rsid w:val="00410E8E"/>
    <w:rsid w:val="00411161"/>
    <w:rsid w:val="004112DB"/>
    <w:rsid w:val="004114A9"/>
    <w:rsid w:val="00411575"/>
    <w:rsid w:val="00411603"/>
    <w:rsid w:val="00411AB2"/>
    <w:rsid w:val="00411CA1"/>
    <w:rsid w:val="00411E6D"/>
    <w:rsid w:val="00412155"/>
    <w:rsid w:val="0041224D"/>
    <w:rsid w:val="0041247C"/>
    <w:rsid w:val="004129FA"/>
    <w:rsid w:val="00412C79"/>
    <w:rsid w:val="00412E38"/>
    <w:rsid w:val="00412EF7"/>
    <w:rsid w:val="00413049"/>
    <w:rsid w:val="0041308E"/>
    <w:rsid w:val="004134E4"/>
    <w:rsid w:val="0041390D"/>
    <w:rsid w:val="00413B46"/>
    <w:rsid w:val="00413D41"/>
    <w:rsid w:val="00413DCB"/>
    <w:rsid w:val="00413E29"/>
    <w:rsid w:val="00413E70"/>
    <w:rsid w:val="004141E3"/>
    <w:rsid w:val="0041437D"/>
    <w:rsid w:val="00414517"/>
    <w:rsid w:val="0041459B"/>
    <w:rsid w:val="004145AF"/>
    <w:rsid w:val="00414873"/>
    <w:rsid w:val="00414B44"/>
    <w:rsid w:val="00414C8F"/>
    <w:rsid w:val="00414C95"/>
    <w:rsid w:val="00414CE5"/>
    <w:rsid w:val="00414E31"/>
    <w:rsid w:val="00414F75"/>
    <w:rsid w:val="00415016"/>
    <w:rsid w:val="004150D0"/>
    <w:rsid w:val="004151D5"/>
    <w:rsid w:val="00415243"/>
    <w:rsid w:val="004153CD"/>
    <w:rsid w:val="0041567D"/>
    <w:rsid w:val="004157AE"/>
    <w:rsid w:val="00415955"/>
    <w:rsid w:val="004159F0"/>
    <w:rsid w:val="00415A68"/>
    <w:rsid w:val="00415EA5"/>
    <w:rsid w:val="0041605F"/>
    <w:rsid w:val="00416084"/>
    <w:rsid w:val="004160AF"/>
    <w:rsid w:val="00416186"/>
    <w:rsid w:val="004169F8"/>
    <w:rsid w:val="00416B41"/>
    <w:rsid w:val="00416B5B"/>
    <w:rsid w:val="00416C0B"/>
    <w:rsid w:val="00416C27"/>
    <w:rsid w:val="00416D5E"/>
    <w:rsid w:val="00416E66"/>
    <w:rsid w:val="00416F6D"/>
    <w:rsid w:val="004170E3"/>
    <w:rsid w:val="0041711D"/>
    <w:rsid w:val="0041720C"/>
    <w:rsid w:val="00417300"/>
    <w:rsid w:val="00417613"/>
    <w:rsid w:val="0041769E"/>
    <w:rsid w:val="004176CB"/>
    <w:rsid w:val="00417A08"/>
    <w:rsid w:val="00417D95"/>
    <w:rsid w:val="00417E1E"/>
    <w:rsid w:val="0042053B"/>
    <w:rsid w:val="0042093C"/>
    <w:rsid w:val="004209DE"/>
    <w:rsid w:val="00420BB1"/>
    <w:rsid w:val="00420BC8"/>
    <w:rsid w:val="00420D88"/>
    <w:rsid w:val="00420D8A"/>
    <w:rsid w:val="00420FEE"/>
    <w:rsid w:val="004210F9"/>
    <w:rsid w:val="004211B4"/>
    <w:rsid w:val="00421421"/>
    <w:rsid w:val="0042150F"/>
    <w:rsid w:val="00421563"/>
    <w:rsid w:val="00421BC0"/>
    <w:rsid w:val="00421C79"/>
    <w:rsid w:val="0042216F"/>
    <w:rsid w:val="00422273"/>
    <w:rsid w:val="0042234A"/>
    <w:rsid w:val="00422495"/>
    <w:rsid w:val="004227F8"/>
    <w:rsid w:val="00422924"/>
    <w:rsid w:val="00422CF6"/>
    <w:rsid w:val="00422E70"/>
    <w:rsid w:val="00422E88"/>
    <w:rsid w:val="00422FF0"/>
    <w:rsid w:val="004237B4"/>
    <w:rsid w:val="00423BCC"/>
    <w:rsid w:val="00423C17"/>
    <w:rsid w:val="00423D7D"/>
    <w:rsid w:val="00423E0C"/>
    <w:rsid w:val="00423F4D"/>
    <w:rsid w:val="00424859"/>
    <w:rsid w:val="00424862"/>
    <w:rsid w:val="0042489E"/>
    <w:rsid w:val="004249DB"/>
    <w:rsid w:val="00424AE5"/>
    <w:rsid w:val="00424B9E"/>
    <w:rsid w:val="00424EF7"/>
    <w:rsid w:val="004251AA"/>
    <w:rsid w:val="0042525E"/>
    <w:rsid w:val="004254B7"/>
    <w:rsid w:val="00425500"/>
    <w:rsid w:val="00425A6C"/>
    <w:rsid w:val="00425A8C"/>
    <w:rsid w:val="00425BC3"/>
    <w:rsid w:val="00425DE5"/>
    <w:rsid w:val="00425EDC"/>
    <w:rsid w:val="0042623A"/>
    <w:rsid w:val="00426384"/>
    <w:rsid w:val="004263CB"/>
    <w:rsid w:val="00426407"/>
    <w:rsid w:val="004266DE"/>
    <w:rsid w:val="00426798"/>
    <w:rsid w:val="004267E3"/>
    <w:rsid w:val="0042680A"/>
    <w:rsid w:val="00426939"/>
    <w:rsid w:val="00426D4F"/>
    <w:rsid w:val="00426DA9"/>
    <w:rsid w:val="0042713E"/>
    <w:rsid w:val="00427384"/>
    <w:rsid w:val="004273BD"/>
    <w:rsid w:val="004274E2"/>
    <w:rsid w:val="004275D0"/>
    <w:rsid w:val="00427822"/>
    <w:rsid w:val="00427C3A"/>
    <w:rsid w:val="00427F3B"/>
    <w:rsid w:val="00430189"/>
    <w:rsid w:val="0043026F"/>
    <w:rsid w:val="0043038B"/>
    <w:rsid w:val="00430433"/>
    <w:rsid w:val="0043076D"/>
    <w:rsid w:val="004307FF"/>
    <w:rsid w:val="00430AA2"/>
    <w:rsid w:val="00430BD9"/>
    <w:rsid w:val="00430DF7"/>
    <w:rsid w:val="00430F57"/>
    <w:rsid w:val="00430FEA"/>
    <w:rsid w:val="00430FF9"/>
    <w:rsid w:val="00431034"/>
    <w:rsid w:val="004310D5"/>
    <w:rsid w:val="00431163"/>
    <w:rsid w:val="004313D8"/>
    <w:rsid w:val="004313E1"/>
    <w:rsid w:val="004315FC"/>
    <w:rsid w:val="0043163D"/>
    <w:rsid w:val="00431AED"/>
    <w:rsid w:val="00431B14"/>
    <w:rsid w:val="00431D4D"/>
    <w:rsid w:val="00431D68"/>
    <w:rsid w:val="00431D9F"/>
    <w:rsid w:val="00431DF2"/>
    <w:rsid w:val="00431F4E"/>
    <w:rsid w:val="004321FB"/>
    <w:rsid w:val="004323AF"/>
    <w:rsid w:val="004326EC"/>
    <w:rsid w:val="0043279C"/>
    <w:rsid w:val="00432842"/>
    <w:rsid w:val="00432ED9"/>
    <w:rsid w:val="004330F6"/>
    <w:rsid w:val="00433452"/>
    <w:rsid w:val="00433582"/>
    <w:rsid w:val="004335A8"/>
    <w:rsid w:val="0043362E"/>
    <w:rsid w:val="0043364E"/>
    <w:rsid w:val="004337EA"/>
    <w:rsid w:val="00433855"/>
    <w:rsid w:val="004338A5"/>
    <w:rsid w:val="00433BF2"/>
    <w:rsid w:val="00433E2E"/>
    <w:rsid w:val="00433EA3"/>
    <w:rsid w:val="00434073"/>
    <w:rsid w:val="0043412C"/>
    <w:rsid w:val="004343A7"/>
    <w:rsid w:val="00434824"/>
    <w:rsid w:val="004348C4"/>
    <w:rsid w:val="00434957"/>
    <w:rsid w:val="00434B5C"/>
    <w:rsid w:val="00434DAB"/>
    <w:rsid w:val="0043543C"/>
    <w:rsid w:val="00435476"/>
    <w:rsid w:val="0043591C"/>
    <w:rsid w:val="00435986"/>
    <w:rsid w:val="00435BAA"/>
    <w:rsid w:val="00435C87"/>
    <w:rsid w:val="00435FBA"/>
    <w:rsid w:val="00436097"/>
    <w:rsid w:val="00436354"/>
    <w:rsid w:val="004364E4"/>
    <w:rsid w:val="00436667"/>
    <w:rsid w:val="00436727"/>
    <w:rsid w:val="004367DB"/>
    <w:rsid w:val="004372AA"/>
    <w:rsid w:val="004375B9"/>
    <w:rsid w:val="00437758"/>
    <w:rsid w:val="00437850"/>
    <w:rsid w:val="00437A95"/>
    <w:rsid w:val="00437B21"/>
    <w:rsid w:val="00437E47"/>
    <w:rsid w:val="00437F6F"/>
    <w:rsid w:val="00437F96"/>
    <w:rsid w:val="004400A3"/>
    <w:rsid w:val="004400B0"/>
    <w:rsid w:val="0044012E"/>
    <w:rsid w:val="004402D6"/>
    <w:rsid w:val="00440465"/>
    <w:rsid w:val="004406C5"/>
    <w:rsid w:val="004406F8"/>
    <w:rsid w:val="00440B9A"/>
    <w:rsid w:val="00440BFC"/>
    <w:rsid w:val="00440EB2"/>
    <w:rsid w:val="00440EE4"/>
    <w:rsid w:val="00440EF9"/>
    <w:rsid w:val="00440F3D"/>
    <w:rsid w:val="0044170B"/>
    <w:rsid w:val="00441740"/>
    <w:rsid w:val="004417ED"/>
    <w:rsid w:val="00441FF3"/>
    <w:rsid w:val="004421A2"/>
    <w:rsid w:val="004422DF"/>
    <w:rsid w:val="004422EE"/>
    <w:rsid w:val="004423D0"/>
    <w:rsid w:val="00442426"/>
    <w:rsid w:val="004426C2"/>
    <w:rsid w:val="0044282C"/>
    <w:rsid w:val="004429C4"/>
    <w:rsid w:val="00442B68"/>
    <w:rsid w:val="00442C31"/>
    <w:rsid w:val="00442C47"/>
    <w:rsid w:val="00442D6A"/>
    <w:rsid w:val="00442DE2"/>
    <w:rsid w:val="00442EF4"/>
    <w:rsid w:val="0044319B"/>
    <w:rsid w:val="00443320"/>
    <w:rsid w:val="00443685"/>
    <w:rsid w:val="00443B3F"/>
    <w:rsid w:val="00443CE3"/>
    <w:rsid w:val="00444055"/>
    <w:rsid w:val="00444168"/>
    <w:rsid w:val="0044461E"/>
    <w:rsid w:val="00444BF3"/>
    <w:rsid w:val="00444C56"/>
    <w:rsid w:val="00444CD8"/>
    <w:rsid w:val="00444D59"/>
    <w:rsid w:val="00444DFA"/>
    <w:rsid w:val="00444E65"/>
    <w:rsid w:val="00444FC8"/>
    <w:rsid w:val="00444FEB"/>
    <w:rsid w:val="00445596"/>
    <w:rsid w:val="004455FA"/>
    <w:rsid w:val="0044567B"/>
    <w:rsid w:val="00445823"/>
    <w:rsid w:val="00445A08"/>
    <w:rsid w:val="00445B64"/>
    <w:rsid w:val="00445D06"/>
    <w:rsid w:val="00445DD6"/>
    <w:rsid w:val="00445DE5"/>
    <w:rsid w:val="00445E09"/>
    <w:rsid w:val="00445EB5"/>
    <w:rsid w:val="0044600D"/>
    <w:rsid w:val="00446047"/>
    <w:rsid w:val="0044614C"/>
    <w:rsid w:val="00446250"/>
    <w:rsid w:val="00446304"/>
    <w:rsid w:val="00446367"/>
    <w:rsid w:val="004463D7"/>
    <w:rsid w:val="0044645F"/>
    <w:rsid w:val="00446483"/>
    <w:rsid w:val="00446713"/>
    <w:rsid w:val="004468E1"/>
    <w:rsid w:val="00446995"/>
    <w:rsid w:val="00446D3B"/>
    <w:rsid w:val="00446F22"/>
    <w:rsid w:val="00446FD3"/>
    <w:rsid w:val="004470BE"/>
    <w:rsid w:val="004471B1"/>
    <w:rsid w:val="00447699"/>
    <w:rsid w:val="00447895"/>
    <w:rsid w:val="004479DB"/>
    <w:rsid w:val="00447A93"/>
    <w:rsid w:val="00447FF2"/>
    <w:rsid w:val="00450192"/>
    <w:rsid w:val="00450254"/>
    <w:rsid w:val="004502CB"/>
    <w:rsid w:val="004502F3"/>
    <w:rsid w:val="00450499"/>
    <w:rsid w:val="0045062B"/>
    <w:rsid w:val="004507A7"/>
    <w:rsid w:val="00450AA4"/>
    <w:rsid w:val="00450B02"/>
    <w:rsid w:val="00450BC1"/>
    <w:rsid w:val="00450C46"/>
    <w:rsid w:val="00450EC9"/>
    <w:rsid w:val="00450F47"/>
    <w:rsid w:val="00451213"/>
    <w:rsid w:val="0045128D"/>
    <w:rsid w:val="00451482"/>
    <w:rsid w:val="00451583"/>
    <w:rsid w:val="00451627"/>
    <w:rsid w:val="00451B35"/>
    <w:rsid w:val="00451BB6"/>
    <w:rsid w:val="00451C1D"/>
    <w:rsid w:val="00451C5F"/>
    <w:rsid w:val="00451E00"/>
    <w:rsid w:val="00451FCE"/>
    <w:rsid w:val="0045204F"/>
    <w:rsid w:val="004520AE"/>
    <w:rsid w:val="004520C5"/>
    <w:rsid w:val="0045221C"/>
    <w:rsid w:val="004522D0"/>
    <w:rsid w:val="004524EC"/>
    <w:rsid w:val="004525FC"/>
    <w:rsid w:val="00452600"/>
    <w:rsid w:val="00452649"/>
    <w:rsid w:val="004528A5"/>
    <w:rsid w:val="00452A12"/>
    <w:rsid w:val="00452A5D"/>
    <w:rsid w:val="00452C83"/>
    <w:rsid w:val="00452D57"/>
    <w:rsid w:val="00453114"/>
    <w:rsid w:val="00453252"/>
    <w:rsid w:val="004532F6"/>
    <w:rsid w:val="0045340E"/>
    <w:rsid w:val="0045342E"/>
    <w:rsid w:val="00453699"/>
    <w:rsid w:val="004537DC"/>
    <w:rsid w:val="004537E8"/>
    <w:rsid w:val="00453973"/>
    <w:rsid w:val="00453A1C"/>
    <w:rsid w:val="00453A2E"/>
    <w:rsid w:val="00453B7B"/>
    <w:rsid w:val="00453CAB"/>
    <w:rsid w:val="00453DF8"/>
    <w:rsid w:val="00453F94"/>
    <w:rsid w:val="004544B0"/>
    <w:rsid w:val="004544E5"/>
    <w:rsid w:val="0045451C"/>
    <w:rsid w:val="004546F1"/>
    <w:rsid w:val="0045477C"/>
    <w:rsid w:val="00454BC6"/>
    <w:rsid w:val="00454D15"/>
    <w:rsid w:val="00454DD9"/>
    <w:rsid w:val="00454F5A"/>
    <w:rsid w:val="004550A7"/>
    <w:rsid w:val="0045511C"/>
    <w:rsid w:val="0045549C"/>
    <w:rsid w:val="0045577B"/>
    <w:rsid w:val="004557D4"/>
    <w:rsid w:val="00455B85"/>
    <w:rsid w:val="00455F53"/>
    <w:rsid w:val="00455FDA"/>
    <w:rsid w:val="004566A8"/>
    <w:rsid w:val="004566EF"/>
    <w:rsid w:val="00456DD3"/>
    <w:rsid w:val="00456E84"/>
    <w:rsid w:val="004572D3"/>
    <w:rsid w:val="00457320"/>
    <w:rsid w:val="00457341"/>
    <w:rsid w:val="00457347"/>
    <w:rsid w:val="00457385"/>
    <w:rsid w:val="004573DD"/>
    <w:rsid w:val="00457420"/>
    <w:rsid w:val="00457610"/>
    <w:rsid w:val="004576CB"/>
    <w:rsid w:val="0045771F"/>
    <w:rsid w:val="004577BF"/>
    <w:rsid w:val="00457876"/>
    <w:rsid w:val="00457B3F"/>
    <w:rsid w:val="00457CDA"/>
    <w:rsid w:val="00457F14"/>
    <w:rsid w:val="00457F6C"/>
    <w:rsid w:val="0045E612"/>
    <w:rsid w:val="00460062"/>
    <w:rsid w:val="00460235"/>
    <w:rsid w:val="0046028F"/>
    <w:rsid w:val="0046074D"/>
    <w:rsid w:val="004608DC"/>
    <w:rsid w:val="00460A4B"/>
    <w:rsid w:val="00460CC2"/>
    <w:rsid w:val="00460DCD"/>
    <w:rsid w:val="00460FA1"/>
    <w:rsid w:val="004611BE"/>
    <w:rsid w:val="004612AF"/>
    <w:rsid w:val="00461340"/>
    <w:rsid w:val="004613E2"/>
    <w:rsid w:val="00461490"/>
    <w:rsid w:val="00461657"/>
    <w:rsid w:val="004616A3"/>
    <w:rsid w:val="004616D9"/>
    <w:rsid w:val="004617A5"/>
    <w:rsid w:val="00461BBB"/>
    <w:rsid w:val="00461BED"/>
    <w:rsid w:val="00461C6F"/>
    <w:rsid w:val="00461D7C"/>
    <w:rsid w:val="00461E3C"/>
    <w:rsid w:val="004622DD"/>
    <w:rsid w:val="00462530"/>
    <w:rsid w:val="0046283A"/>
    <w:rsid w:val="004629D4"/>
    <w:rsid w:val="004629F6"/>
    <w:rsid w:val="00462A26"/>
    <w:rsid w:val="00462CDF"/>
    <w:rsid w:val="00462EBE"/>
    <w:rsid w:val="00463090"/>
    <w:rsid w:val="00463147"/>
    <w:rsid w:val="00463434"/>
    <w:rsid w:val="0046363E"/>
    <w:rsid w:val="00463EF8"/>
    <w:rsid w:val="0046419B"/>
    <w:rsid w:val="004642E8"/>
    <w:rsid w:val="0046435E"/>
    <w:rsid w:val="004643E5"/>
    <w:rsid w:val="004646D8"/>
    <w:rsid w:val="00464C09"/>
    <w:rsid w:val="00464C47"/>
    <w:rsid w:val="00464FD0"/>
    <w:rsid w:val="00465061"/>
    <w:rsid w:val="004650A2"/>
    <w:rsid w:val="004650B1"/>
    <w:rsid w:val="004650BC"/>
    <w:rsid w:val="004651C8"/>
    <w:rsid w:val="004653F6"/>
    <w:rsid w:val="0046540A"/>
    <w:rsid w:val="0046558B"/>
    <w:rsid w:val="004655F0"/>
    <w:rsid w:val="00465B2E"/>
    <w:rsid w:val="00465B92"/>
    <w:rsid w:val="00465BC9"/>
    <w:rsid w:val="00466031"/>
    <w:rsid w:val="004661C7"/>
    <w:rsid w:val="004662B7"/>
    <w:rsid w:val="0046630D"/>
    <w:rsid w:val="004666FF"/>
    <w:rsid w:val="004667B1"/>
    <w:rsid w:val="00466ACA"/>
    <w:rsid w:val="00466AEE"/>
    <w:rsid w:val="00466BEE"/>
    <w:rsid w:val="00466C28"/>
    <w:rsid w:val="00466C86"/>
    <w:rsid w:val="00467146"/>
    <w:rsid w:val="00467170"/>
    <w:rsid w:val="0046730B"/>
    <w:rsid w:val="00467322"/>
    <w:rsid w:val="0046738B"/>
    <w:rsid w:val="0046796F"/>
    <w:rsid w:val="00467A01"/>
    <w:rsid w:val="00467A41"/>
    <w:rsid w:val="00467DBD"/>
    <w:rsid w:val="00467F04"/>
    <w:rsid w:val="0047019E"/>
    <w:rsid w:val="0047020A"/>
    <w:rsid w:val="004702FF"/>
    <w:rsid w:val="00470576"/>
    <w:rsid w:val="004707D8"/>
    <w:rsid w:val="00470AD3"/>
    <w:rsid w:val="00470BB5"/>
    <w:rsid w:val="00470C45"/>
    <w:rsid w:val="00470C64"/>
    <w:rsid w:val="00470C86"/>
    <w:rsid w:val="00471022"/>
    <w:rsid w:val="0047113E"/>
    <w:rsid w:val="00471445"/>
    <w:rsid w:val="00471588"/>
    <w:rsid w:val="004717D0"/>
    <w:rsid w:val="00471919"/>
    <w:rsid w:val="00471A91"/>
    <w:rsid w:val="00471B56"/>
    <w:rsid w:val="00471C6F"/>
    <w:rsid w:val="00471CC6"/>
    <w:rsid w:val="0047203C"/>
    <w:rsid w:val="0047244E"/>
    <w:rsid w:val="004725FA"/>
    <w:rsid w:val="0047262E"/>
    <w:rsid w:val="0047269F"/>
    <w:rsid w:val="00472876"/>
    <w:rsid w:val="00472945"/>
    <w:rsid w:val="0047294D"/>
    <w:rsid w:val="00473308"/>
    <w:rsid w:val="00473396"/>
    <w:rsid w:val="004733C1"/>
    <w:rsid w:val="00473633"/>
    <w:rsid w:val="00473777"/>
    <w:rsid w:val="004738CC"/>
    <w:rsid w:val="00473E03"/>
    <w:rsid w:val="00473ECF"/>
    <w:rsid w:val="00473FEE"/>
    <w:rsid w:val="00474279"/>
    <w:rsid w:val="00474540"/>
    <w:rsid w:val="0047455C"/>
    <w:rsid w:val="004746CE"/>
    <w:rsid w:val="0047497C"/>
    <w:rsid w:val="0047499A"/>
    <w:rsid w:val="00474AA6"/>
    <w:rsid w:val="00474B70"/>
    <w:rsid w:val="00474B83"/>
    <w:rsid w:val="00474DEA"/>
    <w:rsid w:val="004750A2"/>
    <w:rsid w:val="004750C8"/>
    <w:rsid w:val="0047533A"/>
    <w:rsid w:val="004754F2"/>
    <w:rsid w:val="004757E8"/>
    <w:rsid w:val="0047580D"/>
    <w:rsid w:val="00475883"/>
    <w:rsid w:val="0047591F"/>
    <w:rsid w:val="00475ACC"/>
    <w:rsid w:val="00475B23"/>
    <w:rsid w:val="00475BAE"/>
    <w:rsid w:val="00475C67"/>
    <w:rsid w:val="00475DFF"/>
    <w:rsid w:val="00475E17"/>
    <w:rsid w:val="0047608F"/>
    <w:rsid w:val="004760AC"/>
    <w:rsid w:val="00476446"/>
    <w:rsid w:val="004764C7"/>
    <w:rsid w:val="004764E5"/>
    <w:rsid w:val="004764E7"/>
    <w:rsid w:val="004767E8"/>
    <w:rsid w:val="00476847"/>
    <w:rsid w:val="00476A01"/>
    <w:rsid w:val="00476A44"/>
    <w:rsid w:val="00476B32"/>
    <w:rsid w:val="00476F27"/>
    <w:rsid w:val="00476F39"/>
    <w:rsid w:val="00476F59"/>
    <w:rsid w:val="00476FD6"/>
    <w:rsid w:val="00477002"/>
    <w:rsid w:val="00477142"/>
    <w:rsid w:val="00477227"/>
    <w:rsid w:val="0047723D"/>
    <w:rsid w:val="00477635"/>
    <w:rsid w:val="00477719"/>
    <w:rsid w:val="00477725"/>
    <w:rsid w:val="00477926"/>
    <w:rsid w:val="0047794C"/>
    <w:rsid w:val="004800F5"/>
    <w:rsid w:val="00480328"/>
    <w:rsid w:val="00480460"/>
    <w:rsid w:val="00480464"/>
    <w:rsid w:val="004805F5"/>
    <w:rsid w:val="00480619"/>
    <w:rsid w:val="00480641"/>
    <w:rsid w:val="004807E4"/>
    <w:rsid w:val="004809CF"/>
    <w:rsid w:val="004809DF"/>
    <w:rsid w:val="00481403"/>
    <w:rsid w:val="00481424"/>
    <w:rsid w:val="00481568"/>
    <w:rsid w:val="00481915"/>
    <w:rsid w:val="004819BF"/>
    <w:rsid w:val="00481A58"/>
    <w:rsid w:val="00481C18"/>
    <w:rsid w:val="00481F13"/>
    <w:rsid w:val="00481F1A"/>
    <w:rsid w:val="00481FDE"/>
    <w:rsid w:val="00482028"/>
    <w:rsid w:val="0048240D"/>
    <w:rsid w:val="00482CD9"/>
    <w:rsid w:val="00482D7F"/>
    <w:rsid w:val="00482FCD"/>
    <w:rsid w:val="004831FA"/>
    <w:rsid w:val="0048321D"/>
    <w:rsid w:val="004832E5"/>
    <w:rsid w:val="00483831"/>
    <w:rsid w:val="00483972"/>
    <w:rsid w:val="00483A34"/>
    <w:rsid w:val="00483AA2"/>
    <w:rsid w:val="00483EE9"/>
    <w:rsid w:val="004840D5"/>
    <w:rsid w:val="00484403"/>
    <w:rsid w:val="00484545"/>
    <w:rsid w:val="00484950"/>
    <w:rsid w:val="00484B14"/>
    <w:rsid w:val="00484C80"/>
    <w:rsid w:val="00484CD6"/>
    <w:rsid w:val="00485003"/>
    <w:rsid w:val="00485070"/>
    <w:rsid w:val="00485331"/>
    <w:rsid w:val="004856A8"/>
    <w:rsid w:val="00485993"/>
    <w:rsid w:val="00485A2C"/>
    <w:rsid w:val="00485C7A"/>
    <w:rsid w:val="00486402"/>
    <w:rsid w:val="004864CC"/>
    <w:rsid w:val="00486B55"/>
    <w:rsid w:val="00486B76"/>
    <w:rsid w:val="00486CD1"/>
    <w:rsid w:val="00486E2E"/>
    <w:rsid w:val="00486F79"/>
    <w:rsid w:val="004871F1"/>
    <w:rsid w:val="004874AC"/>
    <w:rsid w:val="00487662"/>
    <w:rsid w:val="004876B5"/>
    <w:rsid w:val="004877D0"/>
    <w:rsid w:val="00487932"/>
    <w:rsid w:val="00487A5F"/>
    <w:rsid w:val="00487B6A"/>
    <w:rsid w:val="00487EF8"/>
    <w:rsid w:val="00487F3F"/>
    <w:rsid w:val="004900E0"/>
    <w:rsid w:val="00490773"/>
    <w:rsid w:val="00490B11"/>
    <w:rsid w:val="00490B85"/>
    <w:rsid w:val="00490F48"/>
    <w:rsid w:val="0049105C"/>
    <w:rsid w:val="00491187"/>
    <w:rsid w:val="00491233"/>
    <w:rsid w:val="004914E4"/>
    <w:rsid w:val="004915AC"/>
    <w:rsid w:val="0049166A"/>
    <w:rsid w:val="00491733"/>
    <w:rsid w:val="0049178D"/>
    <w:rsid w:val="004919A7"/>
    <w:rsid w:val="00491AC5"/>
    <w:rsid w:val="00491ACB"/>
    <w:rsid w:val="00492067"/>
    <w:rsid w:val="00492429"/>
    <w:rsid w:val="004924BD"/>
    <w:rsid w:val="00492534"/>
    <w:rsid w:val="004928CE"/>
    <w:rsid w:val="00492A3A"/>
    <w:rsid w:val="00492AA2"/>
    <w:rsid w:val="00492CAF"/>
    <w:rsid w:val="00492E72"/>
    <w:rsid w:val="00493497"/>
    <w:rsid w:val="0049349D"/>
    <w:rsid w:val="004937EC"/>
    <w:rsid w:val="004939EC"/>
    <w:rsid w:val="00493D29"/>
    <w:rsid w:val="00493F7C"/>
    <w:rsid w:val="00493F95"/>
    <w:rsid w:val="00493FB1"/>
    <w:rsid w:val="0049417D"/>
    <w:rsid w:val="00494546"/>
    <w:rsid w:val="00494549"/>
    <w:rsid w:val="0049457F"/>
    <w:rsid w:val="00494638"/>
    <w:rsid w:val="004946A3"/>
    <w:rsid w:val="004946D3"/>
    <w:rsid w:val="0049477A"/>
    <w:rsid w:val="00494789"/>
    <w:rsid w:val="00494857"/>
    <w:rsid w:val="00494A86"/>
    <w:rsid w:val="00494A89"/>
    <w:rsid w:val="00495044"/>
    <w:rsid w:val="00495059"/>
    <w:rsid w:val="004952C0"/>
    <w:rsid w:val="0049542D"/>
    <w:rsid w:val="00495882"/>
    <w:rsid w:val="00495F59"/>
    <w:rsid w:val="00496010"/>
    <w:rsid w:val="00496277"/>
    <w:rsid w:val="00496392"/>
    <w:rsid w:val="00496397"/>
    <w:rsid w:val="00496752"/>
    <w:rsid w:val="0049686A"/>
    <w:rsid w:val="00496996"/>
    <w:rsid w:val="00496FB7"/>
    <w:rsid w:val="00497189"/>
    <w:rsid w:val="0049738D"/>
    <w:rsid w:val="0049753A"/>
    <w:rsid w:val="0049758A"/>
    <w:rsid w:val="0049758C"/>
    <w:rsid w:val="0049783E"/>
    <w:rsid w:val="00497AEF"/>
    <w:rsid w:val="00497DA0"/>
    <w:rsid w:val="00497DAE"/>
    <w:rsid w:val="004A0486"/>
    <w:rsid w:val="004A089C"/>
    <w:rsid w:val="004A0925"/>
    <w:rsid w:val="004A0999"/>
    <w:rsid w:val="004A0A1D"/>
    <w:rsid w:val="004A0BCF"/>
    <w:rsid w:val="004A0BF3"/>
    <w:rsid w:val="004A0EC0"/>
    <w:rsid w:val="004A1016"/>
    <w:rsid w:val="004A105E"/>
    <w:rsid w:val="004A1436"/>
    <w:rsid w:val="004A156B"/>
    <w:rsid w:val="004A157F"/>
    <w:rsid w:val="004A1869"/>
    <w:rsid w:val="004A1986"/>
    <w:rsid w:val="004A1D04"/>
    <w:rsid w:val="004A1DA4"/>
    <w:rsid w:val="004A1E62"/>
    <w:rsid w:val="004A200C"/>
    <w:rsid w:val="004A2238"/>
    <w:rsid w:val="004A2367"/>
    <w:rsid w:val="004A237A"/>
    <w:rsid w:val="004A23AF"/>
    <w:rsid w:val="004A2673"/>
    <w:rsid w:val="004A2679"/>
    <w:rsid w:val="004A26C6"/>
    <w:rsid w:val="004A288B"/>
    <w:rsid w:val="004A2A01"/>
    <w:rsid w:val="004A2A24"/>
    <w:rsid w:val="004A2BCE"/>
    <w:rsid w:val="004A2FBA"/>
    <w:rsid w:val="004A2FC0"/>
    <w:rsid w:val="004A301E"/>
    <w:rsid w:val="004A3308"/>
    <w:rsid w:val="004A380D"/>
    <w:rsid w:val="004A390B"/>
    <w:rsid w:val="004A3FB4"/>
    <w:rsid w:val="004A3FD2"/>
    <w:rsid w:val="004A4110"/>
    <w:rsid w:val="004A46CB"/>
    <w:rsid w:val="004A47C6"/>
    <w:rsid w:val="004A4988"/>
    <w:rsid w:val="004A4B47"/>
    <w:rsid w:val="004A5460"/>
    <w:rsid w:val="004A5568"/>
    <w:rsid w:val="004A557A"/>
    <w:rsid w:val="004A560E"/>
    <w:rsid w:val="004A57AE"/>
    <w:rsid w:val="004A5810"/>
    <w:rsid w:val="004A5873"/>
    <w:rsid w:val="004A618D"/>
    <w:rsid w:val="004A61FE"/>
    <w:rsid w:val="004A6231"/>
    <w:rsid w:val="004A65C4"/>
    <w:rsid w:val="004A681D"/>
    <w:rsid w:val="004A6B18"/>
    <w:rsid w:val="004A6ED2"/>
    <w:rsid w:val="004A718F"/>
    <w:rsid w:val="004A73BB"/>
    <w:rsid w:val="004A78AC"/>
    <w:rsid w:val="004A7AEB"/>
    <w:rsid w:val="004A7C33"/>
    <w:rsid w:val="004A7D67"/>
    <w:rsid w:val="004A7F30"/>
    <w:rsid w:val="004A7FB4"/>
    <w:rsid w:val="004B039C"/>
    <w:rsid w:val="004B042F"/>
    <w:rsid w:val="004B0485"/>
    <w:rsid w:val="004B04A3"/>
    <w:rsid w:val="004B06C9"/>
    <w:rsid w:val="004B089E"/>
    <w:rsid w:val="004B08C4"/>
    <w:rsid w:val="004B0AA4"/>
    <w:rsid w:val="004B0B96"/>
    <w:rsid w:val="004B0BCF"/>
    <w:rsid w:val="004B0C18"/>
    <w:rsid w:val="004B116A"/>
    <w:rsid w:val="004B11D0"/>
    <w:rsid w:val="004B162F"/>
    <w:rsid w:val="004B1789"/>
    <w:rsid w:val="004B1ECC"/>
    <w:rsid w:val="004B1F05"/>
    <w:rsid w:val="004B2099"/>
    <w:rsid w:val="004B2218"/>
    <w:rsid w:val="004B22D6"/>
    <w:rsid w:val="004B2714"/>
    <w:rsid w:val="004B2A1C"/>
    <w:rsid w:val="004B2B03"/>
    <w:rsid w:val="004B2F22"/>
    <w:rsid w:val="004B2FA7"/>
    <w:rsid w:val="004B30BF"/>
    <w:rsid w:val="004B35A1"/>
    <w:rsid w:val="004B3701"/>
    <w:rsid w:val="004B3C00"/>
    <w:rsid w:val="004B3FE2"/>
    <w:rsid w:val="004B4216"/>
    <w:rsid w:val="004B42F9"/>
    <w:rsid w:val="004B42FF"/>
    <w:rsid w:val="004B4420"/>
    <w:rsid w:val="004B460B"/>
    <w:rsid w:val="004B48C3"/>
    <w:rsid w:val="004B4AF3"/>
    <w:rsid w:val="004B4B64"/>
    <w:rsid w:val="004B4E7D"/>
    <w:rsid w:val="004B4ED9"/>
    <w:rsid w:val="004B4F6F"/>
    <w:rsid w:val="004B4FD9"/>
    <w:rsid w:val="004B539C"/>
    <w:rsid w:val="004B5518"/>
    <w:rsid w:val="004B55CB"/>
    <w:rsid w:val="004B56B7"/>
    <w:rsid w:val="004B5A44"/>
    <w:rsid w:val="004B5A73"/>
    <w:rsid w:val="004B5BAE"/>
    <w:rsid w:val="004B5CC6"/>
    <w:rsid w:val="004B5CF2"/>
    <w:rsid w:val="004B5E59"/>
    <w:rsid w:val="004B604C"/>
    <w:rsid w:val="004B611E"/>
    <w:rsid w:val="004B620C"/>
    <w:rsid w:val="004B62B4"/>
    <w:rsid w:val="004B62CE"/>
    <w:rsid w:val="004B6325"/>
    <w:rsid w:val="004B63EE"/>
    <w:rsid w:val="004B6427"/>
    <w:rsid w:val="004B66BC"/>
    <w:rsid w:val="004B6702"/>
    <w:rsid w:val="004B68A6"/>
    <w:rsid w:val="004B6B15"/>
    <w:rsid w:val="004B6B62"/>
    <w:rsid w:val="004B6CC6"/>
    <w:rsid w:val="004B6E65"/>
    <w:rsid w:val="004B6F1A"/>
    <w:rsid w:val="004B741D"/>
    <w:rsid w:val="004B7458"/>
    <w:rsid w:val="004B766C"/>
    <w:rsid w:val="004B783A"/>
    <w:rsid w:val="004B79AE"/>
    <w:rsid w:val="004B7D08"/>
    <w:rsid w:val="004B7D26"/>
    <w:rsid w:val="004B7D54"/>
    <w:rsid w:val="004B7E34"/>
    <w:rsid w:val="004B7EB5"/>
    <w:rsid w:val="004B7FD8"/>
    <w:rsid w:val="004BA3E2"/>
    <w:rsid w:val="004C01D1"/>
    <w:rsid w:val="004C0402"/>
    <w:rsid w:val="004C0D2E"/>
    <w:rsid w:val="004C0D45"/>
    <w:rsid w:val="004C144D"/>
    <w:rsid w:val="004C14A2"/>
    <w:rsid w:val="004C156A"/>
    <w:rsid w:val="004C159A"/>
    <w:rsid w:val="004C1845"/>
    <w:rsid w:val="004C1B9A"/>
    <w:rsid w:val="004C1CF3"/>
    <w:rsid w:val="004C1D10"/>
    <w:rsid w:val="004C1D36"/>
    <w:rsid w:val="004C1F09"/>
    <w:rsid w:val="004C2137"/>
    <w:rsid w:val="004C238D"/>
    <w:rsid w:val="004C242A"/>
    <w:rsid w:val="004C2469"/>
    <w:rsid w:val="004C2A82"/>
    <w:rsid w:val="004C2AE1"/>
    <w:rsid w:val="004C2E70"/>
    <w:rsid w:val="004C2F61"/>
    <w:rsid w:val="004C3075"/>
    <w:rsid w:val="004C30A6"/>
    <w:rsid w:val="004C3455"/>
    <w:rsid w:val="004C35CC"/>
    <w:rsid w:val="004C3B0D"/>
    <w:rsid w:val="004C3B78"/>
    <w:rsid w:val="004C3BF7"/>
    <w:rsid w:val="004C3CB3"/>
    <w:rsid w:val="004C3E69"/>
    <w:rsid w:val="004C3E8C"/>
    <w:rsid w:val="004C3FEA"/>
    <w:rsid w:val="004C49B5"/>
    <w:rsid w:val="004C4A4F"/>
    <w:rsid w:val="004C4B38"/>
    <w:rsid w:val="004C502F"/>
    <w:rsid w:val="004C51A8"/>
    <w:rsid w:val="004C5238"/>
    <w:rsid w:val="004C5309"/>
    <w:rsid w:val="004C5347"/>
    <w:rsid w:val="004C535F"/>
    <w:rsid w:val="004C5647"/>
    <w:rsid w:val="004C56D9"/>
    <w:rsid w:val="004C5863"/>
    <w:rsid w:val="004C599C"/>
    <w:rsid w:val="004C5AF9"/>
    <w:rsid w:val="004C5EDD"/>
    <w:rsid w:val="004C6310"/>
    <w:rsid w:val="004C6352"/>
    <w:rsid w:val="004C64F0"/>
    <w:rsid w:val="004C675A"/>
    <w:rsid w:val="004C679D"/>
    <w:rsid w:val="004C67D8"/>
    <w:rsid w:val="004C6897"/>
    <w:rsid w:val="004C69F2"/>
    <w:rsid w:val="004C6B82"/>
    <w:rsid w:val="004C6C47"/>
    <w:rsid w:val="004C6F02"/>
    <w:rsid w:val="004C6F1B"/>
    <w:rsid w:val="004C6F73"/>
    <w:rsid w:val="004C6FA0"/>
    <w:rsid w:val="004C7002"/>
    <w:rsid w:val="004C722C"/>
    <w:rsid w:val="004C7497"/>
    <w:rsid w:val="004C79EC"/>
    <w:rsid w:val="004C7AEE"/>
    <w:rsid w:val="004C7BFE"/>
    <w:rsid w:val="004C7E4E"/>
    <w:rsid w:val="004D01F4"/>
    <w:rsid w:val="004D04BB"/>
    <w:rsid w:val="004D0635"/>
    <w:rsid w:val="004D0666"/>
    <w:rsid w:val="004D070E"/>
    <w:rsid w:val="004D0732"/>
    <w:rsid w:val="004D0851"/>
    <w:rsid w:val="004D0858"/>
    <w:rsid w:val="004D0A6C"/>
    <w:rsid w:val="004D0C41"/>
    <w:rsid w:val="004D0FBC"/>
    <w:rsid w:val="004D12BC"/>
    <w:rsid w:val="004D13A8"/>
    <w:rsid w:val="004D1582"/>
    <w:rsid w:val="004D178F"/>
    <w:rsid w:val="004D17F5"/>
    <w:rsid w:val="004D19BE"/>
    <w:rsid w:val="004D1B69"/>
    <w:rsid w:val="004D1CE7"/>
    <w:rsid w:val="004D1D22"/>
    <w:rsid w:val="004D1D45"/>
    <w:rsid w:val="004D1EDB"/>
    <w:rsid w:val="004D208A"/>
    <w:rsid w:val="004D2106"/>
    <w:rsid w:val="004D21B1"/>
    <w:rsid w:val="004D237A"/>
    <w:rsid w:val="004D2537"/>
    <w:rsid w:val="004D27AA"/>
    <w:rsid w:val="004D28CE"/>
    <w:rsid w:val="004D2C6B"/>
    <w:rsid w:val="004D2E74"/>
    <w:rsid w:val="004D328C"/>
    <w:rsid w:val="004D35E8"/>
    <w:rsid w:val="004D374B"/>
    <w:rsid w:val="004D3950"/>
    <w:rsid w:val="004D3A81"/>
    <w:rsid w:val="004D3CE1"/>
    <w:rsid w:val="004D3CF0"/>
    <w:rsid w:val="004D3D46"/>
    <w:rsid w:val="004D3E77"/>
    <w:rsid w:val="004D3F38"/>
    <w:rsid w:val="004D3F85"/>
    <w:rsid w:val="004D403D"/>
    <w:rsid w:val="004D4083"/>
    <w:rsid w:val="004D42AC"/>
    <w:rsid w:val="004D43A2"/>
    <w:rsid w:val="004D4755"/>
    <w:rsid w:val="004D4862"/>
    <w:rsid w:val="004D4AC6"/>
    <w:rsid w:val="004D4AEC"/>
    <w:rsid w:val="004D4B6A"/>
    <w:rsid w:val="004D4C98"/>
    <w:rsid w:val="004D4F19"/>
    <w:rsid w:val="004D5125"/>
    <w:rsid w:val="004D51A4"/>
    <w:rsid w:val="004D525F"/>
    <w:rsid w:val="004D52C6"/>
    <w:rsid w:val="004D53DE"/>
    <w:rsid w:val="004D569E"/>
    <w:rsid w:val="004D56FC"/>
    <w:rsid w:val="004D58D0"/>
    <w:rsid w:val="004D59CD"/>
    <w:rsid w:val="004D5B8F"/>
    <w:rsid w:val="004D5EA0"/>
    <w:rsid w:val="004D5F24"/>
    <w:rsid w:val="004D5FA7"/>
    <w:rsid w:val="004D653E"/>
    <w:rsid w:val="004D6688"/>
    <w:rsid w:val="004D6915"/>
    <w:rsid w:val="004D6C21"/>
    <w:rsid w:val="004D6EA0"/>
    <w:rsid w:val="004D70B7"/>
    <w:rsid w:val="004D71A3"/>
    <w:rsid w:val="004D71E5"/>
    <w:rsid w:val="004D72DD"/>
    <w:rsid w:val="004D73CB"/>
    <w:rsid w:val="004D7550"/>
    <w:rsid w:val="004D7C7C"/>
    <w:rsid w:val="004D7DE0"/>
    <w:rsid w:val="004D7ED1"/>
    <w:rsid w:val="004D7FF8"/>
    <w:rsid w:val="004E0103"/>
    <w:rsid w:val="004E01A9"/>
    <w:rsid w:val="004E02D4"/>
    <w:rsid w:val="004E02D5"/>
    <w:rsid w:val="004E0539"/>
    <w:rsid w:val="004E06B6"/>
    <w:rsid w:val="004E06BC"/>
    <w:rsid w:val="004E06C5"/>
    <w:rsid w:val="004E0779"/>
    <w:rsid w:val="004E0B1A"/>
    <w:rsid w:val="004E0B9B"/>
    <w:rsid w:val="004E0CCD"/>
    <w:rsid w:val="004E0CFD"/>
    <w:rsid w:val="004E0E11"/>
    <w:rsid w:val="004E1079"/>
    <w:rsid w:val="004E1634"/>
    <w:rsid w:val="004E172B"/>
    <w:rsid w:val="004E1737"/>
    <w:rsid w:val="004E1794"/>
    <w:rsid w:val="004E197F"/>
    <w:rsid w:val="004E1A7B"/>
    <w:rsid w:val="004E23C7"/>
    <w:rsid w:val="004E27B5"/>
    <w:rsid w:val="004E288A"/>
    <w:rsid w:val="004E2927"/>
    <w:rsid w:val="004E2A3F"/>
    <w:rsid w:val="004E2C83"/>
    <w:rsid w:val="004E2DF7"/>
    <w:rsid w:val="004E2EDD"/>
    <w:rsid w:val="004E2F03"/>
    <w:rsid w:val="004E307F"/>
    <w:rsid w:val="004E31E5"/>
    <w:rsid w:val="004E3260"/>
    <w:rsid w:val="004E3507"/>
    <w:rsid w:val="004E366E"/>
    <w:rsid w:val="004E380C"/>
    <w:rsid w:val="004E3920"/>
    <w:rsid w:val="004E39A8"/>
    <w:rsid w:val="004E3AEB"/>
    <w:rsid w:val="004E3C84"/>
    <w:rsid w:val="004E3DB4"/>
    <w:rsid w:val="004E40A5"/>
    <w:rsid w:val="004E415D"/>
    <w:rsid w:val="004E416E"/>
    <w:rsid w:val="004E41AF"/>
    <w:rsid w:val="004E4216"/>
    <w:rsid w:val="004E4364"/>
    <w:rsid w:val="004E4671"/>
    <w:rsid w:val="004E4EC1"/>
    <w:rsid w:val="004E4F08"/>
    <w:rsid w:val="004E4F0C"/>
    <w:rsid w:val="004E4F24"/>
    <w:rsid w:val="004E51BA"/>
    <w:rsid w:val="004E51D2"/>
    <w:rsid w:val="004E53FB"/>
    <w:rsid w:val="004E579E"/>
    <w:rsid w:val="004E58A2"/>
    <w:rsid w:val="004E596C"/>
    <w:rsid w:val="004E5B18"/>
    <w:rsid w:val="004E5E61"/>
    <w:rsid w:val="004E5F88"/>
    <w:rsid w:val="004E6142"/>
    <w:rsid w:val="004E6212"/>
    <w:rsid w:val="004E621B"/>
    <w:rsid w:val="004E62A4"/>
    <w:rsid w:val="004E62B6"/>
    <w:rsid w:val="004E642A"/>
    <w:rsid w:val="004E6739"/>
    <w:rsid w:val="004E684F"/>
    <w:rsid w:val="004E69CE"/>
    <w:rsid w:val="004E6A56"/>
    <w:rsid w:val="004E6B00"/>
    <w:rsid w:val="004E6C2D"/>
    <w:rsid w:val="004E6C53"/>
    <w:rsid w:val="004E6E81"/>
    <w:rsid w:val="004E701D"/>
    <w:rsid w:val="004E7099"/>
    <w:rsid w:val="004E71B3"/>
    <w:rsid w:val="004E727B"/>
    <w:rsid w:val="004E73C4"/>
    <w:rsid w:val="004E7601"/>
    <w:rsid w:val="004E77A3"/>
    <w:rsid w:val="004E785D"/>
    <w:rsid w:val="004E79B4"/>
    <w:rsid w:val="004E7A86"/>
    <w:rsid w:val="004E7BBD"/>
    <w:rsid w:val="004E7D45"/>
    <w:rsid w:val="004E7D47"/>
    <w:rsid w:val="004F00AF"/>
    <w:rsid w:val="004F0267"/>
    <w:rsid w:val="004F034D"/>
    <w:rsid w:val="004F03DB"/>
    <w:rsid w:val="004F06DD"/>
    <w:rsid w:val="004F0737"/>
    <w:rsid w:val="004F0DDE"/>
    <w:rsid w:val="004F0E68"/>
    <w:rsid w:val="004F0E72"/>
    <w:rsid w:val="004F0F11"/>
    <w:rsid w:val="004F0F18"/>
    <w:rsid w:val="004F130B"/>
    <w:rsid w:val="004F1328"/>
    <w:rsid w:val="004F1672"/>
    <w:rsid w:val="004F1A00"/>
    <w:rsid w:val="004F1B6F"/>
    <w:rsid w:val="004F1C7B"/>
    <w:rsid w:val="004F1E16"/>
    <w:rsid w:val="004F1EB1"/>
    <w:rsid w:val="004F1FE5"/>
    <w:rsid w:val="004F22A0"/>
    <w:rsid w:val="004F257C"/>
    <w:rsid w:val="004F2626"/>
    <w:rsid w:val="004F27F7"/>
    <w:rsid w:val="004F2866"/>
    <w:rsid w:val="004F2B75"/>
    <w:rsid w:val="004F2C8C"/>
    <w:rsid w:val="004F306D"/>
    <w:rsid w:val="004F31A4"/>
    <w:rsid w:val="004F3225"/>
    <w:rsid w:val="004F343E"/>
    <w:rsid w:val="004F34C9"/>
    <w:rsid w:val="004F34FF"/>
    <w:rsid w:val="004F36AC"/>
    <w:rsid w:val="004F36B5"/>
    <w:rsid w:val="004F36CE"/>
    <w:rsid w:val="004F36FD"/>
    <w:rsid w:val="004F3724"/>
    <w:rsid w:val="004F3B2E"/>
    <w:rsid w:val="004F3C39"/>
    <w:rsid w:val="004F3D04"/>
    <w:rsid w:val="004F3DB6"/>
    <w:rsid w:val="004F40CF"/>
    <w:rsid w:val="004F4602"/>
    <w:rsid w:val="004F460D"/>
    <w:rsid w:val="004F4792"/>
    <w:rsid w:val="004F47CA"/>
    <w:rsid w:val="004F4825"/>
    <w:rsid w:val="004F4B7E"/>
    <w:rsid w:val="004F4EB6"/>
    <w:rsid w:val="004F51EA"/>
    <w:rsid w:val="004F521C"/>
    <w:rsid w:val="004F56E2"/>
    <w:rsid w:val="004F58D7"/>
    <w:rsid w:val="004F5B17"/>
    <w:rsid w:val="004F625B"/>
    <w:rsid w:val="004F629C"/>
    <w:rsid w:val="004F693E"/>
    <w:rsid w:val="004F6ABD"/>
    <w:rsid w:val="004F6B0E"/>
    <w:rsid w:val="004F6C8B"/>
    <w:rsid w:val="004F6D28"/>
    <w:rsid w:val="004F6E0F"/>
    <w:rsid w:val="004F6EBF"/>
    <w:rsid w:val="004F6FB1"/>
    <w:rsid w:val="004F70B3"/>
    <w:rsid w:val="004F7236"/>
    <w:rsid w:val="004F738F"/>
    <w:rsid w:val="004F73C6"/>
    <w:rsid w:val="004F7823"/>
    <w:rsid w:val="004F7A84"/>
    <w:rsid w:val="004F7AB7"/>
    <w:rsid w:val="004F7C00"/>
    <w:rsid w:val="005002BF"/>
    <w:rsid w:val="00500504"/>
    <w:rsid w:val="00500965"/>
    <w:rsid w:val="005009DC"/>
    <w:rsid w:val="00500F08"/>
    <w:rsid w:val="00500F1F"/>
    <w:rsid w:val="00501167"/>
    <w:rsid w:val="005014A3"/>
    <w:rsid w:val="00501571"/>
    <w:rsid w:val="0050163B"/>
    <w:rsid w:val="005018A3"/>
    <w:rsid w:val="005018D7"/>
    <w:rsid w:val="00501AED"/>
    <w:rsid w:val="00501B94"/>
    <w:rsid w:val="00501D28"/>
    <w:rsid w:val="005021C0"/>
    <w:rsid w:val="005022C1"/>
    <w:rsid w:val="00502376"/>
    <w:rsid w:val="00502507"/>
    <w:rsid w:val="00502573"/>
    <w:rsid w:val="00502653"/>
    <w:rsid w:val="005026BE"/>
    <w:rsid w:val="005026C8"/>
    <w:rsid w:val="005029C8"/>
    <w:rsid w:val="00502D70"/>
    <w:rsid w:val="00502E38"/>
    <w:rsid w:val="005030F4"/>
    <w:rsid w:val="005031B4"/>
    <w:rsid w:val="005035A4"/>
    <w:rsid w:val="00503AD6"/>
    <w:rsid w:val="00503C7C"/>
    <w:rsid w:val="00503CCD"/>
    <w:rsid w:val="00503D12"/>
    <w:rsid w:val="00503E6D"/>
    <w:rsid w:val="00503EC6"/>
    <w:rsid w:val="00503F40"/>
    <w:rsid w:val="00503FA2"/>
    <w:rsid w:val="0050402C"/>
    <w:rsid w:val="0050419A"/>
    <w:rsid w:val="005041AE"/>
    <w:rsid w:val="00504359"/>
    <w:rsid w:val="005046F1"/>
    <w:rsid w:val="005049F1"/>
    <w:rsid w:val="00504A85"/>
    <w:rsid w:val="00504C5A"/>
    <w:rsid w:val="00504E77"/>
    <w:rsid w:val="00505213"/>
    <w:rsid w:val="005052B5"/>
    <w:rsid w:val="00505516"/>
    <w:rsid w:val="0050555C"/>
    <w:rsid w:val="005055B7"/>
    <w:rsid w:val="005055EA"/>
    <w:rsid w:val="005055F9"/>
    <w:rsid w:val="00505842"/>
    <w:rsid w:val="0050599E"/>
    <w:rsid w:val="00505AA6"/>
    <w:rsid w:val="00505C5C"/>
    <w:rsid w:val="00505DDC"/>
    <w:rsid w:val="00505F5B"/>
    <w:rsid w:val="00505FF5"/>
    <w:rsid w:val="0050600F"/>
    <w:rsid w:val="00506186"/>
    <w:rsid w:val="00506391"/>
    <w:rsid w:val="005064C2"/>
    <w:rsid w:val="00506647"/>
    <w:rsid w:val="005066BA"/>
    <w:rsid w:val="0050686E"/>
    <w:rsid w:val="005069CD"/>
    <w:rsid w:val="00506D28"/>
    <w:rsid w:val="00506DAC"/>
    <w:rsid w:val="00506EB2"/>
    <w:rsid w:val="0050700F"/>
    <w:rsid w:val="0050782B"/>
    <w:rsid w:val="00507A1B"/>
    <w:rsid w:val="005101F3"/>
    <w:rsid w:val="00510327"/>
    <w:rsid w:val="005107E9"/>
    <w:rsid w:val="00510BDE"/>
    <w:rsid w:val="00510CFD"/>
    <w:rsid w:val="00510DD7"/>
    <w:rsid w:val="00510EC5"/>
    <w:rsid w:val="0051106A"/>
    <w:rsid w:val="005113AA"/>
    <w:rsid w:val="00511517"/>
    <w:rsid w:val="00511753"/>
    <w:rsid w:val="005117DB"/>
    <w:rsid w:val="00511B31"/>
    <w:rsid w:val="00511CB0"/>
    <w:rsid w:val="00511EB7"/>
    <w:rsid w:val="005125FC"/>
    <w:rsid w:val="005128AA"/>
    <w:rsid w:val="00512C9F"/>
    <w:rsid w:val="0051310A"/>
    <w:rsid w:val="005134E1"/>
    <w:rsid w:val="0051355C"/>
    <w:rsid w:val="005136C8"/>
    <w:rsid w:val="00513836"/>
    <w:rsid w:val="00513859"/>
    <w:rsid w:val="005138E2"/>
    <w:rsid w:val="00513914"/>
    <w:rsid w:val="00513C38"/>
    <w:rsid w:val="00513EE0"/>
    <w:rsid w:val="00513F60"/>
    <w:rsid w:val="00514177"/>
    <w:rsid w:val="005142DA"/>
    <w:rsid w:val="0051449F"/>
    <w:rsid w:val="005147B0"/>
    <w:rsid w:val="00514921"/>
    <w:rsid w:val="0051494B"/>
    <w:rsid w:val="005149C6"/>
    <w:rsid w:val="00514A4A"/>
    <w:rsid w:val="00514B53"/>
    <w:rsid w:val="00514B9B"/>
    <w:rsid w:val="00514CE9"/>
    <w:rsid w:val="00514F20"/>
    <w:rsid w:val="00514F65"/>
    <w:rsid w:val="005156D8"/>
    <w:rsid w:val="005157E5"/>
    <w:rsid w:val="00515879"/>
    <w:rsid w:val="0051598C"/>
    <w:rsid w:val="00515A17"/>
    <w:rsid w:val="00515A4F"/>
    <w:rsid w:val="00515BAD"/>
    <w:rsid w:val="00515BF7"/>
    <w:rsid w:val="00515C08"/>
    <w:rsid w:val="00515CC2"/>
    <w:rsid w:val="0051603F"/>
    <w:rsid w:val="005163C1"/>
    <w:rsid w:val="00516487"/>
    <w:rsid w:val="005164B0"/>
    <w:rsid w:val="005165F5"/>
    <w:rsid w:val="00516B3E"/>
    <w:rsid w:val="005172EB"/>
    <w:rsid w:val="00517663"/>
    <w:rsid w:val="00517870"/>
    <w:rsid w:val="005178A9"/>
    <w:rsid w:val="00517B7D"/>
    <w:rsid w:val="00517FDB"/>
    <w:rsid w:val="005202E4"/>
    <w:rsid w:val="00520303"/>
    <w:rsid w:val="00520317"/>
    <w:rsid w:val="0052034F"/>
    <w:rsid w:val="00520652"/>
    <w:rsid w:val="0052082D"/>
    <w:rsid w:val="005208E2"/>
    <w:rsid w:val="00520A4B"/>
    <w:rsid w:val="00520B60"/>
    <w:rsid w:val="00520CAC"/>
    <w:rsid w:val="00520F8B"/>
    <w:rsid w:val="00521038"/>
    <w:rsid w:val="00521271"/>
    <w:rsid w:val="005215DD"/>
    <w:rsid w:val="0052185C"/>
    <w:rsid w:val="0052193D"/>
    <w:rsid w:val="00521B85"/>
    <w:rsid w:val="0052213E"/>
    <w:rsid w:val="0052227E"/>
    <w:rsid w:val="0052247D"/>
    <w:rsid w:val="005224B9"/>
    <w:rsid w:val="005226CD"/>
    <w:rsid w:val="00522D5C"/>
    <w:rsid w:val="00522FF8"/>
    <w:rsid w:val="00523056"/>
    <w:rsid w:val="00523057"/>
    <w:rsid w:val="0052320F"/>
    <w:rsid w:val="00523251"/>
    <w:rsid w:val="0052326A"/>
    <w:rsid w:val="00523C1B"/>
    <w:rsid w:val="00523FCF"/>
    <w:rsid w:val="0052402F"/>
    <w:rsid w:val="005241B3"/>
    <w:rsid w:val="005244D1"/>
    <w:rsid w:val="00524738"/>
    <w:rsid w:val="00524BFD"/>
    <w:rsid w:val="005251E7"/>
    <w:rsid w:val="0052530F"/>
    <w:rsid w:val="00525339"/>
    <w:rsid w:val="00525720"/>
    <w:rsid w:val="00525738"/>
    <w:rsid w:val="00525B30"/>
    <w:rsid w:val="00526514"/>
    <w:rsid w:val="0052667D"/>
    <w:rsid w:val="00526922"/>
    <w:rsid w:val="00526C0F"/>
    <w:rsid w:val="0052702C"/>
    <w:rsid w:val="005272DA"/>
    <w:rsid w:val="00527588"/>
    <w:rsid w:val="00527636"/>
    <w:rsid w:val="00527847"/>
    <w:rsid w:val="00527C21"/>
    <w:rsid w:val="00527CFD"/>
    <w:rsid w:val="00527F5E"/>
    <w:rsid w:val="00530239"/>
    <w:rsid w:val="005302A9"/>
    <w:rsid w:val="005304F8"/>
    <w:rsid w:val="005305F7"/>
    <w:rsid w:val="00530698"/>
    <w:rsid w:val="00530771"/>
    <w:rsid w:val="00530995"/>
    <w:rsid w:val="00530A46"/>
    <w:rsid w:val="00530ABF"/>
    <w:rsid w:val="00530CEA"/>
    <w:rsid w:val="00530D91"/>
    <w:rsid w:val="005313AB"/>
    <w:rsid w:val="0053150B"/>
    <w:rsid w:val="005319FE"/>
    <w:rsid w:val="00531A12"/>
    <w:rsid w:val="00531C8B"/>
    <w:rsid w:val="00531CFB"/>
    <w:rsid w:val="00531D97"/>
    <w:rsid w:val="00531EAB"/>
    <w:rsid w:val="00531FF7"/>
    <w:rsid w:val="0053222C"/>
    <w:rsid w:val="005324D1"/>
    <w:rsid w:val="00532934"/>
    <w:rsid w:val="0053299B"/>
    <w:rsid w:val="005329C7"/>
    <w:rsid w:val="00532B54"/>
    <w:rsid w:val="00532C57"/>
    <w:rsid w:val="00532C5F"/>
    <w:rsid w:val="00532C93"/>
    <w:rsid w:val="00532CE7"/>
    <w:rsid w:val="00532D5F"/>
    <w:rsid w:val="00532DC5"/>
    <w:rsid w:val="00532E39"/>
    <w:rsid w:val="00532EB9"/>
    <w:rsid w:val="00533178"/>
    <w:rsid w:val="00533277"/>
    <w:rsid w:val="005332DD"/>
    <w:rsid w:val="005333FA"/>
    <w:rsid w:val="00533572"/>
    <w:rsid w:val="00533800"/>
    <w:rsid w:val="00533845"/>
    <w:rsid w:val="005338B1"/>
    <w:rsid w:val="005339C7"/>
    <w:rsid w:val="00533A55"/>
    <w:rsid w:val="00533AB2"/>
    <w:rsid w:val="00533B0A"/>
    <w:rsid w:val="00533ED0"/>
    <w:rsid w:val="0053415C"/>
    <w:rsid w:val="005344A9"/>
    <w:rsid w:val="00534915"/>
    <w:rsid w:val="00534962"/>
    <w:rsid w:val="00534B8B"/>
    <w:rsid w:val="00534BCF"/>
    <w:rsid w:val="00534F01"/>
    <w:rsid w:val="005350A6"/>
    <w:rsid w:val="005350D3"/>
    <w:rsid w:val="0053516D"/>
    <w:rsid w:val="0053521D"/>
    <w:rsid w:val="0053528C"/>
    <w:rsid w:val="0053561D"/>
    <w:rsid w:val="0053587D"/>
    <w:rsid w:val="00535D49"/>
    <w:rsid w:val="00535FB7"/>
    <w:rsid w:val="00535FF7"/>
    <w:rsid w:val="0053602E"/>
    <w:rsid w:val="005362A8"/>
    <w:rsid w:val="005362F6"/>
    <w:rsid w:val="005363EA"/>
    <w:rsid w:val="00536658"/>
    <w:rsid w:val="00536B37"/>
    <w:rsid w:val="00536C78"/>
    <w:rsid w:val="00536F22"/>
    <w:rsid w:val="00537711"/>
    <w:rsid w:val="005377D0"/>
    <w:rsid w:val="0053780E"/>
    <w:rsid w:val="0053786F"/>
    <w:rsid w:val="00537CBF"/>
    <w:rsid w:val="00537DD8"/>
    <w:rsid w:val="00537F29"/>
    <w:rsid w:val="005400A5"/>
    <w:rsid w:val="005400BC"/>
    <w:rsid w:val="00540657"/>
    <w:rsid w:val="005408F6"/>
    <w:rsid w:val="005409FA"/>
    <w:rsid w:val="00540C05"/>
    <w:rsid w:val="00540C6D"/>
    <w:rsid w:val="00540C74"/>
    <w:rsid w:val="00540EFA"/>
    <w:rsid w:val="00540F66"/>
    <w:rsid w:val="0054101D"/>
    <w:rsid w:val="005410AC"/>
    <w:rsid w:val="0054117A"/>
    <w:rsid w:val="005412D3"/>
    <w:rsid w:val="00541351"/>
    <w:rsid w:val="005413B5"/>
    <w:rsid w:val="005416CB"/>
    <w:rsid w:val="005416D8"/>
    <w:rsid w:val="005417B9"/>
    <w:rsid w:val="0054185B"/>
    <w:rsid w:val="00541B8B"/>
    <w:rsid w:val="00541DC3"/>
    <w:rsid w:val="00541EBE"/>
    <w:rsid w:val="0054223D"/>
    <w:rsid w:val="0054255E"/>
    <w:rsid w:val="00542587"/>
    <w:rsid w:val="00542600"/>
    <w:rsid w:val="00542620"/>
    <w:rsid w:val="00542638"/>
    <w:rsid w:val="00542743"/>
    <w:rsid w:val="005427EC"/>
    <w:rsid w:val="00542826"/>
    <w:rsid w:val="00542937"/>
    <w:rsid w:val="00542A75"/>
    <w:rsid w:val="00543050"/>
    <w:rsid w:val="00543103"/>
    <w:rsid w:val="0054323E"/>
    <w:rsid w:val="0054353B"/>
    <w:rsid w:val="005436A7"/>
    <w:rsid w:val="00543785"/>
    <w:rsid w:val="005437BD"/>
    <w:rsid w:val="005438E2"/>
    <w:rsid w:val="0054391B"/>
    <w:rsid w:val="00543BC0"/>
    <w:rsid w:val="005440EF"/>
    <w:rsid w:val="00544280"/>
    <w:rsid w:val="005443AB"/>
    <w:rsid w:val="00544442"/>
    <w:rsid w:val="00544534"/>
    <w:rsid w:val="00544559"/>
    <w:rsid w:val="005447EF"/>
    <w:rsid w:val="00544968"/>
    <w:rsid w:val="00544CC5"/>
    <w:rsid w:val="00544D08"/>
    <w:rsid w:val="00545009"/>
    <w:rsid w:val="00545179"/>
    <w:rsid w:val="0054548A"/>
    <w:rsid w:val="005456A7"/>
    <w:rsid w:val="005456D0"/>
    <w:rsid w:val="00545718"/>
    <w:rsid w:val="00545876"/>
    <w:rsid w:val="0054588F"/>
    <w:rsid w:val="00545930"/>
    <w:rsid w:val="00545D21"/>
    <w:rsid w:val="005464A7"/>
    <w:rsid w:val="00546577"/>
    <w:rsid w:val="00546833"/>
    <w:rsid w:val="005468E2"/>
    <w:rsid w:val="005469FD"/>
    <w:rsid w:val="00546E0C"/>
    <w:rsid w:val="00546E59"/>
    <w:rsid w:val="005470E4"/>
    <w:rsid w:val="0054716D"/>
    <w:rsid w:val="00547175"/>
    <w:rsid w:val="0054760F"/>
    <w:rsid w:val="005477A1"/>
    <w:rsid w:val="00547A34"/>
    <w:rsid w:val="00547ABC"/>
    <w:rsid w:val="00547B67"/>
    <w:rsid w:val="00547F2F"/>
    <w:rsid w:val="0055015B"/>
    <w:rsid w:val="00550388"/>
    <w:rsid w:val="00550450"/>
    <w:rsid w:val="00550507"/>
    <w:rsid w:val="005506CF"/>
    <w:rsid w:val="0055077E"/>
    <w:rsid w:val="00550B9E"/>
    <w:rsid w:val="00550DDF"/>
    <w:rsid w:val="005515CA"/>
    <w:rsid w:val="00551747"/>
    <w:rsid w:val="00551BB3"/>
    <w:rsid w:val="00551C9E"/>
    <w:rsid w:val="00551CFC"/>
    <w:rsid w:val="00551D96"/>
    <w:rsid w:val="00551F02"/>
    <w:rsid w:val="0055229D"/>
    <w:rsid w:val="005523D4"/>
    <w:rsid w:val="005523DC"/>
    <w:rsid w:val="0055240D"/>
    <w:rsid w:val="005524A3"/>
    <w:rsid w:val="00552612"/>
    <w:rsid w:val="00552681"/>
    <w:rsid w:val="005526B9"/>
    <w:rsid w:val="00552773"/>
    <w:rsid w:val="005528DB"/>
    <w:rsid w:val="005529F0"/>
    <w:rsid w:val="00552AB3"/>
    <w:rsid w:val="00552AD1"/>
    <w:rsid w:val="00552AD5"/>
    <w:rsid w:val="00552B64"/>
    <w:rsid w:val="00552BB6"/>
    <w:rsid w:val="00552C15"/>
    <w:rsid w:val="00553181"/>
    <w:rsid w:val="00553193"/>
    <w:rsid w:val="005531EF"/>
    <w:rsid w:val="00553318"/>
    <w:rsid w:val="00553392"/>
    <w:rsid w:val="005537AC"/>
    <w:rsid w:val="00553D10"/>
    <w:rsid w:val="00553D91"/>
    <w:rsid w:val="00553E67"/>
    <w:rsid w:val="005540AE"/>
    <w:rsid w:val="00554170"/>
    <w:rsid w:val="00554418"/>
    <w:rsid w:val="005545F5"/>
    <w:rsid w:val="00554612"/>
    <w:rsid w:val="005549BE"/>
    <w:rsid w:val="005549D5"/>
    <w:rsid w:val="00554B14"/>
    <w:rsid w:val="00554C64"/>
    <w:rsid w:val="00554D41"/>
    <w:rsid w:val="0055503F"/>
    <w:rsid w:val="00555193"/>
    <w:rsid w:val="005554BF"/>
    <w:rsid w:val="005554FC"/>
    <w:rsid w:val="00555594"/>
    <w:rsid w:val="0055568F"/>
    <w:rsid w:val="005556B8"/>
    <w:rsid w:val="00555867"/>
    <w:rsid w:val="0055590B"/>
    <w:rsid w:val="00555970"/>
    <w:rsid w:val="005559DE"/>
    <w:rsid w:val="00555BE1"/>
    <w:rsid w:val="00555C64"/>
    <w:rsid w:val="00555CC1"/>
    <w:rsid w:val="00555DE9"/>
    <w:rsid w:val="00555FC5"/>
    <w:rsid w:val="00555FD4"/>
    <w:rsid w:val="0055600B"/>
    <w:rsid w:val="00556327"/>
    <w:rsid w:val="0055645C"/>
    <w:rsid w:val="00556511"/>
    <w:rsid w:val="00556656"/>
    <w:rsid w:val="005566E1"/>
    <w:rsid w:val="005566F1"/>
    <w:rsid w:val="005567EB"/>
    <w:rsid w:val="00556C7C"/>
    <w:rsid w:val="00556DA3"/>
    <w:rsid w:val="00556F22"/>
    <w:rsid w:val="00556F86"/>
    <w:rsid w:val="00556F90"/>
    <w:rsid w:val="005570E7"/>
    <w:rsid w:val="00557128"/>
    <w:rsid w:val="0055737D"/>
    <w:rsid w:val="00557396"/>
    <w:rsid w:val="00557449"/>
    <w:rsid w:val="005579AF"/>
    <w:rsid w:val="00557A6D"/>
    <w:rsid w:val="00557AA5"/>
    <w:rsid w:val="00557CCF"/>
    <w:rsid w:val="0056002B"/>
    <w:rsid w:val="0056016D"/>
    <w:rsid w:val="00560301"/>
    <w:rsid w:val="005603A7"/>
    <w:rsid w:val="00560437"/>
    <w:rsid w:val="0056044E"/>
    <w:rsid w:val="00560523"/>
    <w:rsid w:val="005606AA"/>
    <w:rsid w:val="00560947"/>
    <w:rsid w:val="00560F59"/>
    <w:rsid w:val="00561054"/>
    <w:rsid w:val="00561261"/>
    <w:rsid w:val="005612CA"/>
    <w:rsid w:val="005612EE"/>
    <w:rsid w:val="00561444"/>
    <w:rsid w:val="00561467"/>
    <w:rsid w:val="0056167C"/>
    <w:rsid w:val="00561875"/>
    <w:rsid w:val="00561A0F"/>
    <w:rsid w:val="00561CC3"/>
    <w:rsid w:val="00561E94"/>
    <w:rsid w:val="00562032"/>
    <w:rsid w:val="0056208A"/>
    <w:rsid w:val="005620B4"/>
    <w:rsid w:val="005620CC"/>
    <w:rsid w:val="005620D3"/>
    <w:rsid w:val="00562114"/>
    <w:rsid w:val="00562260"/>
    <w:rsid w:val="005625C4"/>
    <w:rsid w:val="005626B3"/>
    <w:rsid w:val="00562831"/>
    <w:rsid w:val="005628A5"/>
    <w:rsid w:val="00562E01"/>
    <w:rsid w:val="00562E51"/>
    <w:rsid w:val="00562E91"/>
    <w:rsid w:val="00562ECF"/>
    <w:rsid w:val="0056315A"/>
    <w:rsid w:val="00563427"/>
    <w:rsid w:val="00563769"/>
    <w:rsid w:val="00563854"/>
    <w:rsid w:val="005638A7"/>
    <w:rsid w:val="00563A62"/>
    <w:rsid w:val="00563D2A"/>
    <w:rsid w:val="00563E46"/>
    <w:rsid w:val="00564172"/>
    <w:rsid w:val="0056418E"/>
    <w:rsid w:val="005643C5"/>
    <w:rsid w:val="00564400"/>
    <w:rsid w:val="0056442F"/>
    <w:rsid w:val="00564954"/>
    <w:rsid w:val="00564AB4"/>
    <w:rsid w:val="00564B56"/>
    <w:rsid w:val="00564BBF"/>
    <w:rsid w:val="00564D15"/>
    <w:rsid w:val="00564E31"/>
    <w:rsid w:val="00564E60"/>
    <w:rsid w:val="0056507C"/>
    <w:rsid w:val="005651A7"/>
    <w:rsid w:val="005652B3"/>
    <w:rsid w:val="005654A2"/>
    <w:rsid w:val="00565919"/>
    <w:rsid w:val="0056594A"/>
    <w:rsid w:val="00565959"/>
    <w:rsid w:val="005659F3"/>
    <w:rsid w:val="00565B81"/>
    <w:rsid w:val="00565B88"/>
    <w:rsid w:val="0056606D"/>
    <w:rsid w:val="005661D3"/>
    <w:rsid w:val="00566269"/>
    <w:rsid w:val="005664E5"/>
    <w:rsid w:val="0056657B"/>
    <w:rsid w:val="005668BF"/>
    <w:rsid w:val="005668EF"/>
    <w:rsid w:val="00566AE3"/>
    <w:rsid w:val="00566AEE"/>
    <w:rsid w:val="00566DB5"/>
    <w:rsid w:val="0056714B"/>
    <w:rsid w:val="00567373"/>
    <w:rsid w:val="0056741A"/>
    <w:rsid w:val="00567A26"/>
    <w:rsid w:val="00567B23"/>
    <w:rsid w:val="00567CAD"/>
    <w:rsid w:val="00570546"/>
    <w:rsid w:val="0057057D"/>
    <w:rsid w:val="00570A72"/>
    <w:rsid w:val="00570B1E"/>
    <w:rsid w:val="00570B2E"/>
    <w:rsid w:val="00570C06"/>
    <w:rsid w:val="00570F0B"/>
    <w:rsid w:val="0057103E"/>
    <w:rsid w:val="00571125"/>
    <w:rsid w:val="0057126C"/>
    <w:rsid w:val="0057129E"/>
    <w:rsid w:val="005716A0"/>
    <w:rsid w:val="00571718"/>
    <w:rsid w:val="0057174A"/>
    <w:rsid w:val="005718C6"/>
    <w:rsid w:val="005718CF"/>
    <w:rsid w:val="005718EE"/>
    <w:rsid w:val="00571B41"/>
    <w:rsid w:val="00571C38"/>
    <w:rsid w:val="00571C59"/>
    <w:rsid w:val="00571C92"/>
    <w:rsid w:val="00571DA1"/>
    <w:rsid w:val="00571DFD"/>
    <w:rsid w:val="00571F28"/>
    <w:rsid w:val="00571F2B"/>
    <w:rsid w:val="005721E0"/>
    <w:rsid w:val="0057235C"/>
    <w:rsid w:val="005723BD"/>
    <w:rsid w:val="005724FE"/>
    <w:rsid w:val="00572646"/>
    <w:rsid w:val="005726E2"/>
    <w:rsid w:val="0057270B"/>
    <w:rsid w:val="005727C7"/>
    <w:rsid w:val="00572972"/>
    <w:rsid w:val="00573316"/>
    <w:rsid w:val="005734C2"/>
    <w:rsid w:val="0057360B"/>
    <w:rsid w:val="005736A3"/>
    <w:rsid w:val="00573726"/>
    <w:rsid w:val="0057376D"/>
    <w:rsid w:val="00573948"/>
    <w:rsid w:val="0057396A"/>
    <w:rsid w:val="00573ADD"/>
    <w:rsid w:val="00573DC7"/>
    <w:rsid w:val="00573E35"/>
    <w:rsid w:val="00574009"/>
    <w:rsid w:val="0057409C"/>
    <w:rsid w:val="00574174"/>
    <w:rsid w:val="005742C4"/>
    <w:rsid w:val="00574741"/>
    <w:rsid w:val="005747D4"/>
    <w:rsid w:val="00574B65"/>
    <w:rsid w:val="00574EFE"/>
    <w:rsid w:val="005751E7"/>
    <w:rsid w:val="0057524A"/>
    <w:rsid w:val="00575461"/>
    <w:rsid w:val="005754EA"/>
    <w:rsid w:val="005755B9"/>
    <w:rsid w:val="0057568B"/>
    <w:rsid w:val="00575978"/>
    <w:rsid w:val="00575BB8"/>
    <w:rsid w:val="00575C46"/>
    <w:rsid w:val="0057605F"/>
    <w:rsid w:val="005760AC"/>
    <w:rsid w:val="005761F1"/>
    <w:rsid w:val="00576207"/>
    <w:rsid w:val="0057620A"/>
    <w:rsid w:val="005762EA"/>
    <w:rsid w:val="005767D6"/>
    <w:rsid w:val="005769EC"/>
    <w:rsid w:val="00576A61"/>
    <w:rsid w:val="00576C0B"/>
    <w:rsid w:val="00576C46"/>
    <w:rsid w:val="00577019"/>
    <w:rsid w:val="005770AE"/>
    <w:rsid w:val="005770E2"/>
    <w:rsid w:val="00577289"/>
    <w:rsid w:val="005772CC"/>
    <w:rsid w:val="00577800"/>
    <w:rsid w:val="00577DFB"/>
    <w:rsid w:val="00577E34"/>
    <w:rsid w:val="00577E7F"/>
    <w:rsid w:val="00577FD0"/>
    <w:rsid w:val="005800DC"/>
    <w:rsid w:val="0058018B"/>
    <w:rsid w:val="005801DE"/>
    <w:rsid w:val="0058023E"/>
    <w:rsid w:val="005803A6"/>
    <w:rsid w:val="005803BA"/>
    <w:rsid w:val="005803DC"/>
    <w:rsid w:val="005804FD"/>
    <w:rsid w:val="005807B8"/>
    <w:rsid w:val="0058085F"/>
    <w:rsid w:val="005808D0"/>
    <w:rsid w:val="00580AA9"/>
    <w:rsid w:val="00580DF1"/>
    <w:rsid w:val="00580E4D"/>
    <w:rsid w:val="00580E53"/>
    <w:rsid w:val="005810DD"/>
    <w:rsid w:val="0058133B"/>
    <w:rsid w:val="0058140A"/>
    <w:rsid w:val="0058149A"/>
    <w:rsid w:val="0058168A"/>
    <w:rsid w:val="00581690"/>
    <w:rsid w:val="0058172C"/>
    <w:rsid w:val="00581932"/>
    <w:rsid w:val="00581D22"/>
    <w:rsid w:val="00581DAD"/>
    <w:rsid w:val="00581FE8"/>
    <w:rsid w:val="005824F2"/>
    <w:rsid w:val="005825AC"/>
    <w:rsid w:val="00582843"/>
    <w:rsid w:val="00582B01"/>
    <w:rsid w:val="00582C1D"/>
    <w:rsid w:val="00582E48"/>
    <w:rsid w:val="0058308B"/>
    <w:rsid w:val="0058319E"/>
    <w:rsid w:val="00583207"/>
    <w:rsid w:val="00583227"/>
    <w:rsid w:val="0058339C"/>
    <w:rsid w:val="005833AA"/>
    <w:rsid w:val="0058355D"/>
    <w:rsid w:val="005835C2"/>
    <w:rsid w:val="0058385A"/>
    <w:rsid w:val="0058397A"/>
    <w:rsid w:val="005839E3"/>
    <w:rsid w:val="00583C4D"/>
    <w:rsid w:val="00583F10"/>
    <w:rsid w:val="005840C0"/>
    <w:rsid w:val="005841E7"/>
    <w:rsid w:val="00584215"/>
    <w:rsid w:val="00584322"/>
    <w:rsid w:val="0058444F"/>
    <w:rsid w:val="0058451E"/>
    <w:rsid w:val="005847C4"/>
    <w:rsid w:val="005848D4"/>
    <w:rsid w:val="00584AD7"/>
    <w:rsid w:val="00584C61"/>
    <w:rsid w:val="00584CF9"/>
    <w:rsid w:val="005852C8"/>
    <w:rsid w:val="005852CB"/>
    <w:rsid w:val="00585302"/>
    <w:rsid w:val="00585303"/>
    <w:rsid w:val="005853C0"/>
    <w:rsid w:val="005854A7"/>
    <w:rsid w:val="005854D6"/>
    <w:rsid w:val="005854FD"/>
    <w:rsid w:val="0058581A"/>
    <w:rsid w:val="00585A50"/>
    <w:rsid w:val="00585DD9"/>
    <w:rsid w:val="00585E5D"/>
    <w:rsid w:val="00585EEA"/>
    <w:rsid w:val="005863BA"/>
    <w:rsid w:val="005864A1"/>
    <w:rsid w:val="005864F9"/>
    <w:rsid w:val="0058651D"/>
    <w:rsid w:val="005865FB"/>
    <w:rsid w:val="00586723"/>
    <w:rsid w:val="00586803"/>
    <w:rsid w:val="005868E4"/>
    <w:rsid w:val="00586D22"/>
    <w:rsid w:val="00586D7B"/>
    <w:rsid w:val="005870A1"/>
    <w:rsid w:val="00587856"/>
    <w:rsid w:val="005878F7"/>
    <w:rsid w:val="00587B9E"/>
    <w:rsid w:val="00587CDB"/>
    <w:rsid w:val="00587DC4"/>
    <w:rsid w:val="00587E73"/>
    <w:rsid w:val="00587FA1"/>
    <w:rsid w:val="00590000"/>
    <w:rsid w:val="0059006E"/>
    <w:rsid w:val="00590080"/>
    <w:rsid w:val="00590343"/>
    <w:rsid w:val="00590810"/>
    <w:rsid w:val="0059087C"/>
    <w:rsid w:val="0059099B"/>
    <w:rsid w:val="00590A23"/>
    <w:rsid w:val="00590C2E"/>
    <w:rsid w:val="00590C80"/>
    <w:rsid w:val="00590D98"/>
    <w:rsid w:val="00590EFB"/>
    <w:rsid w:val="00590F0D"/>
    <w:rsid w:val="00590F29"/>
    <w:rsid w:val="0059199F"/>
    <w:rsid w:val="00591A8C"/>
    <w:rsid w:val="00591C98"/>
    <w:rsid w:val="00591DC3"/>
    <w:rsid w:val="00592380"/>
    <w:rsid w:val="00592401"/>
    <w:rsid w:val="005925B8"/>
    <w:rsid w:val="005929FD"/>
    <w:rsid w:val="00592A61"/>
    <w:rsid w:val="00592FB0"/>
    <w:rsid w:val="00592FCB"/>
    <w:rsid w:val="00593064"/>
    <w:rsid w:val="005934BC"/>
    <w:rsid w:val="00593585"/>
    <w:rsid w:val="005935D4"/>
    <w:rsid w:val="0059369B"/>
    <w:rsid w:val="005938F7"/>
    <w:rsid w:val="00593D68"/>
    <w:rsid w:val="00593EE3"/>
    <w:rsid w:val="00594165"/>
    <w:rsid w:val="00594223"/>
    <w:rsid w:val="00594353"/>
    <w:rsid w:val="00594599"/>
    <w:rsid w:val="005947D3"/>
    <w:rsid w:val="005947F2"/>
    <w:rsid w:val="00594932"/>
    <w:rsid w:val="00594E0D"/>
    <w:rsid w:val="0059505A"/>
    <w:rsid w:val="00595123"/>
    <w:rsid w:val="00595154"/>
    <w:rsid w:val="0059559A"/>
    <w:rsid w:val="005955D0"/>
    <w:rsid w:val="00595642"/>
    <w:rsid w:val="00595F6F"/>
    <w:rsid w:val="00595F7B"/>
    <w:rsid w:val="00595FA6"/>
    <w:rsid w:val="005961BC"/>
    <w:rsid w:val="005962A3"/>
    <w:rsid w:val="005965C5"/>
    <w:rsid w:val="005967F3"/>
    <w:rsid w:val="0059685C"/>
    <w:rsid w:val="005968EB"/>
    <w:rsid w:val="00596AE0"/>
    <w:rsid w:val="00596B81"/>
    <w:rsid w:val="00596FEE"/>
    <w:rsid w:val="0059747A"/>
    <w:rsid w:val="005974FC"/>
    <w:rsid w:val="005978A1"/>
    <w:rsid w:val="00597A4A"/>
    <w:rsid w:val="00597B10"/>
    <w:rsid w:val="00597BBE"/>
    <w:rsid w:val="00597BC8"/>
    <w:rsid w:val="00597C02"/>
    <w:rsid w:val="00597D7D"/>
    <w:rsid w:val="00597ECB"/>
    <w:rsid w:val="00597FAA"/>
    <w:rsid w:val="005A035B"/>
    <w:rsid w:val="005A0828"/>
    <w:rsid w:val="005A09AB"/>
    <w:rsid w:val="005A09E7"/>
    <w:rsid w:val="005A0A00"/>
    <w:rsid w:val="005A0AF4"/>
    <w:rsid w:val="005A0D07"/>
    <w:rsid w:val="005A0D21"/>
    <w:rsid w:val="005A0FF8"/>
    <w:rsid w:val="005A1171"/>
    <w:rsid w:val="005A1181"/>
    <w:rsid w:val="005A128E"/>
    <w:rsid w:val="005A130A"/>
    <w:rsid w:val="005A1486"/>
    <w:rsid w:val="005A15C6"/>
    <w:rsid w:val="005A1719"/>
    <w:rsid w:val="005A187E"/>
    <w:rsid w:val="005A1F42"/>
    <w:rsid w:val="005A2583"/>
    <w:rsid w:val="005A26EE"/>
    <w:rsid w:val="005A2A1C"/>
    <w:rsid w:val="005A2B90"/>
    <w:rsid w:val="005A2C44"/>
    <w:rsid w:val="005A2F32"/>
    <w:rsid w:val="005A31B7"/>
    <w:rsid w:val="005A3261"/>
    <w:rsid w:val="005A3A89"/>
    <w:rsid w:val="005A3B1B"/>
    <w:rsid w:val="005A3BDD"/>
    <w:rsid w:val="005A3BF2"/>
    <w:rsid w:val="005A3C13"/>
    <w:rsid w:val="005A3D28"/>
    <w:rsid w:val="005A3EA2"/>
    <w:rsid w:val="005A3F5E"/>
    <w:rsid w:val="005A40B4"/>
    <w:rsid w:val="005A444E"/>
    <w:rsid w:val="005A44C8"/>
    <w:rsid w:val="005A458D"/>
    <w:rsid w:val="005A45C6"/>
    <w:rsid w:val="005A46BE"/>
    <w:rsid w:val="005A48D4"/>
    <w:rsid w:val="005A4C87"/>
    <w:rsid w:val="005A4DCB"/>
    <w:rsid w:val="005A4E65"/>
    <w:rsid w:val="005A4F61"/>
    <w:rsid w:val="005A5019"/>
    <w:rsid w:val="005A5086"/>
    <w:rsid w:val="005A5600"/>
    <w:rsid w:val="005A5777"/>
    <w:rsid w:val="005A5B9D"/>
    <w:rsid w:val="005A61F2"/>
    <w:rsid w:val="005A62B4"/>
    <w:rsid w:val="005A65A2"/>
    <w:rsid w:val="005A65AA"/>
    <w:rsid w:val="005A68F5"/>
    <w:rsid w:val="005A6EDC"/>
    <w:rsid w:val="005A6F24"/>
    <w:rsid w:val="005A7009"/>
    <w:rsid w:val="005A701A"/>
    <w:rsid w:val="005A7136"/>
    <w:rsid w:val="005A7166"/>
    <w:rsid w:val="005A719F"/>
    <w:rsid w:val="005A7704"/>
    <w:rsid w:val="005A7872"/>
    <w:rsid w:val="005A78C3"/>
    <w:rsid w:val="005A7993"/>
    <w:rsid w:val="005A7DA2"/>
    <w:rsid w:val="005A7F65"/>
    <w:rsid w:val="005B0052"/>
    <w:rsid w:val="005B0223"/>
    <w:rsid w:val="005B0358"/>
    <w:rsid w:val="005B048A"/>
    <w:rsid w:val="005B0A4A"/>
    <w:rsid w:val="005B0ECF"/>
    <w:rsid w:val="005B0FC7"/>
    <w:rsid w:val="005B1033"/>
    <w:rsid w:val="005B1257"/>
    <w:rsid w:val="005B1656"/>
    <w:rsid w:val="005B1682"/>
    <w:rsid w:val="005B1687"/>
    <w:rsid w:val="005B1C50"/>
    <w:rsid w:val="005B20CE"/>
    <w:rsid w:val="005B22FD"/>
    <w:rsid w:val="005B2396"/>
    <w:rsid w:val="005B2619"/>
    <w:rsid w:val="005B2850"/>
    <w:rsid w:val="005B29CE"/>
    <w:rsid w:val="005B2D72"/>
    <w:rsid w:val="005B2DAF"/>
    <w:rsid w:val="005B2FEC"/>
    <w:rsid w:val="005B3092"/>
    <w:rsid w:val="005B318E"/>
    <w:rsid w:val="005B328B"/>
    <w:rsid w:val="005B34AB"/>
    <w:rsid w:val="005B35EA"/>
    <w:rsid w:val="005B362A"/>
    <w:rsid w:val="005B381D"/>
    <w:rsid w:val="005B3889"/>
    <w:rsid w:val="005B38C2"/>
    <w:rsid w:val="005B394E"/>
    <w:rsid w:val="005B3ABB"/>
    <w:rsid w:val="005B3B7E"/>
    <w:rsid w:val="005B3BEC"/>
    <w:rsid w:val="005B3FF5"/>
    <w:rsid w:val="005B4425"/>
    <w:rsid w:val="005B45F5"/>
    <w:rsid w:val="005B4838"/>
    <w:rsid w:val="005B4ADE"/>
    <w:rsid w:val="005B4B8D"/>
    <w:rsid w:val="005B4C51"/>
    <w:rsid w:val="005B4E40"/>
    <w:rsid w:val="005B541E"/>
    <w:rsid w:val="005B57A5"/>
    <w:rsid w:val="005B58C0"/>
    <w:rsid w:val="005B5D6B"/>
    <w:rsid w:val="005B5EBA"/>
    <w:rsid w:val="005B6215"/>
    <w:rsid w:val="005B627A"/>
    <w:rsid w:val="005B63C4"/>
    <w:rsid w:val="005B6605"/>
    <w:rsid w:val="005B6839"/>
    <w:rsid w:val="005B69FB"/>
    <w:rsid w:val="005B6AB0"/>
    <w:rsid w:val="005B6E01"/>
    <w:rsid w:val="005B6F26"/>
    <w:rsid w:val="005B7058"/>
    <w:rsid w:val="005B71C7"/>
    <w:rsid w:val="005B7291"/>
    <w:rsid w:val="005B7317"/>
    <w:rsid w:val="005B7904"/>
    <w:rsid w:val="005B79A8"/>
    <w:rsid w:val="005B7BB8"/>
    <w:rsid w:val="005B7BC1"/>
    <w:rsid w:val="005B7CBC"/>
    <w:rsid w:val="005B7DBF"/>
    <w:rsid w:val="005BA5E4"/>
    <w:rsid w:val="005C0018"/>
    <w:rsid w:val="005C0078"/>
    <w:rsid w:val="005C0142"/>
    <w:rsid w:val="005C042A"/>
    <w:rsid w:val="005C04DD"/>
    <w:rsid w:val="005C0567"/>
    <w:rsid w:val="005C0578"/>
    <w:rsid w:val="005C0848"/>
    <w:rsid w:val="005C0AB6"/>
    <w:rsid w:val="005C0C72"/>
    <w:rsid w:val="005C1102"/>
    <w:rsid w:val="005C1299"/>
    <w:rsid w:val="005C14B3"/>
    <w:rsid w:val="005C14C6"/>
    <w:rsid w:val="005C1570"/>
    <w:rsid w:val="005C1829"/>
    <w:rsid w:val="005C1ADA"/>
    <w:rsid w:val="005C1F94"/>
    <w:rsid w:val="005C2083"/>
    <w:rsid w:val="005C21D4"/>
    <w:rsid w:val="005C2385"/>
    <w:rsid w:val="005C2425"/>
    <w:rsid w:val="005C2514"/>
    <w:rsid w:val="005C2529"/>
    <w:rsid w:val="005C2592"/>
    <w:rsid w:val="005C292B"/>
    <w:rsid w:val="005C2975"/>
    <w:rsid w:val="005C2A82"/>
    <w:rsid w:val="005C2A85"/>
    <w:rsid w:val="005C2C1A"/>
    <w:rsid w:val="005C2F8C"/>
    <w:rsid w:val="005C35A1"/>
    <w:rsid w:val="005C3AEA"/>
    <w:rsid w:val="005C3AFF"/>
    <w:rsid w:val="005C3BED"/>
    <w:rsid w:val="005C3DCF"/>
    <w:rsid w:val="005C3E21"/>
    <w:rsid w:val="005C404C"/>
    <w:rsid w:val="005C4254"/>
    <w:rsid w:val="005C42EF"/>
    <w:rsid w:val="005C4324"/>
    <w:rsid w:val="005C438C"/>
    <w:rsid w:val="005C4544"/>
    <w:rsid w:val="005C4788"/>
    <w:rsid w:val="005C4A87"/>
    <w:rsid w:val="005C4B9E"/>
    <w:rsid w:val="005C4C21"/>
    <w:rsid w:val="005C4C6A"/>
    <w:rsid w:val="005C4E81"/>
    <w:rsid w:val="005C4F0C"/>
    <w:rsid w:val="005C504C"/>
    <w:rsid w:val="005C536E"/>
    <w:rsid w:val="005C54D5"/>
    <w:rsid w:val="005C5632"/>
    <w:rsid w:val="005C56D6"/>
    <w:rsid w:val="005C575C"/>
    <w:rsid w:val="005C57FF"/>
    <w:rsid w:val="005C5C3F"/>
    <w:rsid w:val="005C5FC7"/>
    <w:rsid w:val="005C6030"/>
    <w:rsid w:val="005C6091"/>
    <w:rsid w:val="005C630A"/>
    <w:rsid w:val="005C6350"/>
    <w:rsid w:val="005C63B9"/>
    <w:rsid w:val="005C6402"/>
    <w:rsid w:val="005C65DD"/>
    <w:rsid w:val="005C6637"/>
    <w:rsid w:val="005C6A72"/>
    <w:rsid w:val="005C6CFB"/>
    <w:rsid w:val="005C7087"/>
    <w:rsid w:val="005C7191"/>
    <w:rsid w:val="005C7198"/>
    <w:rsid w:val="005C741F"/>
    <w:rsid w:val="005C7591"/>
    <w:rsid w:val="005C76C9"/>
    <w:rsid w:val="005C77FF"/>
    <w:rsid w:val="005C7897"/>
    <w:rsid w:val="005C791D"/>
    <w:rsid w:val="005C79C9"/>
    <w:rsid w:val="005C7A4C"/>
    <w:rsid w:val="005C7DF9"/>
    <w:rsid w:val="005CCE00"/>
    <w:rsid w:val="005D01BD"/>
    <w:rsid w:val="005D01F1"/>
    <w:rsid w:val="005D0276"/>
    <w:rsid w:val="005D035C"/>
    <w:rsid w:val="005D03EF"/>
    <w:rsid w:val="005D04AF"/>
    <w:rsid w:val="005D0662"/>
    <w:rsid w:val="005D0752"/>
    <w:rsid w:val="005D0A58"/>
    <w:rsid w:val="005D0A77"/>
    <w:rsid w:val="005D0CF7"/>
    <w:rsid w:val="005D0D6C"/>
    <w:rsid w:val="005D0E28"/>
    <w:rsid w:val="005D1037"/>
    <w:rsid w:val="005D106A"/>
    <w:rsid w:val="005D1202"/>
    <w:rsid w:val="005D121A"/>
    <w:rsid w:val="005D1391"/>
    <w:rsid w:val="005D13E7"/>
    <w:rsid w:val="005D15DF"/>
    <w:rsid w:val="005D1A27"/>
    <w:rsid w:val="005D1A54"/>
    <w:rsid w:val="005D1BFB"/>
    <w:rsid w:val="005D1CC7"/>
    <w:rsid w:val="005D1FC6"/>
    <w:rsid w:val="005D2550"/>
    <w:rsid w:val="005D2568"/>
    <w:rsid w:val="005D28DF"/>
    <w:rsid w:val="005D292A"/>
    <w:rsid w:val="005D2A0A"/>
    <w:rsid w:val="005D2B37"/>
    <w:rsid w:val="005D2C68"/>
    <w:rsid w:val="005D2C7A"/>
    <w:rsid w:val="005D2F39"/>
    <w:rsid w:val="005D30C8"/>
    <w:rsid w:val="005D30F6"/>
    <w:rsid w:val="005D3142"/>
    <w:rsid w:val="005D3489"/>
    <w:rsid w:val="005D35BE"/>
    <w:rsid w:val="005D368A"/>
    <w:rsid w:val="005D36B1"/>
    <w:rsid w:val="005D3B80"/>
    <w:rsid w:val="005D3CA0"/>
    <w:rsid w:val="005D3F2E"/>
    <w:rsid w:val="005D42D0"/>
    <w:rsid w:val="005D448A"/>
    <w:rsid w:val="005D4819"/>
    <w:rsid w:val="005D4C6E"/>
    <w:rsid w:val="005D5000"/>
    <w:rsid w:val="005D50E4"/>
    <w:rsid w:val="005D5147"/>
    <w:rsid w:val="005D524D"/>
    <w:rsid w:val="005D52B0"/>
    <w:rsid w:val="005D53BC"/>
    <w:rsid w:val="005D54EF"/>
    <w:rsid w:val="005D580E"/>
    <w:rsid w:val="005D5846"/>
    <w:rsid w:val="005D5991"/>
    <w:rsid w:val="005D5C73"/>
    <w:rsid w:val="005D5CE4"/>
    <w:rsid w:val="005D5FCC"/>
    <w:rsid w:val="005D5FFE"/>
    <w:rsid w:val="005D601A"/>
    <w:rsid w:val="005D606E"/>
    <w:rsid w:val="005D62A3"/>
    <w:rsid w:val="005D64CC"/>
    <w:rsid w:val="005D64E9"/>
    <w:rsid w:val="005D65A7"/>
    <w:rsid w:val="005D66B0"/>
    <w:rsid w:val="005D673D"/>
    <w:rsid w:val="005D6789"/>
    <w:rsid w:val="005D69E6"/>
    <w:rsid w:val="005D6CF6"/>
    <w:rsid w:val="005D6E77"/>
    <w:rsid w:val="005D70BB"/>
    <w:rsid w:val="005D71C2"/>
    <w:rsid w:val="005D746B"/>
    <w:rsid w:val="005D74CE"/>
    <w:rsid w:val="005D7540"/>
    <w:rsid w:val="005D77A9"/>
    <w:rsid w:val="005D79B2"/>
    <w:rsid w:val="005D7A1A"/>
    <w:rsid w:val="005D7AE1"/>
    <w:rsid w:val="005E035A"/>
    <w:rsid w:val="005E0467"/>
    <w:rsid w:val="005E0597"/>
    <w:rsid w:val="005E08F4"/>
    <w:rsid w:val="005E09A5"/>
    <w:rsid w:val="005E0A47"/>
    <w:rsid w:val="005E0CF1"/>
    <w:rsid w:val="005E0E81"/>
    <w:rsid w:val="005E13C3"/>
    <w:rsid w:val="005E1402"/>
    <w:rsid w:val="005E1416"/>
    <w:rsid w:val="005E177A"/>
    <w:rsid w:val="005E18D4"/>
    <w:rsid w:val="005E1AFB"/>
    <w:rsid w:val="005E1CD9"/>
    <w:rsid w:val="005E1F5C"/>
    <w:rsid w:val="005E23E7"/>
    <w:rsid w:val="005E2475"/>
    <w:rsid w:val="005E2648"/>
    <w:rsid w:val="005E2A8E"/>
    <w:rsid w:val="005E2B9B"/>
    <w:rsid w:val="005E2C79"/>
    <w:rsid w:val="005E2D75"/>
    <w:rsid w:val="005E2EBE"/>
    <w:rsid w:val="005E319A"/>
    <w:rsid w:val="005E371D"/>
    <w:rsid w:val="005E381D"/>
    <w:rsid w:val="005E3866"/>
    <w:rsid w:val="005E3913"/>
    <w:rsid w:val="005E3A51"/>
    <w:rsid w:val="005E3E47"/>
    <w:rsid w:val="005E3EF9"/>
    <w:rsid w:val="005E44FA"/>
    <w:rsid w:val="005E4530"/>
    <w:rsid w:val="005E4599"/>
    <w:rsid w:val="005E46E8"/>
    <w:rsid w:val="005E48DB"/>
    <w:rsid w:val="005E4DCA"/>
    <w:rsid w:val="005E4E8F"/>
    <w:rsid w:val="005E502F"/>
    <w:rsid w:val="005E535E"/>
    <w:rsid w:val="005E540B"/>
    <w:rsid w:val="005E543D"/>
    <w:rsid w:val="005E54F4"/>
    <w:rsid w:val="005E56D5"/>
    <w:rsid w:val="005E58F9"/>
    <w:rsid w:val="005E593C"/>
    <w:rsid w:val="005E63B1"/>
    <w:rsid w:val="005E65BC"/>
    <w:rsid w:val="005E6AAA"/>
    <w:rsid w:val="005E6AAF"/>
    <w:rsid w:val="005E6BEE"/>
    <w:rsid w:val="005E6C6D"/>
    <w:rsid w:val="005E6CA8"/>
    <w:rsid w:val="005E6CF6"/>
    <w:rsid w:val="005E6F2F"/>
    <w:rsid w:val="005E723E"/>
    <w:rsid w:val="005E7302"/>
    <w:rsid w:val="005E73A9"/>
    <w:rsid w:val="005E75E5"/>
    <w:rsid w:val="005E76D0"/>
    <w:rsid w:val="005E7908"/>
    <w:rsid w:val="005E79FF"/>
    <w:rsid w:val="005E7B89"/>
    <w:rsid w:val="005E7F95"/>
    <w:rsid w:val="005F00DE"/>
    <w:rsid w:val="005F01DD"/>
    <w:rsid w:val="005F02D2"/>
    <w:rsid w:val="005F07DD"/>
    <w:rsid w:val="005F08D4"/>
    <w:rsid w:val="005F0941"/>
    <w:rsid w:val="005F097A"/>
    <w:rsid w:val="005F0A04"/>
    <w:rsid w:val="005F0A46"/>
    <w:rsid w:val="005F0A82"/>
    <w:rsid w:val="005F0A83"/>
    <w:rsid w:val="005F0BBA"/>
    <w:rsid w:val="005F0CB4"/>
    <w:rsid w:val="005F0D2E"/>
    <w:rsid w:val="005F0E13"/>
    <w:rsid w:val="005F0FEE"/>
    <w:rsid w:val="005F1326"/>
    <w:rsid w:val="005F13F7"/>
    <w:rsid w:val="005F14A5"/>
    <w:rsid w:val="005F1714"/>
    <w:rsid w:val="005F19F2"/>
    <w:rsid w:val="005F1C0D"/>
    <w:rsid w:val="005F1C86"/>
    <w:rsid w:val="005F1D0C"/>
    <w:rsid w:val="005F2281"/>
    <w:rsid w:val="005F229C"/>
    <w:rsid w:val="005F278F"/>
    <w:rsid w:val="005F2C7E"/>
    <w:rsid w:val="005F2D73"/>
    <w:rsid w:val="005F2F1E"/>
    <w:rsid w:val="005F2F8C"/>
    <w:rsid w:val="005F329C"/>
    <w:rsid w:val="005F3A0E"/>
    <w:rsid w:val="005F3F62"/>
    <w:rsid w:val="005F4202"/>
    <w:rsid w:val="005F4481"/>
    <w:rsid w:val="005F45B9"/>
    <w:rsid w:val="005F4C09"/>
    <w:rsid w:val="005F4CBC"/>
    <w:rsid w:val="005F4F25"/>
    <w:rsid w:val="005F4F78"/>
    <w:rsid w:val="005F5003"/>
    <w:rsid w:val="005F5034"/>
    <w:rsid w:val="005F50C1"/>
    <w:rsid w:val="005F5165"/>
    <w:rsid w:val="005F518F"/>
    <w:rsid w:val="005F5211"/>
    <w:rsid w:val="005F53C5"/>
    <w:rsid w:val="005F549E"/>
    <w:rsid w:val="005F551C"/>
    <w:rsid w:val="005F57BC"/>
    <w:rsid w:val="005F57DB"/>
    <w:rsid w:val="005F5BC9"/>
    <w:rsid w:val="005F5DFE"/>
    <w:rsid w:val="005F5ED3"/>
    <w:rsid w:val="005F6195"/>
    <w:rsid w:val="005F6217"/>
    <w:rsid w:val="005F63E2"/>
    <w:rsid w:val="005F64B3"/>
    <w:rsid w:val="005F671B"/>
    <w:rsid w:val="005F688A"/>
    <w:rsid w:val="005F68B1"/>
    <w:rsid w:val="005F6E11"/>
    <w:rsid w:val="005F72A1"/>
    <w:rsid w:val="005F736D"/>
    <w:rsid w:val="005F74DD"/>
    <w:rsid w:val="005F78F8"/>
    <w:rsid w:val="005F79EF"/>
    <w:rsid w:val="005F7AA8"/>
    <w:rsid w:val="005F7EC0"/>
    <w:rsid w:val="00600152"/>
    <w:rsid w:val="00600285"/>
    <w:rsid w:val="00600326"/>
    <w:rsid w:val="00600347"/>
    <w:rsid w:val="00600405"/>
    <w:rsid w:val="00600460"/>
    <w:rsid w:val="00600462"/>
    <w:rsid w:val="00600737"/>
    <w:rsid w:val="006008A5"/>
    <w:rsid w:val="0060093E"/>
    <w:rsid w:val="00600C27"/>
    <w:rsid w:val="006011A2"/>
    <w:rsid w:val="0060136F"/>
    <w:rsid w:val="006016FB"/>
    <w:rsid w:val="0060174D"/>
    <w:rsid w:val="006017B8"/>
    <w:rsid w:val="006017DE"/>
    <w:rsid w:val="00601804"/>
    <w:rsid w:val="00601C36"/>
    <w:rsid w:val="00601D13"/>
    <w:rsid w:val="00601DAB"/>
    <w:rsid w:val="00602045"/>
    <w:rsid w:val="006026A9"/>
    <w:rsid w:val="006028ED"/>
    <w:rsid w:val="00602965"/>
    <w:rsid w:val="00602A6B"/>
    <w:rsid w:val="00602E41"/>
    <w:rsid w:val="00603019"/>
    <w:rsid w:val="006031FD"/>
    <w:rsid w:val="0060321C"/>
    <w:rsid w:val="0060381A"/>
    <w:rsid w:val="00603856"/>
    <w:rsid w:val="0060387E"/>
    <w:rsid w:val="006039EE"/>
    <w:rsid w:val="00603A73"/>
    <w:rsid w:val="00603CBA"/>
    <w:rsid w:val="00603D15"/>
    <w:rsid w:val="00603EC1"/>
    <w:rsid w:val="00603FA0"/>
    <w:rsid w:val="00604103"/>
    <w:rsid w:val="00604210"/>
    <w:rsid w:val="00604351"/>
    <w:rsid w:val="00604419"/>
    <w:rsid w:val="0060441C"/>
    <w:rsid w:val="00604495"/>
    <w:rsid w:val="006044D7"/>
    <w:rsid w:val="0060469C"/>
    <w:rsid w:val="0060471A"/>
    <w:rsid w:val="00604736"/>
    <w:rsid w:val="006047AA"/>
    <w:rsid w:val="00604CAB"/>
    <w:rsid w:val="00604CF0"/>
    <w:rsid w:val="00604F72"/>
    <w:rsid w:val="006053BB"/>
    <w:rsid w:val="0060543B"/>
    <w:rsid w:val="00605669"/>
    <w:rsid w:val="006057B6"/>
    <w:rsid w:val="00605C41"/>
    <w:rsid w:val="00605C7C"/>
    <w:rsid w:val="00605D01"/>
    <w:rsid w:val="00605D92"/>
    <w:rsid w:val="00605EA6"/>
    <w:rsid w:val="00605FC6"/>
    <w:rsid w:val="00606370"/>
    <w:rsid w:val="006063E1"/>
    <w:rsid w:val="00606478"/>
    <w:rsid w:val="0060650A"/>
    <w:rsid w:val="00606675"/>
    <w:rsid w:val="00606D3C"/>
    <w:rsid w:val="00606E62"/>
    <w:rsid w:val="00606FF8"/>
    <w:rsid w:val="006070F7"/>
    <w:rsid w:val="00607168"/>
    <w:rsid w:val="006073A9"/>
    <w:rsid w:val="006073FB"/>
    <w:rsid w:val="006074DD"/>
    <w:rsid w:val="0060756D"/>
    <w:rsid w:val="00607639"/>
    <w:rsid w:val="00607657"/>
    <w:rsid w:val="00607B29"/>
    <w:rsid w:val="00607D3C"/>
    <w:rsid w:val="0061021F"/>
    <w:rsid w:val="006104FC"/>
    <w:rsid w:val="00610947"/>
    <w:rsid w:val="00610A78"/>
    <w:rsid w:val="00611090"/>
    <w:rsid w:val="006112D5"/>
    <w:rsid w:val="0061174C"/>
    <w:rsid w:val="006118B0"/>
    <w:rsid w:val="00611B6B"/>
    <w:rsid w:val="00611F78"/>
    <w:rsid w:val="006120CB"/>
    <w:rsid w:val="0061215B"/>
    <w:rsid w:val="00612488"/>
    <w:rsid w:val="006125D5"/>
    <w:rsid w:val="00612671"/>
    <w:rsid w:val="00612826"/>
    <w:rsid w:val="006128B4"/>
    <w:rsid w:val="00612A5F"/>
    <w:rsid w:val="00612A93"/>
    <w:rsid w:val="00612DC5"/>
    <w:rsid w:val="00612E72"/>
    <w:rsid w:val="00612FF8"/>
    <w:rsid w:val="006131B8"/>
    <w:rsid w:val="0061332B"/>
    <w:rsid w:val="0061339E"/>
    <w:rsid w:val="00613491"/>
    <w:rsid w:val="00613522"/>
    <w:rsid w:val="00613B1A"/>
    <w:rsid w:val="00613D40"/>
    <w:rsid w:val="00613D63"/>
    <w:rsid w:val="006142B9"/>
    <w:rsid w:val="00614440"/>
    <w:rsid w:val="00614A79"/>
    <w:rsid w:val="00614A86"/>
    <w:rsid w:val="00614ECE"/>
    <w:rsid w:val="00614FE9"/>
    <w:rsid w:val="0061518D"/>
    <w:rsid w:val="0061542C"/>
    <w:rsid w:val="0061560A"/>
    <w:rsid w:val="006158AD"/>
    <w:rsid w:val="00615A8C"/>
    <w:rsid w:val="00615B67"/>
    <w:rsid w:val="00615BA0"/>
    <w:rsid w:val="00615C89"/>
    <w:rsid w:val="00615C98"/>
    <w:rsid w:val="00615F73"/>
    <w:rsid w:val="00615FD8"/>
    <w:rsid w:val="00616286"/>
    <w:rsid w:val="006168BC"/>
    <w:rsid w:val="00616D69"/>
    <w:rsid w:val="00616E6B"/>
    <w:rsid w:val="00616F41"/>
    <w:rsid w:val="00617263"/>
    <w:rsid w:val="0061760C"/>
    <w:rsid w:val="0061774E"/>
    <w:rsid w:val="00617AC6"/>
    <w:rsid w:val="00617BC3"/>
    <w:rsid w:val="00617C76"/>
    <w:rsid w:val="00617D1A"/>
    <w:rsid w:val="00617D3B"/>
    <w:rsid w:val="00617FF2"/>
    <w:rsid w:val="0062012F"/>
    <w:rsid w:val="00620193"/>
    <w:rsid w:val="006202BD"/>
    <w:rsid w:val="006202BE"/>
    <w:rsid w:val="00620360"/>
    <w:rsid w:val="00620382"/>
    <w:rsid w:val="006204ED"/>
    <w:rsid w:val="0062053B"/>
    <w:rsid w:val="0062060A"/>
    <w:rsid w:val="006207A8"/>
    <w:rsid w:val="0062086F"/>
    <w:rsid w:val="00620B9A"/>
    <w:rsid w:val="00620E78"/>
    <w:rsid w:val="00620EEA"/>
    <w:rsid w:val="0062103B"/>
    <w:rsid w:val="0062110B"/>
    <w:rsid w:val="00621428"/>
    <w:rsid w:val="00621459"/>
    <w:rsid w:val="00621750"/>
    <w:rsid w:val="0062187A"/>
    <w:rsid w:val="006218AD"/>
    <w:rsid w:val="00621968"/>
    <w:rsid w:val="00621BE6"/>
    <w:rsid w:val="00621E45"/>
    <w:rsid w:val="00621F5B"/>
    <w:rsid w:val="00622110"/>
    <w:rsid w:val="00622383"/>
    <w:rsid w:val="0062255F"/>
    <w:rsid w:val="00622594"/>
    <w:rsid w:val="006226BE"/>
    <w:rsid w:val="0062276D"/>
    <w:rsid w:val="00622B1A"/>
    <w:rsid w:val="00622D11"/>
    <w:rsid w:val="00622D39"/>
    <w:rsid w:val="006232DB"/>
    <w:rsid w:val="00623405"/>
    <w:rsid w:val="0062347A"/>
    <w:rsid w:val="0062373E"/>
    <w:rsid w:val="0062388D"/>
    <w:rsid w:val="006238B0"/>
    <w:rsid w:val="00623A84"/>
    <w:rsid w:val="00623B98"/>
    <w:rsid w:val="00623C65"/>
    <w:rsid w:val="00623F14"/>
    <w:rsid w:val="006240C6"/>
    <w:rsid w:val="006240CE"/>
    <w:rsid w:val="00624559"/>
    <w:rsid w:val="0062469D"/>
    <w:rsid w:val="00624710"/>
    <w:rsid w:val="006248DE"/>
    <w:rsid w:val="00624938"/>
    <w:rsid w:val="0062499B"/>
    <w:rsid w:val="00624AE0"/>
    <w:rsid w:val="00624BBF"/>
    <w:rsid w:val="00624BF9"/>
    <w:rsid w:val="00624C13"/>
    <w:rsid w:val="00624C9B"/>
    <w:rsid w:val="00624E47"/>
    <w:rsid w:val="00625284"/>
    <w:rsid w:val="006252BE"/>
    <w:rsid w:val="00625413"/>
    <w:rsid w:val="00625825"/>
    <w:rsid w:val="00625988"/>
    <w:rsid w:val="00625B41"/>
    <w:rsid w:val="00625B6E"/>
    <w:rsid w:val="00625CFB"/>
    <w:rsid w:val="00625E32"/>
    <w:rsid w:val="0062616C"/>
    <w:rsid w:val="00626199"/>
    <w:rsid w:val="00626272"/>
    <w:rsid w:val="0062631A"/>
    <w:rsid w:val="0062635B"/>
    <w:rsid w:val="006264DA"/>
    <w:rsid w:val="00626575"/>
    <w:rsid w:val="0062661A"/>
    <w:rsid w:val="00626ADA"/>
    <w:rsid w:val="00626C97"/>
    <w:rsid w:val="00626D32"/>
    <w:rsid w:val="00626D64"/>
    <w:rsid w:val="00626D86"/>
    <w:rsid w:val="00626EF4"/>
    <w:rsid w:val="00627414"/>
    <w:rsid w:val="00627571"/>
    <w:rsid w:val="006276A2"/>
    <w:rsid w:val="00627F4F"/>
    <w:rsid w:val="00630368"/>
    <w:rsid w:val="006304B8"/>
    <w:rsid w:val="00630556"/>
    <w:rsid w:val="00630650"/>
    <w:rsid w:val="00630906"/>
    <w:rsid w:val="00630908"/>
    <w:rsid w:val="00630982"/>
    <w:rsid w:val="00630C29"/>
    <w:rsid w:val="00630F8B"/>
    <w:rsid w:val="00631074"/>
    <w:rsid w:val="0063124D"/>
    <w:rsid w:val="006312B0"/>
    <w:rsid w:val="00631525"/>
    <w:rsid w:val="006318E0"/>
    <w:rsid w:val="00631903"/>
    <w:rsid w:val="00631C0D"/>
    <w:rsid w:val="00631C35"/>
    <w:rsid w:val="00631D90"/>
    <w:rsid w:val="00632110"/>
    <w:rsid w:val="0063217A"/>
    <w:rsid w:val="00632199"/>
    <w:rsid w:val="006323A5"/>
    <w:rsid w:val="00632590"/>
    <w:rsid w:val="00632648"/>
    <w:rsid w:val="006326CB"/>
    <w:rsid w:val="00632725"/>
    <w:rsid w:val="006328FC"/>
    <w:rsid w:val="00632BF2"/>
    <w:rsid w:val="00632DAB"/>
    <w:rsid w:val="00632DB7"/>
    <w:rsid w:val="006330F7"/>
    <w:rsid w:val="006333F3"/>
    <w:rsid w:val="0063352A"/>
    <w:rsid w:val="00633624"/>
    <w:rsid w:val="00633709"/>
    <w:rsid w:val="00633826"/>
    <w:rsid w:val="00633A60"/>
    <w:rsid w:val="00633C5D"/>
    <w:rsid w:val="00633DAB"/>
    <w:rsid w:val="00633E8B"/>
    <w:rsid w:val="00633F20"/>
    <w:rsid w:val="00633F35"/>
    <w:rsid w:val="006342BF"/>
    <w:rsid w:val="006344C0"/>
    <w:rsid w:val="00634572"/>
    <w:rsid w:val="0063460B"/>
    <w:rsid w:val="00634639"/>
    <w:rsid w:val="00634693"/>
    <w:rsid w:val="006346E4"/>
    <w:rsid w:val="00634782"/>
    <w:rsid w:val="00634A57"/>
    <w:rsid w:val="00634DCB"/>
    <w:rsid w:val="00634EE6"/>
    <w:rsid w:val="0063550A"/>
    <w:rsid w:val="00635575"/>
    <w:rsid w:val="006357FA"/>
    <w:rsid w:val="00635B6D"/>
    <w:rsid w:val="00635B81"/>
    <w:rsid w:val="00635BE0"/>
    <w:rsid w:val="00635BF5"/>
    <w:rsid w:val="00635CA2"/>
    <w:rsid w:val="00635E0E"/>
    <w:rsid w:val="00635E51"/>
    <w:rsid w:val="006361B9"/>
    <w:rsid w:val="006362CE"/>
    <w:rsid w:val="006366DA"/>
    <w:rsid w:val="006368AB"/>
    <w:rsid w:val="00636955"/>
    <w:rsid w:val="00636960"/>
    <w:rsid w:val="006369BE"/>
    <w:rsid w:val="00636A4A"/>
    <w:rsid w:val="00636AD9"/>
    <w:rsid w:val="006370AE"/>
    <w:rsid w:val="00637291"/>
    <w:rsid w:val="006374D8"/>
    <w:rsid w:val="0063751F"/>
    <w:rsid w:val="006378E8"/>
    <w:rsid w:val="00637974"/>
    <w:rsid w:val="00637AC1"/>
    <w:rsid w:val="00637AF9"/>
    <w:rsid w:val="00637EA7"/>
    <w:rsid w:val="006400D2"/>
    <w:rsid w:val="0064028A"/>
    <w:rsid w:val="0064029E"/>
    <w:rsid w:val="00640334"/>
    <w:rsid w:val="00640419"/>
    <w:rsid w:val="006405D7"/>
    <w:rsid w:val="00640607"/>
    <w:rsid w:val="00640C6B"/>
    <w:rsid w:val="00641195"/>
    <w:rsid w:val="006415AD"/>
    <w:rsid w:val="0064182E"/>
    <w:rsid w:val="00641B4E"/>
    <w:rsid w:val="00641B6D"/>
    <w:rsid w:val="00641D30"/>
    <w:rsid w:val="00642040"/>
    <w:rsid w:val="00642516"/>
    <w:rsid w:val="006425DB"/>
    <w:rsid w:val="00642A78"/>
    <w:rsid w:val="00642C9A"/>
    <w:rsid w:val="00642CC6"/>
    <w:rsid w:val="00643219"/>
    <w:rsid w:val="00643239"/>
    <w:rsid w:val="0064352B"/>
    <w:rsid w:val="0064367A"/>
    <w:rsid w:val="00643762"/>
    <w:rsid w:val="00643A12"/>
    <w:rsid w:val="00643C1B"/>
    <w:rsid w:val="00643C1C"/>
    <w:rsid w:val="00643C3B"/>
    <w:rsid w:val="00643D77"/>
    <w:rsid w:val="00643D89"/>
    <w:rsid w:val="00643DF1"/>
    <w:rsid w:val="00643EE1"/>
    <w:rsid w:val="00643FA4"/>
    <w:rsid w:val="006441CC"/>
    <w:rsid w:val="0064428E"/>
    <w:rsid w:val="00644802"/>
    <w:rsid w:val="00644964"/>
    <w:rsid w:val="0064496C"/>
    <w:rsid w:val="00644977"/>
    <w:rsid w:val="00644DB8"/>
    <w:rsid w:val="0064501F"/>
    <w:rsid w:val="006453FA"/>
    <w:rsid w:val="00645960"/>
    <w:rsid w:val="006459A0"/>
    <w:rsid w:val="00645CE2"/>
    <w:rsid w:val="00645DEE"/>
    <w:rsid w:val="00646101"/>
    <w:rsid w:val="006461E9"/>
    <w:rsid w:val="00646338"/>
    <w:rsid w:val="006466B6"/>
    <w:rsid w:val="00646946"/>
    <w:rsid w:val="0064694F"/>
    <w:rsid w:val="00646A15"/>
    <w:rsid w:val="00646B00"/>
    <w:rsid w:val="00646C91"/>
    <w:rsid w:val="00646DEB"/>
    <w:rsid w:val="00646E80"/>
    <w:rsid w:val="006470AF"/>
    <w:rsid w:val="00647258"/>
    <w:rsid w:val="00647289"/>
    <w:rsid w:val="006473CD"/>
    <w:rsid w:val="006475C1"/>
    <w:rsid w:val="00647720"/>
    <w:rsid w:val="0064774F"/>
    <w:rsid w:val="00647896"/>
    <w:rsid w:val="00647A0C"/>
    <w:rsid w:val="00647C81"/>
    <w:rsid w:val="0064BEE4"/>
    <w:rsid w:val="0064E08B"/>
    <w:rsid w:val="00650317"/>
    <w:rsid w:val="00650406"/>
    <w:rsid w:val="006506E7"/>
    <w:rsid w:val="006506FF"/>
    <w:rsid w:val="0065086E"/>
    <w:rsid w:val="00650883"/>
    <w:rsid w:val="00650A00"/>
    <w:rsid w:val="00650A47"/>
    <w:rsid w:val="00650BC5"/>
    <w:rsid w:val="00650F05"/>
    <w:rsid w:val="00651586"/>
    <w:rsid w:val="00651660"/>
    <w:rsid w:val="00651A9E"/>
    <w:rsid w:val="00651C27"/>
    <w:rsid w:val="00651CF8"/>
    <w:rsid w:val="00651DF6"/>
    <w:rsid w:val="00651E08"/>
    <w:rsid w:val="00651EB7"/>
    <w:rsid w:val="0065218C"/>
    <w:rsid w:val="00652390"/>
    <w:rsid w:val="0065258C"/>
    <w:rsid w:val="00652644"/>
    <w:rsid w:val="00652763"/>
    <w:rsid w:val="0065279B"/>
    <w:rsid w:val="006527A3"/>
    <w:rsid w:val="00652814"/>
    <w:rsid w:val="00652A8A"/>
    <w:rsid w:val="00652CBD"/>
    <w:rsid w:val="00652F1D"/>
    <w:rsid w:val="00653317"/>
    <w:rsid w:val="00653393"/>
    <w:rsid w:val="00653451"/>
    <w:rsid w:val="00653585"/>
    <w:rsid w:val="00653713"/>
    <w:rsid w:val="00653B4D"/>
    <w:rsid w:val="00653B9F"/>
    <w:rsid w:val="00653C08"/>
    <w:rsid w:val="00653D61"/>
    <w:rsid w:val="00653D7C"/>
    <w:rsid w:val="00654244"/>
    <w:rsid w:val="0065424F"/>
    <w:rsid w:val="006542B5"/>
    <w:rsid w:val="0065450C"/>
    <w:rsid w:val="0065460F"/>
    <w:rsid w:val="006547D3"/>
    <w:rsid w:val="006548FC"/>
    <w:rsid w:val="00654B4E"/>
    <w:rsid w:val="00654ED8"/>
    <w:rsid w:val="00654EF2"/>
    <w:rsid w:val="00654FEA"/>
    <w:rsid w:val="00655152"/>
    <w:rsid w:val="006555A5"/>
    <w:rsid w:val="006555AA"/>
    <w:rsid w:val="00655785"/>
    <w:rsid w:val="00655D5B"/>
    <w:rsid w:val="00655D8D"/>
    <w:rsid w:val="00655EA3"/>
    <w:rsid w:val="00655FAF"/>
    <w:rsid w:val="00656326"/>
    <w:rsid w:val="00656334"/>
    <w:rsid w:val="006564FA"/>
    <w:rsid w:val="006566A3"/>
    <w:rsid w:val="00656821"/>
    <w:rsid w:val="00656975"/>
    <w:rsid w:val="00656A1E"/>
    <w:rsid w:val="00656C5A"/>
    <w:rsid w:val="0065753C"/>
    <w:rsid w:val="00657628"/>
    <w:rsid w:val="00657634"/>
    <w:rsid w:val="00657BD3"/>
    <w:rsid w:val="00657D2E"/>
    <w:rsid w:val="0066006E"/>
    <w:rsid w:val="00660113"/>
    <w:rsid w:val="00660423"/>
    <w:rsid w:val="0066065C"/>
    <w:rsid w:val="0066068D"/>
    <w:rsid w:val="0066074A"/>
    <w:rsid w:val="00660BAC"/>
    <w:rsid w:val="00660D41"/>
    <w:rsid w:val="0066116F"/>
    <w:rsid w:val="00661CD3"/>
    <w:rsid w:val="00661D88"/>
    <w:rsid w:val="00662048"/>
    <w:rsid w:val="006620E5"/>
    <w:rsid w:val="0066222C"/>
    <w:rsid w:val="0066232E"/>
    <w:rsid w:val="006623CA"/>
    <w:rsid w:val="00662602"/>
    <w:rsid w:val="0066270C"/>
    <w:rsid w:val="0066288E"/>
    <w:rsid w:val="00662B3A"/>
    <w:rsid w:val="00662DFC"/>
    <w:rsid w:val="00662E06"/>
    <w:rsid w:val="00662E46"/>
    <w:rsid w:val="00662EB1"/>
    <w:rsid w:val="006631B5"/>
    <w:rsid w:val="00663216"/>
    <w:rsid w:val="00663460"/>
    <w:rsid w:val="00663462"/>
    <w:rsid w:val="00663558"/>
    <w:rsid w:val="006638AF"/>
    <w:rsid w:val="006639AF"/>
    <w:rsid w:val="00663BCB"/>
    <w:rsid w:val="00663BEB"/>
    <w:rsid w:val="00663C2A"/>
    <w:rsid w:val="00663F6D"/>
    <w:rsid w:val="00664024"/>
    <w:rsid w:val="0066405E"/>
    <w:rsid w:val="006640AA"/>
    <w:rsid w:val="00664394"/>
    <w:rsid w:val="006645CD"/>
    <w:rsid w:val="00664718"/>
    <w:rsid w:val="00664987"/>
    <w:rsid w:val="006649E4"/>
    <w:rsid w:val="00664B64"/>
    <w:rsid w:val="00664EA0"/>
    <w:rsid w:val="00664F06"/>
    <w:rsid w:val="0066504A"/>
    <w:rsid w:val="00665136"/>
    <w:rsid w:val="00665196"/>
    <w:rsid w:val="006652C8"/>
    <w:rsid w:val="00665514"/>
    <w:rsid w:val="00665610"/>
    <w:rsid w:val="00665650"/>
    <w:rsid w:val="006659D7"/>
    <w:rsid w:val="00665B80"/>
    <w:rsid w:val="00665BC3"/>
    <w:rsid w:val="00665F58"/>
    <w:rsid w:val="00666071"/>
    <w:rsid w:val="0066614E"/>
    <w:rsid w:val="006664C9"/>
    <w:rsid w:val="00666670"/>
    <w:rsid w:val="00666790"/>
    <w:rsid w:val="006667F0"/>
    <w:rsid w:val="00666926"/>
    <w:rsid w:val="00666A2D"/>
    <w:rsid w:val="00666C0F"/>
    <w:rsid w:val="00666E06"/>
    <w:rsid w:val="00666F43"/>
    <w:rsid w:val="00666FE5"/>
    <w:rsid w:val="006673DD"/>
    <w:rsid w:val="0066759E"/>
    <w:rsid w:val="0066787A"/>
    <w:rsid w:val="006678E4"/>
    <w:rsid w:val="006678F4"/>
    <w:rsid w:val="006679A9"/>
    <w:rsid w:val="006679F1"/>
    <w:rsid w:val="00667A70"/>
    <w:rsid w:val="00667AD8"/>
    <w:rsid w:val="0067008C"/>
    <w:rsid w:val="006703E2"/>
    <w:rsid w:val="0067065F"/>
    <w:rsid w:val="00670823"/>
    <w:rsid w:val="0067092A"/>
    <w:rsid w:val="00670C89"/>
    <w:rsid w:val="00670D87"/>
    <w:rsid w:val="00670DDC"/>
    <w:rsid w:val="00670E69"/>
    <w:rsid w:val="00670F59"/>
    <w:rsid w:val="00671043"/>
    <w:rsid w:val="006712A7"/>
    <w:rsid w:val="0067145E"/>
    <w:rsid w:val="006715D2"/>
    <w:rsid w:val="006715F8"/>
    <w:rsid w:val="00671626"/>
    <w:rsid w:val="0067175E"/>
    <w:rsid w:val="00671881"/>
    <w:rsid w:val="00671943"/>
    <w:rsid w:val="00671973"/>
    <w:rsid w:val="00671AE2"/>
    <w:rsid w:val="00671BD0"/>
    <w:rsid w:val="00671D0C"/>
    <w:rsid w:val="00671D50"/>
    <w:rsid w:val="00671FC3"/>
    <w:rsid w:val="00672092"/>
    <w:rsid w:val="006720C4"/>
    <w:rsid w:val="006725C5"/>
    <w:rsid w:val="0067261D"/>
    <w:rsid w:val="00672630"/>
    <w:rsid w:val="00672E0C"/>
    <w:rsid w:val="00672EBC"/>
    <w:rsid w:val="00672FBD"/>
    <w:rsid w:val="006730B4"/>
    <w:rsid w:val="00673242"/>
    <w:rsid w:val="00673256"/>
    <w:rsid w:val="006732C2"/>
    <w:rsid w:val="0067354E"/>
    <w:rsid w:val="00673B19"/>
    <w:rsid w:val="00673B3C"/>
    <w:rsid w:val="00674143"/>
    <w:rsid w:val="006747D8"/>
    <w:rsid w:val="00674865"/>
    <w:rsid w:val="00674CBA"/>
    <w:rsid w:val="00674CCB"/>
    <w:rsid w:val="00674DB7"/>
    <w:rsid w:val="00674ECA"/>
    <w:rsid w:val="00674EEC"/>
    <w:rsid w:val="00674F07"/>
    <w:rsid w:val="00674F57"/>
    <w:rsid w:val="006750C1"/>
    <w:rsid w:val="006753D8"/>
    <w:rsid w:val="00675682"/>
    <w:rsid w:val="006756E7"/>
    <w:rsid w:val="0067581D"/>
    <w:rsid w:val="00675839"/>
    <w:rsid w:val="00675892"/>
    <w:rsid w:val="00675C80"/>
    <w:rsid w:val="00675CFC"/>
    <w:rsid w:val="00675D1A"/>
    <w:rsid w:val="00675F76"/>
    <w:rsid w:val="006761E4"/>
    <w:rsid w:val="006761F6"/>
    <w:rsid w:val="006766C5"/>
    <w:rsid w:val="006767E3"/>
    <w:rsid w:val="00676F33"/>
    <w:rsid w:val="00676FE8"/>
    <w:rsid w:val="00677001"/>
    <w:rsid w:val="0067700A"/>
    <w:rsid w:val="00677091"/>
    <w:rsid w:val="00677216"/>
    <w:rsid w:val="0067725D"/>
    <w:rsid w:val="006772D6"/>
    <w:rsid w:val="0067738F"/>
    <w:rsid w:val="00677513"/>
    <w:rsid w:val="0067756F"/>
    <w:rsid w:val="006776A2"/>
    <w:rsid w:val="006776D8"/>
    <w:rsid w:val="006777A8"/>
    <w:rsid w:val="006777ED"/>
    <w:rsid w:val="006778A9"/>
    <w:rsid w:val="0067790D"/>
    <w:rsid w:val="00677998"/>
    <w:rsid w:val="00677BFD"/>
    <w:rsid w:val="00677C61"/>
    <w:rsid w:val="00677CB5"/>
    <w:rsid w:val="00677F27"/>
    <w:rsid w:val="00677F36"/>
    <w:rsid w:val="00677FBE"/>
    <w:rsid w:val="00680631"/>
    <w:rsid w:val="0068065B"/>
    <w:rsid w:val="0068099D"/>
    <w:rsid w:val="00680ABE"/>
    <w:rsid w:val="00680B47"/>
    <w:rsid w:val="00680D27"/>
    <w:rsid w:val="00680DA7"/>
    <w:rsid w:val="00680E2C"/>
    <w:rsid w:val="00680EBC"/>
    <w:rsid w:val="0068131D"/>
    <w:rsid w:val="006814C6"/>
    <w:rsid w:val="006815E6"/>
    <w:rsid w:val="006815FE"/>
    <w:rsid w:val="0068172A"/>
    <w:rsid w:val="00681763"/>
    <w:rsid w:val="00681815"/>
    <w:rsid w:val="0068194B"/>
    <w:rsid w:val="00681A71"/>
    <w:rsid w:val="00681CFF"/>
    <w:rsid w:val="00681D98"/>
    <w:rsid w:val="00681E25"/>
    <w:rsid w:val="00681FC3"/>
    <w:rsid w:val="00682253"/>
    <w:rsid w:val="00682288"/>
    <w:rsid w:val="00682416"/>
    <w:rsid w:val="0068241B"/>
    <w:rsid w:val="0068242C"/>
    <w:rsid w:val="0068262F"/>
    <w:rsid w:val="006828E0"/>
    <w:rsid w:val="00682C74"/>
    <w:rsid w:val="00682CEE"/>
    <w:rsid w:val="00682E4E"/>
    <w:rsid w:val="00683163"/>
    <w:rsid w:val="00683227"/>
    <w:rsid w:val="00683627"/>
    <w:rsid w:val="006836C2"/>
    <w:rsid w:val="0068376D"/>
    <w:rsid w:val="00683C40"/>
    <w:rsid w:val="00683C4D"/>
    <w:rsid w:val="00683F12"/>
    <w:rsid w:val="00683F69"/>
    <w:rsid w:val="006842F5"/>
    <w:rsid w:val="006843E1"/>
    <w:rsid w:val="006846D3"/>
    <w:rsid w:val="00684779"/>
    <w:rsid w:val="0068486C"/>
    <w:rsid w:val="00684D4C"/>
    <w:rsid w:val="00684DFD"/>
    <w:rsid w:val="00684E27"/>
    <w:rsid w:val="0068503F"/>
    <w:rsid w:val="0068528D"/>
    <w:rsid w:val="006854D9"/>
    <w:rsid w:val="006855A3"/>
    <w:rsid w:val="006856E8"/>
    <w:rsid w:val="00685738"/>
    <w:rsid w:val="006858D6"/>
    <w:rsid w:val="00685ACA"/>
    <w:rsid w:val="0068602D"/>
    <w:rsid w:val="0068619B"/>
    <w:rsid w:val="00686998"/>
    <w:rsid w:val="006869EC"/>
    <w:rsid w:val="00686C33"/>
    <w:rsid w:val="00686D71"/>
    <w:rsid w:val="00686F58"/>
    <w:rsid w:val="0068729E"/>
    <w:rsid w:val="00687A51"/>
    <w:rsid w:val="00687AC3"/>
    <w:rsid w:val="00687CDD"/>
    <w:rsid w:val="00690030"/>
    <w:rsid w:val="006900B6"/>
    <w:rsid w:val="006902FB"/>
    <w:rsid w:val="0069045D"/>
    <w:rsid w:val="0069047B"/>
    <w:rsid w:val="006904A0"/>
    <w:rsid w:val="006904E6"/>
    <w:rsid w:val="006906DC"/>
    <w:rsid w:val="00690700"/>
    <w:rsid w:val="006909BC"/>
    <w:rsid w:val="00690BD3"/>
    <w:rsid w:val="00690C7B"/>
    <w:rsid w:val="00690D97"/>
    <w:rsid w:val="00690DFF"/>
    <w:rsid w:val="00690E7A"/>
    <w:rsid w:val="00690EF5"/>
    <w:rsid w:val="00690F49"/>
    <w:rsid w:val="00690FBF"/>
    <w:rsid w:val="0069140E"/>
    <w:rsid w:val="006914E5"/>
    <w:rsid w:val="006914E6"/>
    <w:rsid w:val="00691743"/>
    <w:rsid w:val="00691785"/>
    <w:rsid w:val="006917E8"/>
    <w:rsid w:val="006919C0"/>
    <w:rsid w:val="00691F65"/>
    <w:rsid w:val="0069210B"/>
    <w:rsid w:val="006921FA"/>
    <w:rsid w:val="006927A6"/>
    <w:rsid w:val="006927AC"/>
    <w:rsid w:val="006928F2"/>
    <w:rsid w:val="00692945"/>
    <w:rsid w:val="0069296D"/>
    <w:rsid w:val="00692A9C"/>
    <w:rsid w:val="00692BF0"/>
    <w:rsid w:val="00692D91"/>
    <w:rsid w:val="00692F79"/>
    <w:rsid w:val="006931BA"/>
    <w:rsid w:val="00693242"/>
    <w:rsid w:val="006937BE"/>
    <w:rsid w:val="00693CC3"/>
    <w:rsid w:val="0069418F"/>
    <w:rsid w:val="006942D2"/>
    <w:rsid w:val="0069435F"/>
    <w:rsid w:val="006944CA"/>
    <w:rsid w:val="00694A4B"/>
    <w:rsid w:val="00694BEC"/>
    <w:rsid w:val="00694E69"/>
    <w:rsid w:val="006950F3"/>
    <w:rsid w:val="006951D3"/>
    <w:rsid w:val="006952A8"/>
    <w:rsid w:val="0069547B"/>
    <w:rsid w:val="00695575"/>
    <w:rsid w:val="00695980"/>
    <w:rsid w:val="00695C77"/>
    <w:rsid w:val="00695D08"/>
    <w:rsid w:val="00695D68"/>
    <w:rsid w:val="00695DC0"/>
    <w:rsid w:val="00695FFB"/>
    <w:rsid w:val="006960FD"/>
    <w:rsid w:val="00696211"/>
    <w:rsid w:val="0069621A"/>
    <w:rsid w:val="006962D6"/>
    <w:rsid w:val="00696576"/>
    <w:rsid w:val="00696897"/>
    <w:rsid w:val="00696DE7"/>
    <w:rsid w:val="00696E29"/>
    <w:rsid w:val="00696F38"/>
    <w:rsid w:val="006972C8"/>
    <w:rsid w:val="006974FC"/>
    <w:rsid w:val="0069755A"/>
    <w:rsid w:val="006975D4"/>
    <w:rsid w:val="00697603"/>
    <w:rsid w:val="00697622"/>
    <w:rsid w:val="0069779D"/>
    <w:rsid w:val="006979EF"/>
    <w:rsid w:val="006979FA"/>
    <w:rsid w:val="00697ABE"/>
    <w:rsid w:val="00697BA0"/>
    <w:rsid w:val="00697D7A"/>
    <w:rsid w:val="00697DFF"/>
    <w:rsid w:val="00697F78"/>
    <w:rsid w:val="006A0537"/>
    <w:rsid w:val="006A068A"/>
    <w:rsid w:val="006A070E"/>
    <w:rsid w:val="006A07C3"/>
    <w:rsid w:val="006A0A4D"/>
    <w:rsid w:val="006A0AC7"/>
    <w:rsid w:val="006A0B79"/>
    <w:rsid w:val="006A0CDD"/>
    <w:rsid w:val="006A0DB9"/>
    <w:rsid w:val="006A1039"/>
    <w:rsid w:val="006A126E"/>
    <w:rsid w:val="006A1AD9"/>
    <w:rsid w:val="006A1B2F"/>
    <w:rsid w:val="006A1EF6"/>
    <w:rsid w:val="006A1F71"/>
    <w:rsid w:val="006A1FA1"/>
    <w:rsid w:val="006A20D0"/>
    <w:rsid w:val="006A21A9"/>
    <w:rsid w:val="006A2279"/>
    <w:rsid w:val="006A22CC"/>
    <w:rsid w:val="006A262A"/>
    <w:rsid w:val="006A268C"/>
    <w:rsid w:val="006A2B75"/>
    <w:rsid w:val="006A2B93"/>
    <w:rsid w:val="006A2CA3"/>
    <w:rsid w:val="006A3103"/>
    <w:rsid w:val="006A32F9"/>
    <w:rsid w:val="006A361C"/>
    <w:rsid w:val="006A3A0E"/>
    <w:rsid w:val="006A3BB1"/>
    <w:rsid w:val="006A3C49"/>
    <w:rsid w:val="006A3F0A"/>
    <w:rsid w:val="006A4325"/>
    <w:rsid w:val="006A43DF"/>
    <w:rsid w:val="006A4493"/>
    <w:rsid w:val="006A4558"/>
    <w:rsid w:val="006A45C3"/>
    <w:rsid w:val="006A4658"/>
    <w:rsid w:val="006A471E"/>
    <w:rsid w:val="006A4760"/>
    <w:rsid w:val="006A4999"/>
    <w:rsid w:val="006A49CE"/>
    <w:rsid w:val="006A4AA9"/>
    <w:rsid w:val="006A4B92"/>
    <w:rsid w:val="006A4DC6"/>
    <w:rsid w:val="006A4F36"/>
    <w:rsid w:val="006A4F44"/>
    <w:rsid w:val="006A5140"/>
    <w:rsid w:val="006A514A"/>
    <w:rsid w:val="006A514B"/>
    <w:rsid w:val="006A5387"/>
    <w:rsid w:val="006A567A"/>
    <w:rsid w:val="006A5932"/>
    <w:rsid w:val="006A5BE2"/>
    <w:rsid w:val="006A5DED"/>
    <w:rsid w:val="006A5EA8"/>
    <w:rsid w:val="006A60C1"/>
    <w:rsid w:val="006A644F"/>
    <w:rsid w:val="006A6566"/>
    <w:rsid w:val="006A6671"/>
    <w:rsid w:val="006A66A7"/>
    <w:rsid w:val="006A66EC"/>
    <w:rsid w:val="006A6A01"/>
    <w:rsid w:val="006A6B0F"/>
    <w:rsid w:val="006A6B5C"/>
    <w:rsid w:val="006A6C83"/>
    <w:rsid w:val="006A6E05"/>
    <w:rsid w:val="006A6E9F"/>
    <w:rsid w:val="006A6ED2"/>
    <w:rsid w:val="006A723E"/>
    <w:rsid w:val="006A7464"/>
    <w:rsid w:val="006A776F"/>
    <w:rsid w:val="006A77B6"/>
    <w:rsid w:val="006A77ED"/>
    <w:rsid w:val="006A7AE4"/>
    <w:rsid w:val="006A7E66"/>
    <w:rsid w:val="006B0006"/>
    <w:rsid w:val="006B01ED"/>
    <w:rsid w:val="006B021E"/>
    <w:rsid w:val="006B02BC"/>
    <w:rsid w:val="006B0315"/>
    <w:rsid w:val="006B03A1"/>
    <w:rsid w:val="006B09BA"/>
    <w:rsid w:val="006B17AD"/>
    <w:rsid w:val="006B17DD"/>
    <w:rsid w:val="006B1832"/>
    <w:rsid w:val="006B1AE9"/>
    <w:rsid w:val="006B1BEA"/>
    <w:rsid w:val="006B1C22"/>
    <w:rsid w:val="006B1F7E"/>
    <w:rsid w:val="006B2709"/>
    <w:rsid w:val="006B283C"/>
    <w:rsid w:val="006B2A5C"/>
    <w:rsid w:val="006B2AD6"/>
    <w:rsid w:val="006B2B17"/>
    <w:rsid w:val="006B2CB5"/>
    <w:rsid w:val="006B2E00"/>
    <w:rsid w:val="006B2E2A"/>
    <w:rsid w:val="006B3095"/>
    <w:rsid w:val="006B3104"/>
    <w:rsid w:val="006B32D4"/>
    <w:rsid w:val="006B3317"/>
    <w:rsid w:val="006B35BB"/>
    <w:rsid w:val="006B3799"/>
    <w:rsid w:val="006B3B04"/>
    <w:rsid w:val="006B3B77"/>
    <w:rsid w:val="006B3D53"/>
    <w:rsid w:val="006B3F7F"/>
    <w:rsid w:val="006B4441"/>
    <w:rsid w:val="006B45C3"/>
    <w:rsid w:val="006B4926"/>
    <w:rsid w:val="006B4944"/>
    <w:rsid w:val="006B4A58"/>
    <w:rsid w:val="006B4A72"/>
    <w:rsid w:val="006B5060"/>
    <w:rsid w:val="006B5122"/>
    <w:rsid w:val="006B51C5"/>
    <w:rsid w:val="006B51DD"/>
    <w:rsid w:val="006B5257"/>
    <w:rsid w:val="006B55AA"/>
    <w:rsid w:val="006B568F"/>
    <w:rsid w:val="006B5956"/>
    <w:rsid w:val="006B59FE"/>
    <w:rsid w:val="006B61B3"/>
    <w:rsid w:val="006B64C9"/>
    <w:rsid w:val="006B6549"/>
    <w:rsid w:val="006B662A"/>
    <w:rsid w:val="006B666E"/>
    <w:rsid w:val="006B6B0E"/>
    <w:rsid w:val="006B6CDA"/>
    <w:rsid w:val="006B6D1E"/>
    <w:rsid w:val="006B71D0"/>
    <w:rsid w:val="006B7378"/>
    <w:rsid w:val="006B74CD"/>
    <w:rsid w:val="006B75A4"/>
    <w:rsid w:val="006B76F5"/>
    <w:rsid w:val="006B76FD"/>
    <w:rsid w:val="006B7C04"/>
    <w:rsid w:val="006B7DCC"/>
    <w:rsid w:val="006C0032"/>
    <w:rsid w:val="006C00BE"/>
    <w:rsid w:val="006C0108"/>
    <w:rsid w:val="006C075C"/>
    <w:rsid w:val="006C0923"/>
    <w:rsid w:val="006C0D1F"/>
    <w:rsid w:val="006C0FAD"/>
    <w:rsid w:val="006C186C"/>
    <w:rsid w:val="006C19E2"/>
    <w:rsid w:val="006C1B77"/>
    <w:rsid w:val="006C1B78"/>
    <w:rsid w:val="006C1C1C"/>
    <w:rsid w:val="006C1D7A"/>
    <w:rsid w:val="006C1DC5"/>
    <w:rsid w:val="006C1E72"/>
    <w:rsid w:val="006C21CE"/>
    <w:rsid w:val="006C2314"/>
    <w:rsid w:val="006C23D1"/>
    <w:rsid w:val="006C24B9"/>
    <w:rsid w:val="006C2796"/>
    <w:rsid w:val="006C2842"/>
    <w:rsid w:val="006C2922"/>
    <w:rsid w:val="006C2932"/>
    <w:rsid w:val="006C2A87"/>
    <w:rsid w:val="006C3087"/>
    <w:rsid w:val="006C324C"/>
    <w:rsid w:val="006C34BF"/>
    <w:rsid w:val="006C3657"/>
    <w:rsid w:val="006C39D9"/>
    <w:rsid w:val="006C3A4E"/>
    <w:rsid w:val="006C3B21"/>
    <w:rsid w:val="006C403B"/>
    <w:rsid w:val="006C40A6"/>
    <w:rsid w:val="006C4967"/>
    <w:rsid w:val="006C4A41"/>
    <w:rsid w:val="006C4B40"/>
    <w:rsid w:val="006C4DBC"/>
    <w:rsid w:val="006C4E4B"/>
    <w:rsid w:val="006C5323"/>
    <w:rsid w:val="006C541C"/>
    <w:rsid w:val="006C55FA"/>
    <w:rsid w:val="006C583F"/>
    <w:rsid w:val="006C5939"/>
    <w:rsid w:val="006C59FF"/>
    <w:rsid w:val="006C5A70"/>
    <w:rsid w:val="006C5C00"/>
    <w:rsid w:val="006C5D8F"/>
    <w:rsid w:val="006C5EC2"/>
    <w:rsid w:val="006C6055"/>
    <w:rsid w:val="006C66C8"/>
    <w:rsid w:val="006C67FC"/>
    <w:rsid w:val="006C686D"/>
    <w:rsid w:val="006C68C3"/>
    <w:rsid w:val="006C6D6C"/>
    <w:rsid w:val="006C7312"/>
    <w:rsid w:val="006C7657"/>
    <w:rsid w:val="006C7706"/>
    <w:rsid w:val="006C7EE8"/>
    <w:rsid w:val="006D0143"/>
    <w:rsid w:val="006D0227"/>
    <w:rsid w:val="006D0363"/>
    <w:rsid w:val="006D04CC"/>
    <w:rsid w:val="006D06D3"/>
    <w:rsid w:val="006D07A5"/>
    <w:rsid w:val="006D085B"/>
    <w:rsid w:val="006D0897"/>
    <w:rsid w:val="006D0B48"/>
    <w:rsid w:val="006D0D95"/>
    <w:rsid w:val="006D0EB9"/>
    <w:rsid w:val="006D110B"/>
    <w:rsid w:val="006D1140"/>
    <w:rsid w:val="006D11D9"/>
    <w:rsid w:val="006D1565"/>
    <w:rsid w:val="006D15F7"/>
    <w:rsid w:val="006D171E"/>
    <w:rsid w:val="006D1822"/>
    <w:rsid w:val="006D1A1E"/>
    <w:rsid w:val="006D1AF9"/>
    <w:rsid w:val="006D1B24"/>
    <w:rsid w:val="006D1B6E"/>
    <w:rsid w:val="006D1BBA"/>
    <w:rsid w:val="006D1C78"/>
    <w:rsid w:val="006D1F8C"/>
    <w:rsid w:val="006D22B5"/>
    <w:rsid w:val="006D23AA"/>
    <w:rsid w:val="006D2818"/>
    <w:rsid w:val="006D2CCD"/>
    <w:rsid w:val="006D2E6A"/>
    <w:rsid w:val="006D32D7"/>
    <w:rsid w:val="006D32F5"/>
    <w:rsid w:val="006D330B"/>
    <w:rsid w:val="006D331B"/>
    <w:rsid w:val="006D3324"/>
    <w:rsid w:val="006D33D5"/>
    <w:rsid w:val="006D36FD"/>
    <w:rsid w:val="006D376D"/>
    <w:rsid w:val="006D3815"/>
    <w:rsid w:val="006D3E10"/>
    <w:rsid w:val="006D3EA9"/>
    <w:rsid w:val="006D4102"/>
    <w:rsid w:val="006D41DD"/>
    <w:rsid w:val="006D4269"/>
    <w:rsid w:val="006D42EF"/>
    <w:rsid w:val="006D4418"/>
    <w:rsid w:val="006D44B7"/>
    <w:rsid w:val="006D44C7"/>
    <w:rsid w:val="006D452F"/>
    <w:rsid w:val="006D456D"/>
    <w:rsid w:val="006D469C"/>
    <w:rsid w:val="006D470F"/>
    <w:rsid w:val="006D4710"/>
    <w:rsid w:val="006D4976"/>
    <w:rsid w:val="006D4AEC"/>
    <w:rsid w:val="006D4BD7"/>
    <w:rsid w:val="006D4F93"/>
    <w:rsid w:val="006D5511"/>
    <w:rsid w:val="006D5780"/>
    <w:rsid w:val="006D5848"/>
    <w:rsid w:val="006D5C81"/>
    <w:rsid w:val="006D5CC3"/>
    <w:rsid w:val="006D5E2E"/>
    <w:rsid w:val="006D5F02"/>
    <w:rsid w:val="006D6122"/>
    <w:rsid w:val="006D61D7"/>
    <w:rsid w:val="006D645D"/>
    <w:rsid w:val="006D64A8"/>
    <w:rsid w:val="006D64DC"/>
    <w:rsid w:val="006D670C"/>
    <w:rsid w:val="006D6796"/>
    <w:rsid w:val="006D6C65"/>
    <w:rsid w:val="006D6F36"/>
    <w:rsid w:val="006D7243"/>
    <w:rsid w:val="006D7338"/>
    <w:rsid w:val="006D743D"/>
    <w:rsid w:val="006D74FF"/>
    <w:rsid w:val="006D7877"/>
    <w:rsid w:val="006D7A3A"/>
    <w:rsid w:val="006D7B9C"/>
    <w:rsid w:val="006D7C47"/>
    <w:rsid w:val="006E00FB"/>
    <w:rsid w:val="006E0103"/>
    <w:rsid w:val="006E019B"/>
    <w:rsid w:val="006E020D"/>
    <w:rsid w:val="006E02E5"/>
    <w:rsid w:val="006E04E2"/>
    <w:rsid w:val="006E05AD"/>
    <w:rsid w:val="006E073A"/>
    <w:rsid w:val="006E112E"/>
    <w:rsid w:val="006E12F0"/>
    <w:rsid w:val="006E1805"/>
    <w:rsid w:val="006E1875"/>
    <w:rsid w:val="006E1911"/>
    <w:rsid w:val="006E1AFE"/>
    <w:rsid w:val="006E1B57"/>
    <w:rsid w:val="006E210D"/>
    <w:rsid w:val="006E21EA"/>
    <w:rsid w:val="006E22C5"/>
    <w:rsid w:val="006E24A1"/>
    <w:rsid w:val="006E24A8"/>
    <w:rsid w:val="006E2779"/>
    <w:rsid w:val="006E282F"/>
    <w:rsid w:val="006E2A68"/>
    <w:rsid w:val="006E2AC7"/>
    <w:rsid w:val="006E2AF9"/>
    <w:rsid w:val="006E2B26"/>
    <w:rsid w:val="006E2E4B"/>
    <w:rsid w:val="006E340A"/>
    <w:rsid w:val="006E36D3"/>
    <w:rsid w:val="006E3732"/>
    <w:rsid w:val="006E414D"/>
    <w:rsid w:val="006E41B1"/>
    <w:rsid w:val="006E41C5"/>
    <w:rsid w:val="006E43E7"/>
    <w:rsid w:val="006E45FA"/>
    <w:rsid w:val="006E4646"/>
    <w:rsid w:val="006E4A16"/>
    <w:rsid w:val="006E4B88"/>
    <w:rsid w:val="006E4F81"/>
    <w:rsid w:val="006E4FE9"/>
    <w:rsid w:val="006E5070"/>
    <w:rsid w:val="006E51B2"/>
    <w:rsid w:val="006E536E"/>
    <w:rsid w:val="006E5416"/>
    <w:rsid w:val="006E54DC"/>
    <w:rsid w:val="006E5901"/>
    <w:rsid w:val="006E5A0D"/>
    <w:rsid w:val="006E5BEE"/>
    <w:rsid w:val="006E5EF0"/>
    <w:rsid w:val="006E6045"/>
    <w:rsid w:val="006E6250"/>
    <w:rsid w:val="006E65F3"/>
    <w:rsid w:val="006E66F5"/>
    <w:rsid w:val="006E670B"/>
    <w:rsid w:val="006E6BC8"/>
    <w:rsid w:val="006E6BD5"/>
    <w:rsid w:val="006E6BEF"/>
    <w:rsid w:val="006E6C27"/>
    <w:rsid w:val="006E6F2F"/>
    <w:rsid w:val="006E7025"/>
    <w:rsid w:val="006E750F"/>
    <w:rsid w:val="006E76C6"/>
    <w:rsid w:val="006E76DC"/>
    <w:rsid w:val="006E7ACD"/>
    <w:rsid w:val="006E7B22"/>
    <w:rsid w:val="006E7B36"/>
    <w:rsid w:val="006E7DAC"/>
    <w:rsid w:val="006E7E6E"/>
    <w:rsid w:val="006EF91E"/>
    <w:rsid w:val="006F0076"/>
    <w:rsid w:val="006F02BD"/>
    <w:rsid w:val="006F0345"/>
    <w:rsid w:val="006F043A"/>
    <w:rsid w:val="006F0523"/>
    <w:rsid w:val="006F0A2E"/>
    <w:rsid w:val="006F0E2D"/>
    <w:rsid w:val="006F0E6D"/>
    <w:rsid w:val="006F0F59"/>
    <w:rsid w:val="006F14C2"/>
    <w:rsid w:val="006F15D2"/>
    <w:rsid w:val="006F182F"/>
    <w:rsid w:val="006F1A0C"/>
    <w:rsid w:val="006F1BB1"/>
    <w:rsid w:val="006F1C58"/>
    <w:rsid w:val="006F1D06"/>
    <w:rsid w:val="006F1D31"/>
    <w:rsid w:val="006F1D7E"/>
    <w:rsid w:val="006F1FFB"/>
    <w:rsid w:val="006F20BF"/>
    <w:rsid w:val="006F2151"/>
    <w:rsid w:val="006F2182"/>
    <w:rsid w:val="006F21D7"/>
    <w:rsid w:val="006F2287"/>
    <w:rsid w:val="006F2340"/>
    <w:rsid w:val="006F24A1"/>
    <w:rsid w:val="006F24DD"/>
    <w:rsid w:val="006F2524"/>
    <w:rsid w:val="006F254F"/>
    <w:rsid w:val="006F2856"/>
    <w:rsid w:val="006F2D4C"/>
    <w:rsid w:val="006F2FFD"/>
    <w:rsid w:val="006F310A"/>
    <w:rsid w:val="006F3133"/>
    <w:rsid w:val="006F33E9"/>
    <w:rsid w:val="006F3698"/>
    <w:rsid w:val="006F36EA"/>
    <w:rsid w:val="006F38C8"/>
    <w:rsid w:val="006F394A"/>
    <w:rsid w:val="006F3967"/>
    <w:rsid w:val="006F3F98"/>
    <w:rsid w:val="006F4249"/>
    <w:rsid w:val="006F44D5"/>
    <w:rsid w:val="006F45B7"/>
    <w:rsid w:val="006F4909"/>
    <w:rsid w:val="006F4A8C"/>
    <w:rsid w:val="006F4BCA"/>
    <w:rsid w:val="006F4FE3"/>
    <w:rsid w:val="006F5020"/>
    <w:rsid w:val="006F507C"/>
    <w:rsid w:val="006F5398"/>
    <w:rsid w:val="006F539A"/>
    <w:rsid w:val="006F5422"/>
    <w:rsid w:val="006F5674"/>
    <w:rsid w:val="006F56CB"/>
    <w:rsid w:val="006F5A66"/>
    <w:rsid w:val="006F5CF5"/>
    <w:rsid w:val="006F5E70"/>
    <w:rsid w:val="006F6184"/>
    <w:rsid w:val="006F6342"/>
    <w:rsid w:val="006F6344"/>
    <w:rsid w:val="006F6378"/>
    <w:rsid w:val="006F639A"/>
    <w:rsid w:val="006F64E8"/>
    <w:rsid w:val="006F66C3"/>
    <w:rsid w:val="006F66E0"/>
    <w:rsid w:val="006F69CA"/>
    <w:rsid w:val="006F6BCF"/>
    <w:rsid w:val="006F7064"/>
    <w:rsid w:val="006F70F7"/>
    <w:rsid w:val="006F7824"/>
    <w:rsid w:val="006F7A61"/>
    <w:rsid w:val="006F7E71"/>
    <w:rsid w:val="006F7FFB"/>
    <w:rsid w:val="007002D6"/>
    <w:rsid w:val="007002F9"/>
    <w:rsid w:val="0070033C"/>
    <w:rsid w:val="00700580"/>
    <w:rsid w:val="007005C0"/>
    <w:rsid w:val="007008A6"/>
    <w:rsid w:val="00700CED"/>
    <w:rsid w:val="00700F8F"/>
    <w:rsid w:val="007010F1"/>
    <w:rsid w:val="007012A6"/>
    <w:rsid w:val="00701348"/>
    <w:rsid w:val="0070145D"/>
    <w:rsid w:val="00701745"/>
    <w:rsid w:val="00701848"/>
    <w:rsid w:val="00702556"/>
    <w:rsid w:val="00702794"/>
    <w:rsid w:val="007029E2"/>
    <w:rsid w:val="00702B4D"/>
    <w:rsid w:val="00702C19"/>
    <w:rsid w:val="00702F8C"/>
    <w:rsid w:val="00702F9C"/>
    <w:rsid w:val="00703149"/>
    <w:rsid w:val="0070335E"/>
    <w:rsid w:val="00703491"/>
    <w:rsid w:val="00703503"/>
    <w:rsid w:val="00703559"/>
    <w:rsid w:val="007035C4"/>
    <w:rsid w:val="0070373A"/>
    <w:rsid w:val="007037A9"/>
    <w:rsid w:val="007038F8"/>
    <w:rsid w:val="00703960"/>
    <w:rsid w:val="00703AF6"/>
    <w:rsid w:val="00703B65"/>
    <w:rsid w:val="00703C98"/>
    <w:rsid w:val="00704465"/>
    <w:rsid w:val="00704537"/>
    <w:rsid w:val="00704615"/>
    <w:rsid w:val="0070464A"/>
    <w:rsid w:val="00704751"/>
    <w:rsid w:val="00704993"/>
    <w:rsid w:val="0070503B"/>
    <w:rsid w:val="007051E2"/>
    <w:rsid w:val="0070546D"/>
    <w:rsid w:val="0070582B"/>
    <w:rsid w:val="007059A7"/>
    <w:rsid w:val="00705A11"/>
    <w:rsid w:val="00705BAE"/>
    <w:rsid w:val="00705CE7"/>
    <w:rsid w:val="00705E40"/>
    <w:rsid w:val="00705F18"/>
    <w:rsid w:val="007060FE"/>
    <w:rsid w:val="00706173"/>
    <w:rsid w:val="007062A9"/>
    <w:rsid w:val="007062EC"/>
    <w:rsid w:val="0070632E"/>
    <w:rsid w:val="0070647C"/>
    <w:rsid w:val="007064CF"/>
    <w:rsid w:val="0070654E"/>
    <w:rsid w:val="00706585"/>
    <w:rsid w:val="0070694E"/>
    <w:rsid w:val="00706E31"/>
    <w:rsid w:val="00707274"/>
    <w:rsid w:val="00707503"/>
    <w:rsid w:val="00707532"/>
    <w:rsid w:val="00707712"/>
    <w:rsid w:val="0070778C"/>
    <w:rsid w:val="007077B0"/>
    <w:rsid w:val="0070794D"/>
    <w:rsid w:val="00707A3F"/>
    <w:rsid w:val="00707BE1"/>
    <w:rsid w:val="00707BFD"/>
    <w:rsid w:val="007100EC"/>
    <w:rsid w:val="007101C0"/>
    <w:rsid w:val="007101C5"/>
    <w:rsid w:val="00710525"/>
    <w:rsid w:val="0071057F"/>
    <w:rsid w:val="00710A9D"/>
    <w:rsid w:val="00710CE7"/>
    <w:rsid w:val="00710EAD"/>
    <w:rsid w:val="00710F76"/>
    <w:rsid w:val="0071135D"/>
    <w:rsid w:val="00711562"/>
    <w:rsid w:val="0071168E"/>
    <w:rsid w:val="00711976"/>
    <w:rsid w:val="00711E19"/>
    <w:rsid w:val="00711EAA"/>
    <w:rsid w:val="007120AC"/>
    <w:rsid w:val="00712180"/>
    <w:rsid w:val="007123D3"/>
    <w:rsid w:val="00712462"/>
    <w:rsid w:val="007124D0"/>
    <w:rsid w:val="00712514"/>
    <w:rsid w:val="00712580"/>
    <w:rsid w:val="0071281F"/>
    <w:rsid w:val="00712825"/>
    <w:rsid w:val="007129B1"/>
    <w:rsid w:val="00712A1B"/>
    <w:rsid w:val="00712ED6"/>
    <w:rsid w:val="00712FC1"/>
    <w:rsid w:val="00713035"/>
    <w:rsid w:val="00713108"/>
    <w:rsid w:val="007131B6"/>
    <w:rsid w:val="007132E7"/>
    <w:rsid w:val="00713716"/>
    <w:rsid w:val="0071380E"/>
    <w:rsid w:val="00713CCA"/>
    <w:rsid w:val="00713E28"/>
    <w:rsid w:val="00713EB2"/>
    <w:rsid w:val="00713F9B"/>
    <w:rsid w:val="0071413E"/>
    <w:rsid w:val="007143E5"/>
    <w:rsid w:val="0071442D"/>
    <w:rsid w:val="0071449D"/>
    <w:rsid w:val="00714580"/>
    <w:rsid w:val="0071478D"/>
    <w:rsid w:val="00714B29"/>
    <w:rsid w:val="00714BD0"/>
    <w:rsid w:val="0071501E"/>
    <w:rsid w:val="007150B8"/>
    <w:rsid w:val="00715403"/>
    <w:rsid w:val="007155E0"/>
    <w:rsid w:val="007156CC"/>
    <w:rsid w:val="0071590A"/>
    <w:rsid w:val="00715A59"/>
    <w:rsid w:val="00715ABF"/>
    <w:rsid w:val="00715C4F"/>
    <w:rsid w:val="00715DCC"/>
    <w:rsid w:val="00716108"/>
    <w:rsid w:val="00716190"/>
    <w:rsid w:val="0071638D"/>
    <w:rsid w:val="00716624"/>
    <w:rsid w:val="00716BC7"/>
    <w:rsid w:val="00716CB4"/>
    <w:rsid w:val="007172F7"/>
    <w:rsid w:val="00717329"/>
    <w:rsid w:val="00717353"/>
    <w:rsid w:val="007175F1"/>
    <w:rsid w:val="00717648"/>
    <w:rsid w:val="00717744"/>
    <w:rsid w:val="007178CB"/>
    <w:rsid w:val="00717AEE"/>
    <w:rsid w:val="00717BB5"/>
    <w:rsid w:val="00717C13"/>
    <w:rsid w:val="00717C3C"/>
    <w:rsid w:val="007203D6"/>
    <w:rsid w:val="007204B1"/>
    <w:rsid w:val="0072053E"/>
    <w:rsid w:val="0072074C"/>
    <w:rsid w:val="007207BB"/>
    <w:rsid w:val="0072094B"/>
    <w:rsid w:val="00720D18"/>
    <w:rsid w:val="00720E60"/>
    <w:rsid w:val="0072130C"/>
    <w:rsid w:val="0072136B"/>
    <w:rsid w:val="00721A9D"/>
    <w:rsid w:val="00721C26"/>
    <w:rsid w:val="00721C2D"/>
    <w:rsid w:val="00722272"/>
    <w:rsid w:val="0072250B"/>
    <w:rsid w:val="00722555"/>
    <w:rsid w:val="007229EC"/>
    <w:rsid w:val="00722B92"/>
    <w:rsid w:val="00722F40"/>
    <w:rsid w:val="007230A1"/>
    <w:rsid w:val="00723130"/>
    <w:rsid w:val="00723134"/>
    <w:rsid w:val="0072329C"/>
    <w:rsid w:val="007232A1"/>
    <w:rsid w:val="007232CC"/>
    <w:rsid w:val="00723343"/>
    <w:rsid w:val="00723608"/>
    <w:rsid w:val="007238C4"/>
    <w:rsid w:val="00723EA3"/>
    <w:rsid w:val="00723FB1"/>
    <w:rsid w:val="007240C2"/>
    <w:rsid w:val="00724317"/>
    <w:rsid w:val="00724383"/>
    <w:rsid w:val="007244DF"/>
    <w:rsid w:val="007245F7"/>
    <w:rsid w:val="00724BFE"/>
    <w:rsid w:val="00724D16"/>
    <w:rsid w:val="00724D33"/>
    <w:rsid w:val="00724EBC"/>
    <w:rsid w:val="0072508F"/>
    <w:rsid w:val="007252E2"/>
    <w:rsid w:val="0072546B"/>
    <w:rsid w:val="00725501"/>
    <w:rsid w:val="007258CD"/>
    <w:rsid w:val="0072591C"/>
    <w:rsid w:val="00725A28"/>
    <w:rsid w:val="00725A3D"/>
    <w:rsid w:val="00725A7C"/>
    <w:rsid w:val="00725BC3"/>
    <w:rsid w:val="00725C2A"/>
    <w:rsid w:val="00725CD5"/>
    <w:rsid w:val="00725F9B"/>
    <w:rsid w:val="0072603A"/>
    <w:rsid w:val="0072619D"/>
    <w:rsid w:val="0072632B"/>
    <w:rsid w:val="00726393"/>
    <w:rsid w:val="00726409"/>
    <w:rsid w:val="007264C3"/>
    <w:rsid w:val="00726546"/>
    <w:rsid w:val="007269CC"/>
    <w:rsid w:val="00726BD8"/>
    <w:rsid w:val="00726E16"/>
    <w:rsid w:val="00726E44"/>
    <w:rsid w:val="00726F20"/>
    <w:rsid w:val="00727548"/>
    <w:rsid w:val="007275F4"/>
    <w:rsid w:val="00727831"/>
    <w:rsid w:val="00727889"/>
    <w:rsid w:val="00727AB5"/>
    <w:rsid w:val="00727B52"/>
    <w:rsid w:val="00727CD8"/>
    <w:rsid w:val="00727DB7"/>
    <w:rsid w:val="00727E16"/>
    <w:rsid w:val="00727E5B"/>
    <w:rsid w:val="00730044"/>
    <w:rsid w:val="00730064"/>
    <w:rsid w:val="007302B3"/>
    <w:rsid w:val="00730340"/>
    <w:rsid w:val="00730429"/>
    <w:rsid w:val="0073049A"/>
    <w:rsid w:val="007305AB"/>
    <w:rsid w:val="0073061A"/>
    <w:rsid w:val="007306BE"/>
    <w:rsid w:val="007306DD"/>
    <w:rsid w:val="00730890"/>
    <w:rsid w:val="007310A6"/>
    <w:rsid w:val="0073129C"/>
    <w:rsid w:val="007313A3"/>
    <w:rsid w:val="00731B03"/>
    <w:rsid w:val="00731CA5"/>
    <w:rsid w:val="00731E6A"/>
    <w:rsid w:val="00731EBA"/>
    <w:rsid w:val="007320D1"/>
    <w:rsid w:val="00732304"/>
    <w:rsid w:val="007324A9"/>
    <w:rsid w:val="00732885"/>
    <w:rsid w:val="00732AE9"/>
    <w:rsid w:val="00732B60"/>
    <w:rsid w:val="00732C0A"/>
    <w:rsid w:val="00732CFF"/>
    <w:rsid w:val="00732D6A"/>
    <w:rsid w:val="00732EE1"/>
    <w:rsid w:val="00733474"/>
    <w:rsid w:val="00733515"/>
    <w:rsid w:val="007335E4"/>
    <w:rsid w:val="00733643"/>
    <w:rsid w:val="007336BE"/>
    <w:rsid w:val="007339C0"/>
    <w:rsid w:val="00733AB7"/>
    <w:rsid w:val="00733DBA"/>
    <w:rsid w:val="00733E15"/>
    <w:rsid w:val="007341BF"/>
    <w:rsid w:val="00734506"/>
    <w:rsid w:val="00734753"/>
    <w:rsid w:val="007349D3"/>
    <w:rsid w:val="00734C0F"/>
    <w:rsid w:val="00734FA6"/>
    <w:rsid w:val="00734FC9"/>
    <w:rsid w:val="007354C6"/>
    <w:rsid w:val="007355AE"/>
    <w:rsid w:val="00735A6C"/>
    <w:rsid w:val="00735B00"/>
    <w:rsid w:val="00735C63"/>
    <w:rsid w:val="00735C83"/>
    <w:rsid w:val="007362A6"/>
    <w:rsid w:val="007363A9"/>
    <w:rsid w:val="00736464"/>
    <w:rsid w:val="007367E6"/>
    <w:rsid w:val="00736841"/>
    <w:rsid w:val="00736AC9"/>
    <w:rsid w:val="007371A4"/>
    <w:rsid w:val="0073725B"/>
    <w:rsid w:val="007374EF"/>
    <w:rsid w:val="007375BC"/>
    <w:rsid w:val="00737743"/>
    <w:rsid w:val="007377E8"/>
    <w:rsid w:val="0073795A"/>
    <w:rsid w:val="00737967"/>
    <w:rsid w:val="00737B02"/>
    <w:rsid w:val="00737BC2"/>
    <w:rsid w:val="00737C4B"/>
    <w:rsid w:val="0074007A"/>
    <w:rsid w:val="00740294"/>
    <w:rsid w:val="0074029F"/>
    <w:rsid w:val="0074056A"/>
    <w:rsid w:val="00740599"/>
    <w:rsid w:val="007408B3"/>
    <w:rsid w:val="00740940"/>
    <w:rsid w:val="00740C14"/>
    <w:rsid w:val="007411F0"/>
    <w:rsid w:val="0074128B"/>
    <w:rsid w:val="007412ED"/>
    <w:rsid w:val="007413EA"/>
    <w:rsid w:val="007415B8"/>
    <w:rsid w:val="00741638"/>
    <w:rsid w:val="00741853"/>
    <w:rsid w:val="00741FF9"/>
    <w:rsid w:val="00742298"/>
    <w:rsid w:val="00742315"/>
    <w:rsid w:val="007423C1"/>
    <w:rsid w:val="00742551"/>
    <w:rsid w:val="00742579"/>
    <w:rsid w:val="00742902"/>
    <w:rsid w:val="00742BA8"/>
    <w:rsid w:val="00742D7C"/>
    <w:rsid w:val="0074300B"/>
    <w:rsid w:val="0074302C"/>
    <w:rsid w:val="00743530"/>
    <w:rsid w:val="00743544"/>
    <w:rsid w:val="00743751"/>
    <w:rsid w:val="0074384F"/>
    <w:rsid w:val="00743B15"/>
    <w:rsid w:val="00743B2B"/>
    <w:rsid w:val="00743B81"/>
    <w:rsid w:val="00743E39"/>
    <w:rsid w:val="00743FDC"/>
    <w:rsid w:val="0074415E"/>
    <w:rsid w:val="0074426A"/>
    <w:rsid w:val="007446D8"/>
    <w:rsid w:val="00744C1B"/>
    <w:rsid w:val="00744CC9"/>
    <w:rsid w:val="00744D58"/>
    <w:rsid w:val="0074501E"/>
    <w:rsid w:val="00745732"/>
    <w:rsid w:val="0074576A"/>
    <w:rsid w:val="007457E2"/>
    <w:rsid w:val="0074586F"/>
    <w:rsid w:val="007458F2"/>
    <w:rsid w:val="00745A4F"/>
    <w:rsid w:val="00745AAF"/>
    <w:rsid w:val="00745BEE"/>
    <w:rsid w:val="00745C4B"/>
    <w:rsid w:val="00745D7A"/>
    <w:rsid w:val="00745FDB"/>
    <w:rsid w:val="007462DD"/>
    <w:rsid w:val="00746445"/>
    <w:rsid w:val="0074662D"/>
    <w:rsid w:val="00746677"/>
    <w:rsid w:val="00746685"/>
    <w:rsid w:val="00746812"/>
    <w:rsid w:val="00746C90"/>
    <w:rsid w:val="00746E0E"/>
    <w:rsid w:val="00746ED9"/>
    <w:rsid w:val="0074715B"/>
    <w:rsid w:val="0074725E"/>
    <w:rsid w:val="00747359"/>
    <w:rsid w:val="00747399"/>
    <w:rsid w:val="007473D2"/>
    <w:rsid w:val="0074740D"/>
    <w:rsid w:val="00747454"/>
    <w:rsid w:val="00747652"/>
    <w:rsid w:val="007476FE"/>
    <w:rsid w:val="00747957"/>
    <w:rsid w:val="00747A25"/>
    <w:rsid w:val="00747C90"/>
    <w:rsid w:val="007500B9"/>
    <w:rsid w:val="007503C1"/>
    <w:rsid w:val="0075093C"/>
    <w:rsid w:val="00750EA5"/>
    <w:rsid w:val="00750EE8"/>
    <w:rsid w:val="0075117A"/>
    <w:rsid w:val="00751412"/>
    <w:rsid w:val="00751640"/>
    <w:rsid w:val="00751693"/>
    <w:rsid w:val="0075189F"/>
    <w:rsid w:val="00751FDF"/>
    <w:rsid w:val="0075212E"/>
    <w:rsid w:val="00752168"/>
    <w:rsid w:val="00752289"/>
    <w:rsid w:val="00752333"/>
    <w:rsid w:val="00752435"/>
    <w:rsid w:val="0075253F"/>
    <w:rsid w:val="00752643"/>
    <w:rsid w:val="0075276A"/>
    <w:rsid w:val="0075293A"/>
    <w:rsid w:val="00752965"/>
    <w:rsid w:val="0075296D"/>
    <w:rsid w:val="00752B3A"/>
    <w:rsid w:val="00752B78"/>
    <w:rsid w:val="00752BF1"/>
    <w:rsid w:val="00752E99"/>
    <w:rsid w:val="00752FCC"/>
    <w:rsid w:val="00753032"/>
    <w:rsid w:val="007530B7"/>
    <w:rsid w:val="007530D1"/>
    <w:rsid w:val="007532A7"/>
    <w:rsid w:val="00753354"/>
    <w:rsid w:val="0075344E"/>
    <w:rsid w:val="00753559"/>
    <w:rsid w:val="00753741"/>
    <w:rsid w:val="007537DA"/>
    <w:rsid w:val="00753CC2"/>
    <w:rsid w:val="00753D79"/>
    <w:rsid w:val="00753E60"/>
    <w:rsid w:val="007542E6"/>
    <w:rsid w:val="007545DC"/>
    <w:rsid w:val="00754672"/>
    <w:rsid w:val="007546AF"/>
    <w:rsid w:val="007546FD"/>
    <w:rsid w:val="007547B8"/>
    <w:rsid w:val="00754A23"/>
    <w:rsid w:val="00754C3B"/>
    <w:rsid w:val="00754C7F"/>
    <w:rsid w:val="00754CBF"/>
    <w:rsid w:val="00754F41"/>
    <w:rsid w:val="00755146"/>
    <w:rsid w:val="0075546B"/>
    <w:rsid w:val="007555CF"/>
    <w:rsid w:val="00755C73"/>
    <w:rsid w:val="00755E32"/>
    <w:rsid w:val="00756329"/>
    <w:rsid w:val="00756611"/>
    <w:rsid w:val="0075674B"/>
    <w:rsid w:val="00756815"/>
    <w:rsid w:val="00756874"/>
    <w:rsid w:val="00756926"/>
    <w:rsid w:val="0075698D"/>
    <w:rsid w:val="00756CBF"/>
    <w:rsid w:val="00756CE2"/>
    <w:rsid w:val="00756DEA"/>
    <w:rsid w:val="00756FAD"/>
    <w:rsid w:val="00757242"/>
    <w:rsid w:val="00757431"/>
    <w:rsid w:val="00757AA7"/>
    <w:rsid w:val="00757B8A"/>
    <w:rsid w:val="00757BF4"/>
    <w:rsid w:val="00757E74"/>
    <w:rsid w:val="0076025E"/>
    <w:rsid w:val="0076042F"/>
    <w:rsid w:val="00760482"/>
    <w:rsid w:val="007604C9"/>
    <w:rsid w:val="00760A41"/>
    <w:rsid w:val="00760A6C"/>
    <w:rsid w:val="00760B79"/>
    <w:rsid w:val="00760DE7"/>
    <w:rsid w:val="00760DF7"/>
    <w:rsid w:val="00760EE2"/>
    <w:rsid w:val="007611B0"/>
    <w:rsid w:val="007612BC"/>
    <w:rsid w:val="00761702"/>
    <w:rsid w:val="00761742"/>
    <w:rsid w:val="007618F2"/>
    <w:rsid w:val="00761A28"/>
    <w:rsid w:val="00761A92"/>
    <w:rsid w:val="00761EBF"/>
    <w:rsid w:val="00761F85"/>
    <w:rsid w:val="00762078"/>
    <w:rsid w:val="007620F4"/>
    <w:rsid w:val="00762110"/>
    <w:rsid w:val="007622E1"/>
    <w:rsid w:val="0076236D"/>
    <w:rsid w:val="007623C5"/>
    <w:rsid w:val="0076242C"/>
    <w:rsid w:val="0076271D"/>
    <w:rsid w:val="00762766"/>
    <w:rsid w:val="0076280B"/>
    <w:rsid w:val="0076283B"/>
    <w:rsid w:val="007629D5"/>
    <w:rsid w:val="00762D60"/>
    <w:rsid w:val="00762FE9"/>
    <w:rsid w:val="00763004"/>
    <w:rsid w:val="007630B9"/>
    <w:rsid w:val="00763472"/>
    <w:rsid w:val="00763496"/>
    <w:rsid w:val="0076355C"/>
    <w:rsid w:val="007635C1"/>
    <w:rsid w:val="00763677"/>
    <w:rsid w:val="00763745"/>
    <w:rsid w:val="00763749"/>
    <w:rsid w:val="00763BF9"/>
    <w:rsid w:val="00763D92"/>
    <w:rsid w:val="00763E0F"/>
    <w:rsid w:val="007641E9"/>
    <w:rsid w:val="00764294"/>
    <w:rsid w:val="007642BB"/>
    <w:rsid w:val="00764303"/>
    <w:rsid w:val="00764422"/>
    <w:rsid w:val="007644B5"/>
    <w:rsid w:val="00764659"/>
    <w:rsid w:val="0076466C"/>
    <w:rsid w:val="00764B54"/>
    <w:rsid w:val="00764B5E"/>
    <w:rsid w:val="00764C5B"/>
    <w:rsid w:val="00764F05"/>
    <w:rsid w:val="00764F44"/>
    <w:rsid w:val="00764F71"/>
    <w:rsid w:val="0076518C"/>
    <w:rsid w:val="00765700"/>
    <w:rsid w:val="00765799"/>
    <w:rsid w:val="007657F8"/>
    <w:rsid w:val="00765B78"/>
    <w:rsid w:val="00765C6B"/>
    <w:rsid w:val="0076644F"/>
    <w:rsid w:val="00766518"/>
    <w:rsid w:val="007665AA"/>
    <w:rsid w:val="00766681"/>
    <w:rsid w:val="00766C3C"/>
    <w:rsid w:val="00766CAA"/>
    <w:rsid w:val="00766FAB"/>
    <w:rsid w:val="0076704A"/>
    <w:rsid w:val="00767554"/>
    <w:rsid w:val="00767600"/>
    <w:rsid w:val="00767653"/>
    <w:rsid w:val="00767A94"/>
    <w:rsid w:val="00767BA6"/>
    <w:rsid w:val="00767F4B"/>
    <w:rsid w:val="00767FAA"/>
    <w:rsid w:val="00770170"/>
    <w:rsid w:val="007702BB"/>
    <w:rsid w:val="00770328"/>
    <w:rsid w:val="00770404"/>
    <w:rsid w:val="00770532"/>
    <w:rsid w:val="00770559"/>
    <w:rsid w:val="00770751"/>
    <w:rsid w:val="00770A30"/>
    <w:rsid w:val="00770A3C"/>
    <w:rsid w:val="00771047"/>
    <w:rsid w:val="00771352"/>
    <w:rsid w:val="00771498"/>
    <w:rsid w:val="0077170E"/>
    <w:rsid w:val="0077181F"/>
    <w:rsid w:val="007720C6"/>
    <w:rsid w:val="00772231"/>
    <w:rsid w:val="0077246E"/>
    <w:rsid w:val="00772A22"/>
    <w:rsid w:val="00772D6B"/>
    <w:rsid w:val="00772DEA"/>
    <w:rsid w:val="007730F0"/>
    <w:rsid w:val="00773372"/>
    <w:rsid w:val="007733ED"/>
    <w:rsid w:val="00773633"/>
    <w:rsid w:val="00773962"/>
    <w:rsid w:val="007739C4"/>
    <w:rsid w:val="00773AD9"/>
    <w:rsid w:val="00773E0F"/>
    <w:rsid w:val="00774035"/>
    <w:rsid w:val="0077406C"/>
    <w:rsid w:val="00774117"/>
    <w:rsid w:val="00774361"/>
    <w:rsid w:val="0077436A"/>
    <w:rsid w:val="007747DC"/>
    <w:rsid w:val="007749AE"/>
    <w:rsid w:val="00774BE5"/>
    <w:rsid w:val="00774D8F"/>
    <w:rsid w:val="00774DB6"/>
    <w:rsid w:val="00774F2D"/>
    <w:rsid w:val="0077523F"/>
    <w:rsid w:val="00775376"/>
    <w:rsid w:val="007753D8"/>
    <w:rsid w:val="00775658"/>
    <w:rsid w:val="0077576D"/>
    <w:rsid w:val="0077594A"/>
    <w:rsid w:val="00775C78"/>
    <w:rsid w:val="00775C82"/>
    <w:rsid w:val="00775D41"/>
    <w:rsid w:val="00775D9A"/>
    <w:rsid w:val="00775E4B"/>
    <w:rsid w:val="00775F70"/>
    <w:rsid w:val="007761A3"/>
    <w:rsid w:val="007762D1"/>
    <w:rsid w:val="007764C9"/>
    <w:rsid w:val="00776525"/>
    <w:rsid w:val="00776607"/>
    <w:rsid w:val="007768D2"/>
    <w:rsid w:val="00776964"/>
    <w:rsid w:val="00776A18"/>
    <w:rsid w:val="00776F6D"/>
    <w:rsid w:val="00776FD7"/>
    <w:rsid w:val="007772E8"/>
    <w:rsid w:val="00777309"/>
    <w:rsid w:val="007776B0"/>
    <w:rsid w:val="00777A7F"/>
    <w:rsid w:val="00777B9A"/>
    <w:rsid w:val="00777BCF"/>
    <w:rsid w:val="0078021D"/>
    <w:rsid w:val="0078061E"/>
    <w:rsid w:val="007806EF"/>
    <w:rsid w:val="00780733"/>
    <w:rsid w:val="007807AE"/>
    <w:rsid w:val="00780ADF"/>
    <w:rsid w:val="00780D33"/>
    <w:rsid w:val="00780EE0"/>
    <w:rsid w:val="00781347"/>
    <w:rsid w:val="007813AF"/>
    <w:rsid w:val="00781647"/>
    <w:rsid w:val="00781791"/>
    <w:rsid w:val="00781A47"/>
    <w:rsid w:val="00781C4B"/>
    <w:rsid w:val="00781D4C"/>
    <w:rsid w:val="00782105"/>
    <w:rsid w:val="00782242"/>
    <w:rsid w:val="0078228A"/>
    <w:rsid w:val="0078246E"/>
    <w:rsid w:val="0078262E"/>
    <w:rsid w:val="00782688"/>
    <w:rsid w:val="007827BC"/>
    <w:rsid w:val="00782D52"/>
    <w:rsid w:val="00782D97"/>
    <w:rsid w:val="007830AF"/>
    <w:rsid w:val="007830FC"/>
    <w:rsid w:val="00783167"/>
    <w:rsid w:val="00783286"/>
    <w:rsid w:val="007834C9"/>
    <w:rsid w:val="00783730"/>
    <w:rsid w:val="007838BA"/>
    <w:rsid w:val="00783AA5"/>
    <w:rsid w:val="00783B03"/>
    <w:rsid w:val="00783BA9"/>
    <w:rsid w:val="00783CA7"/>
    <w:rsid w:val="00783CBB"/>
    <w:rsid w:val="00783E0D"/>
    <w:rsid w:val="00783E82"/>
    <w:rsid w:val="00783F0E"/>
    <w:rsid w:val="007841CB"/>
    <w:rsid w:val="00784286"/>
    <w:rsid w:val="00784407"/>
    <w:rsid w:val="007844BD"/>
    <w:rsid w:val="00784742"/>
    <w:rsid w:val="00784E39"/>
    <w:rsid w:val="0078503F"/>
    <w:rsid w:val="0078527E"/>
    <w:rsid w:val="00785378"/>
    <w:rsid w:val="007853DB"/>
    <w:rsid w:val="007854D2"/>
    <w:rsid w:val="007854FA"/>
    <w:rsid w:val="00785546"/>
    <w:rsid w:val="0078554A"/>
    <w:rsid w:val="007855DF"/>
    <w:rsid w:val="007856A2"/>
    <w:rsid w:val="0078578F"/>
    <w:rsid w:val="007859CF"/>
    <w:rsid w:val="00785BC0"/>
    <w:rsid w:val="00785BC9"/>
    <w:rsid w:val="00785D40"/>
    <w:rsid w:val="00785DD5"/>
    <w:rsid w:val="00786029"/>
    <w:rsid w:val="0078626E"/>
    <w:rsid w:val="0078631F"/>
    <w:rsid w:val="00786429"/>
    <w:rsid w:val="00786454"/>
    <w:rsid w:val="007865B6"/>
    <w:rsid w:val="007865CE"/>
    <w:rsid w:val="00786B1B"/>
    <w:rsid w:val="00786C41"/>
    <w:rsid w:val="0078780E"/>
    <w:rsid w:val="0078783C"/>
    <w:rsid w:val="007878D6"/>
    <w:rsid w:val="007878FC"/>
    <w:rsid w:val="00787AB6"/>
    <w:rsid w:val="00787E99"/>
    <w:rsid w:val="00787F40"/>
    <w:rsid w:val="00787FFE"/>
    <w:rsid w:val="00790339"/>
    <w:rsid w:val="00790449"/>
    <w:rsid w:val="007904CC"/>
    <w:rsid w:val="00790886"/>
    <w:rsid w:val="00790A96"/>
    <w:rsid w:val="00790EE8"/>
    <w:rsid w:val="00790FC4"/>
    <w:rsid w:val="0079106C"/>
    <w:rsid w:val="007910DC"/>
    <w:rsid w:val="007911A3"/>
    <w:rsid w:val="0079149A"/>
    <w:rsid w:val="007914E2"/>
    <w:rsid w:val="007918AB"/>
    <w:rsid w:val="0079196F"/>
    <w:rsid w:val="00791AB0"/>
    <w:rsid w:val="007924DA"/>
    <w:rsid w:val="0079261F"/>
    <w:rsid w:val="00792709"/>
    <w:rsid w:val="007927C6"/>
    <w:rsid w:val="00792800"/>
    <w:rsid w:val="00792969"/>
    <w:rsid w:val="007929EB"/>
    <w:rsid w:val="00793121"/>
    <w:rsid w:val="00793295"/>
    <w:rsid w:val="007935B5"/>
    <w:rsid w:val="00793A61"/>
    <w:rsid w:val="00793AF5"/>
    <w:rsid w:val="00793BBE"/>
    <w:rsid w:val="00793C18"/>
    <w:rsid w:val="00793D38"/>
    <w:rsid w:val="00793D57"/>
    <w:rsid w:val="00793ECD"/>
    <w:rsid w:val="0079400F"/>
    <w:rsid w:val="0079407D"/>
    <w:rsid w:val="00794090"/>
    <w:rsid w:val="0079413D"/>
    <w:rsid w:val="00794424"/>
    <w:rsid w:val="00794441"/>
    <w:rsid w:val="007946DF"/>
    <w:rsid w:val="007947ED"/>
    <w:rsid w:val="0079480A"/>
    <w:rsid w:val="00794AE4"/>
    <w:rsid w:val="00794CC8"/>
    <w:rsid w:val="00794CF9"/>
    <w:rsid w:val="00794D74"/>
    <w:rsid w:val="00794E1D"/>
    <w:rsid w:val="00794EB1"/>
    <w:rsid w:val="00795015"/>
    <w:rsid w:val="007952F5"/>
    <w:rsid w:val="00795328"/>
    <w:rsid w:val="0079542D"/>
    <w:rsid w:val="00795CB4"/>
    <w:rsid w:val="00795CE1"/>
    <w:rsid w:val="00795D7A"/>
    <w:rsid w:val="00795EE2"/>
    <w:rsid w:val="00796008"/>
    <w:rsid w:val="00796113"/>
    <w:rsid w:val="00796312"/>
    <w:rsid w:val="00796416"/>
    <w:rsid w:val="00796514"/>
    <w:rsid w:val="0079684E"/>
    <w:rsid w:val="00796941"/>
    <w:rsid w:val="00796BF6"/>
    <w:rsid w:val="00796E0C"/>
    <w:rsid w:val="00796FEA"/>
    <w:rsid w:val="00797064"/>
    <w:rsid w:val="0079712B"/>
    <w:rsid w:val="00797155"/>
    <w:rsid w:val="0079750E"/>
    <w:rsid w:val="00797773"/>
    <w:rsid w:val="0079784A"/>
    <w:rsid w:val="007979AB"/>
    <w:rsid w:val="007979F6"/>
    <w:rsid w:val="00797AD2"/>
    <w:rsid w:val="00797B04"/>
    <w:rsid w:val="00797B26"/>
    <w:rsid w:val="00797CA0"/>
    <w:rsid w:val="00797E6D"/>
    <w:rsid w:val="00797EC5"/>
    <w:rsid w:val="007A00AF"/>
    <w:rsid w:val="007A03B6"/>
    <w:rsid w:val="007A0422"/>
    <w:rsid w:val="007A0B2E"/>
    <w:rsid w:val="007A0CFB"/>
    <w:rsid w:val="007A11D0"/>
    <w:rsid w:val="007A1421"/>
    <w:rsid w:val="007A16C0"/>
    <w:rsid w:val="007A190E"/>
    <w:rsid w:val="007A1A50"/>
    <w:rsid w:val="007A1E3C"/>
    <w:rsid w:val="007A20C5"/>
    <w:rsid w:val="007A2246"/>
    <w:rsid w:val="007A2267"/>
    <w:rsid w:val="007A22C5"/>
    <w:rsid w:val="007A24C0"/>
    <w:rsid w:val="007A26C6"/>
    <w:rsid w:val="007A285F"/>
    <w:rsid w:val="007A2CAA"/>
    <w:rsid w:val="007A2D09"/>
    <w:rsid w:val="007A322C"/>
    <w:rsid w:val="007A33FE"/>
    <w:rsid w:val="007A3416"/>
    <w:rsid w:val="007A344F"/>
    <w:rsid w:val="007A3470"/>
    <w:rsid w:val="007A34B5"/>
    <w:rsid w:val="007A3556"/>
    <w:rsid w:val="007A356B"/>
    <w:rsid w:val="007A37A9"/>
    <w:rsid w:val="007A39FB"/>
    <w:rsid w:val="007A3D04"/>
    <w:rsid w:val="007A3D48"/>
    <w:rsid w:val="007A3FDD"/>
    <w:rsid w:val="007A442E"/>
    <w:rsid w:val="007A4579"/>
    <w:rsid w:val="007A45B3"/>
    <w:rsid w:val="007A4A33"/>
    <w:rsid w:val="007A4E19"/>
    <w:rsid w:val="007A51A3"/>
    <w:rsid w:val="007A566A"/>
    <w:rsid w:val="007A571A"/>
    <w:rsid w:val="007A57A6"/>
    <w:rsid w:val="007A5803"/>
    <w:rsid w:val="007A58A3"/>
    <w:rsid w:val="007A599C"/>
    <w:rsid w:val="007A5A0E"/>
    <w:rsid w:val="007A5BC9"/>
    <w:rsid w:val="007A5BEC"/>
    <w:rsid w:val="007A5C61"/>
    <w:rsid w:val="007A5CA2"/>
    <w:rsid w:val="007A5EBC"/>
    <w:rsid w:val="007A61CC"/>
    <w:rsid w:val="007A6340"/>
    <w:rsid w:val="007A6350"/>
    <w:rsid w:val="007A65B1"/>
    <w:rsid w:val="007A66C0"/>
    <w:rsid w:val="007A675F"/>
    <w:rsid w:val="007A67CA"/>
    <w:rsid w:val="007A6902"/>
    <w:rsid w:val="007A6A44"/>
    <w:rsid w:val="007A6B26"/>
    <w:rsid w:val="007A6E30"/>
    <w:rsid w:val="007A7050"/>
    <w:rsid w:val="007A7280"/>
    <w:rsid w:val="007A734F"/>
    <w:rsid w:val="007A73DF"/>
    <w:rsid w:val="007A75F2"/>
    <w:rsid w:val="007A780B"/>
    <w:rsid w:val="007A799B"/>
    <w:rsid w:val="007A7D40"/>
    <w:rsid w:val="007B0007"/>
    <w:rsid w:val="007B005F"/>
    <w:rsid w:val="007B00FC"/>
    <w:rsid w:val="007B0194"/>
    <w:rsid w:val="007B049C"/>
    <w:rsid w:val="007B04DD"/>
    <w:rsid w:val="007B050B"/>
    <w:rsid w:val="007B0741"/>
    <w:rsid w:val="007B0B7C"/>
    <w:rsid w:val="007B0D81"/>
    <w:rsid w:val="007B0D8B"/>
    <w:rsid w:val="007B0E7C"/>
    <w:rsid w:val="007B0F2D"/>
    <w:rsid w:val="007B10B3"/>
    <w:rsid w:val="007B118D"/>
    <w:rsid w:val="007B11EF"/>
    <w:rsid w:val="007B13F9"/>
    <w:rsid w:val="007B1556"/>
    <w:rsid w:val="007B18BC"/>
    <w:rsid w:val="007B1929"/>
    <w:rsid w:val="007B192A"/>
    <w:rsid w:val="007B1955"/>
    <w:rsid w:val="007B1E0F"/>
    <w:rsid w:val="007B1F9C"/>
    <w:rsid w:val="007B20ED"/>
    <w:rsid w:val="007B227A"/>
    <w:rsid w:val="007B22D2"/>
    <w:rsid w:val="007B2317"/>
    <w:rsid w:val="007B23BA"/>
    <w:rsid w:val="007B2575"/>
    <w:rsid w:val="007B25EC"/>
    <w:rsid w:val="007B2C12"/>
    <w:rsid w:val="007B2F3F"/>
    <w:rsid w:val="007B3546"/>
    <w:rsid w:val="007B376C"/>
    <w:rsid w:val="007B3860"/>
    <w:rsid w:val="007B39B4"/>
    <w:rsid w:val="007B3A56"/>
    <w:rsid w:val="007B3D4A"/>
    <w:rsid w:val="007B3F99"/>
    <w:rsid w:val="007B4025"/>
    <w:rsid w:val="007B4166"/>
    <w:rsid w:val="007B433D"/>
    <w:rsid w:val="007B43B5"/>
    <w:rsid w:val="007B46CC"/>
    <w:rsid w:val="007B4757"/>
    <w:rsid w:val="007B48F0"/>
    <w:rsid w:val="007B4AA5"/>
    <w:rsid w:val="007B4EC9"/>
    <w:rsid w:val="007B5063"/>
    <w:rsid w:val="007B528F"/>
    <w:rsid w:val="007B547B"/>
    <w:rsid w:val="007B585C"/>
    <w:rsid w:val="007B5A2C"/>
    <w:rsid w:val="007B5DC0"/>
    <w:rsid w:val="007B5DCC"/>
    <w:rsid w:val="007B5EB1"/>
    <w:rsid w:val="007B6337"/>
    <w:rsid w:val="007B65FE"/>
    <w:rsid w:val="007B66B3"/>
    <w:rsid w:val="007B67EA"/>
    <w:rsid w:val="007B680C"/>
    <w:rsid w:val="007B6CD2"/>
    <w:rsid w:val="007B6ED9"/>
    <w:rsid w:val="007B7035"/>
    <w:rsid w:val="007B71F4"/>
    <w:rsid w:val="007B725D"/>
    <w:rsid w:val="007B74BC"/>
    <w:rsid w:val="007B74DD"/>
    <w:rsid w:val="007B7600"/>
    <w:rsid w:val="007B76DA"/>
    <w:rsid w:val="007B770F"/>
    <w:rsid w:val="007B7781"/>
    <w:rsid w:val="007B77E1"/>
    <w:rsid w:val="007B78F0"/>
    <w:rsid w:val="007B7D1D"/>
    <w:rsid w:val="007B7E8E"/>
    <w:rsid w:val="007B7F60"/>
    <w:rsid w:val="007C0024"/>
    <w:rsid w:val="007C01ED"/>
    <w:rsid w:val="007C0217"/>
    <w:rsid w:val="007C0333"/>
    <w:rsid w:val="007C0356"/>
    <w:rsid w:val="007C0A29"/>
    <w:rsid w:val="007C0A8D"/>
    <w:rsid w:val="007C0B88"/>
    <w:rsid w:val="007C109D"/>
    <w:rsid w:val="007C1349"/>
    <w:rsid w:val="007C134D"/>
    <w:rsid w:val="007C1373"/>
    <w:rsid w:val="007C167A"/>
    <w:rsid w:val="007C1703"/>
    <w:rsid w:val="007C18D2"/>
    <w:rsid w:val="007C1B1E"/>
    <w:rsid w:val="007C1B9F"/>
    <w:rsid w:val="007C1CCF"/>
    <w:rsid w:val="007C20C7"/>
    <w:rsid w:val="007C23E1"/>
    <w:rsid w:val="007C2584"/>
    <w:rsid w:val="007C25CB"/>
    <w:rsid w:val="007C25D7"/>
    <w:rsid w:val="007C261F"/>
    <w:rsid w:val="007C27A9"/>
    <w:rsid w:val="007C2926"/>
    <w:rsid w:val="007C2982"/>
    <w:rsid w:val="007C2A17"/>
    <w:rsid w:val="007C2D91"/>
    <w:rsid w:val="007C32A5"/>
    <w:rsid w:val="007C333A"/>
    <w:rsid w:val="007C3491"/>
    <w:rsid w:val="007C34C1"/>
    <w:rsid w:val="007C36F8"/>
    <w:rsid w:val="007C3769"/>
    <w:rsid w:val="007C3B48"/>
    <w:rsid w:val="007C3BF3"/>
    <w:rsid w:val="007C3C9F"/>
    <w:rsid w:val="007C3D5B"/>
    <w:rsid w:val="007C3FD6"/>
    <w:rsid w:val="007C4014"/>
    <w:rsid w:val="007C41D1"/>
    <w:rsid w:val="007C4555"/>
    <w:rsid w:val="007C47EB"/>
    <w:rsid w:val="007C480E"/>
    <w:rsid w:val="007C49BF"/>
    <w:rsid w:val="007C4A3F"/>
    <w:rsid w:val="007C4DB1"/>
    <w:rsid w:val="007C5207"/>
    <w:rsid w:val="007C540A"/>
    <w:rsid w:val="007C554A"/>
    <w:rsid w:val="007C5560"/>
    <w:rsid w:val="007C557F"/>
    <w:rsid w:val="007C55B7"/>
    <w:rsid w:val="007C56BA"/>
    <w:rsid w:val="007C5795"/>
    <w:rsid w:val="007C5849"/>
    <w:rsid w:val="007C5C7B"/>
    <w:rsid w:val="007C5CCC"/>
    <w:rsid w:val="007C5DFC"/>
    <w:rsid w:val="007C6323"/>
    <w:rsid w:val="007C67DB"/>
    <w:rsid w:val="007C68FF"/>
    <w:rsid w:val="007C698B"/>
    <w:rsid w:val="007C6C85"/>
    <w:rsid w:val="007C6FC0"/>
    <w:rsid w:val="007C719D"/>
    <w:rsid w:val="007C722A"/>
    <w:rsid w:val="007C733C"/>
    <w:rsid w:val="007C790A"/>
    <w:rsid w:val="007C7914"/>
    <w:rsid w:val="007C7939"/>
    <w:rsid w:val="007C7C03"/>
    <w:rsid w:val="007C7CED"/>
    <w:rsid w:val="007D01D3"/>
    <w:rsid w:val="007D0318"/>
    <w:rsid w:val="007D03FE"/>
    <w:rsid w:val="007D07C8"/>
    <w:rsid w:val="007D094B"/>
    <w:rsid w:val="007D0AF1"/>
    <w:rsid w:val="007D0C63"/>
    <w:rsid w:val="007D0DC1"/>
    <w:rsid w:val="007D0ED9"/>
    <w:rsid w:val="007D0F91"/>
    <w:rsid w:val="007D12F8"/>
    <w:rsid w:val="007D162A"/>
    <w:rsid w:val="007D16DF"/>
    <w:rsid w:val="007D1945"/>
    <w:rsid w:val="007D1964"/>
    <w:rsid w:val="007D1FA7"/>
    <w:rsid w:val="007D1FDA"/>
    <w:rsid w:val="007D2128"/>
    <w:rsid w:val="007D2493"/>
    <w:rsid w:val="007D25A0"/>
    <w:rsid w:val="007D2693"/>
    <w:rsid w:val="007D276C"/>
    <w:rsid w:val="007D2791"/>
    <w:rsid w:val="007D2877"/>
    <w:rsid w:val="007D2912"/>
    <w:rsid w:val="007D2B6B"/>
    <w:rsid w:val="007D2C11"/>
    <w:rsid w:val="007D2C49"/>
    <w:rsid w:val="007D2D3C"/>
    <w:rsid w:val="007D2EA1"/>
    <w:rsid w:val="007D2F3A"/>
    <w:rsid w:val="007D2FAC"/>
    <w:rsid w:val="007D32BE"/>
    <w:rsid w:val="007D3FBC"/>
    <w:rsid w:val="007D4298"/>
    <w:rsid w:val="007D4497"/>
    <w:rsid w:val="007D4808"/>
    <w:rsid w:val="007D4A64"/>
    <w:rsid w:val="007D4BE3"/>
    <w:rsid w:val="007D4DC0"/>
    <w:rsid w:val="007D5200"/>
    <w:rsid w:val="007D5213"/>
    <w:rsid w:val="007D5383"/>
    <w:rsid w:val="007D540A"/>
    <w:rsid w:val="007D55BE"/>
    <w:rsid w:val="007D5DED"/>
    <w:rsid w:val="007D5E58"/>
    <w:rsid w:val="007D5FEF"/>
    <w:rsid w:val="007D615C"/>
    <w:rsid w:val="007D6205"/>
    <w:rsid w:val="007D642F"/>
    <w:rsid w:val="007D69BA"/>
    <w:rsid w:val="007D6BC9"/>
    <w:rsid w:val="007D6CE0"/>
    <w:rsid w:val="007D6CE8"/>
    <w:rsid w:val="007D6F88"/>
    <w:rsid w:val="007D71C9"/>
    <w:rsid w:val="007D7500"/>
    <w:rsid w:val="007D7567"/>
    <w:rsid w:val="007D75DB"/>
    <w:rsid w:val="007D79BD"/>
    <w:rsid w:val="007D7A23"/>
    <w:rsid w:val="007D7B40"/>
    <w:rsid w:val="007D7D49"/>
    <w:rsid w:val="007D7E23"/>
    <w:rsid w:val="007D7E3C"/>
    <w:rsid w:val="007D7E9E"/>
    <w:rsid w:val="007D7FD9"/>
    <w:rsid w:val="007E005B"/>
    <w:rsid w:val="007E018D"/>
    <w:rsid w:val="007E0492"/>
    <w:rsid w:val="007E0614"/>
    <w:rsid w:val="007E0662"/>
    <w:rsid w:val="007E09A2"/>
    <w:rsid w:val="007E0B52"/>
    <w:rsid w:val="007E0D84"/>
    <w:rsid w:val="007E0F39"/>
    <w:rsid w:val="007E0F53"/>
    <w:rsid w:val="007E1197"/>
    <w:rsid w:val="007E124B"/>
    <w:rsid w:val="007E1336"/>
    <w:rsid w:val="007E138D"/>
    <w:rsid w:val="007E13C1"/>
    <w:rsid w:val="007E1542"/>
    <w:rsid w:val="007E154E"/>
    <w:rsid w:val="007E1595"/>
    <w:rsid w:val="007E1600"/>
    <w:rsid w:val="007E16C8"/>
    <w:rsid w:val="007E1791"/>
    <w:rsid w:val="007E185B"/>
    <w:rsid w:val="007E1911"/>
    <w:rsid w:val="007E199C"/>
    <w:rsid w:val="007E1D77"/>
    <w:rsid w:val="007E1F27"/>
    <w:rsid w:val="007E2529"/>
    <w:rsid w:val="007E28FE"/>
    <w:rsid w:val="007E2AA9"/>
    <w:rsid w:val="007E2FBE"/>
    <w:rsid w:val="007E2FE1"/>
    <w:rsid w:val="007E31EE"/>
    <w:rsid w:val="007E329B"/>
    <w:rsid w:val="007E32FD"/>
    <w:rsid w:val="007E3606"/>
    <w:rsid w:val="007E3B99"/>
    <w:rsid w:val="007E3E52"/>
    <w:rsid w:val="007E3EAF"/>
    <w:rsid w:val="007E4119"/>
    <w:rsid w:val="007E41F3"/>
    <w:rsid w:val="007E424C"/>
    <w:rsid w:val="007E4293"/>
    <w:rsid w:val="007E42C6"/>
    <w:rsid w:val="007E42E7"/>
    <w:rsid w:val="007E4609"/>
    <w:rsid w:val="007E47BD"/>
    <w:rsid w:val="007E497E"/>
    <w:rsid w:val="007E4B32"/>
    <w:rsid w:val="007E4BDF"/>
    <w:rsid w:val="007E4E23"/>
    <w:rsid w:val="007E4EAD"/>
    <w:rsid w:val="007E5041"/>
    <w:rsid w:val="007E50DF"/>
    <w:rsid w:val="007E511A"/>
    <w:rsid w:val="007E5273"/>
    <w:rsid w:val="007E5449"/>
    <w:rsid w:val="007E552B"/>
    <w:rsid w:val="007E56DE"/>
    <w:rsid w:val="007E5C8C"/>
    <w:rsid w:val="007E5DE3"/>
    <w:rsid w:val="007E60FC"/>
    <w:rsid w:val="007E61CE"/>
    <w:rsid w:val="007E636E"/>
    <w:rsid w:val="007E6544"/>
    <w:rsid w:val="007E677C"/>
    <w:rsid w:val="007E693D"/>
    <w:rsid w:val="007E6A96"/>
    <w:rsid w:val="007E6BB5"/>
    <w:rsid w:val="007E6C54"/>
    <w:rsid w:val="007E6CB1"/>
    <w:rsid w:val="007E6E14"/>
    <w:rsid w:val="007E7114"/>
    <w:rsid w:val="007E721C"/>
    <w:rsid w:val="007E737C"/>
    <w:rsid w:val="007E75BD"/>
    <w:rsid w:val="007E7B64"/>
    <w:rsid w:val="007E7E29"/>
    <w:rsid w:val="007F00DA"/>
    <w:rsid w:val="007F013A"/>
    <w:rsid w:val="007F0190"/>
    <w:rsid w:val="007F0204"/>
    <w:rsid w:val="007F0777"/>
    <w:rsid w:val="007F0833"/>
    <w:rsid w:val="007F08FF"/>
    <w:rsid w:val="007F09C2"/>
    <w:rsid w:val="007F0E06"/>
    <w:rsid w:val="007F0F5C"/>
    <w:rsid w:val="007F1036"/>
    <w:rsid w:val="007F11FB"/>
    <w:rsid w:val="007F122A"/>
    <w:rsid w:val="007F12BE"/>
    <w:rsid w:val="007F12EF"/>
    <w:rsid w:val="007F13F1"/>
    <w:rsid w:val="007F1690"/>
    <w:rsid w:val="007F1B76"/>
    <w:rsid w:val="007F1FC3"/>
    <w:rsid w:val="007F2145"/>
    <w:rsid w:val="007F2327"/>
    <w:rsid w:val="007F2356"/>
    <w:rsid w:val="007F236C"/>
    <w:rsid w:val="007F2519"/>
    <w:rsid w:val="007F27D8"/>
    <w:rsid w:val="007F2CCF"/>
    <w:rsid w:val="007F2F5D"/>
    <w:rsid w:val="007F300C"/>
    <w:rsid w:val="007F31EF"/>
    <w:rsid w:val="007F32F8"/>
    <w:rsid w:val="007F349D"/>
    <w:rsid w:val="007F392F"/>
    <w:rsid w:val="007F3BD6"/>
    <w:rsid w:val="007F3E44"/>
    <w:rsid w:val="007F42A2"/>
    <w:rsid w:val="007F436C"/>
    <w:rsid w:val="007F4390"/>
    <w:rsid w:val="007F43D6"/>
    <w:rsid w:val="007F4470"/>
    <w:rsid w:val="007F462A"/>
    <w:rsid w:val="007F4A7C"/>
    <w:rsid w:val="007F4C35"/>
    <w:rsid w:val="007F5461"/>
    <w:rsid w:val="007F552B"/>
    <w:rsid w:val="007F5783"/>
    <w:rsid w:val="007F58F2"/>
    <w:rsid w:val="007F5A15"/>
    <w:rsid w:val="007F5A4C"/>
    <w:rsid w:val="007F5ED3"/>
    <w:rsid w:val="007F624F"/>
    <w:rsid w:val="007F6283"/>
    <w:rsid w:val="007F66E7"/>
    <w:rsid w:val="007F6D27"/>
    <w:rsid w:val="007F6DFD"/>
    <w:rsid w:val="007F6E99"/>
    <w:rsid w:val="007F7105"/>
    <w:rsid w:val="007F711E"/>
    <w:rsid w:val="007F7235"/>
    <w:rsid w:val="007F7393"/>
    <w:rsid w:val="007F73D7"/>
    <w:rsid w:val="007F7552"/>
    <w:rsid w:val="007F79DD"/>
    <w:rsid w:val="007F7D96"/>
    <w:rsid w:val="008000B3"/>
    <w:rsid w:val="008002DF"/>
    <w:rsid w:val="008007B1"/>
    <w:rsid w:val="008009A2"/>
    <w:rsid w:val="00800AAF"/>
    <w:rsid w:val="00800C4A"/>
    <w:rsid w:val="00800E0B"/>
    <w:rsid w:val="00800E5A"/>
    <w:rsid w:val="008010D5"/>
    <w:rsid w:val="0080123B"/>
    <w:rsid w:val="0080133B"/>
    <w:rsid w:val="008013D4"/>
    <w:rsid w:val="008013F6"/>
    <w:rsid w:val="00801448"/>
    <w:rsid w:val="00801C7F"/>
    <w:rsid w:val="00801C98"/>
    <w:rsid w:val="00801E39"/>
    <w:rsid w:val="00802145"/>
    <w:rsid w:val="00802149"/>
    <w:rsid w:val="00802188"/>
    <w:rsid w:val="0080227C"/>
    <w:rsid w:val="00802568"/>
    <w:rsid w:val="008025A5"/>
    <w:rsid w:val="0080274E"/>
    <w:rsid w:val="00802B4D"/>
    <w:rsid w:val="00803102"/>
    <w:rsid w:val="0080325A"/>
    <w:rsid w:val="008035E5"/>
    <w:rsid w:val="00803622"/>
    <w:rsid w:val="008036EC"/>
    <w:rsid w:val="00803726"/>
    <w:rsid w:val="008038F0"/>
    <w:rsid w:val="00803A8D"/>
    <w:rsid w:val="00803AB0"/>
    <w:rsid w:val="00803B00"/>
    <w:rsid w:val="00803C05"/>
    <w:rsid w:val="00803ECD"/>
    <w:rsid w:val="0080424A"/>
    <w:rsid w:val="0080440D"/>
    <w:rsid w:val="00804643"/>
    <w:rsid w:val="008046A4"/>
    <w:rsid w:val="008047C4"/>
    <w:rsid w:val="00804A38"/>
    <w:rsid w:val="00804B10"/>
    <w:rsid w:val="00804D1E"/>
    <w:rsid w:val="00804DFD"/>
    <w:rsid w:val="00805407"/>
    <w:rsid w:val="00805524"/>
    <w:rsid w:val="0080560E"/>
    <w:rsid w:val="0080585B"/>
    <w:rsid w:val="0080599B"/>
    <w:rsid w:val="008059DB"/>
    <w:rsid w:val="00805B72"/>
    <w:rsid w:val="00805BB0"/>
    <w:rsid w:val="00805DC1"/>
    <w:rsid w:val="00805E5E"/>
    <w:rsid w:val="0080658F"/>
    <w:rsid w:val="008066B1"/>
    <w:rsid w:val="00806968"/>
    <w:rsid w:val="00806A8D"/>
    <w:rsid w:val="00806B32"/>
    <w:rsid w:val="00806D35"/>
    <w:rsid w:val="00806DB6"/>
    <w:rsid w:val="008076A1"/>
    <w:rsid w:val="00807822"/>
    <w:rsid w:val="00807A0D"/>
    <w:rsid w:val="00807B56"/>
    <w:rsid w:val="00810064"/>
    <w:rsid w:val="00810615"/>
    <w:rsid w:val="008106A7"/>
    <w:rsid w:val="00810A0A"/>
    <w:rsid w:val="00810D4B"/>
    <w:rsid w:val="00810FF7"/>
    <w:rsid w:val="008111CB"/>
    <w:rsid w:val="00811312"/>
    <w:rsid w:val="008115D5"/>
    <w:rsid w:val="008115FE"/>
    <w:rsid w:val="00811873"/>
    <w:rsid w:val="00811BDD"/>
    <w:rsid w:val="0081207A"/>
    <w:rsid w:val="0081210A"/>
    <w:rsid w:val="0081229E"/>
    <w:rsid w:val="0081278C"/>
    <w:rsid w:val="0081297D"/>
    <w:rsid w:val="00812B38"/>
    <w:rsid w:val="00812B43"/>
    <w:rsid w:val="00812CE9"/>
    <w:rsid w:val="00812D73"/>
    <w:rsid w:val="00812DB5"/>
    <w:rsid w:val="008130B8"/>
    <w:rsid w:val="008131E4"/>
    <w:rsid w:val="0081367A"/>
    <w:rsid w:val="008136E7"/>
    <w:rsid w:val="00813AA0"/>
    <w:rsid w:val="00813B46"/>
    <w:rsid w:val="00813C1F"/>
    <w:rsid w:val="00813E8A"/>
    <w:rsid w:val="00813F3B"/>
    <w:rsid w:val="008140B4"/>
    <w:rsid w:val="008142B6"/>
    <w:rsid w:val="008142E3"/>
    <w:rsid w:val="0081465A"/>
    <w:rsid w:val="00814668"/>
    <w:rsid w:val="00814A90"/>
    <w:rsid w:val="00814AC7"/>
    <w:rsid w:val="00814B45"/>
    <w:rsid w:val="00814CEA"/>
    <w:rsid w:val="00814FC6"/>
    <w:rsid w:val="008150D7"/>
    <w:rsid w:val="00815125"/>
    <w:rsid w:val="008156A2"/>
    <w:rsid w:val="008156BE"/>
    <w:rsid w:val="008159FC"/>
    <w:rsid w:val="00815A5C"/>
    <w:rsid w:val="00815CB5"/>
    <w:rsid w:val="00815CC4"/>
    <w:rsid w:val="00815CD6"/>
    <w:rsid w:val="00815E02"/>
    <w:rsid w:val="00815F8C"/>
    <w:rsid w:val="00816029"/>
    <w:rsid w:val="008164DA"/>
    <w:rsid w:val="008165C0"/>
    <w:rsid w:val="008167E4"/>
    <w:rsid w:val="00816A89"/>
    <w:rsid w:val="00816F4A"/>
    <w:rsid w:val="00816FE3"/>
    <w:rsid w:val="008170A9"/>
    <w:rsid w:val="0081743C"/>
    <w:rsid w:val="00817507"/>
    <w:rsid w:val="008175B8"/>
    <w:rsid w:val="008175D9"/>
    <w:rsid w:val="00817B75"/>
    <w:rsid w:val="00817BEE"/>
    <w:rsid w:val="00817CCC"/>
    <w:rsid w:val="00817D2C"/>
    <w:rsid w:val="00817D83"/>
    <w:rsid w:val="00817DD0"/>
    <w:rsid w:val="00817E78"/>
    <w:rsid w:val="00817F53"/>
    <w:rsid w:val="00820086"/>
    <w:rsid w:val="00820197"/>
    <w:rsid w:val="00820513"/>
    <w:rsid w:val="00820628"/>
    <w:rsid w:val="008206BB"/>
    <w:rsid w:val="00820707"/>
    <w:rsid w:val="00820852"/>
    <w:rsid w:val="00820990"/>
    <w:rsid w:val="00820AAD"/>
    <w:rsid w:val="00820B1A"/>
    <w:rsid w:val="00820DBC"/>
    <w:rsid w:val="00820EA2"/>
    <w:rsid w:val="00820F64"/>
    <w:rsid w:val="008210CC"/>
    <w:rsid w:val="008211FC"/>
    <w:rsid w:val="0082135B"/>
    <w:rsid w:val="008215FC"/>
    <w:rsid w:val="008216D4"/>
    <w:rsid w:val="008219E1"/>
    <w:rsid w:val="00821C24"/>
    <w:rsid w:val="00821D0F"/>
    <w:rsid w:val="00821EEF"/>
    <w:rsid w:val="00822054"/>
    <w:rsid w:val="008221AF"/>
    <w:rsid w:val="008225E3"/>
    <w:rsid w:val="00822664"/>
    <w:rsid w:val="00822697"/>
    <w:rsid w:val="00822748"/>
    <w:rsid w:val="00822883"/>
    <w:rsid w:val="0082298C"/>
    <w:rsid w:val="00822A14"/>
    <w:rsid w:val="00822A18"/>
    <w:rsid w:val="00822E4E"/>
    <w:rsid w:val="00822F02"/>
    <w:rsid w:val="00822FED"/>
    <w:rsid w:val="0082312E"/>
    <w:rsid w:val="0082335A"/>
    <w:rsid w:val="00823475"/>
    <w:rsid w:val="00823661"/>
    <w:rsid w:val="00823EA2"/>
    <w:rsid w:val="008240D0"/>
    <w:rsid w:val="00824297"/>
    <w:rsid w:val="0082458E"/>
    <w:rsid w:val="00824AF5"/>
    <w:rsid w:val="00825860"/>
    <w:rsid w:val="00825865"/>
    <w:rsid w:val="00825B4F"/>
    <w:rsid w:val="00825D08"/>
    <w:rsid w:val="00825D0C"/>
    <w:rsid w:val="00825E5C"/>
    <w:rsid w:val="00825EE7"/>
    <w:rsid w:val="00826013"/>
    <w:rsid w:val="00826064"/>
    <w:rsid w:val="008260FB"/>
    <w:rsid w:val="00826B37"/>
    <w:rsid w:val="00826C23"/>
    <w:rsid w:val="00826C33"/>
    <w:rsid w:val="00826C82"/>
    <w:rsid w:val="00826D2F"/>
    <w:rsid w:val="00827094"/>
    <w:rsid w:val="008270AB"/>
    <w:rsid w:val="00827260"/>
    <w:rsid w:val="008275FC"/>
    <w:rsid w:val="0082771C"/>
    <w:rsid w:val="00827829"/>
    <w:rsid w:val="00827901"/>
    <w:rsid w:val="00827945"/>
    <w:rsid w:val="00827963"/>
    <w:rsid w:val="00827A31"/>
    <w:rsid w:val="00827CD4"/>
    <w:rsid w:val="00827CFF"/>
    <w:rsid w:val="00827D5A"/>
    <w:rsid w:val="00827F41"/>
    <w:rsid w:val="00827FCA"/>
    <w:rsid w:val="008302E4"/>
    <w:rsid w:val="00830335"/>
    <w:rsid w:val="00830353"/>
    <w:rsid w:val="008304FA"/>
    <w:rsid w:val="008305AD"/>
    <w:rsid w:val="008305E6"/>
    <w:rsid w:val="008307C9"/>
    <w:rsid w:val="00830839"/>
    <w:rsid w:val="00830BE5"/>
    <w:rsid w:val="00830CFB"/>
    <w:rsid w:val="00830E3D"/>
    <w:rsid w:val="008311B7"/>
    <w:rsid w:val="00831482"/>
    <w:rsid w:val="008314C1"/>
    <w:rsid w:val="00831552"/>
    <w:rsid w:val="008319FE"/>
    <w:rsid w:val="00831BC7"/>
    <w:rsid w:val="00831C04"/>
    <w:rsid w:val="00831CDA"/>
    <w:rsid w:val="00832162"/>
    <w:rsid w:val="00832587"/>
    <w:rsid w:val="008325C4"/>
    <w:rsid w:val="00832926"/>
    <w:rsid w:val="008329EF"/>
    <w:rsid w:val="00832A3A"/>
    <w:rsid w:val="00832B0C"/>
    <w:rsid w:val="00832C05"/>
    <w:rsid w:val="00832CD7"/>
    <w:rsid w:val="00832D25"/>
    <w:rsid w:val="008333FF"/>
    <w:rsid w:val="008335C3"/>
    <w:rsid w:val="00833681"/>
    <w:rsid w:val="0083383F"/>
    <w:rsid w:val="00833ADF"/>
    <w:rsid w:val="00833CE3"/>
    <w:rsid w:val="00833E3D"/>
    <w:rsid w:val="00833E8A"/>
    <w:rsid w:val="0083404B"/>
    <w:rsid w:val="0083411C"/>
    <w:rsid w:val="008342E6"/>
    <w:rsid w:val="00834553"/>
    <w:rsid w:val="00834845"/>
    <w:rsid w:val="00834989"/>
    <w:rsid w:val="00834A02"/>
    <w:rsid w:val="00834C65"/>
    <w:rsid w:val="00834E5F"/>
    <w:rsid w:val="008350D0"/>
    <w:rsid w:val="008351A8"/>
    <w:rsid w:val="0083549B"/>
    <w:rsid w:val="00835562"/>
    <w:rsid w:val="00835765"/>
    <w:rsid w:val="008359F5"/>
    <w:rsid w:val="00835E8B"/>
    <w:rsid w:val="00835EAE"/>
    <w:rsid w:val="00836067"/>
    <w:rsid w:val="00836167"/>
    <w:rsid w:val="008364BB"/>
    <w:rsid w:val="008364C5"/>
    <w:rsid w:val="00836591"/>
    <w:rsid w:val="0083690C"/>
    <w:rsid w:val="00836A7A"/>
    <w:rsid w:val="00836B5B"/>
    <w:rsid w:val="00836C99"/>
    <w:rsid w:val="00836CA4"/>
    <w:rsid w:val="00836CB0"/>
    <w:rsid w:val="00836E13"/>
    <w:rsid w:val="00836F7F"/>
    <w:rsid w:val="00837512"/>
    <w:rsid w:val="00837603"/>
    <w:rsid w:val="00837795"/>
    <w:rsid w:val="00837D37"/>
    <w:rsid w:val="00837E9E"/>
    <w:rsid w:val="00837FAE"/>
    <w:rsid w:val="0084022D"/>
    <w:rsid w:val="00840232"/>
    <w:rsid w:val="00840667"/>
    <w:rsid w:val="00840ABB"/>
    <w:rsid w:val="00840BCD"/>
    <w:rsid w:val="00840C7A"/>
    <w:rsid w:val="00840EA7"/>
    <w:rsid w:val="00840F72"/>
    <w:rsid w:val="008410B2"/>
    <w:rsid w:val="008415C9"/>
    <w:rsid w:val="00841787"/>
    <w:rsid w:val="0084188C"/>
    <w:rsid w:val="00841951"/>
    <w:rsid w:val="00841970"/>
    <w:rsid w:val="00841A34"/>
    <w:rsid w:val="00841AE0"/>
    <w:rsid w:val="00841AE4"/>
    <w:rsid w:val="00841B6F"/>
    <w:rsid w:val="00841D34"/>
    <w:rsid w:val="008422FF"/>
    <w:rsid w:val="0084261C"/>
    <w:rsid w:val="008426A2"/>
    <w:rsid w:val="0084271D"/>
    <w:rsid w:val="0084288D"/>
    <w:rsid w:val="008428BE"/>
    <w:rsid w:val="00842AB5"/>
    <w:rsid w:val="00842B32"/>
    <w:rsid w:val="00842C64"/>
    <w:rsid w:val="00842CF4"/>
    <w:rsid w:val="00842F57"/>
    <w:rsid w:val="00843023"/>
    <w:rsid w:val="008432C1"/>
    <w:rsid w:val="0084336A"/>
    <w:rsid w:val="00843476"/>
    <w:rsid w:val="0084361E"/>
    <w:rsid w:val="00843675"/>
    <w:rsid w:val="0084372B"/>
    <w:rsid w:val="008438A9"/>
    <w:rsid w:val="00843AC3"/>
    <w:rsid w:val="00844419"/>
    <w:rsid w:val="00844650"/>
    <w:rsid w:val="008446BD"/>
    <w:rsid w:val="00844886"/>
    <w:rsid w:val="008448AF"/>
    <w:rsid w:val="00845282"/>
    <w:rsid w:val="0084537D"/>
    <w:rsid w:val="008454A7"/>
    <w:rsid w:val="00845A4B"/>
    <w:rsid w:val="00845A9E"/>
    <w:rsid w:val="00845B18"/>
    <w:rsid w:val="00845C72"/>
    <w:rsid w:val="00845F0C"/>
    <w:rsid w:val="008460A9"/>
    <w:rsid w:val="008462AB"/>
    <w:rsid w:val="0084644A"/>
    <w:rsid w:val="00846B53"/>
    <w:rsid w:val="00846E3D"/>
    <w:rsid w:val="00846EB3"/>
    <w:rsid w:val="00846EE0"/>
    <w:rsid w:val="00846F24"/>
    <w:rsid w:val="008470C2"/>
    <w:rsid w:val="0084727A"/>
    <w:rsid w:val="00847622"/>
    <w:rsid w:val="0084798F"/>
    <w:rsid w:val="008479DF"/>
    <w:rsid w:val="00847A06"/>
    <w:rsid w:val="00847A6F"/>
    <w:rsid w:val="00847BBB"/>
    <w:rsid w:val="00847D3D"/>
    <w:rsid w:val="00847EC9"/>
    <w:rsid w:val="00847F82"/>
    <w:rsid w:val="0085017A"/>
    <w:rsid w:val="008501DD"/>
    <w:rsid w:val="00850287"/>
    <w:rsid w:val="00850412"/>
    <w:rsid w:val="008504C0"/>
    <w:rsid w:val="0085058D"/>
    <w:rsid w:val="008506F0"/>
    <w:rsid w:val="0085077A"/>
    <w:rsid w:val="0085086A"/>
    <w:rsid w:val="0085094E"/>
    <w:rsid w:val="00850D2C"/>
    <w:rsid w:val="00850F61"/>
    <w:rsid w:val="00851031"/>
    <w:rsid w:val="008511A7"/>
    <w:rsid w:val="008512F4"/>
    <w:rsid w:val="00851920"/>
    <w:rsid w:val="00851A01"/>
    <w:rsid w:val="008521A6"/>
    <w:rsid w:val="00852232"/>
    <w:rsid w:val="008522F1"/>
    <w:rsid w:val="00852316"/>
    <w:rsid w:val="00852725"/>
    <w:rsid w:val="00852945"/>
    <w:rsid w:val="00852BDE"/>
    <w:rsid w:val="00853192"/>
    <w:rsid w:val="008534CE"/>
    <w:rsid w:val="00853FDF"/>
    <w:rsid w:val="0085427A"/>
    <w:rsid w:val="008542E1"/>
    <w:rsid w:val="00854BCC"/>
    <w:rsid w:val="00854CD5"/>
    <w:rsid w:val="00854D42"/>
    <w:rsid w:val="00854D76"/>
    <w:rsid w:val="00854DB1"/>
    <w:rsid w:val="00854ECC"/>
    <w:rsid w:val="00854FDE"/>
    <w:rsid w:val="0085573E"/>
    <w:rsid w:val="00855D16"/>
    <w:rsid w:val="00855E44"/>
    <w:rsid w:val="0085640E"/>
    <w:rsid w:val="00856428"/>
    <w:rsid w:val="0085643B"/>
    <w:rsid w:val="0085645D"/>
    <w:rsid w:val="00856727"/>
    <w:rsid w:val="00856EDE"/>
    <w:rsid w:val="00856FD0"/>
    <w:rsid w:val="0085764A"/>
    <w:rsid w:val="008576A3"/>
    <w:rsid w:val="00857901"/>
    <w:rsid w:val="0085798F"/>
    <w:rsid w:val="008579C1"/>
    <w:rsid w:val="00860071"/>
    <w:rsid w:val="008603D3"/>
    <w:rsid w:val="00860663"/>
    <w:rsid w:val="0086079C"/>
    <w:rsid w:val="008607AF"/>
    <w:rsid w:val="0086083C"/>
    <w:rsid w:val="00860AB3"/>
    <w:rsid w:val="00860C99"/>
    <w:rsid w:val="00860DD6"/>
    <w:rsid w:val="00861205"/>
    <w:rsid w:val="008615A4"/>
    <w:rsid w:val="0086182B"/>
    <w:rsid w:val="00861916"/>
    <w:rsid w:val="00861A40"/>
    <w:rsid w:val="00861A49"/>
    <w:rsid w:val="00861AEE"/>
    <w:rsid w:val="00861BFC"/>
    <w:rsid w:val="00861E25"/>
    <w:rsid w:val="00862006"/>
    <w:rsid w:val="00862098"/>
    <w:rsid w:val="008627A0"/>
    <w:rsid w:val="00862932"/>
    <w:rsid w:val="00862D77"/>
    <w:rsid w:val="00862DB9"/>
    <w:rsid w:val="00862DC0"/>
    <w:rsid w:val="00862F44"/>
    <w:rsid w:val="008634D0"/>
    <w:rsid w:val="008634F4"/>
    <w:rsid w:val="00863634"/>
    <w:rsid w:val="0086369A"/>
    <w:rsid w:val="00863784"/>
    <w:rsid w:val="008637FC"/>
    <w:rsid w:val="00863890"/>
    <w:rsid w:val="00863D4E"/>
    <w:rsid w:val="00863EA6"/>
    <w:rsid w:val="00863F7F"/>
    <w:rsid w:val="008640D7"/>
    <w:rsid w:val="00864101"/>
    <w:rsid w:val="008644AD"/>
    <w:rsid w:val="008646FB"/>
    <w:rsid w:val="00864D1D"/>
    <w:rsid w:val="00864ECE"/>
    <w:rsid w:val="00864F77"/>
    <w:rsid w:val="00865035"/>
    <w:rsid w:val="00865300"/>
    <w:rsid w:val="00865304"/>
    <w:rsid w:val="008653C8"/>
    <w:rsid w:val="008656C5"/>
    <w:rsid w:val="008658E4"/>
    <w:rsid w:val="00865A27"/>
    <w:rsid w:val="00865B77"/>
    <w:rsid w:val="00865BFB"/>
    <w:rsid w:val="00865C61"/>
    <w:rsid w:val="00866041"/>
    <w:rsid w:val="008660D2"/>
    <w:rsid w:val="0086617F"/>
    <w:rsid w:val="00866182"/>
    <w:rsid w:val="008661DA"/>
    <w:rsid w:val="00866388"/>
    <w:rsid w:val="0086638A"/>
    <w:rsid w:val="00866493"/>
    <w:rsid w:val="008665B8"/>
    <w:rsid w:val="00866657"/>
    <w:rsid w:val="00866690"/>
    <w:rsid w:val="008668A6"/>
    <w:rsid w:val="00866945"/>
    <w:rsid w:val="00867005"/>
    <w:rsid w:val="008672D4"/>
    <w:rsid w:val="00867305"/>
    <w:rsid w:val="00867313"/>
    <w:rsid w:val="00867411"/>
    <w:rsid w:val="0086744F"/>
    <w:rsid w:val="008675B4"/>
    <w:rsid w:val="0086764A"/>
    <w:rsid w:val="0086784D"/>
    <w:rsid w:val="0086797B"/>
    <w:rsid w:val="00867AFA"/>
    <w:rsid w:val="00867B80"/>
    <w:rsid w:val="00870219"/>
    <w:rsid w:val="00870505"/>
    <w:rsid w:val="0087052F"/>
    <w:rsid w:val="00870630"/>
    <w:rsid w:val="00870770"/>
    <w:rsid w:val="00870901"/>
    <w:rsid w:val="00870B24"/>
    <w:rsid w:val="00870D31"/>
    <w:rsid w:val="00870E06"/>
    <w:rsid w:val="00870F24"/>
    <w:rsid w:val="00871083"/>
    <w:rsid w:val="0087140E"/>
    <w:rsid w:val="008715B4"/>
    <w:rsid w:val="00871AF9"/>
    <w:rsid w:val="00871CFA"/>
    <w:rsid w:val="00871E57"/>
    <w:rsid w:val="00871FBD"/>
    <w:rsid w:val="00872010"/>
    <w:rsid w:val="008720CC"/>
    <w:rsid w:val="008720E1"/>
    <w:rsid w:val="00872308"/>
    <w:rsid w:val="0087246B"/>
    <w:rsid w:val="00872963"/>
    <w:rsid w:val="00872AF1"/>
    <w:rsid w:val="00872F7E"/>
    <w:rsid w:val="00872FCF"/>
    <w:rsid w:val="008730EF"/>
    <w:rsid w:val="00873274"/>
    <w:rsid w:val="00873758"/>
    <w:rsid w:val="008737BE"/>
    <w:rsid w:val="00873873"/>
    <w:rsid w:val="008738EF"/>
    <w:rsid w:val="00873BF5"/>
    <w:rsid w:val="00873C8F"/>
    <w:rsid w:val="00873D2F"/>
    <w:rsid w:val="00873D9B"/>
    <w:rsid w:val="00873F8B"/>
    <w:rsid w:val="008742E8"/>
    <w:rsid w:val="008742FA"/>
    <w:rsid w:val="008747C5"/>
    <w:rsid w:val="008748B5"/>
    <w:rsid w:val="008748C8"/>
    <w:rsid w:val="00874939"/>
    <w:rsid w:val="00874AEE"/>
    <w:rsid w:val="00874BD0"/>
    <w:rsid w:val="00874FB7"/>
    <w:rsid w:val="00875082"/>
    <w:rsid w:val="008750B4"/>
    <w:rsid w:val="00875110"/>
    <w:rsid w:val="0087511E"/>
    <w:rsid w:val="0087538B"/>
    <w:rsid w:val="0087551A"/>
    <w:rsid w:val="0087577F"/>
    <w:rsid w:val="00875BFD"/>
    <w:rsid w:val="00875C28"/>
    <w:rsid w:val="00875C2A"/>
    <w:rsid w:val="00875E82"/>
    <w:rsid w:val="00875EC4"/>
    <w:rsid w:val="00875F73"/>
    <w:rsid w:val="00875F76"/>
    <w:rsid w:val="00876360"/>
    <w:rsid w:val="008764FF"/>
    <w:rsid w:val="008766EF"/>
    <w:rsid w:val="00876756"/>
    <w:rsid w:val="0087684F"/>
    <w:rsid w:val="00876988"/>
    <w:rsid w:val="00876A87"/>
    <w:rsid w:val="00876AAD"/>
    <w:rsid w:val="00876C43"/>
    <w:rsid w:val="00876CB2"/>
    <w:rsid w:val="00876F9F"/>
    <w:rsid w:val="008771D0"/>
    <w:rsid w:val="008775CB"/>
    <w:rsid w:val="00877626"/>
    <w:rsid w:val="0087769F"/>
    <w:rsid w:val="008777EE"/>
    <w:rsid w:val="00877C50"/>
    <w:rsid w:val="00877EA4"/>
    <w:rsid w:val="00877F3D"/>
    <w:rsid w:val="00880196"/>
    <w:rsid w:val="00880280"/>
    <w:rsid w:val="00880371"/>
    <w:rsid w:val="0088040B"/>
    <w:rsid w:val="008806CA"/>
    <w:rsid w:val="008806F2"/>
    <w:rsid w:val="0088072D"/>
    <w:rsid w:val="00880E62"/>
    <w:rsid w:val="00880ECF"/>
    <w:rsid w:val="00880ED8"/>
    <w:rsid w:val="00881127"/>
    <w:rsid w:val="0088155A"/>
    <w:rsid w:val="00881658"/>
    <w:rsid w:val="008818F9"/>
    <w:rsid w:val="00881B98"/>
    <w:rsid w:val="00881BAB"/>
    <w:rsid w:val="0088206B"/>
    <w:rsid w:val="00882A32"/>
    <w:rsid w:val="00882BBB"/>
    <w:rsid w:val="00882BCA"/>
    <w:rsid w:val="00882D0C"/>
    <w:rsid w:val="00882E56"/>
    <w:rsid w:val="00882EF7"/>
    <w:rsid w:val="00883003"/>
    <w:rsid w:val="00883386"/>
    <w:rsid w:val="00883936"/>
    <w:rsid w:val="00883DE1"/>
    <w:rsid w:val="00883F62"/>
    <w:rsid w:val="0088427A"/>
    <w:rsid w:val="008847A3"/>
    <w:rsid w:val="008848AF"/>
    <w:rsid w:val="008849DA"/>
    <w:rsid w:val="00884ABD"/>
    <w:rsid w:val="00884BD2"/>
    <w:rsid w:val="00884DD8"/>
    <w:rsid w:val="00884E81"/>
    <w:rsid w:val="00884EA9"/>
    <w:rsid w:val="00884EDA"/>
    <w:rsid w:val="0088520F"/>
    <w:rsid w:val="008853CC"/>
    <w:rsid w:val="008858FF"/>
    <w:rsid w:val="008859C8"/>
    <w:rsid w:val="00885AA7"/>
    <w:rsid w:val="00885AC9"/>
    <w:rsid w:val="00885B5B"/>
    <w:rsid w:val="00885D68"/>
    <w:rsid w:val="00885E92"/>
    <w:rsid w:val="00885FF9"/>
    <w:rsid w:val="00886135"/>
    <w:rsid w:val="00886145"/>
    <w:rsid w:val="00886276"/>
    <w:rsid w:val="008864F0"/>
    <w:rsid w:val="008865FD"/>
    <w:rsid w:val="0088661A"/>
    <w:rsid w:val="00886644"/>
    <w:rsid w:val="00886762"/>
    <w:rsid w:val="0088677C"/>
    <w:rsid w:val="008867BE"/>
    <w:rsid w:val="00886933"/>
    <w:rsid w:val="008869DC"/>
    <w:rsid w:val="00886DCA"/>
    <w:rsid w:val="00886FF8"/>
    <w:rsid w:val="00887019"/>
    <w:rsid w:val="00887101"/>
    <w:rsid w:val="00887157"/>
    <w:rsid w:val="00887263"/>
    <w:rsid w:val="00887299"/>
    <w:rsid w:val="008873CB"/>
    <w:rsid w:val="00887714"/>
    <w:rsid w:val="0088779C"/>
    <w:rsid w:val="008877F4"/>
    <w:rsid w:val="00887817"/>
    <w:rsid w:val="0088786A"/>
    <w:rsid w:val="00887883"/>
    <w:rsid w:val="00887A87"/>
    <w:rsid w:val="00887D5F"/>
    <w:rsid w:val="00887D70"/>
    <w:rsid w:val="00887E59"/>
    <w:rsid w:val="00887E7D"/>
    <w:rsid w:val="008900C0"/>
    <w:rsid w:val="00890197"/>
    <w:rsid w:val="00890551"/>
    <w:rsid w:val="00890672"/>
    <w:rsid w:val="00890823"/>
    <w:rsid w:val="008908E7"/>
    <w:rsid w:val="00890A7B"/>
    <w:rsid w:val="00890C49"/>
    <w:rsid w:val="00890F87"/>
    <w:rsid w:val="0089113A"/>
    <w:rsid w:val="0089122A"/>
    <w:rsid w:val="0089160F"/>
    <w:rsid w:val="00891C8C"/>
    <w:rsid w:val="00891F35"/>
    <w:rsid w:val="0089202E"/>
    <w:rsid w:val="0089211C"/>
    <w:rsid w:val="0089239B"/>
    <w:rsid w:val="008928C8"/>
    <w:rsid w:val="008928CB"/>
    <w:rsid w:val="00892A14"/>
    <w:rsid w:val="00892C70"/>
    <w:rsid w:val="00892C7C"/>
    <w:rsid w:val="00892E05"/>
    <w:rsid w:val="00892FF9"/>
    <w:rsid w:val="00892FFF"/>
    <w:rsid w:val="00893004"/>
    <w:rsid w:val="00893318"/>
    <w:rsid w:val="0089347B"/>
    <w:rsid w:val="00893536"/>
    <w:rsid w:val="00893644"/>
    <w:rsid w:val="00893762"/>
    <w:rsid w:val="0089388F"/>
    <w:rsid w:val="00893955"/>
    <w:rsid w:val="008939A9"/>
    <w:rsid w:val="00893AD6"/>
    <w:rsid w:val="00893BF2"/>
    <w:rsid w:val="00893C33"/>
    <w:rsid w:val="00893C78"/>
    <w:rsid w:val="00893F0B"/>
    <w:rsid w:val="0089414B"/>
    <w:rsid w:val="00894579"/>
    <w:rsid w:val="008946B4"/>
    <w:rsid w:val="008946CE"/>
    <w:rsid w:val="008948D4"/>
    <w:rsid w:val="00894B67"/>
    <w:rsid w:val="00894B7C"/>
    <w:rsid w:val="00894FDB"/>
    <w:rsid w:val="008952E0"/>
    <w:rsid w:val="008955A5"/>
    <w:rsid w:val="0089570C"/>
    <w:rsid w:val="00895BA4"/>
    <w:rsid w:val="00895F54"/>
    <w:rsid w:val="008961D9"/>
    <w:rsid w:val="00896215"/>
    <w:rsid w:val="008964B1"/>
    <w:rsid w:val="008966CA"/>
    <w:rsid w:val="0089672D"/>
    <w:rsid w:val="00896ABA"/>
    <w:rsid w:val="00896B25"/>
    <w:rsid w:val="00896B6E"/>
    <w:rsid w:val="00896E09"/>
    <w:rsid w:val="008978C0"/>
    <w:rsid w:val="00897ABF"/>
    <w:rsid w:val="00897B51"/>
    <w:rsid w:val="008A0170"/>
    <w:rsid w:val="008A04F4"/>
    <w:rsid w:val="008A05F9"/>
    <w:rsid w:val="008A0668"/>
    <w:rsid w:val="008A068F"/>
    <w:rsid w:val="008A0833"/>
    <w:rsid w:val="008A091D"/>
    <w:rsid w:val="008A0AB3"/>
    <w:rsid w:val="008A0DD1"/>
    <w:rsid w:val="008A0FB6"/>
    <w:rsid w:val="008A0FFD"/>
    <w:rsid w:val="008A1196"/>
    <w:rsid w:val="008A1518"/>
    <w:rsid w:val="008A15F2"/>
    <w:rsid w:val="008A1985"/>
    <w:rsid w:val="008A19D4"/>
    <w:rsid w:val="008A1B5A"/>
    <w:rsid w:val="008A1C7E"/>
    <w:rsid w:val="008A1C8F"/>
    <w:rsid w:val="008A1F90"/>
    <w:rsid w:val="008A1FF5"/>
    <w:rsid w:val="008A2123"/>
    <w:rsid w:val="008A2375"/>
    <w:rsid w:val="008A23B4"/>
    <w:rsid w:val="008A25D3"/>
    <w:rsid w:val="008A27D7"/>
    <w:rsid w:val="008A29C3"/>
    <w:rsid w:val="008A2AD5"/>
    <w:rsid w:val="008A2E4D"/>
    <w:rsid w:val="008A2E61"/>
    <w:rsid w:val="008A2E85"/>
    <w:rsid w:val="008A2EA3"/>
    <w:rsid w:val="008A2EED"/>
    <w:rsid w:val="008A310B"/>
    <w:rsid w:val="008A371F"/>
    <w:rsid w:val="008A378F"/>
    <w:rsid w:val="008A3851"/>
    <w:rsid w:val="008A3B02"/>
    <w:rsid w:val="008A3DC6"/>
    <w:rsid w:val="008A4235"/>
    <w:rsid w:val="008A436B"/>
    <w:rsid w:val="008A4500"/>
    <w:rsid w:val="008A4589"/>
    <w:rsid w:val="008A4611"/>
    <w:rsid w:val="008A4619"/>
    <w:rsid w:val="008A488E"/>
    <w:rsid w:val="008A48A4"/>
    <w:rsid w:val="008A48CE"/>
    <w:rsid w:val="008A49E4"/>
    <w:rsid w:val="008A4B22"/>
    <w:rsid w:val="008A4B6F"/>
    <w:rsid w:val="008A5095"/>
    <w:rsid w:val="008A510A"/>
    <w:rsid w:val="008A514B"/>
    <w:rsid w:val="008A5429"/>
    <w:rsid w:val="008A553D"/>
    <w:rsid w:val="008A5635"/>
    <w:rsid w:val="008A5727"/>
    <w:rsid w:val="008A59B0"/>
    <w:rsid w:val="008A5B1A"/>
    <w:rsid w:val="008A5C75"/>
    <w:rsid w:val="008A5CA4"/>
    <w:rsid w:val="008A5CF9"/>
    <w:rsid w:val="008A5D84"/>
    <w:rsid w:val="008A5E5C"/>
    <w:rsid w:val="008A5F56"/>
    <w:rsid w:val="008A6190"/>
    <w:rsid w:val="008A6231"/>
    <w:rsid w:val="008A623D"/>
    <w:rsid w:val="008A62AD"/>
    <w:rsid w:val="008A6349"/>
    <w:rsid w:val="008A6685"/>
    <w:rsid w:val="008A6884"/>
    <w:rsid w:val="008A6885"/>
    <w:rsid w:val="008A6962"/>
    <w:rsid w:val="008A6983"/>
    <w:rsid w:val="008A6DFD"/>
    <w:rsid w:val="008A6E66"/>
    <w:rsid w:val="008A7501"/>
    <w:rsid w:val="008A7A0E"/>
    <w:rsid w:val="008A7ACC"/>
    <w:rsid w:val="008A7C28"/>
    <w:rsid w:val="008A7D39"/>
    <w:rsid w:val="008B00F4"/>
    <w:rsid w:val="008B03D9"/>
    <w:rsid w:val="008B07E4"/>
    <w:rsid w:val="008B07FC"/>
    <w:rsid w:val="008B0C67"/>
    <w:rsid w:val="008B0C84"/>
    <w:rsid w:val="008B0C8C"/>
    <w:rsid w:val="008B0D69"/>
    <w:rsid w:val="008B0EB6"/>
    <w:rsid w:val="008B0F9F"/>
    <w:rsid w:val="008B11CB"/>
    <w:rsid w:val="008B1686"/>
    <w:rsid w:val="008B177A"/>
    <w:rsid w:val="008B1803"/>
    <w:rsid w:val="008B1A90"/>
    <w:rsid w:val="008B1FBA"/>
    <w:rsid w:val="008B21F5"/>
    <w:rsid w:val="008B2415"/>
    <w:rsid w:val="008B262E"/>
    <w:rsid w:val="008B28A8"/>
    <w:rsid w:val="008B2953"/>
    <w:rsid w:val="008B2DA0"/>
    <w:rsid w:val="008B30F2"/>
    <w:rsid w:val="008B32F3"/>
    <w:rsid w:val="008B35C8"/>
    <w:rsid w:val="008B3B1F"/>
    <w:rsid w:val="008B3B2C"/>
    <w:rsid w:val="008B3BD3"/>
    <w:rsid w:val="008B3DEF"/>
    <w:rsid w:val="008B4105"/>
    <w:rsid w:val="008B4203"/>
    <w:rsid w:val="008B437A"/>
    <w:rsid w:val="008B43A6"/>
    <w:rsid w:val="008B4591"/>
    <w:rsid w:val="008B470B"/>
    <w:rsid w:val="008B4803"/>
    <w:rsid w:val="008B498B"/>
    <w:rsid w:val="008B4B18"/>
    <w:rsid w:val="008B4E5D"/>
    <w:rsid w:val="008B4ECB"/>
    <w:rsid w:val="008B4F15"/>
    <w:rsid w:val="008B5254"/>
    <w:rsid w:val="008B5266"/>
    <w:rsid w:val="008B52A5"/>
    <w:rsid w:val="008B5655"/>
    <w:rsid w:val="008B56CC"/>
    <w:rsid w:val="008B587A"/>
    <w:rsid w:val="008B5A75"/>
    <w:rsid w:val="008B5AD6"/>
    <w:rsid w:val="008B5E9F"/>
    <w:rsid w:val="008B6104"/>
    <w:rsid w:val="008B622F"/>
    <w:rsid w:val="008B62D0"/>
    <w:rsid w:val="008B62DC"/>
    <w:rsid w:val="008B643D"/>
    <w:rsid w:val="008B6516"/>
    <w:rsid w:val="008B6574"/>
    <w:rsid w:val="008B66B2"/>
    <w:rsid w:val="008B67AA"/>
    <w:rsid w:val="008B67BB"/>
    <w:rsid w:val="008B6800"/>
    <w:rsid w:val="008B6821"/>
    <w:rsid w:val="008B6AC0"/>
    <w:rsid w:val="008B6AED"/>
    <w:rsid w:val="008B6FDE"/>
    <w:rsid w:val="008B71E6"/>
    <w:rsid w:val="008B71F8"/>
    <w:rsid w:val="008B7245"/>
    <w:rsid w:val="008B724B"/>
    <w:rsid w:val="008B72E3"/>
    <w:rsid w:val="008B7315"/>
    <w:rsid w:val="008B7725"/>
    <w:rsid w:val="008B7826"/>
    <w:rsid w:val="008B7898"/>
    <w:rsid w:val="008B79F3"/>
    <w:rsid w:val="008B7DE2"/>
    <w:rsid w:val="008B7EDE"/>
    <w:rsid w:val="008C0872"/>
    <w:rsid w:val="008C0A7B"/>
    <w:rsid w:val="008C1085"/>
    <w:rsid w:val="008C116D"/>
    <w:rsid w:val="008C13EF"/>
    <w:rsid w:val="008C156C"/>
    <w:rsid w:val="008C1590"/>
    <w:rsid w:val="008C1599"/>
    <w:rsid w:val="008C159B"/>
    <w:rsid w:val="008C1767"/>
    <w:rsid w:val="008C17A8"/>
    <w:rsid w:val="008C18CA"/>
    <w:rsid w:val="008C18D2"/>
    <w:rsid w:val="008C1A4D"/>
    <w:rsid w:val="008C1A75"/>
    <w:rsid w:val="008C1BEF"/>
    <w:rsid w:val="008C1CA3"/>
    <w:rsid w:val="008C21D8"/>
    <w:rsid w:val="008C2356"/>
    <w:rsid w:val="008C27BE"/>
    <w:rsid w:val="008C2822"/>
    <w:rsid w:val="008C2B63"/>
    <w:rsid w:val="008C2C8A"/>
    <w:rsid w:val="008C2DAA"/>
    <w:rsid w:val="008C2DEC"/>
    <w:rsid w:val="008C2ED1"/>
    <w:rsid w:val="008C2F48"/>
    <w:rsid w:val="008C319D"/>
    <w:rsid w:val="008C330A"/>
    <w:rsid w:val="008C334B"/>
    <w:rsid w:val="008C342F"/>
    <w:rsid w:val="008C36C6"/>
    <w:rsid w:val="008C3B26"/>
    <w:rsid w:val="008C3FB0"/>
    <w:rsid w:val="008C4088"/>
    <w:rsid w:val="008C409D"/>
    <w:rsid w:val="008C4128"/>
    <w:rsid w:val="008C442A"/>
    <w:rsid w:val="008C4707"/>
    <w:rsid w:val="008C48CE"/>
    <w:rsid w:val="008C493A"/>
    <w:rsid w:val="008C498B"/>
    <w:rsid w:val="008C4DAD"/>
    <w:rsid w:val="008C4DD8"/>
    <w:rsid w:val="008C5079"/>
    <w:rsid w:val="008C535B"/>
    <w:rsid w:val="008C5534"/>
    <w:rsid w:val="008C5633"/>
    <w:rsid w:val="008C56E4"/>
    <w:rsid w:val="008C570A"/>
    <w:rsid w:val="008C58B0"/>
    <w:rsid w:val="008C5A8F"/>
    <w:rsid w:val="008C5AC5"/>
    <w:rsid w:val="008C5C24"/>
    <w:rsid w:val="008C5D6C"/>
    <w:rsid w:val="008C60D7"/>
    <w:rsid w:val="008C6476"/>
    <w:rsid w:val="008C64B9"/>
    <w:rsid w:val="008C6560"/>
    <w:rsid w:val="008C656E"/>
    <w:rsid w:val="008C65FE"/>
    <w:rsid w:val="008C6614"/>
    <w:rsid w:val="008C664F"/>
    <w:rsid w:val="008C6713"/>
    <w:rsid w:val="008C6ACB"/>
    <w:rsid w:val="008C6AD4"/>
    <w:rsid w:val="008C6C55"/>
    <w:rsid w:val="008C6C84"/>
    <w:rsid w:val="008C6D2B"/>
    <w:rsid w:val="008C6E07"/>
    <w:rsid w:val="008C7110"/>
    <w:rsid w:val="008C7271"/>
    <w:rsid w:val="008C737F"/>
    <w:rsid w:val="008C76D8"/>
    <w:rsid w:val="008C7781"/>
    <w:rsid w:val="008C78D2"/>
    <w:rsid w:val="008C78DD"/>
    <w:rsid w:val="008C7D38"/>
    <w:rsid w:val="008C7DEE"/>
    <w:rsid w:val="008C7F7E"/>
    <w:rsid w:val="008D020A"/>
    <w:rsid w:val="008D040B"/>
    <w:rsid w:val="008D041A"/>
    <w:rsid w:val="008D05EF"/>
    <w:rsid w:val="008D0773"/>
    <w:rsid w:val="008D07B0"/>
    <w:rsid w:val="008D0A54"/>
    <w:rsid w:val="008D0B40"/>
    <w:rsid w:val="008D0B9B"/>
    <w:rsid w:val="008D0BE0"/>
    <w:rsid w:val="008D0DA5"/>
    <w:rsid w:val="008D0DD7"/>
    <w:rsid w:val="008D1140"/>
    <w:rsid w:val="008D1151"/>
    <w:rsid w:val="008D14F2"/>
    <w:rsid w:val="008D1756"/>
    <w:rsid w:val="008D188F"/>
    <w:rsid w:val="008D1912"/>
    <w:rsid w:val="008D1A86"/>
    <w:rsid w:val="008D1E31"/>
    <w:rsid w:val="008D22DB"/>
    <w:rsid w:val="008D240F"/>
    <w:rsid w:val="008D267F"/>
    <w:rsid w:val="008D268F"/>
    <w:rsid w:val="008D2836"/>
    <w:rsid w:val="008D2A1F"/>
    <w:rsid w:val="008D2BFC"/>
    <w:rsid w:val="008D2C17"/>
    <w:rsid w:val="008D2EBA"/>
    <w:rsid w:val="008D2F8D"/>
    <w:rsid w:val="008D3054"/>
    <w:rsid w:val="008D3242"/>
    <w:rsid w:val="008D3267"/>
    <w:rsid w:val="008D334C"/>
    <w:rsid w:val="008D340F"/>
    <w:rsid w:val="008D361D"/>
    <w:rsid w:val="008D3633"/>
    <w:rsid w:val="008D36C5"/>
    <w:rsid w:val="008D3AB3"/>
    <w:rsid w:val="008D3BF1"/>
    <w:rsid w:val="008D3F0E"/>
    <w:rsid w:val="008D45FF"/>
    <w:rsid w:val="008D47E3"/>
    <w:rsid w:val="008D488B"/>
    <w:rsid w:val="008D4CC5"/>
    <w:rsid w:val="008D4DEC"/>
    <w:rsid w:val="008D52FE"/>
    <w:rsid w:val="008D5391"/>
    <w:rsid w:val="008D54E6"/>
    <w:rsid w:val="008D5510"/>
    <w:rsid w:val="008D576B"/>
    <w:rsid w:val="008D5B64"/>
    <w:rsid w:val="008D5BB4"/>
    <w:rsid w:val="008D5CD7"/>
    <w:rsid w:val="008D5D2E"/>
    <w:rsid w:val="008D6098"/>
    <w:rsid w:val="008D6102"/>
    <w:rsid w:val="008D615A"/>
    <w:rsid w:val="008D6180"/>
    <w:rsid w:val="008D62A9"/>
    <w:rsid w:val="008D65EE"/>
    <w:rsid w:val="008D6853"/>
    <w:rsid w:val="008D6A20"/>
    <w:rsid w:val="008D6C05"/>
    <w:rsid w:val="008D6C7A"/>
    <w:rsid w:val="008D6DA3"/>
    <w:rsid w:val="008D6DEB"/>
    <w:rsid w:val="008D705A"/>
    <w:rsid w:val="008D709F"/>
    <w:rsid w:val="008D70A4"/>
    <w:rsid w:val="008D70F6"/>
    <w:rsid w:val="008D7178"/>
    <w:rsid w:val="008D717D"/>
    <w:rsid w:val="008D718C"/>
    <w:rsid w:val="008D7195"/>
    <w:rsid w:val="008D7309"/>
    <w:rsid w:val="008D73EE"/>
    <w:rsid w:val="008D7679"/>
    <w:rsid w:val="008D76DF"/>
    <w:rsid w:val="008D7973"/>
    <w:rsid w:val="008D79C2"/>
    <w:rsid w:val="008D79C3"/>
    <w:rsid w:val="008D7C37"/>
    <w:rsid w:val="008D7E08"/>
    <w:rsid w:val="008E00D4"/>
    <w:rsid w:val="008E02AD"/>
    <w:rsid w:val="008E0328"/>
    <w:rsid w:val="008E05C9"/>
    <w:rsid w:val="008E07C6"/>
    <w:rsid w:val="008E07F5"/>
    <w:rsid w:val="008E0A20"/>
    <w:rsid w:val="008E0B67"/>
    <w:rsid w:val="008E12DF"/>
    <w:rsid w:val="008E136D"/>
    <w:rsid w:val="008E13CB"/>
    <w:rsid w:val="008E13E3"/>
    <w:rsid w:val="008E160D"/>
    <w:rsid w:val="008E183D"/>
    <w:rsid w:val="008E1912"/>
    <w:rsid w:val="008E1C74"/>
    <w:rsid w:val="008E2484"/>
    <w:rsid w:val="008E26DB"/>
    <w:rsid w:val="008E26E1"/>
    <w:rsid w:val="008E26EA"/>
    <w:rsid w:val="008E27E4"/>
    <w:rsid w:val="008E2CAC"/>
    <w:rsid w:val="008E3028"/>
    <w:rsid w:val="008E30C0"/>
    <w:rsid w:val="008E314D"/>
    <w:rsid w:val="008E3151"/>
    <w:rsid w:val="008E36F1"/>
    <w:rsid w:val="008E37A6"/>
    <w:rsid w:val="008E39C5"/>
    <w:rsid w:val="008E3A5F"/>
    <w:rsid w:val="008E3AC4"/>
    <w:rsid w:val="008E3BDC"/>
    <w:rsid w:val="008E3D17"/>
    <w:rsid w:val="008E3E0F"/>
    <w:rsid w:val="008E4120"/>
    <w:rsid w:val="008E4281"/>
    <w:rsid w:val="008E43B8"/>
    <w:rsid w:val="008E46A9"/>
    <w:rsid w:val="008E46FD"/>
    <w:rsid w:val="008E482E"/>
    <w:rsid w:val="008E4A20"/>
    <w:rsid w:val="008E4BB5"/>
    <w:rsid w:val="008E4F24"/>
    <w:rsid w:val="008E5132"/>
    <w:rsid w:val="008E536E"/>
    <w:rsid w:val="008E5438"/>
    <w:rsid w:val="008E54E2"/>
    <w:rsid w:val="008E5931"/>
    <w:rsid w:val="008E5B4F"/>
    <w:rsid w:val="008E5BF5"/>
    <w:rsid w:val="008E5C85"/>
    <w:rsid w:val="008E5E31"/>
    <w:rsid w:val="008E6051"/>
    <w:rsid w:val="008E6082"/>
    <w:rsid w:val="008E64A8"/>
    <w:rsid w:val="008E66F9"/>
    <w:rsid w:val="008E6957"/>
    <w:rsid w:val="008E6A18"/>
    <w:rsid w:val="008E6E79"/>
    <w:rsid w:val="008E72FB"/>
    <w:rsid w:val="008E73AF"/>
    <w:rsid w:val="008E7473"/>
    <w:rsid w:val="008E7478"/>
    <w:rsid w:val="008E76A9"/>
    <w:rsid w:val="008E7846"/>
    <w:rsid w:val="008E7864"/>
    <w:rsid w:val="008E7A3B"/>
    <w:rsid w:val="008E7A5C"/>
    <w:rsid w:val="008F00FE"/>
    <w:rsid w:val="008F02B4"/>
    <w:rsid w:val="008F0479"/>
    <w:rsid w:val="008F057C"/>
    <w:rsid w:val="008F0934"/>
    <w:rsid w:val="008F0C76"/>
    <w:rsid w:val="008F0D5A"/>
    <w:rsid w:val="008F0E02"/>
    <w:rsid w:val="008F0EF5"/>
    <w:rsid w:val="008F1195"/>
    <w:rsid w:val="008F1856"/>
    <w:rsid w:val="008F1BD9"/>
    <w:rsid w:val="008F1C15"/>
    <w:rsid w:val="008F1D7A"/>
    <w:rsid w:val="008F208B"/>
    <w:rsid w:val="008F2268"/>
    <w:rsid w:val="008F2558"/>
    <w:rsid w:val="008F2B08"/>
    <w:rsid w:val="008F2D5E"/>
    <w:rsid w:val="008F2ED8"/>
    <w:rsid w:val="008F301D"/>
    <w:rsid w:val="008F3179"/>
    <w:rsid w:val="008F32DF"/>
    <w:rsid w:val="008F36D2"/>
    <w:rsid w:val="008F3B4F"/>
    <w:rsid w:val="008F3B8A"/>
    <w:rsid w:val="008F3BE5"/>
    <w:rsid w:val="008F3D44"/>
    <w:rsid w:val="008F3D89"/>
    <w:rsid w:val="008F3DB7"/>
    <w:rsid w:val="008F4041"/>
    <w:rsid w:val="008F429E"/>
    <w:rsid w:val="008F43A1"/>
    <w:rsid w:val="008F45C4"/>
    <w:rsid w:val="008F466E"/>
    <w:rsid w:val="008F46AF"/>
    <w:rsid w:val="008F46E3"/>
    <w:rsid w:val="008F46F2"/>
    <w:rsid w:val="008F47C2"/>
    <w:rsid w:val="008F47D6"/>
    <w:rsid w:val="008F4807"/>
    <w:rsid w:val="008F4AC4"/>
    <w:rsid w:val="008F50BD"/>
    <w:rsid w:val="008F51CB"/>
    <w:rsid w:val="008F529E"/>
    <w:rsid w:val="008F5339"/>
    <w:rsid w:val="008F5684"/>
    <w:rsid w:val="008F5DD7"/>
    <w:rsid w:val="008F60B2"/>
    <w:rsid w:val="008F63CC"/>
    <w:rsid w:val="008F6423"/>
    <w:rsid w:val="008F690C"/>
    <w:rsid w:val="008F6FD5"/>
    <w:rsid w:val="008F72B8"/>
    <w:rsid w:val="008F762F"/>
    <w:rsid w:val="008F79EB"/>
    <w:rsid w:val="008F7DCD"/>
    <w:rsid w:val="008F7EB3"/>
    <w:rsid w:val="008F7F66"/>
    <w:rsid w:val="008F7F74"/>
    <w:rsid w:val="008F7F8B"/>
    <w:rsid w:val="009001FC"/>
    <w:rsid w:val="00900331"/>
    <w:rsid w:val="00900391"/>
    <w:rsid w:val="009003B2"/>
    <w:rsid w:val="0090064E"/>
    <w:rsid w:val="00900659"/>
    <w:rsid w:val="009006BD"/>
    <w:rsid w:val="009006BF"/>
    <w:rsid w:val="0090086D"/>
    <w:rsid w:val="00900937"/>
    <w:rsid w:val="00900A0E"/>
    <w:rsid w:val="00900B40"/>
    <w:rsid w:val="00900EA7"/>
    <w:rsid w:val="00901109"/>
    <w:rsid w:val="009011F0"/>
    <w:rsid w:val="00901237"/>
    <w:rsid w:val="0090145A"/>
    <w:rsid w:val="00901683"/>
    <w:rsid w:val="0090194B"/>
    <w:rsid w:val="00901B18"/>
    <w:rsid w:val="0090232C"/>
    <w:rsid w:val="009025A4"/>
    <w:rsid w:val="0090278A"/>
    <w:rsid w:val="0090283B"/>
    <w:rsid w:val="009028DD"/>
    <w:rsid w:val="00902CFA"/>
    <w:rsid w:val="00902D09"/>
    <w:rsid w:val="00902D0E"/>
    <w:rsid w:val="0090363C"/>
    <w:rsid w:val="00903951"/>
    <w:rsid w:val="0090397B"/>
    <w:rsid w:val="00903B11"/>
    <w:rsid w:val="00903C46"/>
    <w:rsid w:val="009040A4"/>
    <w:rsid w:val="009045B8"/>
    <w:rsid w:val="009046EC"/>
    <w:rsid w:val="00904D9F"/>
    <w:rsid w:val="0090516D"/>
    <w:rsid w:val="0090517F"/>
    <w:rsid w:val="00905299"/>
    <w:rsid w:val="009052A9"/>
    <w:rsid w:val="0090540A"/>
    <w:rsid w:val="009056D4"/>
    <w:rsid w:val="009059AB"/>
    <w:rsid w:val="00905B0E"/>
    <w:rsid w:val="00905BB5"/>
    <w:rsid w:val="00905E29"/>
    <w:rsid w:val="00905E6B"/>
    <w:rsid w:val="00905F08"/>
    <w:rsid w:val="00905FC4"/>
    <w:rsid w:val="00906003"/>
    <w:rsid w:val="0090604D"/>
    <w:rsid w:val="009060DF"/>
    <w:rsid w:val="009062ED"/>
    <w:rsid w:val="00906388"/>
    <w:rsid w:val="009064D8"/>
    <w:rsid w:val="0090656D"/>
    <w:rsid w:val="0090673B"/>
    <w:rsid w:val="00906AF0"/>
    <w:rsid w:val="00906BF6"/>
    <w:rsid w:val="00906CC2"/>
    <w:rsid w:val="00906EEB"/>
    <w:rsid w:val="009070A1"/>
    <w:rsid w:val="00907272"/>
    <w:rsid w:val="009074A6"/>
    <w:rsid w:val="009075FE"/>
    <w:rsid w:val="00907817"/>
    <w:rsid w:val="00907829"/>
    <w:rsid w:val="00907A59"/>
    <w:rsid w:val="00907AEE"/>
    <w:rsid w:val="00907C76"/>
    <w:rsid w:val="00907D1E"/>
    <w:rsid w:val="00907F9D"/>
    <w:rsid w:val="009100F9"/>
    <w:rsid w:val="009102EA"/>
    <w:rsid w:val="00910578"/>
    <w:rsid w:val="00910603"/>
    <w:rsid w:val="00910655"/>
    <w:rsid w:val="009106F5"/>
    <w:rsid w:val="00910C01"/>
    <w:rsid w:val="00910C18"/>
    <w:rsid w:val="00910EC0"/>
    <w:rsid w:val="00910F99"/>
    <w:rsid w:val="00911011"/>
    <w:rsid w:val="00911175"/>
    <w:rsid w:val="009113E0"/>
    <w:rsid w:val="00911453"/>
    <w:rsid w:val="00911571"/>
    <w:rsid w:val="009118E8"/>
    <w:rsid w:val="00911A0C"/>
    <w:rsid w:val="00911D37"/>
    <w:rsid w:val="00911DE6"/>
    <w:rsid w:val="00911E3C"/>
    <w:rsid w:val="0091201E"/>
    <w:rsid w:val="0091210E"/>
    <w:rsid w:val="00912215"/>
    <w:rsid w:val="009125D0"/>
    <w:rsid w:val="009126D9"/>
    <w:rsid w:val="00912A0D"/>
    <w:rsid w:val="00912C27"/>
    <w:rsid w:val="00913037"/>
    <w:rsid w:val="00913145"/>
    <w:rsid w:val="009135A1"/>
    <w:rsid w:val="00913777"/>
    <w:rsid w:val="009139E8"/>
    <w:rsid w:val="00913AD6"/>
    <w:rsid w:val="00913E36"/>
    <w:rsid w:val="009140DA"/>
    <w:rsid w:val="0091410B"/>
    <w:rsid w:val="009141C8"/>
    <w:rsid w:val="00914351"/>
    <w:rsid w:val="00914352"/>
    <w:rsid w:val="00914608"/>
    <w:rsid w:val="009148BF"/>
    <w:rsid w:val="00914A69"/>
    <w:rsid w:val="00914C58"/>
    <w:rsid w:val="00914D2A"/>
    <w:rsid w:val="00914F27"/>
    <w:rsid w:val="0091501B"/>
    <w:rsid w:val="00915270"/>
    <w:rsid w:val="009158B6"/>
    <w:rsid w:val="00915AE3"/>
    <w:rsid w:val="00915C7B"/>
    <w:rsid w:val="00915CCB"/>
    <w:rsid w:val="009161A4"/>
    <w:rsid w:val="009163E0"/>
    <w:rsid w:val="0091659A"/>
    <w:rsid w:val="009166EA"/>
    <w:rsid w:val="009167CB"/>
    <w:rsid w:val="009167E7"/>
    <w:rsid w:val="00916852"/>
    <w:rsid w:val="00916881"/>
    <w:rsid w:val="00916956"/>
    <w:rsid w:val="009169BB"/>
    <w:rsid w:val="009169E3"/>
    <w:rsid w:val="00916A15"/>
    <w:rsid w:val="00916B67"/>
    <w:rsid w:val="00916DD3"/>
    <w:rsid w:val="00916ED5"/>
    <w:rsid w:val="00916F02"/>
    <w:rsid w:val="00916FB3"/>
    <w:rsid w:val="00916FC8"/>
    <w:rsid w:val="009171A8"/>
    <w:rsid w:val="0091758E"/>
    <w:rsid w:val="00917597"/>
    <w:rsid w:val="00917793"/>
    <w:rsid w:val="00917A06"/>
    <w:rsid w:val="00917CF5"/>
    <w:rsid w:val="00917DDD"/>
    <w:rsid w:val="00917F26"/>
    <w:rsid w:val="009202EF"/>
    <w:rsid w:val="0092040E"/>
    <w:rsid w:val="00920519"/>
    <w:rsid w:val="00920770"/>
    <w:rsid w:val="00920BA4"/>
    <w:rsid w:val="00920BAE"/>
    <w:rsid w:val="00920D1D"/>
    <w:rsid w:val="009210D1"/>
    <w:rsid w:val="0092122E"/>
    <w:rsid w:val="0092197E"/>
    <w:rsid w:val="00921A55"/>
    <w:rsid w:val="00921ACA"/>
    <w:rsid w:val="00921AFD"/>
    <w:rsid w:val="00921D04"/>
    <w:rsid w:val="00921F08"/>
    <w:rsid w:val="00921FBB"/>
    <w:rsid w:val="00922010"/>
    <w:rsid w:val="009221D2"/>
    <w:rsid w:val="009225D4"/>
    <w:rsid w:val="00922B21"/>
    <w:rsid w:val="00922C75"/>
    <w:rsid w:val="00922E11"/>
    <w:rsid w:val="0092306E"/>
    <w:rsid w:val="0092307C"/>
    <w:rsid w:val="009230B6"/>
    <w:rsid w:val="0092314A"/>
    <w:rsid w:val="00923384"/>
    <w:rsid w:val="009234BF"/>
    <w:rsid w:val="0092372C"/>
    <w:rsid w:val="0092381D"/>
    <w:rsid w:val="00923C12"/>
    <w:rsid w:val="00923D02"/>
    <w:rsid w:val="00923DA6"/>
    <w:rsid w:val="00924566"/>
    <w:rsid w:val="0092469A"/>
    <w:rsid w:val="009246E5"/>
    <w:rsid w:val="00924902"/>
    <w:rsid w:val="00924994"/>
    <w:rsid w:val="009249EE"/>
    <w:rsid w:val="00924B4D"/>
    <w:rsid w:val="0092503E"/>
    <w:rsid w:val="009252F0"/>
    <w:rsid w:val="00925463"/>
    <w:rsid w:val="009254AB"/>
    <w:rsid w:val="00925624"/>
    <w:rsid w:val="00925696"/>
    <w:rsid w:val="009257C5"/>
    <w:rsid w:val="00925EEA"/>
    <w:rsid w:val="00926433"/>
    <w:rsid w:val="009267BA"/>
    <w:rsid w:val="009268A0"/>
    <w:rsid w:val="00926972"/>
    <w:rsid w:val="009269B2"/>
    <w:rsid w:val="009269B3"/>
    <w:rsid w:val="00926A47"/>
    <w:rsid w:val="0092707A"/>
    <w:rsid w:val="009271F9"/>
    <w:rsid w:val="00927546"/>
    <w:rsid w:val="009278E6"/>
    <w:rsid w:val="00927916"/>
    <w:rsid w:val="009279BB"/>
    <w:rsid w:val="00927FDC"/>
    <w:rsid w:val="009301E7"/>
    <w:rsid w:val="009306D0"/>
    <w:rsid w:val="00930726"/>
    <w:rsid w:val="00930AEB"/>
    <w:rsid w:val="00930C6F"/>
    <w:rsid w:val="00930CEC"/>
    <w:rsid w:val="009312CF"/>
    <w:rsid w:val="00931301"/>
    <w:rsid w:val="00931429"/>
    <w:rsid w:val="00931469"/>
    <w:rsid w:val="009317B6"/>
    <w:rsid w:val="009317F9"/>
    <w:rsid w:val="00931830"/>
    <w:rsid w:val="009318AF"/>
    <w:rsid w:val="00931979"/>
    <w:rsid w:val="00931AF4"/>
    <w:rsid w:val="00931B79"/>
    <w:rsid w:val="00931D84"/>
    <w:rsid w:val="00931F95"/>
    <w:rsid w:val="009321CA"/>
    <w:rsid w:val="0093225F"/>
    <w:rsid w:val="009323EC"/>
    <w:rsid w:val="00932ED8"/>
    <w:rsid w:val="0093302E"/>
    <w:rsid w:val="0093307B"/>
    <w:rsid w:val="00933147"/>
    <w:rsid w:val="00933580"/>
    <w:rsid w:val="009337B8"/>
    <w:rsid w:val="00933874"/>
    <w:rsid w:val="00933988"/>
    <w:rsid w:val="00933A60"/>
    <w:rsid w:val="00933B75"/>
    <w:rsid w:val="00933BC2"/>
    <w:rsid w:val="00933BE4"/>
    <w:rsid w:val="0093409F"/>
    <w:rsid w:val="00934197"/>
    <w:rsid w:val="009342B1"/>
    <w:rsid w:val="00934403"/>
    <w:rsid w:val="00934701"/>
    <w:rsid w:val="00934772"/>
    <w:rsid w:val="00934894"/>
    <w:rsid w:val="009348BD"/>
    <w:rsid w:val="00934BAC"/>
    <w:rsid w:val="00934C36"/>
    <w:rsid w:val="00934D59"/>
    <w:rsid w:val="00935223"/>
    <w:rsid w:val="00935349"/>
    <w:rsid w:val="00935843"/>
    <w:rsid w:val="00935AEB"/>
    <w:rsid w:val="00935B10"/>
    <w:rsid w:val="00935B65"/>
    <w:rsid w:val="00935BC9"/>
    <w:rsid w:val="00935D5D"/>
    <w:rsid w:val="0093634E"/>
    <w:rsid w:val="00936750"/>
    <w:rsid w:val="00936944"/>
    <w:rsid w:val="00936BAC"/>
    <w:rsid w:val="00937416"/>
    <w:rsid w:val="00937423"/>
    <w:rsid w:val="0093758C"/>
    <w:rsid w:val="00937799"/>
    <w:rsid w:val="00937AE9"/>
    <w:rsid w:val="00937DF5"/>
    <w:rsid w:val="00940709"/>
    <w:rsid w:val="00940759"/>
    <w:rsid w:val="009407FF"/>
    <w:rsid w:val="00940848"/>
    <w:rsid w:val="00940994"/>
    <w:rsid w:val="00940B6F"/>
    <w:rsid w:val="00940CFB"/>
    <w:rsid w:val="00940D81"/>
    <w:rsid w:val="00940ECB"/>
    <w:rsid w:val="009411C4"/>
    <w:rsid w:val="00941221"/>
    <w:rsid w:val="00941274"/>
    <w:rsid w:val="00941289"/>
    <w:rsid w:val="00941ADD"/>
    <w:rsid w:val="00941C7E"/>
    <w:rsid w:val="00941D3A"/>
    <w:rsid w:val="00941D63"/>
    <w:rsid w:val="00941D6F"/>
    <w:rsid w:val="00941E86"/>
    <w:rsid w:val="00941F37"/>
    <w:rsid w:val="00941FC2"/>
    <w:rsid w:val="00942053"/>
    <w:rsid w:val="0094213E"/>
    <w:rsid w:val="0094224D"/>
    <w:rsid w:val="00942419"/>
    <w:rsid w:val="009427C5"/>
    <w:rsid w:val="009428DE"/>
    <w:rsid w:val="0094297A"/>
    <w:rsid w:val="00942FB9"/>
    <w:rsid w:val="00943008"/>
    <w:rsid w:val="0094325C"/>
    <w:rsid w:val="00943431"/>
    <w:rsid w:val="009434D6"/>
    <w:rsid w:val="00943524"/>
    <w:rsid w:val="0094360C"/>
    <w:rsid w:val="0094380C"/>
    <w:rsid w:val="009438D4"/>
    <w:rsid w:val="00943B0C"/>
    <w:rsid w:val="00943D89"/>
    <w:rsid w:val="00943E5C"/>
    <w:rsid w:val="00944194"/>
    <w:rsid w:val="0094425D"/>
    <w:rsid w:val="0094426F"/>
    <w:rsid w:val="009442C6"/>
    <w:rsid w:val="00944475"/>
    <w:rsid w:val="009445DD"/>
    <w:rsid w:val="00944672"/>
    <w:rsid w:val="009446F5"/>
    <w:rsid w:val="009447E6"/>
    <w:rsid w:val="00944BD9"/>
    <w:rsid w:val="00944BF0"/>
    <w:rsid w:val="00944D9E"/>
    <w:rsid w:val="00944DDE"/>
    <w:rsid w:val="0094518A"/>
    <w:rsid w:val="009451DB"/>
    <w:rsid w:val="00945207"/>
    <w:rsid w:val="00945235"/>
    <w:rsid w:val="00945300"/>
    <w:rsid w:val="00945641"/>
    <w:rsid w:val="009456D8"/>
    <w:rsid w:val="00945868"/>
    <w:rsid w:val="00945A00"/>
    <w:rsid w:val="00945BC0"/>
    <w:rsid w:val="00945C75"/>
    <w:rsid w:val="0094635B"/>
    <w:rsid w:val="0094655B"/>
    <w:rsid w:val="00946862"/>
    <w:rsid w:val="009468C0"/>
    <w:rsid w:val="009468C2"/>
    <w:rsid w:val="00946990"/>
    <w:rsid w:val="00946ADC"/>
    <w:rsid w:val="00946DD3"/>
    <w:rsid w:val="00946DE5"/>
    <w:rsid w:val="0094700E"/>
    <w:rsid w:val="00947164"/>
    <w:rsid w:val="0094716B"/>
    <w:rsid w:val="00947187"/>
    <w:rsid w:val="009476D4"/>
    <w:rsid w:val="0094778A"/>
    <w:rsid w:val="009478E9"/>
    <w:rsid w:val="00947E32"/>
    <w:rsid w:val="00950068"/>
    <w:rsid w:val="00950148"/>
    <w:rsid w:val="0095016A"/>
    <w:rsid w:val="0095021B"/>
    <w:rsid w:val="009505B8"/>
    <w:rsid w:val="00950B33"/>
    <w:rsid w:val="00950EB6"/>
    <w:rsid w:val="0095180F"/>
    <w:rsid w:val="009519E0"/>
    <w:rsid w:val="009519FB"/>
    <w:rsid w:val="00951A65"/>
    <w:rsid w:val="00951BA0"/>
    <w:rsid w:val="00951C91"/>
    <w:rsid w:val="00951D57"/>
    <w:rsid w:val="00951F4B"/>
    <w:rsid w:val="00951F72"/>
    <w:rsid w:val="0095200F"/>
    <w:rsid w:val="00952405"/>
    <w:rsid w:val="00952559"/>
    <w:rsid w:val="00952628"/>
    <w:rsid w:val="00952982"/>
    <w:rsid w:val="009529A9"/>
    <w:rsid w:val="00952E9C"/>
    <w:rsid w:val="00953014"/>
    <w:rsid w:val="009530B0"/>
    <w:rsid w:val="00953338"/>
    <w:rsid w:val="00953678"/>
    <w:rsid w:val="009539E9"/>
    <w:rsid w:val="00953C3F"/>
    <w:rsid w:val="00953D71"/>
    <w:rsid w:val="009540FF"/>
    <w:rsid w:val="0095420A"/>
    <w:rsid w:val="00954247"/>
    <w:rsid w:val="00954294"/>
    <w:rsid w:val="00954554"/>
    <w:rsid w:val="009545D0"/>
    <w:rsid w:val="00954C13"/>
    <w:rsid w:val="00954F39"/>
    <w:rsid w:val="0095507F"/>
    <w:rsid w:val="00955141"/>
    <w:rsid w:val="009551AA"/>
    <w:rsid w:val="009551BB"/>
    <w:rsid w:val="009552E4"/>
    <w:rsid w:val="00955324"/>
    <w:rsid w:val="009553BE"/>
    <w:rsid w:val="0095564A"/>
    <w:rsid w:val="00955754"/>
    <w:rsid w:val="009557D7"/>
    <w:rsid w:val="009557F9"/>
    <w:rsid w:val="00955860"/>
    <w:rsid w:val="00955924"/>
    <w:rsid w:val="00955D43"/>
    <w:rsid w:val="00955E87"/>
    <w:rsid w:val="00956013"/>
    <w:rsid w:val="0095660F"/>
    <w:rsid w:val="0095662E"/>
    <w:rsid w:val="0095672E"/>
    <w:rsid w:val="0095676E"/>
    <w:rsid w:val="009567D7"/>
    <w:rsid w:val="00956897"/>
    <w:rsid w:val="00956979"/>
    <w:rsid w:val="009569FF"/>
    <w:rsid w:val="00956E09"/>
    <w:rsid w:val="00956EBA"/>
    <w:rsid w:val="00956EF4"/>
    <w:rsid w:val="00956F40"/>
    <w:rsid w:val="0095706E"/>
    <w:rsid w:val="009570DB"/>
    <w:rsid w:val="0095749A"/>
    <w:rsid w:val="0095762F"/>
    <w:rsid w:val="00957775"/>
    <w:rsid w:val="009577F9"/>
    <w:rsid w:val="0095782C"/>
    <w:rsid w:val="00957911"/>
    <w:rsid w:val="00957A6A"/>
    <w:rsid w:val="00957E2C"/>
    <w:rsid w:val="00957F1D"/>
    <w:rsid w:val="00957F72"/>
    <w:rsid w:val="009602A4"/>
    <w:rsid w:val="009602DE"/>
    <w:rsid w:val="009605CD"/>
    <w:rsid w:val="0096061F"/>
    <w:rsid w:val="009608D4"/>
    <w:rsid w:val="00960E1F"/>
    <w:rsid w:val="009610CA"/>
    <w:rsid w:val="009610EA"/>
    <w:rsid w:val="0096135B"/>
    <w:rsid w:val="0096137B"/>
    <w:rsid w:val="0096155D"/>
    <w:rsid w:val="009617EF"/>
    <w:rsid w:val="00961961"/>
    <w:rsid w:val="00961D73"/>
    <w:rsid w:val="009621BB"/>
    <w:rsid w:val="009621E4"/>
    <w:rsid w:val="009622CF"/>
    <w:rsid w:val="0096236A"/>
    <w:rsid w:val="00962894"/>
    <w:rsid w:val="00962DA8"/>
    <w:rsid w:val="00962F67"/>
    <w:rsid w:val="00963004"/>
    <w:rsid w:val="00963237"/>
    <w:rsid w:val="00963331"/>
    <w:rsid w:val="0096374B"/>
    <w:rsid w:val="009637D1"/>
    <w:rsid w:val="00963865"/>
    <w:rsid w:val="00963ABE"/>
    <w:rsid w:val="00963BA8"/>
    <w:rsid w:val="00963CD4"/>
    <w:rsid w:val="00963D55"/>
    <w:rsid w:val="00964024"/>
    <w:rsid w:val="009642FA"/>
    <w:rsid w:val="009645A5"/>
    <w:rsid w:val="00964699"/>
    <w:rsid w:val="009647EE"/>
    <w:rsid w:val="0096494B"/>
    <w:rsid w:val="00964C2C"/>
    <w:rsid w:val="00964DC4"/>
    <w:rsid w:val="00964DE6"/>
    <w:rsid w:val="009650E0"/>
    <w:rsid w:val="009654EB"/>
    <w:rsid w:val="009655B2"/>
    <w:rsid w:val="009656F1"/>
    <w:rsid w:val="00965A7C"/>
    <w:rsid w:val="00965C44"/>
    <w:rsid w:val="00966086"/>
    <w:rsid w:val="0096609C"/>
    <w:rsid w:val="00966A00"/>
    <w:rsid w:val="00966B6B"/>
    <w:rsid w:val="00966C9B"/>
    <w:rsid w:val="00966E04"/>
    <w:rsid w:val="009670BA"/>
    <w:rsid w:val="00967180"/>
    <w:rsid w:val="00967195"/>
    <w:rsid w:val="00967470"/>
    <w:rsid w:val="009675D7"/>
    <w:rsid w:val="0096768E"/>
    <w:rsid w:val="009676AB"/>
    <w:rsid w:val="009678F8"/>
    <w:rsid w:val="00967974"/>
    <w:rsid w:val="00967C4F"/>
    <w:rsid w:val="00967C58"/>
    <w:rsid w:val="00967D9D"/>
    <w:rsid w:val="00967FAE"/>
    <w:rsid w:val="00967FE1"/>
    <w:rsid w:val="009700F6"/>
    <w:rsid w:val="0097056E"/>
    <w:rsid w:val="009705A6"/>
    <w:rsid w:val="00970A76"/>
    <w:rsid w:val="00970B7B"/>
    <w:rsid w:val="00970B91"/>
    <w:rsid w:val="00970C46"/>
    <w:rsid w:val="00970ED2"/>
    <w:rsid w:val="00971036"/>
    <w:rsid w:val="00971083"/>
    <w:rsid w:val="009710AC"/>
    <w:rsid w:val="009712D0"/>
    <w:rsid w:val="0097180C"/>
    <w:rsid w:val="00971B17"/>
    <w:rsid w:val="00971BEA"/>
    <w:rsid w:val="00971C81"/>
    <w:rsid w:val="00971E66"/>
    <w:rsid w:val="00971ED7"/>
    <w:rsid w:val="00972157"/>
    <w:rsid w:val="00972446"/>
    <w:rsid w:val="0097245A"/>
    <w:rsid w:val="009725F1"/>
    <w:rsid w:val="00972929"/>
    <w:rsid w:val="00972A73"/>
    <w:rsid w:val="00972DFD"/>
    <w:rsid w:val="00972F7D"/>
    <w:rsid w:val="009735E4"/>
    <w:rsid w:val="009736F6"/>
    <w:rsid w:val="0097398B"/>
    <w:rsid w:val="00973C93"/>
    <w:rsid w:val="00973FD5"/>
    <w:rsid w:val="009741C8"/>
    <w:rsid w:val="00974BE9"/>
    <w:rsid w:val="00974C41"/>
    <w:rsid w:val="00974E50"/>
    <w:rsid w:val="009751A8"/>
    <w:rsid w:val="00975200"/>
    <w:rsid w:val="0097528D"/>
    <w:rsid w:val="0097529D"/>
    <w:rsid w:val="00975344"/>
    <w:rsid w:val="0097579A"/>
    <w:rsid w:val="00975D06"/>
    <w:rsid w:val="0097626D"/>
    <w:rsid w:val="00976331"/>
    <w:rsid w:val="009764AC"/>
    <w:rsid w:val="00976759"/>
    <w:rsid w:val="00976914"/>
    <w:rsid w:val="0097698C"/>
    <w:rsid w:val="00976C21"/>
    <w:rsid w:val="00976C59"/>
    <w:rsid w:val="00976E46"/>
    <w:rsid w:val="00976F09"/>
    <w:rsid w:val="009770B2"/>
    <w:rsid w:val="009770DA"/>
    <w:rsid w:val="0097713F"/>
    <w:rsid w:val="009776D0"/>
    <w:rsid w:val="009778BF"/>
    <w:rsid w:val="00977A55"/>
    <w:rsid w:val="00977E2F"/>
    <w:rsid w:val="00977EC0"/>
    <w:rsid w:val="009802E9"/>
    <w:rsid w:val="0098054A"/>
    <w:rsid w:val="009805E4"/>
    <w:rsid w:val="009806BD"/>
    <w:rsid w:val="00980CB0"/>
    <w:rsid w:val="00980F22"/>
    <w:rsid w:val="00981193"/>
    <w:rsid w:val="0098140B"/>
    <w:rsid w:val="00981655"/>
    <w:rsid w:val="009817DA"/>
    <w:rsid w:val="00981AE0"/>
    <w:rsid w:val="00981B79"/>
    <w:rsid w:val="0098204F"/>
    <w:rsid w:val="00982394"/>
    <w:rsid w:val="00982416"/>
    <w:rsid w:val="00982B39"/>
    <w:rsid w:val="00982B79"/>
    <w:rsid w:val="00983000"/>
    <w:rsid w:val="00983075"/>
    <w:rsid w:val="0098360B"/>
    <w:rsid w:val="00983688"/>
    <w:rsid w:val="009837A3"/>
    <w:rsid w:val="009837FD"/>
    <w:rsid w:val="009838CA"/>
    <w:rsid w:val="00983BAD"/>
    <w:rsid w:val="00983D61"/>
    <w:rsid w:val="00983FD7"/>
    <w:rsid w:val="00984168"/>
    <w:rsid w:val="00984249"/>
    <w:rsid w:val="009842E6"/>
    <w:rsid w:val="00984311"/>
    <w:rsid w:val="009843EF"/>
    <w:rsid w:val="00984752"/>
    <w:rsid w:val="009847F4"/>
    <w:rsid w:val="00984878"/>
    <w:rsid w:val="00984A26"/>
    <w:rsid w:val="00984C15"/>
    <w:rsid w:val="00984E79"/>
    <w:rsid w:val="00985408"/>
    <w:rsid w:val="0098561C"/>
    <w:rsid w:val="009857B3"/>
    <w:rsid w:val="00985A34"/>
    <w:rsid w:val="00985AE1"/>
    <w:rsid w:val="00985B99"/>
    <w:rsid w:val="00985BA3"/>
    <w:rsid w:val="00985BB3"/>
    <w:rsid w:val="00985D49"/>
    <w:rsid w:val="0098621A"/>
    <w:rsid w:val="009862C5"/>
    <w:rsid w:val="009863B1"/>
    <w:rsid w:val="009866B8"/>
    <w:rsid w:val="009866D2"/>
    <w:rsid w:val="00986713"/>
    <w:rsid w:val="009868BD"/>
    <w:rsid w:val="009868CF"/>
    <w:rsid w:val="009869BA"/>
    <w:rsid w:val="00986BEB"/>
    <w:rsid w:val="00986E2B"/>
    <w:rsid w:val="00986F2A"/>
    <w:rsid w:val="00986F61"/>
    <w:rsid w:val="0098730E"/>
    <w:rsid w:val="00987644"/>
    <w:rsid w:val="00987970"/>
    <w:rsid w:val="009879B0"/>
    <w:rsid w:val="00987ADF"/>
    <w:rsid w:val="00987B83"/>
    <w:rsid w:val="00987BD7"/>
    <w:rsid w:val="00987D11"/>
    <w:rsid w:val="00987DB0"/>
    <w:rsid w:val="00987E2D"/>
    <w:rsid w:val="00987E5F"/>
    <w:rsid w:val="00987FCA"/>
    <w:rsid w:val="0099048E"/>
    <w:rsid w:val="009905E2"/>
    <w:rsid w:val="009906A6"/>
    <w:rsid w:val="00990981"/>
    <w:rsid w:val="00990C3E"/>
    <w:rsid w:val="00990D4D"/>
    <w:rsid w:val="009912D3"/>
    <w:rsid w:val="009913B2"/>
    <w:rsid w:val="0099152A"/>
    <w:rsid w:val="009915E0"/>
    <w:rsid w:val="00991963"/>
    <w:rsid w:val="00991B82"/>
    <w:rsid w:val="00991BF6"/>
    <w:rsid w:val="00991D63"/>
    <w:rsid w:val="00991EC8"/>
    <w:rsid w:val="00991FF9"/>
    <w:rsid w:val="009922FE"/>
    <w:rsid w:val="0099236B"/>
    <w:rsid w:val="00992486"/>
    <w:rsid w:val="009925D2"/>
    <w:rsid w:val="0099279F"/>
    <w:rsid w:val="00992BBE"/>
    <w:rsid w:val="00992CFA"/>
    <w:rsid w:val="00992D4B"/>
    <w:rsid w:val="00992F50"/>
    <w:rsid w:val="00992F90"/>
    <w:rsid w:val="00993102"/>
    <w:rsid w:val="009932BA"/>
    <w:rsid w:val="0099338B"/>
    <w:rsid w:val="00993390"/>
    <w:rsid w:val="0099381F"/>
    <w:rsid w:val="00993955"/>
    <w:rsid w:val="00993B0E"/>
    <w:rsid w:val="00993B90"/>
    <w:rsid w:val="00993C7E"/>
    <w:rsid w:val="00993C9D"/>
    <w:rsid w:val="00993F36"/>
    <w:rsid w:val="00993F96"/>
    <w:rsid w:val="00994053"/>
    <w:rsid w:val="009943D4"/>
    <w:rsid w:val="0099469A"/>
    <w:rsid w:val="009948AC"/>
    <w:rsid w:val="00994D3A"/>
    <w:rsid w:val="00994F78"/>
    <w:rsid w:val="00994F8D"/>
    <w:rsid w:val="00994FEA"/>
    <w:rsid w:val="0099524D"/>
    <w:rsid w:val="0099528E"/>
    <w:rsid w:val="0099571F"/>
    <w:rsid w:val="009957C9"/>
    <w:rsid w:val="009959D5"/>
    <w:rsid w:val="00995CC2"/>
    <w:rsid w:val="00995E59"/>
    <w:rsid w:val="00995FF1"/>
    <w:rsid w:val="00996050"/>
    <w:rsid w:val="009966AB"/>
    <w:rsid w:val="009969AF"/>
    <w:rsid w:val="00996D15"/>
    <w:rsid w:val="00996DF8"/>
    <w:rsid w:val="009971A6"/>
    <w:rsid w:val="00997379"/>
    <w:rsid w:val="009973DB"/>
    <w:rsid w:val="009974B9"/>
    <w:rsid w:val="00997899"/>
    <w:rsid w:val="00997A84"/>
    <w:rsid w:val="00997B71"/>
    <w:rsid w:val="009A000D"/>
    <w:rsid w:val="009A0147"/>
    <w:rsid w:val="009A0326"/>
    <w:rsid w:val="009A03F0"/>
    <w:rsid w:val="009A0589"/>
    <w:rsid w:val="009A05F7"/>
    <w:rsid w:val="009A0603"/>
    <w:rsid w:val="009A06A1"/>
    <w:rsid w:val="009A077C"/>
    <w:rsid w:val="009A07A0"/>
    <w:rsid w:val="009A0987"/>
    <w:rsid w:val="009A0AC6"/>
    <w:rsid w:val="009A0E78"/>
    <w:rsid w:val="009A0F8B"/>
    <w:rsid w:val="009A1064"/>
    <w:rsid w:val="009A1122"/>
    <w:rsid w:val="009A137E"/>
    <w:rsid w:val="009A1AC2"/>
    <w:rsid w:val="009A1B5B"/>
    <w:rsid w:val="009A1C7C"/>
    <w:rsid w:val="009A1DA0"/>
    <w:rsid w:val="009A2233"/>
    <w:rsid w:val="009A27F6"/>
    <w:rsid w:val="009A284D"/>
    <w:rsid w:val="009A2DBB"/>
    <w:rsid w:val="009A2E56"/>
    <w:rsid w:val="009A2EE8"/>
    <w:rsid w:val="009A3221"/>
    <w:rsid w:val="009A3298"/>
    <w:rsid w:val="009A348D"/>
    <w:rsid w:val="009A351F"/>
    <w:rsid w:val="009A39D7"/>
    <w:rsid w:val="009A3AB3"/>
    <w:rsid w:val="009A3BD5"/>
    <w:rsid w:val="009A3C13"/>
    <w:rsid w:val="009A3F95"/>
    <w:rsid w:val="009A4234"/>
    <w:rsid w:val="009A42F3"/>
    <w:rsid w:val="009A43E4"/>
    <w:rsid w:val="009A4521"/>
    <w:rsid w:val="009A456C"/>
    <w:rsid w:val="009A469D"/>
    <w:rsid w:val="009A46BB"/>
    <w:rsid w:val="009A46CA"/>
    <w:rsid w:val="009A4A36"/>
    <w:rsid w:val="009A4B44"/>
    <w:rsid w:val="009A4F4B"/>
    <w:rsid w:val="009A4F5E"/>
    <w:rsid w:val="009A4F61"/>
    <w:rsid w:val="009A4F7C"/>
    <w:rsid w:val="009A4FDD"/>
    <w:rsid w:val="009A518C"/>
    <w:rsid w:val="009A5595"/>
    <w:rsid w:val="009A55C0"/>
    <w:rsid w:val="009A59A6"/>
    <w:rsid w:val="009A5A97"/>
    <w:rsid w:val="009A5AA1"/>
    <w:rsid w:val="009A5B28"/>
    <w:rsid w:val="009A5BEF"/>
    <w:rsid w:val="009A5C15"/>
    <w:rsid w:val="009A5CE8"/>
    <w:rsid w:val="009A6105"/>
    <w:rsid w:val="009A6199"/>
    <w:rsid w:val="009A623B"/>
    <w:rsid w:val="009A63F6"/>
    <w:rsid w:val="009A64AD"/>
    <w:rsid w:val="009A6780"/>
    <w:rsid w:val="009A68BF"/>
    <w:rsid w:val="009A68C4"/>
    <w:rsid w:val="009A6982"/>
    <w:rsid w:val="009A72A4"/>
    <w:rsid w:val="009A736E"/>
    <w:rsid w:val="009A7A53"/>
    <w:rsid w:val="009A7B17"/>
    <w:rsid w:val="009B0002"/>
    <w:rsid w:val="009B0354"/>
    <w:rsid w:val="009B03DB"/>
    <w:rsid w:val="009B051F"/>
    <w:rsid w:val="009B0594"/>
    <w:rsid w:val="009B071D"/>
    <w:rsid w:val="009B113B"/>
    <w:rsid w:val="009B1939"/>
    <w:rsid w:val="009B1B8C"/>
    <w:rsid w:val="009B1BEB"/>
    <w:rsid w:val="009B1E1D"/>
    <w:rsid w:val="009B1F27"/>
    <w:rsid w:val="009B1F75"/>
    <w:rsid w:val="009B1FAA"/>
    <w:rsid w:val="009B23F7"/>
    <w:rsid w:val="009B24E9"/>
    <w:rsid w:val="009B2679"/>
    <w:rsid w:val="009B28FD"/>
    <w:rsid w:val="009B290D"/>
    <w:rsid w:val="009B2BE3"/>
    <w:rsid w:val="009B2C80"/>
    <w:rsid w:val="009B2DFA"/>
    <w:rsid w:val="009B2FD8"/>
    <w:rsid w:val="009B303E"/>
    <w:rsid w:val="009B3346"/>
    <w:rsid w:val="009B35F5"/>
    <w:rsid w:val="009B36E2"/>
    <w:rsid w:val="009B374A"/>
    <w:rsid w:val="009B37DF"/>
    <w:rsid w:val="009B3942"/>
    <w:rsid w:val="009B395F"/>
    <w:rsid w:val="009B3A2A"/>
    <w:rsid w:val="009B3A86"/>
    <w:rsid w:val="009B3CC1"/>
    <w:rsid w:val="009B3D10"/>
    <w:rsid w:val="009B3D1D"/>
    <w:rsid w:val="009B3DD4"/>
    <w:rsid w:val="009B3E23"/>
    <w:rsid w:val="009B3E77"/>
    <w:rsid w:val="009B3FFE"/>
    <w:rsid w:val="009B4028"/>
    <w:rsid w:val="009B40A6"/>
    <w:rsid w:val="009B410E"/>
    <w:rsid w:val="009B4198"/>
    <w:rsid w:val="009B42A1"/>
    <w:rsid w:val="009B42EE"/>
    <w:rsid w:val="009B462A"/>
    <w:rsid w:val="009B4643"/>
    <w:rsid w:val="009B4756"/>
    <w:rsid w:val="009B4902"/>
    <w:rsid w:val="009B4944"/>
    <w:rsid w:val="009B4A46"/>
    <w:rsid w:val="009B4B42"/>
    <w:rsid w:val="009B4E05"/>
    <w:rsid w:val="009B4EDC"/>
    <w:rsid w:val="009B4EDF"/>
    <w:rsid w:val="009B515E"/>
    <w:rsid w:val="009B546D"/>
    <w:rsid w:val="009B55F1"/>
    <w:rsid w:val="009B5615"/>
    <w:rsid w:val="009B56AF"/>
    <w:rsid w:val="009B59D2"/>
    <w:rsid w:val="009B5B15"/>
    <w:rsid w:val="009B5D18"/>
    <w:rsid w:val="009B5DC6"/>
    <w:rsid w:val="009B5DF3"/>
    <w:rsid w:val="009B5F92"/>
    <w:rsid w:val="009B60A1"/>
    <w:rsid w:val="009B61E1"/>
    <w:rsid w:val="009B62BC"/>
    <w:rsid w:val="009B631F"/>
    <w:rsid w:val="009B6398"/>
    <w:rsid w:val="009B6796"/>
    <w:rsid w:val="009B6919"/>
    <w:rsid w:val="009B6995"/>
    <w:rsid w:val="009B69C7"/>
    <w:rsid w:val="009B71BA"/>
    <w:rsid w:val="009B7471"/>
    <w:rsid w:val="009B7614"/>
    <w:rsid w:val="009B7AD1"/>
    <w:rsid w:val="009B7B7F"/>
    <w:rsid w:val="009C02E7"/>
    <w:rsid w:val="009C0992"/>
    <w:rsid w:val="009C0A41"/>
    <w:rsid w:val="009C0A66"/>
    <w:rsid w:val="009C0C82"/>
    <w:rsid w:val="009C0D42"/>
    <w:rsid w:val="009C0F46"/>
    <w:rsid w:val="009C1088"/>
    <w:rsid w:val="009C1373"/>
    <w:rsid w:val="009C1394"/>
    <w:rsid w:val="009C14E3"/>
    <w:rsid w:val="009C1885"/>
    <w:rsid w:val="009C18A7"/>
    <w:rsid w:val="009C1969"/>
    <w:rsid w:val="009C19C2"/>
    <w:rsid w:val="009C1B34"/>
    <w:rsid w:val="009C1EB9"/>
    <w:rsid w:val="009C1FDC"/>
    <w:rsid w:val="009C2008"/>
    <w:rsid w:val="009C212B"/>
    <w:rsid w:val="009C2293"/>
    <w:rsid w:val="009C22E1"/>
    <w:rsid w:val="009C234C"/>
    <w:rsid w:val="009C2545"/>
    <w:rsid w:val="009C2573"/>
    <w:rsid w:val="009C2870"/>
    <w:rsid w:val="009C2A68"/>
    <w:rsid w:val="009C2C12"/>
    <w:rsid w:val="009C2E73"/>
    <w:rsid w:val="009C3110"/>
    <w:rsid w:val="009C315C"/>
    <w:rsid w:val="009C3170"/>
    <w:rsid w:val="009C319B"/>
    <w:rsid w:val="009C3235"/>
    <w:rsid w:val="009C33FC"/>
    <w:rsid w:val="009C357F"/>
    <w:rsid w:val="009C3B4A"/>
    <w:rsid w:val="009C3C16"/>
    <w:rsid w:val="009C3C93"/>
    <w:rsid w:val="009C3DF6"/>
    <w:rsid w:val="009C3EC0"/>
    <w:rsid w:val="009C4088"/>
    <w:rsid w:val="009C40F8"/>
    <w:rsid w:val="009C4550"/>
    <w:rsid w:val="009C45AF"/>
    <w:rsid w:val="009C49AF"/>
    <w:rsid w:val="009C52A6"/>
    <w:rsid w:val="009C54A8"/>
    <w:rsid w:val="009C55F8"/>
    <w:rsid w:val="009C56A4"/>
    <w:rsid w:val="009C5794"/>
    <w:rsid w:val="009C5893"/>
    <w:rsid w:val="009C5995"/>
    <w:rsid w:val="009C5DD6"/>
    <w:rsid w:val="009C5EFE"/>
    <w:rsid w:val="009C60D3"/>
    <w:rsid w:val="009C628D"/>
    <w:rsid w:val="009C64C4"/>
    <w:rsid w:val="009C696F"/>
    <w:rsid w:val="009C6B26"/>
    <w:rsid w:val="009C6B8D"/>
    <w:rsid w:val="009C6BB0"/>
    <w:rsid w:val="009C6E10"/>
    <w:rsid w:val="009C7322"/>
    <w:rsid w:val="009C74C9"/>
    <w:rsid w:val="009C75AA"/>
    <w:rsid w:val="009C7B18"/>
    <w:rsid w:val="009C7C72"/>
    <w:rsid w:val="009C7E40"/>
    <w:rsid w:val="009D01E7"/>
    <w:rsid w:val="009D0514"/>
    <w:rsid w:val="009D0554"/>
    <w:rsid w:val="009D0B0B"/>
    <w:rsid w:val="009D0B4F"/>
    <w:rsid w:val="009D0C0E"/>
    <w:rsid w:val="009D0F63"/>
    <w:rsid w:val="009D10F5"/>
    <w:rsid w:val="009D141F"/>
    <w:rsid w:val="009D15AF"/>
    <w:rsid w:val="009D1798"/>
    <w:rsid w:val="009D188A"/>
    <w:rsid w:val="009D1906"/>
    <w:rsid w:val="009D190E"/>
    <w:rsid w:val="009D1B31"/>
    <w:rsid w:val="009D1D37"/>
    <w:rsid w:val="009D1DD6"/>
    <w:rsid w:val="009D1FDB"/>
    <w:rsid w:val="009D214C"/>
    <w:rsid w:val="009D2277"/>
    <w:rsid w:val="009D2332"/>
    <w:rsid w:val="009D26BA"/>
    <w:rsid w:val="009D26ED"/>
    <w:rsid w:val="009D2A70"/>
    <w:rsid w:val="009D2B03"/>
    <w:rsid w:val="009D2DBC"/>
    <w:rsid w:val="009D2DEF"/>
    <w:rsid w:val="009D320C"/>
    <w:rsid w:val="009D3420"/>
    <w:rsid w:val="009D34FD"/>
    <w:rsid w:val="009D3569"/>
    <w:rsid w:val="009D38F8"/>
    <w:rsid w:val="009D3A5A"/>
    <w:rsid w:val="009D3E70"/>
    <w:rsid w:val="009D3EFF"/>
    <w:rsid w:val="009D406A"/>
    <w:rsid w:val="009D45AA"/>
    <w:rsid w:val="009D4711"/>
    <w:rsid w:val="009D4A61"/>
    <w:rsid w:val="009D506A"/>
    <w:rsid w:val="009D53E2"/>
    <w:rsid w:val="009D566B"/>
    <w:rsid w:val="009D5A4F"/>
    <w:rsid w:val="009D5B2D"/>
    <w:rsid w:val="009D5D7B"/>
    <w:rsid w:val="009D5DF5"/>
    <w:rsid w:val="009D5FB3"/>
    <w:rsid w:val="009D6099"/>
    <w:rsid w:val="009D61C1"/>
    <w:rsid w:val="009D6242"/>
    <w:rsid w:val="009D644F"/>
    <w:rsid w:val="009D64B2"/>
    <w:rsid w:val="009D64BD"/>
    <w:rsid w:val="009D68A3"/>
    <w:rsid w:val="009D71FE"/>
    <w:rsid w:val="009D721C"/>
    <w:rsid w:val="009D72E0"/>
    <w:rsid w:val="009D74D3"/>
    <w:rsid w:val="009D7521"/>
    <w:rsid w:val="009D7D8C"/>
    <w:rsid w:val="009D7E4A"/>
    <w:rsid w:val="009D7E8E"/>
    <w:rsid w:val="009D7F38"/>
    <w:rsid w:val="009D7FAF"/>
    <w:rsid w:val="009E0529"/>
    <w:rsid w:val="009E0602"/>
    <w:rsid w:val="009E065D"/>
    <w:rsid w:val="009E0B6F"/>
    <w:rsid w:val="009E0C7F"/>
    <w:rsid w:val="009E0D61"/>
    <w:rsid w:val="009E0EC4"/>
    <w:rsid w:val="009E0F3C"/>
    <w:rsid w:val="009E10BC"/>
    <w:rsid w:val="009E116F"/>
    <w:rsid w:val="009E11A0"/>
    <w:rsid w:val="009E11E7"/>
    <w:rsid w:val="009E1200"/>
    <w:rsid w:val="009E1270"/>
    <w:rsid w:val="009E1512"/>
    <w:rsid w:val="009E1569"/>
    <w:rsid w:val="009E159D"/>
    <w:rsid w:val="009E19BA"/>
    <w:rsid w:val="009E1D06"/>
    <w:rsid w:val="009E1D79"/>
    <w:rsid w:val="009E2203"/>
    <w:rsid w:val="009E23E8"/>
    <w:rsid w:val="009E2534"/>
    <w:rsid w:val="009E27B3"/>
    <w:rsid w:val="009E2C95"/>
    <w:rsid w:val="009E2E27"/>
    <w:rsid w:val="009E2F05"/>
    <w:rsid w:val="009E30AD"/>
    <w:rsid w:val="009E31ED"/>
    <w:rsid w:val="009E34B4"/>
    <w:rsid w:val="009E350E"/>
    <w:rsid w:val="009E37AF"/>
    <w:rsid w:val="009E398C"/>
    <w:rsid w:val="009E39D5"/>
    <w:rsid w:val="009E3B35"/>
    <w:rsid w:val="009E3BEC"/>
    <w:rsid w:val="009E3CC5"/>
    <w:rsid w:val="009E3D4C"/>
    <w:rsid w:val="009E3E12"/>
    <w:rsid w:val="009E40FA"/>
    <w:rsid w:val="009E4191"/>
    <w:rsid w:val="009E4A52"/>
    <w:rsid w:val="009E4CF7"/>
    <w:rsid w:val="009E4FD2"/>
    <w:rsid w:val="009E5040"/>
    <w:rsid w:val="009E50EB"/>
    <w:rsid w:val="009E52C5"/>
    <w:rsid w:val="009E5373"/>
    <w:rsid w:val="009E578A"/>
    <w:rsid w:val="009E5977"/>
    <w:rsid w:val="009E5C61"/>
    <w:rsid w:val="009E5C79"/>
    <w:rsid w:val="009E5CB2"/>
    <w:rsid w:val="009E5EA5"/>
    <w:rsid w:val="009E5F51"/>
    <w:rsid w:val="009E606E"/>
    <w:rsid w:val="009E6280"/>
    <w:rsid w:val="009E66CC"/>
    <w:rsid w:val="009E6792"/>
    <w:rsid w:val="009E6859"/>
    <w:rsid w:val="009E6C87"/>
    <w:rsid w:val="009E6D2A"/>
    <w:rsid w:val="009E6DCF"/>
    <w:rsid w:val="009E6E5C"/>
    <w:rsid w:val="009E6EF0"/>
    <w:rsid w:val="009E7048"/>
    <w:rsid w:val="009E7143"/>
    <w:rsid w:val="009E724C"/>
    <w:rsid w:val="009E7731"/>
    <w:rsid w:val="009E7963"/>
    <w:rsid w:val="009E7CE5"/>
    <w:rsid w:val="009E7D74"/>
    <w:rsid w:val="009E7E49"/>
    <w:rsid w:val="009E7E4E"/>
    <w:rsid w:val="009E7F6F"/>
    <w:rsid w:val="009ECC2C"/>
    <w:rsid w:val="009F00F4"/>
    <w:rsid w:val="009F018A"/>
    <w:rsid w:val="009F0502"/>
    <w:rsid w:val="009F05D3"/>
    <w:rsid w:val="009F05EC"/>
    <w:rsid w:val="009F05F4"/>
    <w:rsid w:val="009F05F5"/>
    <w:rsid w:val="009F0978"/>
    <w:rsid w:val="009F0A54"/>
    <w:rsid w:val="009F0D72"/>
    <w:rsid w:val="009F0E16"/>
    <w:rsid w:val="009F0EF7"/>
    <w:rsid w:val="009F1495"/>
    <w:rsid w:val="009F1500"/>
    <w:rsid w:val="009F1505"/>
    <w:rsid w:val="009F163B"/>
    <w:rsid w:val="009F1A6D"/>
    <w:rsid w:val="009F1E74"/>
    <w:rsid w:val="009F2235"/>
    <w:rsid w:val="009F235D"/>
    <w:rsid w:val="009F24B9"/>
    <w:rsid w:val="009F2561"/>
    <w:rsid w:val="009F2608"/>
    <w:rsid w:val="009F2654"/>
    <w:rsid w:val="009F2813"/>
    <w:rsid w:val="009F29BF"/>
    <w:rsid w:val="009F2BD6"/>
    <w:rsid w:val="009F2CF5"/>
    <w:rsid w:val="009F3397"/>
    <w:rsid w:val="009F3427"/>
    <w:rsid w:val="009F3737"/>
    <w:rsid w:val="009F378D"/>
    <w:rsid w:val="009F3945"/>
    <w:rsid w:val="009F3A6C"/>
    <w:rsid w:val="009F3B27"/>
    <w:rsid w:val="009F3BEF"/>
    <w:rsid w:val="009F3C70"/>
    <w:rsid w:val="009F3C9E"/>
    <w:rsid w:val="009F3D8F"/>
    <w:rsid w:val="009F4021"/>
    <w:rsid w:val="009F4038"/>
    <w:rsid w:val="009F40E1"/>
    <w:rsid w:val="009F44A6"/>
    <w:rsid w:val="009F456C"/>
    <w:rsid w:val="009F45BB"/>
    <w:rsid w:val="009F4814"/>
    <w:rsid w:val="009F4A95"/>
    <w:rsid w:val="009F4C03"/>
    <w:rsid w:val="009F4C87"/>
    <w:rsid w:val="009F5017"/>
    <w:rsid w:val="009F5222"/>
    <w:rsid w:val="009F5892"/>
    <w:rsid w:val="009F58C9"/>
    <w:rsid w:val="009F5D97"/>
    <w:rsid w:val="009F5E5B"/>
    <w:rsid w:val="009F66D6"/>
    <w:rsid w:val="009F66F5"/>
    <w:rsid w:val="009F68C1"/>
    <w:rsid w:val="009F68E4"/>
    <w:rsid w:val="009F6924"/>
    <w:rsid w:val="009F69FE"/>
    <w:rsid w:val="009F6A73"/>
    <w:rsid w:val="009F6BC7"/>
    <w:rsid w:val="009F6BD8"/>
    <w:rsid w:val="009F6C27"/>
    <w:rsid w:val="009F7166"/>
    <w:rsid w:val="009F724F"/>
    <w:rsid w:val="009F748A"/>
    <w:rsid w:val="009F776D"/>
    <w:rsid w:val="009F781D"/>
    <w:rsid w:val="009F782D"/>
    <w:rsid w:val="009F794E"/>
    <w:rsid w:val="009F7965"/>
    <w:rsid w:val="009F7E4E"/>
    <w:rsid w:val="009F7FCF"/>
    <w:rsid w:val="00A0005B"/>
    <w:rsid w:val="00A000CA"/>
    <w:rsid w:val="00A0013D"/>
    <w:rsid w:val="00A00142"/>
    <w:rsid w:val="00A0032F"/>
    <w:rsid w:val="00A00358"/>
    <w:rsid w:val="00A0041C"/>
    <w:rsid w:val="00A00543"/>
    <w:rsid w:val="00A005F8"/>
    <w:rsid w:val="00A0073B"/>
    <w:rsid w:val="00A0096D"/>
    <w:rsid w:val="00A00AC4"/>
    <w:rsid w:val="00A00B10"/>
    <w:rsid w:val="00A00B26"/>
    <w:rsid w:val="00A00C23"/>
    <w:rsid w:val="00A00ED0"/>
    <w:rsid w:val="00A0110F"/>
    <w:rsid w:val="00A0112E"/>
    <w:rsid w:val="00A01243"/>
    <w:rsid w:val="00A0149E"/>
    <w:rsid w:val="00A01665"/>
    <w:rsid w:val="00A016E0"/>
    <w:rsid w:val="00A016F7"/>
    <w:rsid w:val="00A01738"/>
    <w:rsid w:val="00A019DA"/>
    <w:rsid w:val="00A01DCC"/>
    <w:rsid w:val="00A020BB"/>
    <w:rsid w:val="00A0214D"/>
    <w:rsid w:val="00A0222C"/>
    <w:rsid w:val="00A023DC"/>
    <w:rsid w:val="00A023E5"/>
    <w:rsid w:val="00A028B4"/>
    <w:rsid w:val="00A028E4"/>
    <w:rsid w:val="00A02DAB"/>
    <w:rsid w:val="00A02E1B"/>
    <w:rsid w:val="00A02FF4"/>
    <w:rsid w:val="00A03017"/>
    <w:rsid w:val="00A03158"/>
    <w:rsid w:val="00A031F8"/>
    <w:rsid w:val="00A0375C"/>
    <w:rsid w:val="00A038DB"/>
    <w:rsid w:val="00A038FE"/>
    <w:rsid w:val="00A03F30"/>
    <w:rsid w:val="00A041F7"/>
    <w:rsid w:val="00A04234"/>
    <w:rsid w:val="00A0426A"/>
    <w:rsid w:val="00A0426C"/>
    <w:rsid w:val="00A043C6"/>
    <w:rsid w:val="00A04434"/>
    <w:rsid w:val="00A04552"/>
    <w:rsid w:val="00A048A1"/>
    <w:rsid w:val="00A04B34"/>
    <w:rsid w:val="00A04CDA"/>
    <w:rsid w:val="00A052E0"/>
    <w:rsid w:val="00A05677"/>
    <w:rsid w:val="00A0574D"/>
    <w:rsid w:val="00A05B5A"/>
    <w:rsid w:val="00A05B5E"/>
    <w:rsid w:val="00A05CF3"/>
    <w:rsid w:val="00A060D8"/>
    <w:rsid w:val="00A0613C"/>
    <w:rsid w:val="00A061BC"/>
    <w:rsid w:val="00A06222"/>
    <w:rsid w:val="00A0632E"/>
    <w:rsid w:val="00A063F5"/>
    <w:rsid w:val="00A0669A"/>
    <w:rsid w:val="00A06983"/>
    <w:rsid w:val="00A06BCC"/>
    <w:rsid w:val="00A07089"/>
    <w:rsid w:val="00A070C8"/>
    <w:rsid w:val="00A07172"/>
    <w:rsid w:val="00A0729F"/>
    <w:rsid w:val="00A075C0"/>
    <w:rsid w:val="00A07794"/>
    <w:rsid w:val="00A07843"/>
    <w:rsid w:val="00A07F1A"/>
    <w:rsid w:val="00A07FEE"/>
    <w:rsid w:val="00A102CA"/>
    <w:rsid w:val="00A10346"/>
    <w:rsid w:val="00A103F0"/>
    <w:rsid w:val="00A1051A"/>
    <w:rsid w:val="00A10615"/>
    <w:rsid w:val="00A1072D"/>
    <w:rsid w:val="00A107B9"/>
    <w:rsid w:val="00A107BB"/>
    <w:rsid w:val="00A10BFD"/>
    <w:rsid w:val="00A10C7F"/>
    <w:rsid w:val="00A10D69"/>
    <w:rsid w:val="00A10DB8"/>
    <w:rsid w:val="00A110E9"/>
    <w:rsid w:val="00A11632"/>
    <w:rsid w:val="00A116EB"/>
    <w:rsid w:val="00A11701"/>
    <w:rsid w:val="00A1183E"/>
    <w:rsid w:val="00A1190B"/>
    <w:rsid w:val="00A11F45"/>
    <w:rsid w:val="00A11F9A"/>
    <w:rsid w:val="00A11FE9"/>
    <w:rsid w:val="00A12002"/>
    <w:rsid w:val="00A12036"/>
    <w:rsid w:val="00A1213D"/>
    <w:rsid w:val="00A123FF"/>
    <w:rsid w:val="00A125B0"/>
    <w:rsid w:val="00A125E8"/>
    <w:rsid w:val="00A126B5"/>
    <w:rsid w:val="00A127CC"/>
    <w:rsid w:val="00A12830"/>
    <w:rsid w:val="00A12A10"/>
    <w:rsid w:val="00A12B06"/>
    <w:rsid w:val="00A12C58"/>
    <w:rsid w:val="00A12DB9"/>
    <w:rsid w:val="00A130FF"/>
    <w:rsid w:val="00A13204"/>
    <w:rsid w:val="00A13292"/>
    <w:rsid w:val="00A1333C"/>
    <w:rsid w:val="00A134DB"/>
    <w:rsid w:val="00A13505"/>
    <w:rsid w:val="00A1362F"/>
    <w:rsid w:val="00A137C5"/>
    <w:rsid w:val="00A1381F"/>
    <w:rsid w:val="00A139BE"/>
    <w:rsid w:val="00A13CC8"/>
    <w:rsid w:val="00A13F8B"/>
    <w:rsid w:val="00A142C3"/>
    <w:rsid w:val="00A14529"/>
    <w:rsid w:val="00A14592"/>
    <w:rsid w:val="00A14A75"/>
    <w:rsid w:val="00A14CB9"/>
    <w:rsid w:val="00A1521C"/>
    <w:rsid w:val="00A153B8"/>
    <w:rsid w:val="00A154D6"/>
    <w:rsid w:val="00A15512"/>
    <w:rsid w:val="00A155A9"/>
    <w:rsid w:val="00A15892"/>
    <w:rsid w:val="00A15931"/>
    <w:rsid w:val="00A16121"/>
    <w:rsid w:val="00A16154"/>
    <w:rsid w:val="00A1634E"/>
    <w:rsid w:val="00A163D9"/>
    <w:rsid w:val="00A16541"/>
    <w:rsid w:val="00A1662C"/>
    <w:rsid w:val="00A168F8"/>
    <w:rsid w:val="00A169F8"/>
    <w:rsid w:val="00A16B02"/>
    <w:rsid w:val="00A16C24"/>
    <w:rsid w:val="00A16CB4"/>
    <w:rsid w:val="00A16D50"/>
    <w:rsid w:val="00A16E02"/>
    <w:rsid w:val="00A16E19"/>
    <w:rsid w:val="00A1701B"/>
    <w:rsid w:val="00A17304"/>
    <w:rsid w:val="00A17357"/>
    <w:rsid w:val="00A176C6"/>
    <w:rsid w:val="00A177F3"/>
    <w:rsid w:val="00A17A9F"/>
    <w:rsid w:val="00A17C02"/>
    <w:rsid w:val="00A17DD2"/>
    <w:rsid w:val="00A17DF8"/>
    <w:rsid w:val="00A17DFD"/>
    <w:rsid w:val="00A200BA"/>
    <w:rsid w:val="00A202B9"/>
    <w:rsid w:val="00A2031C"/>
    <w:rsid w:val="00A20325"/>
    <w:rsid w:val="00A2041B"/>
    <w:rsid w:val="00A204D1"/>
    <w:rsid w:val="00A2058A"/>
    <w:rsid w:val="00A2081F"/>
    <w:rsid w:val="00A20AAF"/>
    <w:rsid w:val="00A20F27"/>
    <w:rsid w:val="00A211EE"/>
    <w:rsid w:val="00A2123F"/>
    <w:rsid w:val="00A21614"/>
    <w:rsid w:val="00A218AE"/>
    <w:rsid w:val="00A21AE4"/>
    <w:rsid w:val="00A21B8E"/>
    <w:rsid w:val="00A21DEC"/>
    <w:rsid w:val="00A21F05"/>
    <w:rsid w:val="00A21F0A"/>
    <w:rsid w:val="00A22074"/>
    <w:rsid w:val="00A22276"/>
    <w:rsid w:val="00A222B4"/>
    <w:rsid w:val="00A2230D"/>
    <w:rsid w:val="00A2267B"/>
    <w:rsid w:val="00A226A1"/>
    <w:rsid w:val="00A22894"/>
    <w:rsid w:val="00A2298C"/>
    <w:rsid w:val="00A22A2B"/>
    <w:rsid w:val="00A22B1A"/>
    <w:rsid w:val="00A22B70"/>
    <w:rsid w:val="00A23305"/>
    <w:rsid w:val="00A23432"/>
    <w:rsid w:val="00A23808"/>
    <w:rsid w:val="00A2395E"/>
    <w:rsid w:val="00A23964"/>
    <w:rsid w:val="00A23B6D"/>
    <w:rsid w:val="00A23D94"/>
    <w:rsid w:val="00A23D98"/>
    <w:rsid w:val="00A23DD1"/>
    <w:rsid w:val="00A24156"/>
    <w:rsid w:val="00A24455"/>
    <w:rsid w:val="00A24936"/>
    <w:rsid w:val="00A24B74"/>
    <w:rsid w:val="00A24BFB"/>
    <w:rsid w:val="00A24E6C"/>
    <w:rsid w:val="00A250E4"/>
    <w:rsid w:val="00A25130"/>
    <w:rsid w:val="00A25188"/>
    <w:rsid w:val="00A2523F"/>
    <w:rsid w:val="00A2532D"/>
    <w:rsid w:val="00A254C7"/>
    <w:rsid w:val="00A25544"/>
    <w:rsid w:val="00A259A6"/>
    <w:rsid w:val="00A25A11"/>
    <w:rsid w:val="00A25D37"/>
    <w:rsid w:val="00A25F35"/>
    <w:rsid w:val="00A2662D"/>
    <w:rsid w:val="00A2667E"/>
    <w:rsid w:val="00A26918"/>
    <w:rsid w:val="00A26BA9"/>
    <w:rsid w:val="00A26BF5"/>
    <w:rsid w:val="00A27150"/>
    <w:rsid w:val="00A27203"/>
    <w:rsid w:val="00A2729D"/>
    <w:rsid w:val="00A27472"/>
    <w:rsid w:val="00A27489"/>
    <w:rsid w:val="00A27826"/>
    <w:rsid w:val="00A278FD"/>
    <w:rsid w:val="00A27D6D"/>
    <w:rsid w:val="00A27DB2"/>
    <w:rsid w:val="00A27F29"/>
    <w:rsid w:val="00A30128"/>
    <w:rsid w:val="00A304F3"/>
    <w:rsid w:val="00A307B6"/>
    <w:rsid w:val="00A30816"/>
    <w:rsid w:val="00A30823"/>
    <w:rsid w:val="00A30E01"/>
    <w:rsid w:val="00A3111C"/>
    <w:rsid w:val="00A3115B"/>
    <w:rsid w:val="00A31296"/>
    <w:rsid w:val="00A31324"/>
    <w:rsid w:val="00A314C6"/>
    <w:rsid w:val="00A3162C"/>
    <w:rsid w:val="00A31821"/>
    <w:rsid w:val="00A3193A"/>
    <w:rsid w:val="00A319A4"/>
    <w:rsid w:val="00A31A39"/>
    <w:rsid w:val="00A31ABD"/>
    <w:rsid w:val="00A31B36"/>
    <w:rsid w:val="00A31BCD"/>
    <w:rsid w:val="00A3226A"/>
    <w:rsid w:val="00A3229C"/>
    <w:rsid w:val="00A32372"/>
    <w:rsid w:val="00A3274F"/>
    <w:rsid w:val="00A327E0"/>
    <w:rsid w:val="00A3286D"/>
    <w:rsid w:val="00A32CAC"/>
    <w:rsid w:val="00A32D68"/>
    <w:rsid w:val="00A3313C"/>
    <w:rsid w:val="00A338AA"/>
    <w:rsid w:val="00A33B78"/>
    <w:rsid w:val="00A3402E"/>
    <w:rsid w:val="00A3415D"/>
    <w:rsid w:val="00A343EB"/>
    <w:rsid w:val="00A34A19"/>
    <w:rsid w:val="00A34DF4"/>
    <w:rsid w:val="00A34E15"/>
    <w:rsid w:val="00A350D8"/>
    <w:rsid w:val="00A3539F"/>
    <w:rsid w:val="00A3591A"/>
    <w:rsid w:val="00A35B5D"/>
    <w:rsid w:val="00A36554"/>
    <w:rsid w:val="00A36574"/>
    <w:rsid w:val="00A36687"/>
    <w:rsid w:val="00A366CB"/>
    <w:rsid w:val="00A36BF1"/>
    <w:rsid w:val="00A36D7B"/>
    <w:rsid w:val="00A36E2F"/>
    <w:rsid w:val="00A36F77"/>
    <w:rsid w:val="00A376B9"/>
    <w:rsid w:val="00A37701"/>
    <w:rsid w:val="00A37716"/>
    <w:rsid w:val="00A37893"/>
    <w:rsid w:val="00A379EF"/>
    <w:rsid w:val="00A37C7E"/>
    <w:rsid w:val="00A400DB"/>
    <w:rsid w:val="00A402AE"/>
    <w:rsid w:val="00A403F7"/>
    <w:rsid w:val="00A4057E"/>
    <w:rsid w:val="00A405D6"/>
    <w:rsid w:val="00A407D8"/>
    <w:rsid w:val="00A409EC"/>
    <w:rsid w:val="00A40CEC"/>
    <w:rsid w:val="00A40E3F"/>
    <w:rsid w:val="00A40F57"/>
    <w:rsid w:val="00A410DF"/>
    <w:rsid w:val="00A4120D"/>
    <w:rsid w:val="00A412C0"/>
    <w:rsid w:val="00A41DCA"/>
    <w:rsid w:val="00A41E40"/>
    <w:rsid w:val="00A42103"/>
    <w:rsid w:val="00A4214B"/>
    <w:rsid w:val="00A421A5"/>
    <w:rsid w:val="00A42341"/>
    <w:rsid w:val="00A42597"/>
    <w:rsid w:val="00A429C5"/>
    <w:rsid w:val="00A42B1B"/>
    <w:rsid w:val="00A42C05"/>
    <w:rsid w:val="00A42CC9"/>
    <w:rsid w:val="00A42DAD"/>
    <w:rsid w:val="00A42EF2"/>
    <w:rsid w:val="00A430D0"/>
    <w:rsid w:val="00A432DA"/>
    <w:rsid w:val="00A432E4"/>
    <w:rsid w:val="00A43453"/>
    <w:rsid w:val="00A437DD"/>
    <w:rsid w:val="00A43AA3"/>
    <w:rsid w:val="00A43C72"/>
    <w:rsid w:val="00A43E1D"/>
    <w:rsid w:val="00A44010"/>
    <w:rsid w:val="00A440FD"/>
    <w:rsid w:val="00A44219"/>
    <w:rsid w:val="00A443AD"/>
    <w:rsid w:val="00A443CE"/>
    <w:rsid w:val="00A44690"/>
    <w:rsid w:val="00A4470B"/>
    <w:rsid w:val="00A4491E"/>
    <w:rsid w:val="00A44968"/>
    <w:rsid w:val="00A44C37"/>
    <w:rsid w:val="00A44C84"/>
    <w:rsid w:val="00A44CD3"/>
    <w:rsid w:val="00A45021"/>
    <w:rsid w:val="00A45115"/>
    <w:rsid w:val="00A45585"/>
    <w:rsid w:val="00A456F0"/>
    <w:rsid w:val="00A45AC1"/>
    <w:rsid w:val="00A45E11"/>
    <w:rsid w:val="00A45F1E"/>
    <w:rsid w:val="00A46771"/>
    <w:rsid w:val="00A4722D"/>
    <w:rsid w:val="00A47296"/>
    <w:rsid w:val="00A47C2A"/>
    <w:rsid w:val="00A47D0F"/>
    <w:rsid w:val="00A50269"/>
    <w:rsid w:val="00A507BC"/>
    <w:rsid w:val="00A50B6E"/>
    <w:rsid w:val="00A50B9B"/>
    <w:rsid w:val="00A50B9E"/>
    <w:rsid w:val="00A50BB6"/>
    <w:rsid w:val="00A510A0"/>
    <w:rsid w:val="00A510D5"/>
    <w:rsid w:val="00A5123A"/>
    <w:rsid w:val="00A512BA"/>
    <w:rsid w:val="00A512C2"/>
    <w:rsid w:val="00A5138D"/>
    <w:rsid w:val="00A513D2"/>
    <w:rsid w:val="00A515D5"/>
    <w:rsid w:val="00A515DB"/>
    <w:rsid w:val="00A518E6"/>
    <w:rsid w:val="00A519F2"/>
    <w:rsid w:val="00A51D07"/>
    <w:rsid w:val="00A51D9F"/>
    <w:rsid w:val="00A51DAA"/>
    <w:rsid w:val="00A51EA1"/>
    <w:rsid w:val="00A51F87"/>
    <w:rsid w:val="00A521C2"/>
    <w:rsid w:val="00A52242"/>
    <w:rsid w:val="00A522C5"/>
    <w:rsid w:val="00A525BA"/>
    <w:rsid w:val="00A52A3F"/>
    <w:rsid w:val="00A52AFE"/>
    <w:rsid w:val="00A52CD1"/>
    <w:rsid w:val="00A52CD9"/>
    <w:rsid w:val="00A52D33"/>
    <w:rsid w:val="00A53095"/>
    <w:rsid w:val="00A531EC"/>
    <w:rsid w:val="00A5324F"/>
    <w:rsid w:val="00A5354F"/>
    <w:rsid w:val="00A535CD"/>
    <w:rsid w:val="00A53707"/>
    <w:rsid w:val="00A53723"/>
    <w:rsid w:val="00A53BB9"/>
    <w:rsid w:val="00A53BF2"/>
    <w:rsid w:val="00A53D4B"/>
    <w:rsid w:val="00A53DD4"/>
    <w:rsid w:val="00A53DFE"/>
    <w:rsid w:val="00A53E6D"/>
    <w:rsid w:val="00A540A6"/>
    <w:rsid w:val="00A5421E"/>
    <w:rsid w:val="00A54310"/>
    <w:rsid w:val="00A543EA"/>
    <w:rsid w:val="00A54410"/>
    <w:rsid w:val="00A54636"/>
    <w:rsid w:val="00A54669"/>
    <w:rsid w:val="00A548EC"/>
    <w:rsid w:val="00A5491D"/>
    <w:rsid w:val="00A54AF0"/>
    <w:rsid w:val="00A54BB2"/>
    <w:rsid w:val="00A54BD1"/>
    <w:rsid w:val="00A54FA3"/>
    <w:rsid w:val="00A5516E"/>
    <w:rsid w:val="00A553E9"/>
    <w:rsid w:val="00A5547E"/>
    <w:rsid w:val="00A5570D"/>
    <w:rsid w:val="00A557B6"/>
    <w:rsid w:val="00A55B12"/>
    <w:rsid w:val="00A55C1D"/>
    <w:rsid w:val="00A55DCF"/>
    <w:rsid w:val="00A55E0A"/>
    <w:rsid w:val="00A55E50"/>
    <w:rsid w:val="00A55E72"/>
    <w:rsid w:val="00A56069"/>
    <w:rsid w:val="00A565EC"/>
    <w:rsid w:val="00A56888"/>
    <w:rsid w:val="00A56A87"/>
    <w:rsid w:val="00A56C7E"/>
    <w:rsid w:val="00A56DAD"/>
    <w:rsid w:val="00A56FF0"/>
    <w:rsid w:val="00A57259"/>
    <w:rsid w:val="00A57494"/>
    <w:rsid w:val="00A57587"/>
    <w:rsid w:val="00A57769"/>
    <w:rsid w:val="00A5776C"/>
    <w:rsid w:val="00A57797"/>
    <w:rsid w:val="00A57A0F"/>
    <w:rsid w:val="00A57A13"/>
    <w:rsid w:val="00A57D41"/>
    <w:rsid w:val="00A57E3F"/>
    <w:rsid w:val="00A6019C"/>
    <w:rsid w:val="00A60697"/>
    <w:rsid w:val="00A606B1"/>
    <w:rsid w:val="00A609EF"/>
    <w:rsid w:val="00A60AA7"/>
    <w:rsid w:val="00A60AC7"/>
    <w:rsid w:val="00A60B46"/>
    <w:rsid w:val="00A60E5A"/>
    <w:rsid w:val="00A60E67"/>
    <w:rsid w:val="00A60EE7"/>
    <w:rsid w:val="00A6109D"/>
    <w:rsid w:val="00A610FE"/>
    <w:rsid w:val="00A612C8"/>
    <w:rsid w:val="00A614A4"/>
    <w:rsid w:val="00A6167F"/>
    <w:rsid w:val="00A61748"/>
    <w:rsid w:val="00A6191B"/>
    <w:rsid w:val="00A61968"/>
    <w:rsid w:val="00A61B36"/>
    <w:rsid w:val="00A61DA7"/>
    <w:rsid w:val="00A622E1"/>
    <w:rsid w:val="00A623E1"/>
    <w:rsid w:val="00A62479"/>
    <w:rsid w:val="00A62ACF"/>
    <w:rsid w:val="00A62C37"/>
    <w:rsid w:val="00A62DFD"/>
    <w:rsid w:val="00A62DFE"/>
    <w:rsid w:val="00A63098"/>
    <w:rsid w:val="00A635CD"/>
    <w:rsid w:val="00A63B9A"/>
    <w:rsid w:val="00A63C97"/>
    <w:rsid w:val="00A64031"/>
    <w:rsid w:val="00A640C2"/>
    <w:rsid w:val="00A642B3"/>
    <w:rsid w:val="00A644FA"/>
    <w:rsid w:val="00A6485C"/>
    <w:rsid w:val="00A6500D"/>
    <w:rsid w:val="00A656C8"/>
    <w:rsid w:val="00A65B49"/>
    <w:rsid w:val="00A65CA2"/>
    <w:rsid w:val="00A65F73"/>
    <w:rsid w:val="00A66322"/>
    <w:rsid w:val="00A6668F"/>
    <w:rsid w:val="00A667F5"/>
    <w:rsid w:val="00A667F8"/>
    <w:rsid w:val="00A6681D"/>
    <w:rsid w:val="00A66A28"/>
    <w:rsid w:val="00A66A40"/>
    <w:rsid w:val="00A66AEE"/>
    <w:rsid w:val="00A66C80"/>
    <w:rsid w:val="00A67321"/>
    <w:rsid w:val="00A673FC"/>
    <w:rsid w:val="00A67470"/>
    <w:rsid w:val="00A67656"/>
    <w:rsid w:val="00A678A1"/>
    <w:rsid w:val="00A679D0"/>
    <w:rsid w:val="00A67C17"/>
    <w:rsid w:val="00A67C7F"/>
    <w:rsid w:val="00A67CC8"/>
    <w:rsid w:val="00A67D60"/>
    <w:rsid w:val="00A67E18"/>
    <w:rsid w:val="00A67F8D"/>
    <w:rsid w:val="00A70002"/>
    <w:rsid w:val="00A70132"/>
    <w:rsid w:val="00A701CA"/>
    <w:rsid w:val="00A7047D"/>
    <w:rsid w:val="00A706CE"/>
    <w:rsid w:val="00A7073F"/>
    <w:rsid w:val="00A70874"/>
    <w:rsid w:val="00A70946"/>
    <w:rsid w:val="00A70C9B"/>
    <w:rsid w:val="00A70E49"/>
    <w:rsid w:val="00A70FD4"/>
    <w:rsid w:val="00A71235"/>
    <w:rsid w:val="00A7171F"/>
    <w:rsid w:val="00A717C2"/>
    <w:rsid w:val="00A71979"/>
    <w:rsid w:val="00A71C70"/>
    <w:rsid w:val="00A71CE7"/>
    <w:rsid w:val="00A724F8"/>
    <w:rsid w:val="00A72502"/>
    <w:rsid w:val="00A725DE"/>
    <w:rsid w:val="00A72634"/>
    <w:rsid w:val="00A72BBB"/>
    <w:rsid w:val="00A72C7D"/>
    <w:rsid w:val="00A72DFE"/>
    <w:rsid w:val="00A73070"/>
    <w:rsid w:val="00A738D7"/>
    <w:rsid w:val="00A738FC"/>
    <w:rsid w:val="00A73C59"/>
    <w:rsid w:val="00A73D67"/>
    <w:rsid w:val="00A73E15"/>
    <w:rsid w:val="00A73E64"/>
    <w:rsid w:val="00A73F77"/>
    <w:rsid w:val="00A7445A"/>
    <w:rsid w:val="00A744DF"/>
    <w:rsid w:val="00A745B7"/>
    <w:rsid w:val="00A747ED"/>
    <w:rsid w:val="00A7487D"/>
    <w:rsid w:val="00A74948"/>
    <w:rsid w:val="00A74BB5"/>
    <w:rsid w:val="00A751E6"/>
    <w:rsid w:val="00A7531D"/>
    <w:rsid w:val="00A756F5"/>
    <w:rsid w:val="00A75957"/>
    <w:rsid w:val="00A7596A"/>
    <w:rsid w:val="00A75BAE"/>
    <w:rsid w:val="00A75D38"/>
    <w:rsid w:val="00A75E1E"/>
    <w:rsid w:val="00A76402"/>
    <w:rsid w:val="00A76459"/>
    <w:rsid w:val="00A7649C"/>
    <w:rsid w:val="00A764BF"/>
    <w:rsid w:val="00A76F0F"/>
    <w:rsid w:val="00A7718B"/>
    <w:rsid w:val="00A774F4"/>
    <w:rsid w:val="00A774F9"/>
    <w:rsid w:val="00A7775B"/>
    <w:rsid w:val="00A77761"/>
    <w:rsid w:val="00A777AE"/>
    <w:rsid w:val="00A77DC7"/>
    <w:rsid w:val="00A803ED"/>
    <w:rsid w:val="00A80565"/>
    <w:rsid w:val="00A8060F"/>
    <w:rsid w:val="00A80636"/>
    <w:rsid w:val="00A80A09"/>
    <w:rsid w:val="00A80C5A"/>
    <w:rsid w:val="00A80CD5"/>
    <w:rsid w:val="00A80F98"/>
    <w:rsid w:val="00A80FE5"/>
    <w:rsid w:val="00A81093"/>
    <w:rsid w:val="00A811AD"/>
    <w:rsid w:val="00A8122D"/>
    <w:rsid w:val="00A815C8"/>
    <w:rsid w:val="00A8170B"/>
    <w:rsid w:val="00A81726"/>
    <w:rsid w:val="00A81824"/>
    <w:rsid w:val="00A8189C"/>
    <w:rsid w:val="00A819F1"/>
    <w:rsid w:val="00A81A72"/>
    <w:rsid w:val="00A81D80"/>
    <w:rsid w:val="00A81DA3"/>
    <w:rsid w:val="00A81E66"/>
    <w:rsid w:val="00A8202B"/>
    <w:rsid w:val="00A821E0"/>
    <w:rsid w:val="00A825BC"/>
    <w:rsid w:val="00A82821"/>
    <w:rsid w:val="00A8291D"/>
    <w:rsid w:val="00A82D45"/>
    <w:rsid w:val="00A82DC1"/>
    <w:rsid w:val="00A82DCD"/>
    <w:rsid w:val="00A830F0"/>
    <w:rsid w:val="00A8321A"/>
    <w:rsid w:val="00A833A1"/>
    <w:rsid w:val="00A83559"/>
    <w:rsid w:val="00A838E2"/>
    <w:rsid w:val="00A83ACD"/>
    <w:rsid w:val="00A83E63"/>
    <w:rsid w:val="00A84050"/>
    <w:rsid w:val="00A8415F"/>
    <w:rsid w:val="00A84261"/>
    <w:rsid w:val="00A843F7"/>
    <w:rsid w:val="00A846A2"/>
    <w:rsid w:val="00A84721"/>
    <w:rsid w:val="00A8478A"/>
    <w:rsid w:val="00A84A45"/>
    <w:rsid w:val="00A84A98"/>
    <w:rsid w:val="00A84B0F"/>
    <w:rsid w:val="00A84E04"/>
    <w:rsid w:val="00A84FE1"/>
    <w:rsid w:val="00A85202"/>
    <w:rsid w:val="00A854A6"/>
    <w:rsid w:val="00A8594B"/>
    <w:rsid w:val="00A85A6D"/>
    <w:rsid w:val="00A85CB7"/>
    <w:rsid w:val="00A85E51"/>
    <w:rsid w:val="00A85F84"/>
    <w:rsid w:val="00A86085"/>
    <w:rsid w:val="00A860C8"/>
    <w:rsid w:val="00A861F5"/>
    <w:rsid w:val="00A86314"/>
    <w:rsid w:val="00A863A5"/>
    <w:rsid w:val="00A86542"/>
    <w:rsid w:val="00A866A7"/>
    <w:rsid w:val="00A86947"/>
    <w:rsid w:val="00A86BBA"/>
    <w:rsid w:val="00A86BFF"/>
    <w:rsid w:val="00A86F31"/>
    <w:rsid w:val="00A8725F"/>
    <w:rsid w:val="00A87309"/>
    <w:rsid w:val="00A87436"/>
    <w:rsid w:val="00A874B8"/>
    <w:rsid w:val="00A8750F"/>
    <w:rsid w:val="00A87BAE"/>
    <w:rsid w:val="00A87D21"/>
    <w:rsid w:val="00A87E94"/>
    <w:rsid w:val="00A90835"/>
    <w:rsid w:val="00A9085D"/>
    <w:rsid w:val="00A90B45"/>
    <w:rsid w:val="00A90C41"/>
    <w:rsid w:val="00A90F50"/>
    <w:rsid w:val="00A910A0"/>
    <w:rsid w:val="00A9114B"/>
    <w:rsid w:val="00A9116F"/>
    <w:rsid w:val="00A91317"/>
    <w:rsid w:val="00A91570"/>
    <w:rsid w:val="00A91984"/>
    <w:rsid w:val="00A91FDA"/>
    <w:rsid w:val="00A9219C"/>
    <w:rsid w:val="00A9299A"/>
    <w:rsid w:val="00A929F4"/>
    <w:rsid w:val="00A92FC8"/>
    <w:rsid w:val="00A92FE9"/>
    <w:rsid w:val="00A93130"/>
    <w:rsid w:val="00A93150"/>
    <w:rsid w:val="00A93172"/>
    <w:rsid w:val="00A9318E"/>
    <w:rsid w:val="00A93345"/>
    <w:rsid w:val="00A933B1"/>
    <w:rsid w:val="00A935AF"/>
    <w:rsid w:val="00A9380C"/>
    <w:rsid w:val="00A93A32"/>
    <w:rsid w:val="00A93A50"/>
    <w:rsid w:val="00A93B51"/>
    <w:rsid w:val="00A93C59"/>
    <w:rsid w:val="00A93C9F"/>
    <w:rsid w:val="00A93EB7"/>
    <w:rsid w:val="00A942D3"/>
    <w:rsid w:val="00A94341"/>
    <w:rsid w:val="00A94386"/>
    <w:rsid w:val="00A9452B"/>
    <w:rsid w:val="00A9458D"/>
    <w:rsid w:val="00A949D5"/>
    <w:rsid w:val="00A94B75"/>
    <w:rsid w:val="00A94CE7"/>
    <w:rsid w:val="00A94DC4"/>
    <w:rsid w:val="00A9509A"/>
    <w:rsid w:val="00A9510D"/>
    <w:rsid w:val="00A95185"/>
    <w:rsid w:val="00A95401"/>
    <w:rsid w:val="00A95563"/>
    <w:rsid w:val="00A95642"/>
    <w:rsid w:val="00A958D7"/>
    <w:rsid w:val="00A95A55"/>
    <w:rsid w:val="00A95BAB"/>
    <w:rsid w:val="00A95D4E"/>
    <w:rsid w:val="00A95D9E"/>
    <w:rsid w:val="00A95DFB"/>
    <w:rsid w:val="00A95F74"/>
    <w:rsid w:val="00A95FC9"/>
    <w:rsid w:val="00A96005"/>
    <w:rsid w:val="00A96083"/>
    <w:rsid w:val="00A960A7"/>
    <w:rsid w:val="00A96532"/>
    <w:rsid w:val="00A96695"/>
    <w:rsid w:val="00A9692D"/>
    <w:rsid w:val="00A96E69"/>
    <w:rsid w:val="00A96EF8"/>
    <w:rsid w:val="00A970D4"/>
    <w:rsid w:val="00A97166"/>
    <w:rsid w:val="00A97792"/>
    <w:rsid w:val="00A977DD"/>
    <w:rsid w:val="00A97860"/>
    <w:rsid w:val="00A97919"/>
    <w:rsid w:val="00AA0486"/>
    <w:rsid w:val="00AA050E"/>
    <w:rsid w:val="00AA051C"/>
    <w:rsid w:val="00AA0528"/>
    <w:rsid w:val="00AA058F"/>
    <w:rsid w:val="00AA072B"/>
    <w:rsid w:val="00AA07D0"/>
    <w:rsid w:val="00AA0C37"/>
    <w:rsid w:val="00AA0C39"/>
    <w:rsid w:val="00AA0EE9"/>
    <w:rsid w:val="00AA0F44"/>
    <w:rsid w:val="00AA102A"/>
    <w:rsid w:val="00AA12F7"/>
    <w:rsid w:val="00AA169B"/>
    <w:rsid w:val="00AA1910"/>
    <w:rsid w:val="00AA1CFF"/>
    <w:rsid w:val="00AA1F61"/>
    <w:rsid w:val="00AA20C7"/>
    <w:rsid w:val="00AA20FB"/>
    <w:rsid w:val="00AA22A4"/>
    <w:rsid w:val="00AA234E"/>
    <w:rsid w:val="00AA2372"/>
    <w:rsid w:val="00AA277C"/>
    <w:rsid w:val="00AA2B2D"/>
    <w:rsid w:val="00AA2E9C"/>
    <w:rsid w:val="00AA2FAB"/>
    <w:rsid w:val="00AA3277"/>
    <w:rsid w:val="00AA3309"/>
    <w:rsid w:val="00AA35D3"/>
    <w:rsid w:val="00AA3832"/>
    <w:rsid w:val="00AA3CEE"/>
    <w:rsid w:val="00AA3D71"/>
    <w:rsid w:val="00AA3EB3"/>
    <w:rsid w:val="00AA456D"/>
    <w:rsid w:val="00AA45AB"/>
    <w:rsid w:val="00AA45B9"/>
    <w:rsid w:val="00AA4998"/>
    <w:rsid w:val="00AA4CA8"/>
    <w:rsid w:val="00AA4CF0"/>
    <w:rsid w:val="00AA4D56"/>
    <w:rsid w:val="00AA4DA8"/>
    <w:rsid w:val="00AA4EAB"/>
    <w:rsid w:val="00AA515E"/>
    <w:rsid w:val="00AA5243"/>
    <w:rsid w:val="00AA554A"/>
    <w:rsid w:val="00AA580C"/>
    <w:rsid w:val="00AA5977"/>
    <w:rsid w:val="00AA5B65"/>
    <w:rsid w:val="00AA5C74"/>
    <w:rsid w:val="00AA606E"/>
    <w:rsid w:val="00AA63C7"/>
    <w:rsid w:val="00AA6838"/>
    <w:rsid w:val="00AA68B0"/>
    <w:rsid w:val="00AA71ED"/>
    <w:rsid w:val="00AA7281"/>
    <w:rsid w:val="00AA735D"/>
    <w:rsid w:val="00AA73D3"/>
    <w:rsid w:val="00AA7495"/>
    <w:rsid w:val="00AA7946"/>
    <w:rsid w:val="00AA7A42"/>
    <w:rsid w:val="00AA7ACA"/>
    <w:rsid w:val="00AA7DBB"/>
    <w:rsid w:val="00AA7E73"/>
    <w:rsid w:val="00AA7F3C"/>
    <w:rsid w:val="00AB05D1"/>
    <w:rsid w:val="00AB08C3"/>
    <w:rsid w:val="00AB0A0A"/>
    <w:rsid w:val="00AB0A76"/>
    <w:rsid w:val="00AB0AD9"/>
    <w:rsid w:val="00AB0F77"/>
    <w:rsid w:val="00AB114C"/>
    <w:rsid w:val="00AB13E4"/>
    <w:rsid w:val="00AB14FB"/>
    <w:rsid w:val="00AB17FC"/>
    <w:rsid w:val="00AB1874"/>
    <w:rsid w:val="00AB1B3B"/>
    <w:rsid w:val="00AB1D7C"/>
    <w:rsid w:val="00AB1DB8"/>
    <w:rsid w:val="00AB20AF"/>
    <w:rsid w:val="00AB264B"/>
    <w:rsid w:val="00AB2656"/>
    <w:rsid w:val="00AB297C"/>
    <w:rsid w:val="00AB2B39"/>
    <w:rsid w:val="00AB2B72"/>
    <w:rsid w:val="00AB2CBB"/>
    <w:rsid w:val="00AB2D94"/>
    <w:rsid w:val="00AB3330"/>
    <w:rsid w:val="00AB33A4"/>
    <w:rsid w:val="00AB345A"/>
    <w:rsid w:val="00AB34E3"/>
    <w:rsid w:val="00AB361D"/>
    <w:rsid w:val="00AB3623"/>
    <w:rsid w:val="00AB37A3"/>
    <w:rsid w:val="00AB3BDB"/>
    <w:rsid w:val="00AB3D7B"/>
    <w:rsid w:val="00AB3DDB"/>
    <w:rsid w:val="00AB3E28"/>
    <w:rsid w:val="00AB4295"/>
    <w:rsid w:val="00AB49A2"/>
    <w:rsid w:val="00AB4A0F"/>
    <w:rsid w:val="00AB4AC2"/>
    <w:rsid w:val="00AB4B01"/>
    <w:rsid w:val="00AB4B31"/>
    <w:rsid w:val="00AB4D2E"/>
    <w:rsid w:val="00AB4F6A"/>
    <w:rsid w:val="00AB5219"/>
    <w:rsid w:val="00AB5462"/>
    <w:rsid w:val="00AB557B"/>
    <w:rsid w:val="00AB585D"/>
    <w:rsid w:val="00AB594C"/>
    <w:rsid w:val="00AB5FC6"/>
    <w:rsid w:val="00AB5FF0"/>
    <w:rsid w:val="00AB64AA"/>
    <w:rsid w:val="00AB654B"/>
    <w:rsid w:val="00AB6587"/>
    <w:rsid w:val="00AB6714"/>
    <w:rsid w:val="00AB6752"/>
    <w:rsid w:val="00AB69C1"/>
    <w:rsid w:val="00AB6CED"/>
    <w:rsid w:val="00AB6DB8"/>
    <w:rsid w:val="00AB6DFD"/>
    <w:rsid w:val="00AB700D"/>
    <w:rsid w:val="00AB709B"/>
    <w:rsid w:val="00AB716E"/>
    <w:rsid w:val="00AB79DD"/>
    <w:rsid w:val="00AC0082"/>
    <w:rsid w:val="00AC013E"/>
    <w:rsid w:val="00AC0305"/>
    <w:rsid w:val="00AC05A8"/>
    <w:rsid w:val="00AC0853"/>
    <w:rsid w:val="00AC0951"/>
    <w:rsid w:val="00AC0A3E"/>
    <w:rsid w:val="00AC0FD7"/>
    <w:rsid w:val="00AC107E"/>
    <w:rsid w:val="00AC12E9"/>
    <w:rsid w:val="00AC13FA"/>
    <w:rsid w:val="00AC155F"/>
    <w:rsid w:val="00AC1630"/>
    <w:rsid w:val="00AC17BF"/>
    <w:rsid w:val="00AC1956"/>
    <w:rsid w:val="00AC1A5F"/>
    <w:rsid w:val="00AC1F9D"/>
    <w:rsid w:val="00AC20BA"/>
    <w:rsid w:val="00AC20C5"/>
    <w:rsid w:val="00AC23FF"/>
    <w:rsid w:val="00AC255D"/>
    <w:rsid w:val="00AC2631"/>
    <w:rsid w:val="00AC2697"/>
    <w:rsid w:val="00AC2944"/>
    <w:rsid w:val="00AC2ECF"/>
    <w:rsid w:val="00AC3081"/>
    <w:rsid w:val="00AC32B0"/>
    <w:rsid w:val="00AC3312"/>
    <w:rsid w:val="00AC340B"/>
    <w:rsid w:val="00AC353D"/>
    <w:rsid w:val="00AC386A"/>
    <w:rsid w:val="00AC3A54"/>
    <w:rsid w:val="00AC3B05"/>
    <w:rsid w:val="00AC3BD4"/>
    <w:rsid w:val="00AC3C71"/>
    <w:rsid w:val="00AC3EC9"/>
    <w:rsid w:val="00AC40B0"/>
    <w:rsid w:val="00AC4134"/>
    <w:rsid w:val="00AC4420"/>
    <w:rsid w:val="00AC45A5"/>
    <w:rsid w:val="00AC474E"/>
    <w:rsid w:val="00AC48A2"/>
    <w:rsid w:val="00AC4A7A"/>
    <w:rsid w:val="00AC4BF6"/>
    <w:rsid w:val="00AC4CE2"/>
    <w:rsid w:val="00AC4D5B"/>
    <w:rsid w:val="00AC4F33"/>
    <w:rsid w:val="00AC4FDC"/>
    <w:rsid w:val="00AC56B6"/>
    <w:rsid w:val="00AC5740"/>
    <w:rsid w:val="00AC581D"/>
    <w:rsid w:val="00AC5920"/>
    <w:rsid w:val="00AC5AB7"/>
    <w:rsid w:val="00AC5B09"/>
    <w:rsid w:val="00AC5B17"/>
    <w:rsid w:val="00AC5BA7"/>
    <w:rsid w:val="00AC5E19"/>
    <w:rsid w:val="00AC6171"/>
    <w:rsid w:val="00AC6B56"/>
    <w:rsid w:val="00AC6E55"/>
    <w:rsid w:val="00AC6F08"/>
    <w:rsid w:val="00AC6FB4"/>
    <w:rsid w:val="00AC708D"/>
    <w:rsid w:val="00AC70BD"/>
    <w:rsid w:val="00AC7339"/>
    <w:rsid w:val="00AC7395"/>
    <w:rsid w:val="00AC75E2"/>
    <w:rsid w:val="00AC780F"/>
    <w:rsid w:val="00AC7DA2"/>
    <w:rsid w:val="00AC7E59"/>
    <w:rsid w:val="00AC7EBB"/>
    <w:rsid w:val="00AD02D4"/>
    <w:rsid w:val="00AD0424"/>
    <w:rsid w:val="00AD05F4"/>
    <w:rsid w:val="00AD069D"/>
    <w:rsid w:val="00AD06C9"/>
    <w:rsid w:val="00AD0B48"/>
    <w:rsid w:val="00AD0C33"/>
    <w:rsid w:val="00AD1043"/>
    <w:rsid w:val="00AD10CE"/>
    <w:rsid w:val="00AD113A"/>
    <w:rsid w:val="00AD20CD"/>
    <w:rsid w:val="00AD20D0"/>
    <w:rsid w:val="00AD2143"/>
    <w:rsid w:val="00AD228D"/>
    <w:rsid w:val="00AD22A8"/>
    <w:rsid w:val="00AD23DF"/>
    <w:rsid w:val="00AD24C7"/>
    <w:rsid w:val="00AD25ED"/>
    <w:rsid w:val="00AD2795"/>
    <w:rsid w:val="00AD29CD"/>
    <w:rsid w:val="00AD2A3F"/>
    <w:rsid w:val="00AD2D4E"/>
    <w:rsid w:val="00AD3243"/>
    <w:rsid w:val="00AD3291"/>
    <w:rsid w:val="00AD3579"/>
    <w:rsid w:val="00AD358F"/>
    <w:rsid w:val="00AD3783"/>
    <w:rsid w:val="00AD39C0"/>
    <w:rsid w:val="00AD3BAD"/>
    <w:rsid w:val="00AD3C7C"/>
    <w:rsid w:val="00AD3F0B"/>
    <w:rsid w:val="00AD3F87"/>
    <w:rsid w:val="00AD3F94"/>
    <w:rsid w:val="00AD3FE2"/>
    <w:rsid w:val="00AD40C4"/>
    <w:rsid w:val="00AD4156"/>
    <w:rsid w:val="00AD41FF"/>
    <w:rsid w:val="00AD439A"/>
    <w:rsid w:val="00AD4439"/>
    <w:rsid w:val="00AD45D0"/>
    <w:rsid w:val="00AD4714"/>
    <w:rsid w:val="00AD4744"/>
    <w:rsid w:val="00AD4771"/>
    <w:rsid w:val="00AD48E2"/>
    <w:rsid w:val="00AD4AFD"/>
    <w:rsid w:val="00AD4B09"/>
    <w:rsid w:val="00AD4C0C"/>
    <w:rsid w:val="00AD4C10"/>
    <w:rsid w:val="00AD4C7E"/>
    <w:rsid w:val="00AD4CAF"/>
    <w:rsid w:val="00AD4CDB"/>
    <w:rsid w:val="00AD50E1"/>
    <w:rsid w:val="00AD575E"/>
    <w:rsid w:val="00AD5983"/>
    <w:rsid w:val="00AD5C75"/>
    <w:rsid w:val="00AD5C8B"/>
    <w:rsid w:val="00AD5CC1"/>
    <w:rsid w:val="00AD5EB1"/>
    <w:rsid w:val="00AD60D5"/>
    <w:rsid w:val="00AD6147"/>
    <w:rsid w:val="00AD6171"/>
    <w:rsid w:val="00AD61C4"/>
    <w:rsid w:val="00AD6329"/>
    <w:rsid w:val="00AD6373"/>
    <w:rsid w:val="00AD6454"/>
    <w:rsid w:val="00AD652A"/>
    <w:rsid w:val="00AD6636"/>
    <w:rsid w:val="00AD6B39"/>
    <w:rsid w:val="00AD6BB1"/>
    <w:rsid w:val="00AD6D08"/>
    <w:rsid w:val="00AD6E3C"/>
    <w:rsid w:val="00AD74DE"/>
    <w:rsid w:val="00AD7675"/>
    <w:rsid w:val="00AD778D"/>
    <w:rsid w:val="00AD77FB"/>
    <w:rsid w:val="00AD7AAD"/>
    <w:rsid w:val="00AD7D33"/>
    <w:rsid w:val="00AE0081"/>
    <w:rsid w:val="00AE01B9"/>
    <w:rsid w:val="00AE0283"/>
    <w:rsid w:val="00AE035C"/>
    <w:rsid w:val="00AE0771"/>
    <w:rsid w:val="00AE0817"/>
    <w:rsid w:val="00AE08D0"/>
    <w:rsid w:val="00AE0958"/>
    <w:rsid w:val="00AE0A38"/>
    <w:rsid w:val="00AE0B94"/>
    <w:rsid w:val="00AE0CE2"/>
    <w:rsid w:val="00AE0DAF"/>
    <w:rsid w:val="00AE0E2A"/>
    <w:rsid w:val="00AE0F94"/>
    <w:rsid w:val="00AE11AD"/>
    <w:rsid w:val="00AE11D0"/>
    <w:rsid w:val="00AE14D6"/>
    <w:rsid w:val="00AE155F"/>
    <w:rsid w:val="00AE15A5"/>
    <w:rsid w:val="00AE15E6"/>
    <w:rsid w:val="00AE1672"/>
    <w:rsid w:val="00AE17CC"/>
    <w:rsid w:val="00AE1829"/>
    <w:rsid w:val="00AE199B"/>
    <w:rsid w:val="00AE1D17"/>
    <w:rsid w:val="00AE1DCD"/>
    <w:rsid w:val="00AE1E06"/>
    <w:rsid w:val="00AE1E55"/>
    <w:rsid w:val="00AE1F48"/>
    <w:rsid w:val="00AE23AD"/>
    <w:rsid w:val="00AE27E1"/>
    <w:rsid w:val="00AE2B52"/>
    <w:rsid w:val="00AE2B57"/>
    <w:rsid w:val="00AE2FFB"/>
    <w:rsid w:val="00AE3307"/>
    <w:rsid w:val="00AE3313"/>
    <w:rsid w:val="00AE3559"/>
    <w:rsid w:val="00AE35CC"/>
    <w:rsid w:val="00AE3657"/>
    <w:rsid w:val="00AE3E37"/>
    <w:rsid w:val="00AE3FDE"/>
    <w:rsid w:val="00AE40BA"/>
    <w:rsid w:val="00AE4122"/>
    <w:rsid w:val="00AE45FE"/>
    <w:rsid w:val="00AE467F"/>
    <w:rsid w:val="00AE480E"/>
    <w:rsid w:val="00AE4C58"/>
    <w:rsid w:val="00AE4CD9"/>
    <w:rsid w:val="00AE4E18"/>
    <w:rsid w:val="00AE4E73"/>
    <w:rsid w:val="00AE4F1B"/>
    <w:rsid w:val="00AE4F81"/>
    <w:rsid w:val="00AE5265"/>
    <w:rsid w:val="00AE52F6"/>
    <w:rsid w:val="00AE5331"/>
    <w:rsid w:val="00AE5348"/>
    <w:rsid w:val="00AE5401"/>
    <w:rsid w:val="00AE54F0"/>
    <w:rsid w:val="00AE54FB"/>
    <w:rsid w:val="00AE56BF"/>
    <w:rsid w:val="00AE56C1"/>
    <w:rsid w:val="00AE5A32"/>
    <w:rsid w:val="00AE5A43"/>
    <w:rsid w:val="00AE6286"/>
    <w:rsid w:val="00AE62A7"/>
    <w:rsid w:val="00AE632C"/>
    <w:rsid w:val="00AE65F9"/>
    <w:rsid w:val="00AE6B19"/>
    <w:rsid w:val="00AE7124"/>
    <w:rsid w:val="00AE713A"/>
    <w:rsid w:val="00AE727F"/>
    <w:rsid w:val="00AE731B"/>
    <w:rsid w:val="00AE7536"/>
    <w:rsid w:val="00AE766D"/>
    <w:rsid w:val="00AE770A"/>
    <w:rsid w:val="00AE7AC4"/>
    <w:rsid w:val="00AE7D05"/>
    <w:rsid w:val="00AE7D1B"/>
    <w:rsid w:val="00AE7FA4"/>
    <w:rsid w:val="00AF0052"/>
    <w:rsid w:val="00AF007B"/>
    <w:rsid w:val="00AF018F"/>
    <w:rsid w:val="00AF0308"/>
    <w:rsid w:val="00AF039E"/>
    <w:rsid w:val="00AF05EA"/>
    <w:rsid w:val="00AF0684"/>
    <w:rsid w:val="00AF0779"/>
    <w:rsid w:val="00AF1178"/>
    <w:rsid w:val="00AF11BC"/>
    <w:rsid w:val="00AF143D"/>
    <w:rsid w:val="00AF15B5"/>
    <w:rsid w:val="00AF1A47"/>
    <w:rsid w:val="00AF1B84"/>
    <w:rsid w:val="00AF1B9A"/>
    <w:rsid w:val="00AF1BAE"/>
    <w:rsid w:val="00AF1BEE"/>
    <w:rsid w:val="00AF1C7F"/>
    <w:rsid w:val="00AF1F53"/>
    <w:rsid w:val="00AF21DF"/>
    <w:rsid w:val="00AF2284"/>
    <w:rsid w:val="00AF22BC"/>
    <w:rsid w:val="00AF22BF"/>
    <w:rsid w:val="00AF2861"/>
    <w:rsid w:val="00AF2A32"/>
    <w:rsid w:val="00AF311D"/>
    <w:rsid w:val="00AF3348"/>
    <w:rsid w:val="00AF36C6"/>
    <w:rsid w:val="00AF3968"/>
    <w:rsid w:val="00AF3D75"/>
    <w:rsid w:val="00AF3FE6"/>
    <w:rsid w:val="00AF400A"/>
    <w:rsid w:val="00AF422B"/>
    <w:rsid w:val="00AF4264"/>
    <w:rsid w:val="00AF427F"/>
    <w:rsid w:val="00AF42F5"/>
    <w:rsid w:val="00AF43E1"/>
    <w:rsid w:val="00AF45C7"/>
    <w:rsid w:val="00AF4AC1"/>
    <w:rsid w:val="00AF4ACE"/>
    <w:rsid w:val="00AF4C2E"/>
    <w:rsid w:val="00AF4E46"/>
    <w:rsid w:val="00AF5097"/>
    <w:rsid w:val="00AF5159"/>
    <w:rsid w:val="00AF51B8"/>
    <w:rsid w:val="00AF52EE"/>
    <w:rsid w:val="00AF5311"/>
    <w:rsid w:val="00AF53BA"/>
    <w:rsid w:val="00AF5748"/>
    <w:rsid w:val="00AF5803"/>
    <w:rsid w:val="00AF58D2"/>
    <w:rsid w:val="00AF58EF"/>
    <w:rsid w:val="00AF5C10"/>
    <w:rsid w:val="00AF5E87"/>
    <w:rsid w:val="00AF5FBD"/>
    <w:rsid w:val="00AF6229"/>
    <w:rsid w:val="00AF65DA"/>
    <w:rsid w:val="00AF685D"/>
    <w:rsid w:val="00AF68BC"/>
    <w:rsid w:val="00AF6988"/>
    <w:rsid w:val="00AF69E3"/>
    <w:rsid w:val="00AF6AE1"/>
    <w:rsid w:val="00AF6B78"/>
    <w:rsid w:val="00AF6DE6"/>
    <w:rsid w:val="00AF6E24"/>
    <w:rsid w:val="00AF7085"/>
    <w:rsid w:val="00AF70A7"/>
    <w:rsid w:val="00AF71F2"/>
    <w:rsid w:val="00AF7212"/>
    <w:rsid w:val="00AF7263"/>
    <w:rsid w:val="00AF73ED"/>
    <w:rsid w:val="00AF755F"/>
    <w:rsid w:val="00AF7B77"/>
    <w:rsid w:val="00AF7CAC"/>
    <w:rsid w:val="00AF7CD1"/>
    <w:rsid w:val="00AF7D4D"/>
    <w:rsid w:val="00AF7E28"/>
    <w:rsid w:val="00AF7F32"/>
    <w:rsid w:val="00AF7F5F"/>
    <w:rsid w:val="00B00246"/>
    <w:rsid w:val="00B005E2"/>
    <w:rsid w:val="00B009F0"/>
    <w:rsid w:val="00B00A96"/>
    <w:rsid w:val="00B00B93"/>
    <w:rsid w:val="00B00CE9"/>
    <w:rsid w:val="00B00EB2"/>
    <w:rsid w:val="00B00FD4"/>
    <w:rsid w:val="00B00FD9"/>
    <w:rsid w:val="00B01069"/>
    <w:rsid w:val="00B0126E"/>
    <w:rsid w:val="00B01295"/>
    <w:rsid w:val="00B01541"/>
    <w:rsid w:val="00B016D5"/>
    <w:rsid w:val="00B020E8"/>
    <w:rsid w:val="00B02204"/>
    <w:rsid w:val="00B025B0"/>
    <w:rsid w:val="00B02B00"/>
    <w:rsid w:val="00B02D02"/>
    <w:rsid w:val="00B02D88"/>
    <w:rsid w:val="00B033EB"/>
    <w:rsid w:val="00B03435"/>
    <w:rsid w:val="00B0343D"/>
    <w:rsid w:val="00B035C5"/>
    <w:rsid w:val="00B037AB"/>
    <w:rsid w:val="00B03951"/>
    <w:rsid w:val="00B03A1B"/>
    <w:rsid w:val="00B03A6A"/>
    <w:rsid w:val="00B0457A"/>
    <w:rsid w:val="00B046CD"/>
    <w:rsid w:val="00B047C0"/>
    <w:rsid w:val="00B048BD"/>
    <w:rsid w:val="00B04AAE"/>
    <w:rsid w:val="00B04AB4"/>
    <w:rsid w:val="00B04F63"/>
    <w:rsid w:val="00B04F6F"/>
    <w:rsid w:val="00B05281"/>
    <w:rsid w:val="00B05322"/>
    <w:rsid w:val="00B05336"/>
    <w:rsid w:val="00B05425"/>
    <w:rsid w:val="00B0555B"/>
    <w:rsid w:val="00B058A8"/>
    <w:rsid w:val="00B060B4"/>
    <w:rsid w:val="00B06100"/>
    <w:rsid w:val="00B061EC"/>
    <w:rsid w:val="00B0629B"/>
    <w:rsid w:val="00B06453"/>
    <w:rsid w:val="00B06457"/>
    <w:rsid w:val="00B064C2"/>
    <w:rsid w:val="00B06546"/>
    <w:rsid w:val="00B06642"/>
    <w:rsid w:val="00B0684F"/>
    <w:rsid w:val="00B06982"/>
    <w:rsid w:val="00B06B19"/>
    <w:rsid w:val="00B06BCC"/>
    <w:rsid w:val="00B06FA1"/>
    <w:rsid w:val="00B06FAA"/>
    <w:rsid w:val="00B07182"/>
    <w:rsid w:val="00B0769D"/>
    <w:rsid w:val="00B076E8"/>
    <w:rsid w:val="00B07794"/>
    <w:rsid w:val="00B07AB4"/>
    <w:rsid w:val="00B07CF7"/>
    <w:rsid w:val="00B07DC8"/>
    <w:rsid w:val="00B07DDB"/>
    <w:rsid w:val="00B07E99"/>
    <w:rsid w:val="00B0FF64"/>
    <w:rsid w:val="00B102AB"/>
    <w:rsid w:val="00B102F2"/>
    <w:rsid w:val="00B10438"/>
    <w:rsid w:val="00B106BA"/>
    <w:rsid w:val="00B106CD"/>
    <w:rsid w:val="00B10827"/>
    <w:rsid w:val="00B10B1A"/>
    <w:rsid w:val="00B10E5A"/>
    <w:rsid w:val="00B10F3E"/>
    <w:rsid w:val="00B10FB2"/>
    <w:rsid w:val="00B11250"/>
    <w:rsid w:val="00B11378"/>
    <w:rsid w:val="00B114DF"/>
    <w:rsid w:val="00B114FC"/>
    <w:rsid w:val="00B118D4"/>
    <w:rsid w:val="00B119F1"/>
    <w:rsid w:val="00B11CB2"/>
    <w:rsid w:val="00B11CC3"/>
    <w:rsid w:val="00B11FEC"/>
    <w:rsid w:val="00B12009"/>
    <w:rsid w:val="00B125F7"/>
    <w:rsid w:val="00B12752"/>
    <w:rsid w:val="00B12A6D"/>
    <w:rsid w:val="00B12DE5"/>
    <w:rsid w:val="00B12F25"/>
    <w:rsid w:val="00B13096"/>
    <w:rsid w:val="00B13390"/>
    <w:rsid w:val="00B13698"/>
    <w:rsid w:val="00B137BE"/>
    <w:rsid w:val="00B139D1"/>
    <w:rsid w:val="00B13E41"/>
    <w:rsid w:val="00B13FDE"/>
    <w:rsid w:val="00B141ED"/>
    <w:rsid w:val="00B14480"/>
    <w:rsid w:val="00B147E7"/>
    <w:rsid w:val="00B14E9D"/>
    <w:rsid w:val="00B14F1D"/>
    <w:rsid w:val="00B1500A"/>
    <w:rsid w:val="00B151C0"/>
    <w:rsid w:val="00B152B8"/>
    <w:rsid w:val="00B157F9"/>
    <w:rsid w:val="00B15873"/>
    <w:rsid w:val="00B15DC1"/>
    <w:rsid w:val="00B15ECC"/>
    <w:rsid w:val="00B16621"/>
    <w:rsid w:val="00B1664A"/>
    <w:rsid w:val="00B167FE"/>
    <w:rsid w:val="00B16B7E"/>
    <w:rsid w:val="00B16BDF"/>
    <w:rsid w:val="00B16C3A"/>
    <w:rsid w:val="00B16CFC"/>
    <w:rsid w:val="00B16D11"/>
    <w:rsid w:val="00B16FFC"/>
    <w:rsid w:val="00B171EE"/>
    <w:rsid w:val="00B172D1"/>
    <w:rsid w:val="00B173FC"/>
    <w:rsid w:val="00B17B33"/>
    <w:rsid w:val="00B17B4C"/>
    <w:rsid w:val="00B17B7B"/>
    <w:rsid w:val="00B17B85"/>
    <w:rsid w:val="00B17ED1"/>
    <w:rsid w:val="00B17F99"/>
    <w:rsid w:val="00B2016B"/>
    <w:rsid w:val="00B201EE"/>
    <w:rsid w:val="00B20306"/>
    <w:rsid w:val="00B20633"/>
    <w:rsid w:val="00B20850"/>
    <w:rsid w:val="00B208EE"/>
    <w:rsid w:val="00B20ED1"/>
    <w:rsid w:val="00B20F74"/>
    <w:rsid w:val="00B21080"/>
    <w:rsid w:val="00B21392"/>
    <w:rsid w:val="00B21610"/>
    <w:rsid w:val="00B21975"/>
    <w:rsid w:val="00B21BE9"/>
    <w:rsid w:val="00B21C67"/>
    <w:rsid w:val="00B21D0F"/>
    <w:rsid w:val="00B21D8C"/>
    <w:rsid w:val="00B21E4B"/>
    <w:rsid w:val="00B223DF"/>
    <w:rsid w:val="00B226B1"/>
    <w:rsid w:val="00B22A4A"/>
    <w:rsid w:val="00B22DA7"/>
    <w:rsid w:val="00B22F45"/>
    <w:rsid w:val="00B22FC3"/>
    <w:rsid w:val="00B230BC"/>
    <w:rsid w:val="00B23319"/>
    <w:rsid w:val="00B233FD"/>
    <w:rsid w:val="00B234E6"/>
    <w:rsid w:val="00B237AB"/>
    <w:rsid w:val="00B23A7F"/>
    <w:rsid w:val="00B23C6E"/>
    <w:rsid w:val="00B23D05"/>
    <w:rsid w:val="00B23FD4"/>
    <w:rsid w:val="00B24037"/>
    <w:rsid w:val="00B24223"/>
    <w:rsid w:val="00B246CE"/>
    <w:rsid w:val="00B2482E"/>
    <w:rsid w:val="00B24842"/>
    <w:rsid w:val="00B24935"/>
    <w:rsid w:val="00B24B4A"/>
    <w:rsid w:val="00B24C43"/>
    <w:rsid w:val="00B25036"/>
    <w:rsid w:val="00B2520A"/>
    <w:rsid w:val="00B25211"/>
    <w:rsid w:val="00B25240"/>
    <w:rsid w:val="00B2532E"/>
    <w:rsid w:val="00B25627"/>
    <w:rsid w:val="00B25805"/>
    <w:rsid w:val="00B25986"/>
    <w:rsid w:val="00B259E1"/>
    <w:rsid w:val="00B25C89"/>
    <w:rsid w:val="00B25E97"/>
    <w:rsid w:val="00B260E9"/>
    <w:rsid w:val="00B26369"/>
    <w:rsid w:val="00B26388"/>
    <w:rsid w:val="00B26390"/>
    <w:rsid w:val="00B263FD"/>
    <w:rsid w:val="00B264B3"/>
    <w:rsid w:val="00B26699"/>
    <w:rsid w:val="00B269BE"/>
    <w:rsid w:val="00B26B57"/>
    <w:rsid w:val="00B26BE1"/>
    <w:rsid w:val="00B26BF2"/>
    <w:rsid w:val="00B26F0A"/>
    <w:rsid w:val="00B27058"/>
    <w:rsid w:val="00B27179"/>
    <w:rsid w:val="00B2727F"/>
    <w:rsid w:val="00B27338"/>
    <w:rsid w:val="00B273E7"/>
    <w:rsid w:val="00B274D9"/>
    <w:rsid w:val="00B27812"/>
    <w:rsid w:val="00B27BE9"/>
    <w:rsid w:val="00B27F2E"/>
    <w:rsid w:val="00B27F6E"/>
    <w:rsid w:val="00B27FD0"/>
    <w:rsid w:val="00B3022A"/>
    <w:rsid w:val="00B30614"/>
    <w:rsid w:val="00B30651"/>
    <w:rsid w:val="00B3070F"/>
    <w:rsid w:val="00B30838"/>
    <w:rsid w:val="00B30842"/>
    <w:rsid w:val="00B30A55"/>
    <w:rsid w:val="00B30AAB"/>
    <w:rsid w:val="00B30C52"/>
    <w:rsid w:val="00B30D5B"/>
    <w:rsid w:val="00B31355"/>
    <w:rsid w:val="00B31533"/>
    <w:rsid w:val="00B31597"/>
    <w:rsid w:val="00B31AA7"/>
    <w:rsid w:val="00B31C0A"/>
    <w:rsid w:val="00B31EE5"/>
    <w:rsid w:val="00B321F3"/>
    <w:rsid w:val="00B3228B"/>
    <w:rsid w:val="00B322A6"/>
    <w:rsid w:val="00B323E8"/>
    <w:rsid w:val="00B32514"/>
    <w:rsid w:val="00B3253A"/>
    <w:rsid w:val="00B3263A"/>
    <w:rsid w:val="00B327DD"/>
    <w:rsid w:val="00B32850"/>
    <w:rsid w:val="00B32A2D"/>
    <w:rsid w:val="00B32C36"/>
    <w:rsid w:val="00B32D56"/>
    <w:rsid w:val="00B33152"/>
    <w:rsid w:val="00B3382B"/>
    <w:rsid w:val="00B33ADE"/>
    <w:rsid w:val="00B33B56"/>
    <w:rsid w:val="00B33BF1"/>
    <w:rsid w:val="00B33FC6"/>
    <w:rsid w:val="00B34387"/>
    <w:rsid w:val="00B34667"/>
    <w:rsid w:val="00B346B3"/>
    <w:rsid w:val="00B3478D"/>
    <w:rsid w:val="00B34844"/>
    <w:rsid w:val="00B348DC"/>
    <w:rsid w:val="00B34914"/>
    <w:rsid w:val="00B349E9"/>
    <w:rsid w:val="00B349F2"/>
    <w:rsid w:val="00B34C6B"/>
    <w:rsid w:val="00B34C77"/>
    <w:rsid w:val="00B34D91"/>
    <w:rsid w:val="00B34FDB"/>
    <w:rsid w:val="00B35349"/>
    <w:rsid w:val="00B356E8"/>
    <w:rsid w:val="00B35729"/>
    <w:rsid w:val="00B3574F"/>
    <w:rsid w:val="00B35A79"/>
    <w:rsid w:val="00B36108"/>
    <w:rsid w:val="00B36226"/>
    <w:rsid w:val="00B36709"/>
    <w:rsid w:val="00B3679E"/>
    <w:rsid w:val="00B369C0"/>
    <w:rsid w:val="00B36AD2"/>
    <w:rsid w:val="00B36C0E"/>
    <w:rsid w:val="00B36E7A"/>
    <w:rsid w:val="00B37084"/>
    <w:rsid w:val="00B370D8"/>
    <w:rsid w:val="00B370E6"/>
    <w:rsid w:val="00B373A3"/>
    <w:rsid w:val="00B37438"/>
    <w:rsid w:val="00B374B6"/>
    <w:rsid w:val="00B3765B"/>
    <w:rsid w:val="00B377A2"/>
    <w:rsid w:val="00B377A7"/>
    <w:rsid w:val="00B3792C"/>
    <w:rsid w:val="00B37964"/>
    <w:rsid w:val="00B379A8"/>
    <w:rsid w:val="00B379CF"/>
    <w:rsid w:val="00B37A08"/>
    <w:rsid w:val="00B37A25"/>
    <w:rsid w:val="00B37B90"/>
    <w:rsid w:val="00B37D53"/>
    <w:rsid w:val="00B4017D"/>
    <w:rsid w:val="00B40275"/>
    <w:rsid w:val="00B406E0"/>
    <w:rsid w:val="00B406F7"/>
    <w:rsid w:val="00B407D3"/>
    <w:rsid w:val="00B4092D"/>
    <w:rsid w:val="00B40CF0"/>
    <w:rsid w:val="00B40D3B"/>
    <w:rsid w:val="00B41049"/>
    <w:rsid w:val="00B41088"/>
    <w:rsid w:val="00B41825"/>
    <w:rsid w:val="00B419A4"/>
    <w:rsid w:val="00B41A0F"/>
    <w:rsid w:val="00B41CE3"/>
    <w:rsid w:val="00B41E5D"/>
    <w:rsid w:val="00B41E9B"/>
    <w:rsid w:val="00B42402"/>
    <w:rsid w:val="00B42A25"/>
    <w:rsid w:val="00B42BE3"/>
    <w:rsid w:val="00B42C15"/>
    <w:rsid w:val="00B42C71"/>
    <w:rsid w:val="00B42FFC"/>
    <w:rsid w:val="00B43103"/>
    <w:rsid w:val="00B433F0"/>
    <w:rsid w:val="00B439E0"/>
    <w:rsid w:val="00B444D7"/>
    <w:rsid w:val="00B4458C"/>
    <w:rsid w:val="00B44769"/>
    <w:rsid w:val="00B44E21"/>
    <w:rsid w:val="00B44F22"/>
    <w:rsid w:val="00B455BC"/>
    <w:rsid w:val="00B45822"/>
    <w:rsid w:val="00B45896"/>
    <w:rsid w:val="00B45B22"/>
    <w:rsid w:val="00B46208"/>
    <w:rsid w:val="00B46631"/>
    <w:rsid w:val="00B4675D"/>
    <w:rsid w:val="00B46820"/>
    <w:rsid w:val="00B46848"/>
    <w:rsid w:val="00B46914"/>
    <w:rsid w:val="00B46996"/>
    <w:rsid w:val="00B469CF"/>
    <w:rsid w:val="00B469EB"/>
    <w:rsid w:val="00B46A0B"/>
    <w:rsid w:val="00B46CA4"/>
    <w:rsid w:val="00B470A9"/>
    <w:rsid w:val="00B471D8"/>
    <w:rsid w:val="00B472F0"/>
    <w:rsid w:val="00B474F3"/>
    <w:rsid w:val="00B475B7"/>
    <w:rsid w:val="00B47683"/>
    <w:rsid w:val="00B477E4"/>
    <w:rsid w:val="00B47AE8"/>
    <w:rsid w:val="00B47B69"/>
    <w:rsid w:val="00B47BA2"/>
    <w:rsid w:val="00B47C79"/>
    <w:rsid w:val="00B47CAA"/>
    <w:rsid w:val="00B47CF8"/>
    <w:rsid w:val="00B47D53"/>
    <w:rsid w:val="00B47DBC"/>
    <w:rsid w:val="00B47DD9"/>
    <w:rsid w:val="00B50102"/>
    <w:rsid w:val="00B5042D"/>
    <w:rsid w:val="00B507B6"/>
    <w:rsid w:val="00B50A9C"/>
    <w:rsid w:val="00B50B84"/>
    <w:rsid w:val="00B50F98"/>
    <w:rsid w:val="00B50FFD"/>
    <w:rsid w:val="00B510B8"/>
    <w:rsid w:val="00B511B1"/>
    <w:rsid w:val="00B512C0"/>
    <w:rsid w:val="00B513C1"/>
    <w:rsid w:val="00B5141D"/>
    <w:rsid w:val="00B51514"/>
    <w:rsid w:val="00B517CD"/>
    <w:rsid w:val="00B5194A"/>
    <w:rsid w:val="00B51A00"/>
    <w:rsid w:val="00B51AF9"/>
    <w:rsid w:val="00B51D93"/>
    <w:rsid w:val="00B51DCF"/>
    <w:rsid w:val="00B51F86"/>
    <w:rsid w:val="00B52504"/>
    <w:rsid w:val="00B52627"/>
    <w:rsid w:val="00B5279D"/>
    <w:rsid w:val="00B5279F"/>
    <w:rsid w:val="00B527CE"/>
    <w:rsid w:val="00B528C7"/>
    <w:rsid w:val="00B529EF"/>
    <w:rsid w:val="00B52D82"/>
    <w:rsid w:val="00B52E2B"/>
    <w:rsid w:val="00B52EC6"/>
    <w:rsid w:val="00B52F4A"/>
    <w:rsid w:val="00B5328D"/>
    <w:rsid w:val="00B53334"/>
    <w:rsid w:val="00B53D54"/>
    <w:rsid w:val="00B53F1B"/>
    <w:rsid w:val="00B54784"/>
    <w:rsid w:val="00B54880"/>
    <w:rsid w:val="00B54967"/>
    <w:rsid w:val="00B5496C"/>
    <w:rsid w:val="00B55085"/>
    <w:rsid w:val="00B55478"/>
    <w:rsid w:val="00B555F8"/>
    <w:rsid w:val="00B5562A"/>
    <w:rsid w:val="00B5562C"/>
    <w:rsid w:val="00B55722"/>
    <w:rsid w:val="00B558E3"/>
    <w:rsid w:val="00B55A00"/>
    <w:rsid w:val="00B55AE1"/>
    <w:rsid w:val="00B55B05"/>
    <w:rsid w:val="00B55F14"/>
    <w:rsid w:val="00B55F6C"/>
    <w:rsid w:val="00B56015"/>
    <w:rsid w:val="00B561CA"/>
    <w:rsid w:val="00B562A3"/>
    <w:rsid w:val="00B565C1"/>
    <w:rsid w:val="00B56726"/>
    <w:rsid w:val="00B56A07"/>
    <w:rsid w:val="00B56A3C"/>
    <w:rsid w:val="00B56B16"/>
    <w:rsid w:val="00B56BD3"/>
    <w:rsid w:val="00B5709E"/>
    <w:rsid w:val="00B570B4"/>
    <w:rsid w:val="00B571B8"/>
    <w:rsid w:val="00B5766F"/>
    <w:rsid w:val="00B57702"/>
    <w:rsid w:val="00B578DC"/>
    <w:rsid w:val="00B57C15"/>
    <w:rsid w:val="00B57DBB"/>
    <w:rsid w:val="00B600CA"/>
    <w:rsid w:val="00B601F5"/>
    <w:rsid w:val="00B607C4"/>
    <w:rsid w:val="00B607CD"/>
    <w:rsid w:val="00B609BD"/>
    <w:rsid w:val="00B609E7"/>
    <w:rsid w:val="00B60B72"/>
    <w:rsid w:val="00B60E86"/>
    <w:rsid w:val="00B61197"/>
    <w:rsid w:val="00B6163F"/>
    <w:rsid w:val="00B6179E"/>
    <w:rsid w:val="00B617AB"/>
    <w:rsid w:val="00B6181E"/>
    <w:rsid w:val="00B61AA8"/>
    <w:rsid w:val="00B61B41"/>
    <w:rsid w:val="00B61D86"/>
    <w:rsid w:val="00B6213E"/>
    <w:rsid w:val="00B6223E"/>
    <w:rsid w:val="00B624FB"/>
    <w:rsid w:val="00B62504"/>
    <w:rsid w:val="00B62823"/>
    <w:rsid w:val="00B62836"/>
    <w:rsid w:val="00B628AC"/>
    <w:rsid w:val="00B62A85"/>
    <w:rsid w:val="00B62D8D"/>
    <w:rsid w:val="00B62F41"/>
    <w:rsid w:val="00B632E4"/>
    <w:rsid w:val="00B636D2"/>
    <w:rsid w:val="00B63734"/>
    <w:rsid w:val="00B6382C"/>
    <w:rsid w:val="00B639B5"/>
    <w:rsid w:val="00B63C26"/>
    <w:rsid w:val="00B63FC3"/>
    <w:rsid w:val="00B641AD"/>
    <w:rsid w:val="00B642D6"/>
    <w:rsid w:val="00B64470"/>
    <w:rsid w:val="00B64471"/>
    <w:rsid w:val="00B646F1"/>
    <w:rsid w:val="00B64FB4"/>
    <w:rsid w:val="00B650EC"/>
    <w:rsid w:val="00B6519F"/>
    <w:rsid w:val="00B651A4"/>
    <w:rsid w:val="00B652EB"/>
    <w:rsid w:val="00B65456"/>
    <w:rsid w:val="00B65629"/>
    <w:rsid w:val="00B65811"/>
    <w:rsid w:val="00B65A21"/>
    <w:rsid w:val="00B65ACE"/>
    <w:rsid w:val="00B65C78"/>
    <w:rsid w:val="00B65CF3"/>
    <w:rsid w:val="00B65D5D"/>
    <w:rsid w:val="00B65DBB"/>
    <w:rsid w:val="00B65ED7"/>
    <w:rsid w:val="00B66012"/>
    <w:rsid w:val="00B660A8"/>
    <w:rsid w:val="00B66588"/>
    <w:rsid w:val="00B666AE"/>
    <w:rsid w:val="00B66827"/>
    <w:rsid w:val="00B668C2"/>
    <w:rsid w:val="00B66917"/>
    <w:rsid w:val="00B66B87"/>
    <w:rsid w:val="00B66F35"/>
    <w:rsid w:val="00B66F8A"/>
    <w:rsid w:val="00B673EC"/>
    <w:rsid w:val="00B67B2E"/>
    <w:rsid w:val="00B67B55"/>
    <w:rsid w:val="00B70115"/>
    <w:rsid w:val="00B7046D"/>
    <w:rsid w:val="00B704BA"/>
    <w:rsid w:val="00B7068A"/>
    <w:rsid w:val="00B70926"/>
    <w:rsid w:val="00B70B16"/>
    <w:rsid w:val="00B70B69"/>
    <w:rsid w:val="00B70D6F"/>
    <w:rsid w:val="00B712C5"/>
    <w:rsid w:val="00B71355"/>
    <w:rsid w:val="00B714A1"/>
    <w:rsid w:val="00B71517"/>
    <w:rsid w:val="00B71634"/>
    <w:rsid w:val="00B716DD"/>
    <w:rsid w:val="00B71B14"/>
    <w:rsid w:val="00B71D53"/>
    <w:rsid w:val="00B71DBB"/>
    <w:rsid w:val="00B72229"/>
    <w:rsid w:val="00B722F8"/>
    <w:rsid w:val="00B72349"/>
    <w:rsid w:val="00B7287E"/>
    <w:rsid w:val="00B729F2"/>
    <w:rsid w:val="00B72A56"/>
    <w:rsid w:val="00B72C59"/>
    <w:rsid w:val="00B72D05"/>
    <w:rsid w:val="00B72EBD"/>
    <w:rsid w:val="00B72EEE"/>
    <w:rsid w:val="00B7316E"/>
    <w:rsid w:val="00B73205"/>
    <w:rsid w:val="00B739D0"/>
    <w:rsid w:val="00B742A4"/>
    <w:rsid w:val="00B74483"/>
    <w:rsid w:val="00B744E8"/>
    <w:rsid w:val="00B746CD"/>
    <w:rsid w:val="00B747C8"/>
    <w:rsid w:val="00B747E0"/>
    <w:rsid w:val="00B748EB"/>
    <w:rsid w:val="00B7496C"/>
    <w:rsid w:val="00B74A23"/>
    <w:rsid w:val="00B74B20"/>
    <w:rsid w:val="00B74F93"/>
    <w:rsid w:val="00B7500F"/>
    <w:rsid w:val="00B75038"/>
    <w:rsid w:val="00B75044"/>
    <w:rsid w:val="00B75059"/>
    <w:rsid w:val="00B75271"/>
    <w:rsid w:val="00B75361"/>
    <w:rsid w:val="00B75588"/>
    <w:rsid w:val="00B755B3"/>
    <w:rsid w:val="00B756CA"/>
    <w:rsid w:val="00B758AC"/>
    <w:rsid w:val="00B75ACA"/>
    <w:rsid w:val="00B75C71"/>
    <w:rsid w:val="00B75DB6"/>
    <w:rsid w:val="00B75E9D"/>
    <w:rsid w:val="00B75EF1"/>
    <w:rsid w:val="00B76051"/>
    <w:rsid w:val="00B760D8"/>
    <w:rsid w:val="00B7611F"/>
    <w:rsid w:val="00B76427"/>
    <w:rsid w:val="00B76709"/>
    <w:rsid w:val="00B76746"/>
    <w:rsid w:val="00B76756"/>
    <w:rsid w:val="00B7675E"/>
    <w:rsid w:val="00B7676C"/>
    <w:rsid w:val="00B76DAC"/>
    <w:rsid w:val="00B770A3"/>
    <w:rsid w:val="00B77653"/>
    <w:rsid w:val="00B77702"/>
    <w:rsid w:val="00B778E7"/>
    <w:rsid w:val="00B77992"/>
    <w:rsid w:val="00B77A99"/>
    <w:rsid w:val="00B77EA7"/>
    <w:rsid w:val="00B77F2F"/>
    <w:rsid w:val="00B80354"/>
    <w:rsid w:val="00B803D4"/>
    <w:rsid w:val="00B805E3"/>
    <w:rsid w:val="00B80769"/>
    <w:rsid w:val="00B809F9"/>
    <w:rsid w:val="00B80A64"/>
    <w:rsid w:val="00B80ABE"/>
    <w:rsid w:val="00B80B54"/>
    <w:rsid w:val="00B80DB5"/>
    <w:rsid w:val="00B811E3"/>
    <w:rsid w:val="00B811FD"/>
    <w:rsid w:val="00B81666"/>
    <w:rsid w:val="00B81917"/>
    <w:rsid w:val="00B819EA"/>
    <w:rsid w:val="00B81A38"/>
    <w:rsid w:val="00B81AAE"/>
    <w:rsid w:val="00B81DE4"/>
    <w:rsid w:val="00B81E13"/>
    <w:rsid w:val="00B822E9"/>
    <w:rsid w:val="00B82414"/>
    <w:rsid w:val="00B8259E"/>
    <w:rsid w:val="00B827DE"/>
    <w:rsid w:val="00B829C6"/>
    <w:rsid w:val="00B82A67"/>
    <w:rsid w:val="00B82D09"/>
    <w:rsid w:val="00B83159"/>
    <w:rsid w:val="00B8331C"/>
    <w:rsid w:val="00B8346F"/>
    <w:rsid w:val="00B837DF"/>
    <w:rsid w:val="00B8382C"/>
    <w:rsid w:val="00B8389D"/>
    <w:rsid w:val="00B83986"/>
    <w:rsid w:val="00B83A79"/>
    <w:rsid w:val="00B83C18"/>
    <w:rsid w:val="00B83CC0"/>
    <w:rsid w:val="00B83E9D"/>
    <w:rsid w:val="00B83EA2"/>
    <w:rsid w:val="00B83EE8"/>
    <w:rsid w:val="00B84042"/>
    <w:rsid w:val="00B841E3"/>
    <w:rsid w:val="00B84202"/>
    <w:rsid w:val="00B84220"/>
    <w:rsid w:val="00B8452B"/>
    <w:rsid w:val="00B84576"/>
    <w:rsid w:val="00B845B6"/>
    <w:rsid w:val="00B84785"/>
    <w:rsid w:val="00B847A2"/>
    <w:rsid w:val="00B847F4"/>
    <w:rsid w:val="00B84A99"/>
    <w:rsid w:val="00B84BE1"/>
    <w:rsid w:val="00B84F06"/>
    <w:rsid w:val="00B85168"/>
    <w:rsid w:val="00B8541E"/>
    <w:rsid w:val="00B854E3"/>
    <w:rsid w:val="00B855BF"/>
    <w:rsid w:val="00B855FE"/>
    <w:rsid w:val="00B856EF"/>
    <w:rsid w:val="00B857D2"/>
    <w:rsid w:val="00B85938"/>
    <w:rsid w:val="00B85AB2"/>
    <w:rsid w:val="00B85DBD"/>
    <w:rsid w:val="00B85E2D"/>
    <w:rsid w:val="00B85E4D"/>
    <w:rsid w:val="00B860D0"/>
    <w:rsid w:val="00B868AF"/>
    <w:rsid w:val="00B86A28"/>
    <w:rsid w:val="00B86A9F"/>
    <w:rsid w:val="00B86B2E"/>
    <w:rsid w:val="00B86B3F"/>
    <w:rsid w:val="00B86C60"/>
    <w:rsid w:val="00B86DA3"/>
    <w:rsid w:val="00B86E08"/>
    <w:rsid w:val="00B86E4B"/>
    <w:rsid w:val="00B8710A"/>
    <w:rsid w:val="00B8725B"/>
    <w:rsid w:val="00B8744E"/>
    <w:rsid w:val="00B8749B"/>
    <w:rsid w:val="00B87509"/>
    <w:rsid w:val="00B87605"/>
    <w:rsid w:val="00B87866"/>
    <w:rsid w:val="00B87BE2"/>
    <w:rsid w:val="00B87C93"/>
    <w:rsid w:val="00B87FFC"/>
    <w:rsid w:val="00B90120"/>
    <w:rsid w:val="00B901BF"/>
    <w:rsid w:val="00B90279"/>
    <w:rsid w:val="00B90426"/>
    <w:rsid w:val="00B90567"/>
    <w:rsid w:val="00B90719"/>
    <w:rsid w:val="00B9085F"/>
    <w:rsid w:val="00B90941"/>
    <w:rsid w:val="00B90CC9"/>
    <w:rsid w:val="00B90D08"/>
    <w:rsid w:val="00B90D09"/>
    <w:rsid w:val="00B90D88"/>
    <w:rsid w:val="00B90EFE"/>
    <w:rsid w:val="00B90F21"/>
    <w:rsid w:val="00B90F63"/>
    <w:rsid w:val="00B911FF"/>
    <w:rsid w:val="00B91493"/>
    <w:rsid w:val="00B918CD"/>
    <w:rsid w:val="00B91F6A"/>
    <w:rsid w:val="00B9216A"/>
    <w:rsid w:val="00B92413"/>
    <w:rsid w:val="00B924F0"/>
    <w:rsid w:val="00B92530"/>
    <w:rsid w:val="00B92BDF"/>
    <w:rsid w:val="00B931F2"/>
    <w:rsid w:val="00B93273"/>
    <w:rsid w:val="00B93605"/>
    <w:rsid w:val="00B93871"/>
    <w:rsid w:val="00B938D2"/>
    <w:rsid w:val="00B93917"/>
    <w:rsid w:val="00B942D0"/>
    <w:rsid w:val="00B9461E"/>
    <w:rsid w:val="00B94622"/>
    <w:rsid w:val="00B94756"/>
    <w:rsid w:val="00B94870"/>
    <w:rsid w:val="00B94B00"/>
    <w:rsid w:val="00B94CAE"/>
    <w:rsid w:val="00B94CDD"/>
    <w:rsid w:val="00B94F21"/>
    <w:rsid w:val="00B94F60"/>
    <w:rsid w:val="00B9502B"/>
    <w:rsid w:val="00B950A3"/>
    <w:rsid w:val="00B954F0"/>
    <w:rsid w:val="00B9579C"/>
    <w:rsid w:val="00B95BD1"/>
    <w:rsid w:val="00B95D08"/>
    <w:rsid w:val="00B95E18"/>
    <w:rsid w:val="00B95EBF"/>
    <w:rsid w:val="00B95FAA"/>
    <w:rsid w:val="00B96176"/>
    <w:rsid w:val="00B96183"/>
    <w:rsid w:val="00B96588"/>
    <w:rsid w:val="00B96657"/>
    <w:rsid w:val="00B9668D"/>
    <w:rsid w:val="00B9669F"/>
    <w:rsid w:val="00B966EF"/>
    <w:rsid w:val="00B9699E"/>
    <w:rsid w:val="00B96AA2"/>
    <w:rsid w:val="00B96B18"/>
    <w:rsid w:val="00B96BC8"/>
    <w:rsid w:val="00B96F4B"/>
    <w:rsid w:val="00B97207"/>
    <w:rsid w:val="00B97246"/>
    <w:rsid w:val="00B9767E"/>
    <w:rsid w:val="00B976DC"/>
    <w:rsid w:val="00B97742"/>
    <w:rsid w:val="00B97753"/>
    <w:rsid w:val="00B97870"/>
    <w:rsid w:val="00B979A4"/>
    <w:rsid w:val="00B97CCD"/>
    <w:rsid w:val="00B97E20"/>
    <w:rsid w:val="00B97FB4"/>
    <w:rsid w:val="00B97FBB"/>
    <w:rsid w:val="00B97FF4"/>
    <w:rsid w:val="00BA046E"/>
    <w:rsid w:val="00BA0777"/>
    <w:rsid w:val="00BA0864"/>
    <w:rsid w:val="00BA0DBA"/>
    <w:rsid w:val="00BA1136"/>
    <w:rsid w:val="00BA1424"/>
    <w:rsid w:val="00BA167D"/>
    <w:rsid w:val="00BA17EB"/>
    <w:rsid w:val="00BA182F"/>
    <w:rsid w:val="00BA1CA4"/>
    <w:rsid w:val="00BA1E60"/>
    <w:rsid w:val="00BA1E99"/>
    <w:rsid w:val="00BA1F1F"/>
    <w:rsid w:val="00BA1F2D"/>
    <w:rsid w:val="00BA1FA6"/>
    <w:rsid w:val="00BA20D9"/>
    <w:rsid w:val="00BA213A"/>
    <w:rsid w:val="00BA2341"/>
    <w:rsid w:val="00BA26FF"/>
    <w:rsid w:val="00BA2710"/>
    <w:rsid w:val="00BA27BA"/>
    <w:rsid w:val="00BA27CD"/>
    <w:rsid w:val="00BA2924"/>
    <w:rsid w:val="00BA2A66"/>
    <w:rsid w:val="00BA2A96"/>
    <w:rsid w:val="00BA2B3E"/>
    <w:rsid w:val="00BA2C74"/>
    <w:rsid w:val="00BA2D05"/>
    <w:rsid w:val="00BA2E7A"/>
    <w:rsid w:val="00BA2F6A"/>
    <w:rsid w:val="00BA2FB8"/>
    <w:rsid w:val="00BA3458"/>
    <w:rsid w:val="00BA359A"/>
    <w:rsid w:val="00BA3E5B"/>
    <w:rsid w:val="00BA3F6C"/>
    <w:rsid w:val="00BA4A10"/>
    <w:rsid w:val="00BA4B78"/>
    <w:rsid w:val="00BA4B90"/>
    <w:rsid w:val="00BA4C0D"/>
    <w:rsid w:val="00BA4EAB"/>
    <w:rsid w:val="00BA5077"/>
    <w:rsid w:val="00BA50AB"/>
    <w:rsid w:val="00BA52AF"/>
    <w:rsid w:val="00BA53D6"/>
    <w:rsid w:val="00BA548C"/>
    <w:rsid w:val="00BA5877"/>
    <w:rsid w:val="00BA5BAE"/>
    <w:rsid w:val="00BA5BD3"/>
    <w:rsid w:val="00BA5D96"/>
    <w:rsid w:val="00BA5DEB"/>
    <w:rsid w:val="00BA5FD3"/>
    <w:rsid w:val="00BA60ED"/>
    <w:rsid w:val="00BA664D"/>
    <w:rsid w:val="00BA691D"/>
    <w:rsid w:val="00BA6A34"/>
    <w:rsid w:val="00BA7118"/>
    <w:rsid w:val="00BA7259"/>
    <w:rsid w:val="00BA7269"/>
    <w:rsid w:val="00BA745B"/>
    <w:rsid w:val="00BA75D4"/>
    <w:rsid w:val="00BA75EE"/>
    <w:rsid w:val="00BA7787"/>
    <w:rsid w:val="00BA7907"/>
    <w:rsid w:val="00BA79B9"/>
    <w:rsid w:val="00BA7A4A"/>
    <w:rsid w:val="00BA7C7A"/>
    <w:rsid w:val="00BA7E93"/>
    <w:rsid w:val="00BA7E9B"/>
    <w:rsid w:val="00BA7F6E"/>
    <w:rsid w:val="00BA7FBE"/>
    <w:rsid w:val="00BA7FEE"/>
    <w:rsid w:val="00BA8E51"/>
    <w:rsid w:val="00BAB652"/>
    <w:rsid w:val="00BAF463"/>
    <w:rsid w:val="00BB0188"/>
    <w:rsid w:val="00BB0282"/>
    <w:rsid w:val="00BB0339"/>
    <w:rsid w:val="00BB03CA"/>
    <w:rsid w:val="00BB04EE"/>
    <w:rsid w:val="00BB0591"/>
    <w:rsid w:val="00BB08FE"/>
    <w:rsid w:val="00BB0979"/>
    <w:rsid w:val="00BB09EE"/>
    <w:rsid w:val="00BB0AEE"/>
    <w:rsid w:val="00BB0C48"/>
    <w:rsid w:val="00BB0C55"/>
    <w:rsid w:val="00BB0CB2"/>
    <w:rsid w:val="00BB0CC3"/>
    <w:rsid w:val="00BB0DB3"/>
    <w:rsid w:val="00BB13DC"/>
    <w:rsid w:val="00BB1421"/>
    <w:rsid w:val="00BB1462"/>
    <w:rsid w:val="00BB17EC"/>
    <w:rsid w:val="00BB183D"/>
    <w:rsid w:val="00BB1A39"/>
    <w:rsid w:val="00BB1A80"/>
    <w:rsid w:val="00BB1B6B"/>
    <w:rsid w:val="00BB1E56"/>
    <w:rsid w:val="00BB1F39"/>
    <w:rsid w:val="00BB1F3F"/>
    <w:rsid w:val="00BB208C"/>
    <w:rsid w:val="00BB20D4"/>
    <w:rsid w:val="00BB2539"/>
    <w:rsid w:val="00BB261B"/>
    <w:rsid w:val="00BB26A2"/>
    <w:rsid w:val="00BB2902"/>
    <w:rsid w:val="00BB2A13"/>
    <w:rsid w:val="00BB2A6D"/>
    <w:rsid w:val="00BB2D44"/>
    <w:rsid w:val="00BB303A"/>
    <w:rsid w:val="00BB3410"/>
    <w:rsid w:val="00BB3790"/>
    <w:rsid w:val="00BB38FB"/>
    <w:rsid w:val="00BB38FE"/>
    <w:rsid w:val="00BB3A16"/>
    <w:rsid w:val="00BB3B27"/>
    <w:rsid w:val="00BB3BA9"/>
    <w:rsid w:val="00BB3C3B"/>
    <w:rsid w:val="00BB3E1A"/>
    <w:rsid w:val="00BB41FD"/>
    <w:rsid w:val="00BB4300"/>
    <w:rsid w:val="00BB476D"/>
    <w:rsid w:val="00BB49D9"/>
    <w:rsid w:val="00BB4B93"/>
    <w:rsid w:val="00BB4BC3"/>
    <w:rsid w:val="00BB4DE1"/>
    <w:rsid w:val="00BB5911"/>
    <w:rsid w:val="00BB5ADD"/>
    <w:rsid w:val="00BB5BE9"/>
    <w:rsid w:val="00BB5C1A"/>
    <w:rsid w:val="00BB5D4B"/>
    <w:rsid w:val="00BB5E8D"/>
    <w:rsid w:val="00BB5EE7"/>
    <w:rsid w:val="00BB5F00"/>
    <w:rsid w:val="00BB5F04"/>
    <w:rsid w:val="00BB5FBD"/>
    <w:rsid w:val="00BB6315"/>
    <w:rsid w:val="00BB68FE"/>
    <w:rsid w:val="00BB697A"/>
    <w:rsid w:val="00BB6B79"/>
    <w:rsid w:val="00BB6D32"/>
    <w:rsid w:val="00BB6F6F"/>
    <w:rsid w:val="00BB6F99"/>
    <w:rsid w:val="00BB709A"/>
    <w:rsid w:val="00BB72FD"/>
    <w:rsid w:val="00BB75CA"/>
    <w:rsid w:val="00BB7624"/>
    <w:rsid w:val="00BB776A"/>
    <w:rsid w:val="00BB7CDB"/>
    <w:rsid w:val="00BB7ED7"/>
    <w:rsid w:val="00BC0443"/>
    <w:rsid w:val="00BC0593"/>
    <w:rsid w:val="00BC05EB"/>
    <w:rsid w:val="00BC06FC"/>
    <w:rsid w:val="00BC074D"/>
    <w:rsid w:val="00BC0773"/>
    <w:rsid w:val="00BC0A9F"/>
    <w:rsid w:val="00BC0AE8"/>
    <w:rsid w:val="00BC0D51"/>
    <w:rsid w:val="00BC0DA2"/>
    <w:rsid w:val="00BC0F36"/>
    <w:rsid w:val="00BC0F37"/>
    <w:rsid w:val="00BC1079"/>
    <w:rsid w:val="00BC1306"/>
    <w:rsid w:val="00BC13AB"/>
    <w:rsid w:val="00BC1839"/>
    <w:rsid w:val="00BC19F9"/>
    <w:rsid w:val="00BC1DB1"/>
    <w:rsid w:val="00BC1F74"/>
    <w:rsid w:val="00BC21C1"/>
    <w:rsid w:val="00BC22A5"/>
    <w:rsid w:val="00BC22E0"/>
    <w:rsid w:val="00BC2474"/>
    <w:rsid w:val="00BC2533"/>
    <w:rsid w:val="00BC2574"/>
    <w:rsid w:val="00BC273E"/>
    <w:rsid w:val="00BC2932"/>
    <w:rsid w:val="00BC2E4A"/>
    <w:rsid w:val="00BC3130"/>
    <w:rsid w:val="00BC3440"/>
    <w:rsid w:val="00BC34C1"/>
    <w:rsid w:val="00BC350B"/>
    <w:rsid w:val="00BC35C9"/>
    <w:rsid w:val="00BC3A50"/>
    <w:rsid w:val="00BC3DE4"/>
    <w:rsid w:val="00BC3DFA"/>
    <w:rsid w:val="00BC3EE4"/>
    <w:rsid w:val="00BC3F2A"/>
    <w:rsid w:val="00BC3F77"/>
    <w:rsid w:val="00BC40F0"/>
    <w:rsid w:val="00BC4303"/>
    <w:rsid w:val="00BC4500"/>
    <w:rsid w:val="00BC45DA"/>
    <w:rsid w:val="00BC45F5"/>
    <w:rsid w:val="00BC47A5"/>
    <w:rsid w:val="00BC4ECA"/>
    <w:rsid w:val="00BC4EED"/>
    <w:rsid w:val="00BC5094"/>
    <w:rsid w:val="00BC5235"/>
    <w:rsid w:val="00BC5331"/>
    <w:rsid w:val="00BC53E5"/>
    <w:rsid w:val="00BC557C"/>
    <w:rsid w:val="00BC58F4"/>
    <w:rsid w:val="00BC5AE0"/>
    <w:rsid w:val="00BC5D83"/>
    <w:rsid w:val="00BC5EBD"/>
    <w:rsid w:val="00BC6009"/>
    <w:rsid w:val="00BC648F"/>
    <w:rsid w:val="00BC6FDB"/>
    <w:rsid w:val="00BC71AD"/>
    <w:rsid w:val="00BC74AB"/>
    <w:rsid w:val="00BC7554"/>
    <w:rsid w:val="00BC7B8C"/>
    <w:rsid w:val="00BC7E64"/>
    <w:rsid w:val="00BC7F13"/>
    <w:rsid w:val="00BC7F7C"/>
    <w:rsid w:val="00BCA269"/>
    <w:rsid w:val="00BD0050"/>
    <w:rsid w:val="00BD0209"/>
    <w:rsid w:val="00BD0438"/>
    <w:rsid w:val="00BD049B"/>
    <w:rsid w:val="00BD057F"/>
    <w:rsid w:val="00BD05F6"/>
    <w:rsid w:val="00BD070C"/>
    <w:rsid w:val="00BD0A11"/>
    <w:rsid w:val="00BD0B1A"/>
    <w:rsid w:val="00BD0B6A"/>
    <w:rsid w:val="00BD0C34"/>
    <w:rsid w:val="00BD0F41"/>
    <w:rsid w:val="00BD14D4"/>
    <w:rsid w:val="00BD156A"/>
    <w:rsid w:val="00BD16BF"/>
    <w:rsid w:val="00BD1799"/>
    <w:rsid w:val="00BD17F1"/>
    <w:rsid w:val="00BD1961"/>
    <w:rsid w:val="00BD1976"/>
    <w:rsid w:val="00BD197E"/>
    <w:rsid w:val="00BD1E5E"/>
    <w:rsid w:val="00BD1E8D"/>
    <w:rsid w:val="00BD1FA7"/>
    <w:rsid w:val="00BD20D8"/>
    <w:rsid w:val="00BD2183"/>
    <w:rsid w:val="00BD22A7"/>
    <w:rsid w:val="00BD235B"/>
    <w:rsid w:val="00BD2424"/>
    <w:rsid w:val="00BD2749"/>
    <w:rsid w:val="00BD2796"/>
    <w:rsid w:val="00BD27D6"/>
    <w:rsid w:val="00BD27F3"/>
    <w:rsid w:val="00BD2881"/>
    <w:rsid w:val="00BD304D"/>
    <w:rsid w:val="00BD3130"/>
    <w:rsid w:val="00BD34DC"/>
    <w:rsid w:val="00BD3620"/>
    <w:rsid w:val="00BD3ADA"/>
    <w:rsid w:val="00BD3D46"/>
    <w:rsid w:val="00BD3DCD"/>
    <w:rsid w:val="00BD3DE9"/>
    <w:rsid w:val="00BD3EEB"/>
    <w:rsid w:val="00BD4118"/>
    <w:rsid w:val="00BD41FB"/>
    <w:rsid w:val="00BD45FB"/>
    <w:rsid w:val="00BD4A9D"/>
    <w:rsid w:val="00BD51BE"/>
    <w:rsid w:val="00BD5394"/>
    <w:rsid w:val="00BD5435"/>
    <w:rsid w:val="00BD55B8"/>
    <w:rsid w:val="00BD5A19"/>
    <w:rsid w:val="00BD60FB"/>
    <w:rsid w:val="00BD64E5"/>
    <w:rsid w:val="00BD6508"/>
    <w:rsid w:val="00BD6884"/>
    <w:rsid w:val="00BD6E82"/>
    <w:rsid w:val="00BD6F21"/>
    <w:rsid w:val="00BD7041"/>
    <w:rsid w:val="00BD704E"/>
    <w:rsid w:val="00BD709E"/>
    <w:rsid w:val="00BD70CA"/>
    <w:rsid w:val="00BD7393"/>
    <w:rsid w:val="00BD743E"/>
    <w:rsid w:val="00BD75EB"/>
    <w:rsid w:val="00BD7774"/>
    <w:rsid w:val="00BD78A4"/>
    <w:rsid w:val="00BD79FA"/>
    <w:rsid w:val="00BD7DA4"/>
    <w:rsid w:val="00BD7F06"/>
    <w:rsid w:val="00BD7FA9"/>
    <w:rsid w:val="00BDE5C3"/>
    <w:rsid w:val="00BE016B"/>
    <w:rsid w:val="00BE024E"/>
    <w:rsid w:val="00BE0259"/>
    <w:rsid w:val="00BE03D0"/>
    <w:rsid w:val="00BE0445"/>
    <w:rsid w:val="00BE0606"/>
    <w:rsid w:val="00BE0607"/>
    <w:rsid w:val="00BE0652"/>
    <w:rsid w:val="00BE0A40"/>
    <w:rsid w:val="00BE0FEC"/>
    <w:rsid w:val="00BE1090"/>
    <w:rsid w:val="00BE198E"/>
    <w:rsid w:val="00BE1ACA"/>
    <w:rsid w:val="00BE1AE5"/>
    <w:rsid w:val="00BE1EB0"/>
    <w:rsid w:val="00BE1F3A"/>
    <w:rsid w:val="00BE1F55"/>
    <w:rsid w:val="00BE2344"/>
    <w:rsid w:val="00BE2B69"/>
    <w:rsid w:val="00BE2FF1"/>
    <w:rsid w:val="00BE30D6"/>
    <w:rsid w:val="00BE33DF"/>
    <w:rsid w:val="00BE3493"/>
    <w:rsid w:val="00BE3AD3"/>
    <w:rsid w:val="00BE3B94"/>
    <w:rsid w:val="00BE3D83"/>
    <w:rsid w:val="00BE3E59"/>
    <w:rsid w:val="00BE44C5"/>
    <w:rsid w:val="00BE4664"/>
    <w:rsid w:val="00BE4AEF"/>
    <w:rsid w:val="00BE4BB9"/>
    <w:rsid w:val="00BE4D59"/>
    <w:rsid w:val="00BE4E78"/>
    <w:rsid w:val="00BE4F96"/>
    <w:rsid w:val="00BE5132"/>
    <w:rsid w:val="00BE530E"/>
    <w:rsid w:val="00BE53B7"/>
    <w:rsid w:val="00BE53C4"/>
    <w:rsid w:val="00BE558E"/>
    <w:rsid w:val="00BE56FD"/>
    <w:rsid w:val="00BE5705"/>
    <w:rsid w:val="00BE57B0"/>
    <w:rsid w:val="00BE5D65"/>
    <w:rsid w:val="00BE5E7B"/>
    <w:rsid w:val="00BE63AB"/>
    <w:rsid w:val="00BE64BC"/>
    <w:rsid w:val="00BE6519"/>
    <w:rsid w:val="00BE6738"/>
    <w:rsid w:val="00BE67A1"/>
    <w:rsid w:val="00BE67FC"/>
    <w:rsid w:val="00BE6A4E"/>
    <w:rsid w:val="00BE6AF3"/>
    <w:rsid w:val="00BE6B00"/>
    <w:rsid w:val="00BE6B5F"/>
    <w:rsid w:val="00BE6FE7"/>
    <w:rsid w:val="00BE7164"/>
    <w:rsid w:val="00BE71A5"/>
    <w:rsid w:val="00BE7273"/>
    <w:rsid w:val="00BE728F"/>
    <w:rsid w:val="00BE7380"/>
    <w:rsid w:val="00BE742A"/>
    <w:rsid w:val="00BE76FD"/>
    <w:rsid w:val="00BE78BB"/>
    <w:rsid w:val="00BE798E"/>
    <w:rsid w:val="00BE79BC"/>
    <w:rsid w:val="00BE7A77"/>
    <w:rsid w:val="00BE7C5C"/>
    <w:rsid w:val="00BE7D35"/>
    <w:rsid w:val="00BF0829"/>
    <w:rsid w:val="00BF0AB0"/>
    <w:rsid w:val="00BF0ABE"/>
    <w:rsid w:val="00BF0CAE"/>
    <w:rsid w:val="00BF0D60"/>
    <w:rsid w:val="00BF0D78"/>
    <w:rsid w:val="00BF1011"/>
    <w:rsid w:val="00BF106B"/>
    <w:rsid w:val="00BF1127"/>
    <w:rsid w:val="00BF125C"/>
    <w:rsid w:val="00BF1378"/>
    <w:rsid w:val="00BF1391"/>
    <w:rsid w:val="00BF14BE"/>
    <w:rsid w:val="00BF17DF"/>
    <w:rsid w:val="00BF19E9"/>
    <w:rsid w:val="00BF1C6B"/>
    <w:rsid w:val="00BF1CA7"/>
    <w:rsid w:val="00BF1FFD"/>
    <w:rsid w:val="00BF226A"/>
    <w:rsid w:val="00BF2291"/>
    <w:rsid w:val="00BF231F"/>
    <w:rsid w:val="00BF2708"/>
    <w:rsid w:val="00BF286D"/>
    <w:rsid w:val="00BF2C24"/>
    <w:rsid w:val="00BF2D61"/>
    <w:rsid w:val="00BF2E4C"/>
    <w:rsid w:val="00BF3269"/>
    <w:rsid w:val="00BF330F"/>
    <w:rsid w:val="00BF33A4"/>
    <w:rsid w:val="00BF33AA"/>
    <w:rsid w:val="00BF3504"/>
    <w:rsid w:val="00BF352F"/>
    <w:rsid w:val="00BF37E0"/>
    <w:rsid w:val="00BF3A83"/>
    <w:rsid w:val="00BF3AFC"/>
    <w:rsid w:val="00BF3BE7"/>
    <w:rsid w:val="00BF4681"/>
    <w:rsid w:val="00BF492F"/>
    <w:rsid w:val="00BF4C55"/>
    <w:rsid w:val="00BF4DCF"/>
    <w:rsid w:val="00BF4E52"/>
    <w:rsid w:val="00BF4ED7"/>
    <w:rsid w:val="00BF51F1"/>
    <w:rsid w:val="00BF52CD"/>
    <w:rsid w:val="00BF541B"/>
    <w:rsid w:val="00BF541F"/>
    <w:rsid w:val="00BF5629"/>
    <w:rsid w:val="00BF56F6"/>
    <w:rsid w:val="00BF575E"/>
    <w:rsid w:val="00BF57F1"/>
    <w:rsid w:val="00BF5946"/>
    <w:rsid w:val="00BF5A65"/>
    <w:rsid w:val="00BF5D3B"/>
    <w:rsid w:val="00BF5D9D"/>
    <w:rsid w:val="00BF5DD8"/>
    <w:rsid w:val="00BF5DE2"/>
    <w:rsid w:val="00BF603B"/>
    <w:rsid w:val="00BF6070"/>
    <w:rsid w:val="00BF6236"/>
    <w:rsid w:val="00BF65F0"/>
    <w:rsid w:val="00BF6D18"/>
    <w:rsid w:val="00BF6F7D"/>
    <w:rsid w:val="00BF7189"/>
    <w:rsid w:val="00BF77A2"/>
    <w:rsid w:val="00BF78DE"/>
    <w:rsid w:val="00BF7A04"/>
    <w:rsid w:val="00BF7A59"/>
    <w:rsid w:val="00BF7A92"/>
    <w:rsid w:val="00BF7CC0"/>
    <w:rsid w:val="00BF7EC0"/>
    <w:rsid w:val="00C0009C"/>
    <w:rsid w:val="00C000C7"/>
    <w:rsid w:val="00C00171"/>
    <w:rsid w:val="00C00253"/>
    <w:rsid w:val="00C0063C"/>
    <w:rsid w:val="00C007BD"/>
    <w:rsid w:val="00C00B08"/>
    <w:rsid w:val="00C00B83"/>
    <w:rsid w:val="00C00CEC"/>
    <w:rsid w:val="00C01726"/>
    <w:rsid w:val="00C0174F"/>
    <w:rsid w:val="00C017FF"/>
    <w:rsid w:val="00C018E8"/>
    <w:rsid w:val="00C0209C"/>
    <w:rsid w:val="00C021EF"/>
    <w:rsid w:val="00C025DC"/>
    <w:rsid w:val="00C02743"/>
    <w:rsid w:val="00C027C7"/>
    <w:rsid w:val="00C02920"/>
    <w:rsid w:val="00C02CB9"/>
    <w:rsid w:val="00C02F0C"/>
    <w:rsid w:val="00C0316E"/>
    <w:rsid w:val="00C0338B"/>
    <w:rsid w:val="00C03390"/>
    <w:rsid w:val="00C033C7"/>
    <w:rsid w:val="00C037CB"/>
    <w:rsid w:val="00C03867"/>
    <w:rsid w:val="00C03AD5"/>
    <w:rsid w:val="00C03B8F"/>
    <w:rsid w:val="00C03ED6"/>
    <w:rsid w:val="00C03F46"/>
    <w:rsid w:val="00C03F98"/>
    <w:rsid w:val="00C040A6"/>
    <w:rsid w:val="00C04159"/>
    <w:rsid w:val="00C042D8"/>
    <w:rsid w:val="00C0435B"/>
    <w:rsid w:val="00C043E5"/>
    <w:rsid w:val="00C04505"/>
    <w:rsid w:val="00C04531"/>
    <w:rsid w:val="00C04901"/>
    <w:rsid w:val="00C04A75"/>
    <w:rsid w:val="00C04A80"/>
    <w:rsid w:val="00C04CA6"/>
    <w:rsid w:val="00C05059"/>
    <w:rsid w:val="00C050F1"/>
    <w:rsid w:val="00C0521E"/>
    <w:rsid w:val="00C052C3"/>
    <w:rsid w:val="00C0555D"/>
    <w:rsid w:val="00C05673"/>
    <w:rsid w:val="00C0575E"/>
    <w:rsid w:val="00C05AFE"/>
    <w:rsid w:val="00C05CAD"/>
    <w:rsid w:val="00C061F2"/>
    <w:rsid w:val="00C06786"/>
    <w:rsid w:val="00C07182"/>
    <w:rsid w:val="00C073DA"/>
    <w:rsid w:val="00C0755D"/>
    <w:rsid w:val="00C075C0"/>
    <w:rsid w:val="00C0766E"/>
    <w:rsid w:val="00C077E8"/>
    <w:rsid w:val="00C077FB"/>
    <w:rsid w:val="00C07A6E"/>
    <w:rsid w:val="00C07AFE"/>
    <w:rsid w:val="00C07B5B"/>
    <w:rsid w:val="00C07B76"/>
    <w:rsid w:val="00C07DEF"/>
    <w:rsid w:val="00C100CB"/>
    <w:rsid w:val="00C10152"/>
    <w:rsid w:val="00C102CC"/>
    <w:rsid w:val="00C10600"/>
    <w:rsid w:val="00C1066A"/>
    <w:rsid w:val="00C10708"/>
    <w:rsid w:val="00C10742"/>
    <w:rsid w:val="00C1084C"/>
    <w:rsid w:val="00C10B4D"/>
    <w:rsid w:val="00C10BA8"/>
    <w:rsid w:val="00C10BEB"/>
    <w:rsid w:val="00C10D1E"/>
    <w:rsid w:val="00C11381"/>
    <w:rsid w:val="00C11383"/>
    <w:rsid w:val="00C11A35"/>
    <w:rsid w:val="00C11A91"/>
    <w:rsid w:val="00C11B41"/>
    <w:rsid w:val="00C11BDE"/>
    <w:rsid w:val="00C11DE0"/>
    <w:rsid w:val="00C11F7E"/>
    <w:rsid w:val="00C121A8"/>
    <w:rsid w:val="00C121E5"/>
    <w:rsid w:val="00C12256"/>
    <w:rsid w:val="00C1238A"/>
    <w:rsid w:val="00C1252D"/>
    <w:rsid w:val="00C125C1"/>
    <w:rsid w:val="00C1261D"/>
    <w:rsid w:val="00C12712"/>
    <w:rsid w:val="00C12874"/>
    <w:rsid w:val="00C12ACF"/>
    <w:rsid w:val="00C12DF3"/>
    <w:rsid w:val="00C12E32"/>
    <w:rsid w:val="00C12FC9"/>
    <w:rsid w:val="00C133E8"/>
    <w:rsid w:val="00C1340F"/>
    <w:rsid w:val="00C13832"/>
    <w:rsid w:val="00C1384C"/>
    <w:rsid w:val="00C13940"/>
    <w:rsid w:val="00C139BE"/>
    <w:rsid w:val="00C142A1"/>
    <w:rsid w:val="00C143A4"/>
    <w:rsid w:val="00C145FE"/>
    <w:rsid w:val="00C1490D"/>
    <w:rsid w:val="00C1492D"/>
    <w:rsid w:val="00C14B4D"/>
    <w:rsid w:val="00C14C87"/>
    <w:rsid w:val="00C14EE9"/>
    <w:rsid w:val="00C152C4"/>
    <w:rsid w:val="00C1577A"/>
    <w:rsid w:val="00C15A71"/>
    <w:rsid w:val="00C15BCB"/>
    <w:rsid w:val="00C15BD8"/>
    <w:rsid w:val="00C15BEA"/>
    <w:rsid w:val="00C15D2F"/>
    <w:rsid w:val="00C165B3"/>
    <w:rsid w:val="00C165CD"/>
    <w:rsid w:val="00C1671D"/>
    <w:rsid w:val="00C16729"/>
    <w:rsid w:val="00C1673A"/>
    <w:rsid w:val="00C167A4"/>
    <w:rsid w:val="00C169F0"/>
    <w:rsid w:val="00C16A61"/>
    <w:rsid w:val="00C16BD2"/>
    <w:rsid w:val="00C16F34"/>
    <w:rsid w:val="00C17673"/>
    <w:rsid w:val="00C17811"/>
    <w:rsid w:val="00C1787A"/>
    <w:rsid w:val="00C17979"/>
    <w:rsid w:val="00C17B4C"/>
    <w:rsid w:val="00C17D00"/>
    <w:rsid w:val="00C17EBF"/>
    <w:rsid w:val="00C17FAC"/>
    <w:rsid w:val="00C200A3"/>
    <w:rsid w:val="00C201C0"/>
    <w:rsid w:val="00C20878"/>
    <w:rsid w:val="00C208D4"/>
    <w:rsid w:val="00C20B90"/>
    <w:rsid w:val="00C20CB0"/>
    <w:rsid w:val="00C20FB9"/>
    <w:rsid w:val="00C213C5"/>
    <w:rsid w:val="00C215BC"/>
    <w:rsid w:val="00C217DC"/>
    <w:rsid w:val="00C21965"/>
    <w:rsid w:val="00C2196D"/>
    <w:rsid w:val="00C21CAE"/>
    <w:rsid w:val="00C21CEA"/>
    <w:rsid w:val="00C22191"/>
    <w:rsid w:val="00C2222B"/>
    <w:rsid w:val="00C22257"/>
    <w:rsid w:val="00C2240F"/>
    <w:rsid w:val="00C229AF"/>
    <w:rsid w:val="00C22A36"/>
    <w:rsid w:val="00C22CAC"/>
    <w:rsid w:val="00C22D46"/>
    <w:rsid w:val="00C22DC2"/>
    <w:rsid w:val="00C22F0C"/>
    <w:rsid w:val="00C230BE"/>
    <w:rsid w:val="00C231D6"/>
    <w:rsid w:val="00C232B9"/>
    <w:rsid w:val="00C2345E"/>
    <w:rsid w:val="00C23491"/>
    <w:rsid w:val="00C23995"/>
    <w:rsid w:val="00C23BEA"/>
    <w:rsid w:val="00C23CD2"/>
    <w:rsid w:val="00C23F9A"/>
    <w:rsid w:val="00C24702"/>
    <w:rsid w:val="00C24920"/>
    <w:rsid w:val="00C24947"/>
    <w:rsid w:val="00C249DA"/>
    <w:rsid w:val="00C24E25"/>
    <w:rsid w:val="00C24EC1"/>
    <w:rsid w:val="00C25081"/>
    <w:rsid w:val="00C250C5"/>
    <w:rsid w:val="00C25222"/>
    <w:rsid w:val="00C25B8F"/>
    <w:rsid w:val="00C25D54"/>
    <w:rsid w:val="00C25E92"/>
    <w:rsid w:val="00C25EAA"/>
    <w:rsid w:val="00C26238"/>
    <w:rsid w:val="00C264FE"/>
    <w:rsid w:val="00C26722"/>
    <w:rsid w:val="00C268FD"/>
    <w:rsid w:val="00C26960"/>
    <w:rsid w:val="00C26AC7"/>
    <w:rsid w:val="00C26C95"/>
    <w:rsid w:val="00C26D82"/>
    <w:rsid w:val="00C27459"/>
    <w:rsid w:val="00C27725"/>
    <w:rsid w:val="00C27752"/>
    <w:rsid w:val="00C278BC"/>
    <w:rsid w:val="00C279CB"/>
    <w:rsid w:val="00C27AD2"/>
    <w:rsid w:val="00C27BAB"/>
    <w:rsid w:val="00C27E02"/>
    <w:rsid w:val="00C27E27"/>
    <w:rsid w:val="00C27F1C"/>
    <w:rsid w:val="00C30077"/>
    <w:rsid w:val="00C30164"/>
    <w:rsid w:val="00C305D9"/>
    <w:rsid w:val="00C3093A"/>
    <w:rsid w:val="00C30B20"/>
    <w:rsid w:val="00C30B5B"/>
    <w:rsid w:val="00C30C43"/>
    <w:rsid w:val="00C31010"/>
    <w:rsid w:val="00C31125"/>
    <w:rsid w:val="00C3121F"/>
    <w:rsid w:val="00C31267"/>
    <w:rsid w:val="00C31272"/>
    <w:rsid w:val="00C31798"/>
    <w:rsid w:val="00C3188D"/>
    <w:rsid w:val="00C31921"/>
    <w:rsid w:val="00C319C7"/>
    <w:rsid w:val="00C321F5"/>
    <w:rsid w:val="00C3268B"/>
    <w:rsid w:val="00C329EA"/>
    <w:rsid w:val="00C32B0C"/>
    <w:rsid w:val="00C32CC1"/>
    <w:rsid w:val="00C32FEB"/>
    <w:rsid w:val="00C3316A"/>
    <w:rsid w:val="00C33245"/>
    <w:rsid w:val="00C335F0"/>
    <w:rsid w:val="00C3397B"/>
    <w:rsid w:val="00C339DE"/>
    <w:rsid w:val="00C33A19"/>
    <w:rsid w:val="00C33BD7"/>
    <w:rsid w:val="00C33DEB"/>
    <w:rsid w:val="00C33FE5"/>
    <w:rsid w:val="00C34106"/>
    <w:rsid w:val="00C34223"/>
    <w:rsid w:val="00C3426F"/>
    <w:rsid w:val="00C342C0"/>
    <w:rsid w:val="00C34363"/>
    <w:rsid w:val="00C3457F"/>
    <w:rsid w:val="00C34670"/>
    <w:rsid w:val="00C34A02"/>
    <w:rsid w:val="00C34A06"/>
    <w:rsid w:val="00C34AB3"/>
    <w:rsid w:val="00C34B19"/>
    <w:rsid w:val="00C35021"/>
    <w:rsid w:val="00C351C9"/>
    <w:rsid w:val="00C3530A"/>
    <w:rsid w:val="00C3532F"/>
    <w:rsid w:val="00C353C4"/>
    <w:rsid w:val="00C354BD"/>
    <w:rsid w:val="00C355E1"/>
    <w:rsid w:val="00C355E6"/>
    <w:rsid w:val="00C355EF"/>
    <w:rsid w:val="00C356B5"/>
    <w:rsid w:val="00C356DE"/>
    <w:rsid w:val="00C358E2"/>
    <w:rsid w:val="00C35AEE"/>
    <w:rsid w:val="00C35DEC"/>
    <w:rsid w:val="00C364DF"/>
    <w:rsid w:val="00C36548"/>
    <w:rsid w:val="00C367A9"/>
    <w:rsid w:val="00C36810"/>
    <w:rsid w:val="00C36C73"/>
    <w:rsid w:val="00C36D76"/>
    <w:rsid w:val="00C36D83"/>
    <w:rsid w:val="00C36E72"/>
    <w:rsid w:val="00C37033"/>
    <w:rsid w:val="00C37511"/>
    <w:rsid w:val="00C3781A"/>
    <w:rsid w:val="00C37868"/>
    <w:rsid w:val="00C37997"/>
    <w:rsid w:val="00C3799B"/>
    <w:rsid w:val="00C37A93"/>
    <w:rsid w:val="00C37B4C"/>
    <w:rsid w:val="00C37D83"/>
    <w:rsid w:val="00C37E31"/>
    <w:rsid w:val="00C37F46"/>
    <w:rsid w:val="00C4025B"/>
    <w:rsid w:val="00C40336"/>
    <w:rsid w:val="00C40373"/>
    <w:rsid w:val="00C4045B"/>
    <w:rsid w:val="00C4058B"/>
    <w:rsid w:val="00C4090A"/>
    <w:rsid w:val="00C40A81"/>
    <w:rsid w:val="00C40BB9"/>
    <w:rsid w:val="00C40BEB"/>
    <w:rsid w:val="00C40D63"/>
    <w:rsid w:val="00C40FAD"/>
    <w:rsid w:val="00C412C4"/>
    <w:rsid w:val="00C41513"/>
    <w:rsid w:val="00C41566"/>
    <w:rsid w:val="00C41800"/>
    <w:rsid w:val="00C41870"/>
    <w:rsid w:val="00C418F9"/>
    <w:rsid w:val="00C41951"/>
    <w:rsid w:val="00C41B9B"/>
    <w:rsid w:val="00C41D9B"/>
    <w:rsid w:val="00C41E63"/>
    <w:rsid w:val="00C427B7"/>
    <w:rsid w:val="00C42B04"/>
    <w:rsid w:val="00C42B20"/>
    <w:rsid w:val="00C42CA3"/>
    <w:rsid w:val="00C43519"/>
    <w:rsid w:val="00C4359A"/>
    <w:rsid w:val="00C43791"/>
    <w:rsid w:val="00C43858"/>
    <w:rsid w:val="00C4385F"/>
    <w:rsid w:val="00C439CA"/>
    <w:rsid w:val="00C43AA8"/>
    <w:rsid w:val="00C43BA4"/>
    <w:rsid w:val="00C445B0"/>
    <w:rsid w:val="00C445CF"/>
    <w:rsid w:val="00C446CC"/>
    <w:rsid w:val="00C44954"/>
    <w:rsid w:val="00C44A0D"/>
    <w:rsid w:val="00C44D45"/>
    <w:rsid w:val="00C44D7F"/>
    <w:rsid w:val="00C44FC6"/>
    <w:rsid w:val="00C44FDF"/>
    <w:rsid w:val="00C45440"/>
    <w:rsid w:val="00C457C8"/>
    <w:rsid w:val="00C45A64"/>
    <w:rsid w:val="00C45A90"/>
    <w:rsid w:val="00C45B6E"/>
    <w:rsid w:val="00C45E16"/>
    <w:rsid w:val="00C4605E"/>
    <w:rsid w:val="00C4606A"/>
    <w:rsid w:val="00C46137"/>
    <w:rsid w:val="00C461F1"/>
    <w:rsid w:val="00C462F5"/>
    <w:rsid w:val="00C4647C"/>
    <w:rsid w:val="00C464C7"/>
    <w:rsid w:val="00C464E0"/>
    <w:rsid w:val="00C465E7"/>
    <w:rsid w:val="00C4694D"/>
    <w:rsid w:val="00C46974"/>
    <w:rsid w:val="00C4698E"/>
    <w:rsid w:val="00C46994"/>
    <w:rsid w:val="00C46CD2"/>
    <w:rsid w:val="00C46E9A"/>
    <w:rsid w:val="00C46FFD"/>
    <w:rsid w:val="00C47469"/>
    <w:rsid w:val="00C47A98"/>
    <w:rsid w:val="00C47D57"/>
    <w:rsid w:val="00C47E8F"/>
    <w:rsid w:val="00C47EE4"/>
    <w:rsid w:val="00C47F03"/>
    <w:rsid w:val="00C47FC7"/>
    <w:rsid w:val="00C501A2"/>
    <w:rsid w:val="00C50884"/>
    <w:rsid w:val="00C508A4"/>
    <w:rsid w:val="00C5098B"/>
    <w:rsid w:val="00C50DF3"/>
    <w:rsid w:val="00C50EB3"/>
    <w:rsid w:val="00C51005"/>
    <w:rsid w:val="00C5108D"/>
    <w:rsid w:val="00C51278"/>
    <w:rsid w:val="00C512B6"/>
    <w:rsid w:val="00C512F7"/>
    <w:rsid w:val="00C51487"/>
    <w:rsid w:val="00C514D3"/>
    <w:rsid w:val="00C517F2"/>
    <w:rsid w:val="00C519C9"/>
    <w:rsid w:val="00C51C4F"/>
    <w:rsid w:val="00C51CC5"/>
    <w:rsid w:val="00C51D0B"/>
    <w:rsid w:val="00C51EB8"/>
    <w:rsid w:val="00C52011"/>
    <w:rsid w:val="00C522BF"/>
    <w:rsid w:val="00C52331"/>
    <w:rsid w:val="00C5237E"/>
    <w:rsid w:val="00C52411"/>
    <w:rsid w:val="00C52628"/>
    <w:rsid w:val="00C526A0"/>
    <w:rsid w:val="00C5273E"/>
    <w:rsid w:val="00C52894"/>
    <w:rsid w:val="00C528B2"/>
    <w:rsid w:val="00C52958"/>
    <w:rsid w:val="00C529DD"/>
    <w:rsid w:val="00C52AC2"/>
    <w:rsid w:val="00C52B9A"/>
    <w:rsid w:val="00C52C65"/>
    <w:rsid w:val="00C5337C"/>
    <w:rsid w:val="00C533D4"/>
    <w:rsid w:val="00C5349C"/>
    <w:rsid w:val="00C539D0"/>
    <w:rsid w:val="00C53A2C"/>
    <w:rsid w:val="00C53AEF"/>
    <w:rsid w:val="00C53C04"/>
    <w:rsid w:val="00C53E03"/>
    <w:rsid w:val="00C53E75"/>
    <w:rsid w:val="00C53ED0"/>
    <w:rsid w:val="00C542F3"/>
    <w:rsid w:val="00C5442E"/>
    <w:rsid w:val="00C54440"/>
    <w:rsid w:val="00C54471"/>
    <w:rsid w:val="00C546B6"/>
    <w:rsid w:val="00C54785"/>
    <w:rsid w:val="00C5485C"/>
    <w:rsid w:val="00C54DAA"/>
    <w:rsid w:val="00C54E53"/>
    <w:rsid w:val="00C54E74"/>
    <w:rsid w:val="00C54E8F"/>
    <w:rsid w:val="00C54FAD"/>
    <w:rsid w:val="00C55032"/>
    <w:rsid w:val="00C5510B"/>
    <w:rsid w:val="00C5524C"/>
    <w:rsid w:val="00C5564B"/>
    <w:rsid w:val="00C5570C"/>
    <w:rsid w:val="00C55793"/>
    <w:rsid w:val="00C55847"/>
    <w:rsid w:val="00C55888"/>
    <w:rsid w:val="00C55903"/>
    <w:rsid w:val="00C55ADC"/>
    <w:rsid w:val="00C55BA8"/>
    <w:rsid w:val="00C55C38"/>
    <w:rsid w:val="00C55E0E"/>
    <w:rsid w:val="00C565AA"/>
    <w:rsid w:val="00C569AB"/>
    <w:rsid w:val="00C56B1F"/>
    <w:rsid w:val="00C56E03"/>
    <w:rsid w:val="00C56F14"/>
    <w:rsid w:val="00C56FC8"/>
    <w:rsid w:val="00C574A6"/>
    <w:rsid w:val="00C5752C"/>
    <w:rsid w:val="00C575CF"/>
    <w:rsid w:val="00C575FE"/>
    <w:rsid w:val="00C577AD"/>
    <w:rsid w:val="00C57EAB"/>
    <w:rsid w:val="00C600B4"/>
    <w:rsid w:val="00C6010C"/>
    <w:rsid w:val="00C601E9"/>
    <w:rsid w:val="00C601ED"/>
    <w:rsid w:val="00C604A3"/>
    <w:rsid w:val="00C6061D"/>
    <w:rsid w:val="00C60999"/>
    <w:rsid w:val="00C60C14"/>
    <w:rsid w:val="00C60D5D"/>
    <w:rsid w:val="00C60E74"/>
    <w:rsid w:val="00C6101B"/>
    <w:rsid w:val="00C61134"/>
    <w:rsid w:val="00C61577"/>
    <w:rsid w:val="00C61621"/>
    <w:rsid w:val="00C6163A"/>
    <w:rsid w:val="00C61651"/>
    <w:rsid w:val="00C616B7"/>
    <w:rsid w:val="00C616B8"/>
    <w:rsid w:val="00C617B6"/>
    <w:rsid w:val="00C619D7"/>
    <w:rsid w:val="00C61B07"/>
    <w:rsid w:val="00C61DC6"/>
    <w:rsid w:val="00C61EB1"/>
    <w:rsid w:val="00C6212F"/>
    <w:rsid w:val="00C62271"/>
    <w:rsid w:val="00C62551"/>
    <w:rsid w:val="00C6276D"/>
    <w:rsid w:val="00C628BF"/>
    <w:rsid w:val="00C629B0"/>
    <w:rsid w:val="00C629EC"/>
    <w:rsid w:val="00C62A04"/>
    <w:rsid w:val="00C62C33"/>
    <w:rsid w:val="00C62F16"/>
    <w:rsid w:val="00C6321D"/>
    <w:rsid w:val="00C632C0"/>
    <w:rsid w:val="00C63354"/>
    <w:rsid w:val="00C6354F"/>
    <w:rsid w:val="00C6366F"/>
    <w:rsid w:val="00C636C8"/>
    <w:rsid w:val="00C636F3"/>
    <w:rsid w:val="00C6373D"/>
    <w:rsid w:val="00C6375F"/>
    <w:rsid w:val="00C63A85"/>
    <w:rsid w:val="00C63B05"/>
    <w:rsid w:val="00C63B7C"/>
    <w:rsid w:val="00C63D7E"/>
    <w:rsid w:val="00C63EA4"/>
    <w:rsid w:val="00C63F63"/>
    <w:rsid w:val="00C6413D"/>
    <w:rsid w:val="00C64310"/>
    <w:rsid w:val="00C64320"/>
    <w:rsid w:val="00C643B0"/>
    <w:rsid w:val="00C6447D"/>
    <w:rsid w:val="00C64536"/>
    <w:rsid w:val="00C64663"/>
    <w:rsid w:val="00C646CA"/>
    <w:rsid w:val="00C648AE"/>
    <w:rsid w:val="00C649E2"/>
    <w:rsid w:val="00C64BA7"/>
    <w:rsid w:val="00C64E14"/>
    <w:rsid w:val="00C650A7"/>
    <w:rsid w:val="00C656E4"/>
    <w:rsid w:val="00C65821"/>
    <w:rsid w:val="00C65BB9"/>
    <w:rsid w:val="00C65CCD"/>
    <w:rsid w:val="00C65D1D"/>
    <w:rsid w:val="00C6604A"/>
    <w:rsid w:val="00C66097"/>
    <w:rsid w:val="00C661F3"/>
    <w:rsid w:val="00C66816"/>
    <w:rsid w:val="00C66A20"/>
    <w:rsid w:val="00C66B41"/>
    <w:rsid w:val="00C66B8C"/>
    <w:rsid w:val="00C66B9B"/>
    <w:rsid w:val="00C67130"/>
    <w:rsid w:val="00C6722B"/>
    <w:rsid w:val="00C6731A"/>
    <w:rsid w:val="00C673D0"/>
    <w:rsid w:val="00C675B9"/>
    <w:rsid w:val="00C67852"/>
    <w:rsid w:val="00C67A67"/>
    <w:rsid w:val="00C67B03"/>
    <w:rsid w:val="00C700F3"/>
    <w:rsid w:val="00C70141"/>
    <w:rsid w:val="00C701DC"/>
    <w:rsid w:val="00C7026D"/>
    <w:rsid w:val="00C709B2"/>
    <w:rsid w:val="00C70AA9"/>
    <w:rsid w:val="00C70AEC"/>
    <w:rsid w:val="00C70E36"/>
    <w:rsid w:val="00C70EA8"/>
    <w:rsid w:val="00C7117A"/>
    <w:rsid w:val="00C712D2"/>
    <w:rsid w:val="00C712FF"/>
    <w:rsid w:val="00C7144C"/>
    <w:rsid w:val="00C7149A"/>
    <w:rsid w:val="00C71543"/>
    <w:rsid w:val="00C71586"/>
    <w:rsid w:val="00C7163D"/>
    <w:rsid w:val="00C71698"/>
    <w:rsid w:val="00C71BFC"/>
    <w:rsid w:val="00C71DE1"/>
    <w:rsid w:val="00C71E3F"/>
    <w:rsid w:val="00C71E9E"/>
    <w:rsid w:val="00C72199"/>
    <w:rsid w:val="00C7227B"/>
    <w:rsid w:val="00C723EA"/>
    <w:rsid w:val="00C724F3"/>
    <w:rsid w:val="00C72593"/>
    <w:rsid w:val="00C725B1"/>
    <w:rsid w:val="00C728B4"/>
    <w:rsid w:val="00C72A64"/>
    <w:rsid w:val="00C72AD7"/>
    <w:rsid w:val="00C72C22"/>
    <w:rsid w:val="00C72D5B"/>
    <w:rsid w:val="00C72DFA"/>
    <w:rsid w:val="00C72FC8"/>
    <w:rsid w:val="00C73025"/>
    <w:rsid w:val="00C7304E"/>
    <w:rsid w:val="00C73746"/>
    <w:rsid w:val="00C73777"/>
    <w:rsid w:val="00C737AB"/>
    <w:rsid w:val="00C73D83"/>
    <w:rsid w:val="00C73E23"/>
    <w:rsid w:val="00C73ED9"/>
    <w:rsid w:val="00C73F60"/>
    <w:rsid w:val="00C73F78"/>
    <w:rsid w:val="00C74512"/>
    <w:rsid w:val="00C74591"/>
    <w:rsid w:val="00C74768"/>
    <w:rsid w:val="00C748F0"/>
    <w:rsid w:val="00C74A8A"/>
    <w:rsid w:val="00C74A98"/>
    <w:rsid w:val="00C74B6B"/>
    <w:rsid w:val="00C74E34"/>
    <w:rsid w:val="00C75287"/>
    <w:rsid w:val="00C752EE"/>
    <w:rsid w:val="00C75300"/>
    <w:rsid w:val="00C75B0A"/>
    <w:rsid w:val="00C75DB3"/>
    <w:rsid w:val="00C75F5E"/>
    <w:rsid w:val="00C75FD4"/>
    <w:rsid w:val="00C7602B"/>
    <w:rsid w:val="00C760A7"/>
    <w:rsid w:val="00C76117"/>
    <w:rsid w:val="00C763B5"/>
    <w:rsid w:val="00C764E7"/>
    <w:rsid w:val="00C766EE"/>
    <w:rsid w:val="00C766F4"/>
    <w:rsid w:val="00C7698C"/>
    <w:rsid w:val="00C76CB5"/>
    <w:rsid w:val="00C770A7"/>
    <w:rsid w:val="00C771A7"/>
    <w:rsid w:val="00C77785"/>
    <w:rsid w:val="00C77906"/>
    <w:rsid w:val="00C77939"/>
    <w:rsid w:val="00C77FC6"/>
    <w:rsid w:val="00C800F1"/>
    <w:rsid w:val="00C80540"/>
    <w:rsid w:val="00C80910"/>
    <w:rsid w:val="00C80BD5"/>
    <w:rsid w:val="00C81415"/>
    <w:rsid w:val="00C81508"/>
    <w:rsid w:val="00C81593"/>
    <w:rsid w:val="00C81726"/>
    <w:rsid w:val="00C81A4F"/>
    <w:rsid w:val="00C81C12"/>
    <w:rsid w:val="00C81E2A"/>
    <w:rsid w:val="00C81F8D"/>
    <w:rsid w:val="00C8209F"/>
    <w:rsid w:val="00C824D9"/>
    <w:rsid w:val="00C8252A"/>
    <w:rsid w:val="00C8259B"/>
    <w:rsid w:val="00C826D7"/>
    <w:rsid w:val="00C82886"/>
    <w:rsid w:val="00C829AA"/>
    <w:rsid w:val="00C82BE1"/>
    <w:rsid w:val="00C82BE4"/>
    <w:rsid w:val="00C82DCF"/>
    <w:rsid w:val="00C832A6"/>
    <w:rsid w:val="00C834FB"/>
    <w:rsid w:val="00C8352C"/>
    <w:rsid w:val="00C83544"/>
    <w:rsid w:val="00C835CE"/>
    <w:rsid w:val="00C83632"/>
    <w:rsid w:val="00C83749"/>
    <w:rsid w:val="00C83928"/>
    <w:rsid w:val="00C8398D"/>
    <w:rsid w:val="00C83C7B"/>
    <w:rsid w:val="00C83D18"/>
    <w:rsid w:val="00C84036"/>
    <w:rsid w:val="00C840C6"/>
    <w:rsid w:val="00C8444D"/>
    <w:rsid w:val="00C84993"/>
    <w:rsid w:val="00C84B78"/>
    <w:rsid w:val="00C84CC7"/>
    <w:rsid w:val="00C84D71"/>
    <w:rsid w:val="00C84E6E"/>
    <w:rsid w:val="00C84EE8"/>
    <w:rsid w:val="00C851B9"/>
    <w:rsid w:val="00C85208"/>
    <w:rsid w:val="00C85566"/>
    <w:rsid w:val="00C85793"/>
    <w:rsid w:val="00C857FA"/>
    <w:rsid w:val="00C85AFF"/>
    <w:rsid w:val="00C85CD0"/>
    <w:rsid w:val="00C85D6B"/>
    <w:rsid w:val="00C85E44"/>
    <w:rsid w:val="00C85E45"/>
    <w:rsid w:val="00C85E8F"/>
    <w:rsid w:val="00C86047"/>
    <w:rsid w:val="00C863EF"/>
    <w:rsid w:val="00C86637"/>
    <w:rsid w:val="00C8676B"/>
    <w:rsid w:val="00C867B5"/>
    <w:rsid w:val="00C8697E"/>
    <w:rsid w:val="00C86AF8"/>
    <w:rsid w:val="00C86BC6"/>
    <w:rsid w:val="00C86C07"/>
    <w:rsid w:val="00C86DAF"/>
    <w:rsid w:val="00C86E9C"/>
    <w:rsid w:val="00C86F8B"/>
    <w:rsid w:val="00C86FEB"/>
    <w:rsid w:val="00C870C4"/>
    <w:rsid w:val="00C87259"/>
    <w:rsid w:val="00C8736F"/>
    <w:rsid w:val="00C873DF"/>
    <w:rsid w:val="00C8760E"/>
    <w:rsid w:val="00C87A1C"/>
    <w:rsid w:val="00C87A5A"/>
    <w:rsid w:val="00C900DC"/>
    <w:rsid w:val="00C90135"/>
    <w:rsid w:val="00C906D3"/>
    <w:rsid w:val="00C9086D"/>
    <w:rsid w:val="00C909CE"/>
    <w:rsid w:val="00C909DE"/>
    <w:rsid w:val="00C90A5B"/>
    <w:rsid w:val="00C90D4B"/>
    <w:rsid w:val="00C90D63"/>
    <w:rsid w:val="00C90DAA"/>
    <w:rsid w:val="00C90F93"/>
    <w:rsid w:val="00C91239"/>
    <w:rsid w:val="00C91260"/>
    <w:rsid w:val="00C91389"/>
    <w:rsid w:val="00C913F9"/>
    <w:rsid w:val="00C91AF8"/>
    <w:rsid w:val="00C91C63"/>
    <w:rsid w:val="00C91E7B"/>
    <w:rsid w:val="00C9217C"/>
    <w:rsid w:val="00C923A1"/>
    <w:rsid w:val="00C923A7"/>
    <w:rsid w:val="00C924E9"/>
    <w:rsid w:val="00C92502"/>
    <w:rsid w:val="00C926F7"/>
    <w:rsid w:val="00C927AE"/>
    <w:rsid w:val="00C92800"/>
    <w:rsid w:val="00C92F80"/>
    <w:rsid w:val="00C92FE5"/>
    <w:rsid w:val="00C93239"/>
    <w:rsid w:val="00C93635"/>
    <w:rsid w:val="00C93641"/>
    <w:rsid w:val="00C93954"/>
    <w:rsid w:val="00C93970"/>
    <w:rsid w:val="00C93A83"/>
    <w:rsid w:val="00C93ED8"/>
    <w:rsid w:val="00C94453"/>
    <w:rsid w:val="00C94BDF"/>
    <w:rsid w:val="00C94BEA"/>
    <w:rsid w:val="00C94CB1"/>
    <w:rsid w:val="00C94DC1"/>
    <w:rsid w:val="00C94E12"/>
    <w:rsid w:val="00C94E36"/>
    <w:rsid w:val="00C94F92"/>
    <w:rsid w:val="00C9503E"/>
    <w:rsid w:val="00C951E3"/>
    <w:rsid w:val="00C9561C"/>
    <w:rsid w:val="00C9571F"/>
    <w:rsid w:val="00C95B3B"/>
    <w:rsid w:val="00C95CB9"/>
    <w:rsid w:val="00C95DB4"/>
    <w:rsid w:val="00C95DD4"/>
    <w:rsid w:val="00C95F57"/>
    <w:rsid w:val="00C96086"/>
    <w:rsid w:val="00C963A3"/>
    <w:rsid w:val="00C9659C"/>
    <w:rsid w:val="00C96657"/>
    <w:rsid w:val="00C9694E"/>
    <w:rsid w:val="00C96A38"/>
    <w:rsid w:val="00C96A86"/>
    <w:rsid w:val="00C96AD3"/>
    <w:rsid w:val="00C96BC4"/>
    <w:rsid w:val="00C96C0F"/>
    <w:rsid w:val="00C96D19"/>
    <w:rsid w:val="00C96D34"/>
    <w:rsid w:val="00C96DBA"/>
    <w:rsid w:val="00C96E5A"/>
    <w:rsid w:val="00C9702D"/>
    <w:rsid w:val="00C97252"/>
    <w:rsid w:val="00C972C2"/>
    <w:rsid w:val="00C972D4"/>
    <w:rsid w:val="00C97422"/>
    <w:rsid w:val="00C9748D"/>
    <w:rsid w:val="00C97D4E"/>
    <w:rsid w:val="00C97ED6"/>
    <w:rsid w:val="00CA0220"/>
    <w:rsid w:val="00CA02B9"/>
    <w:rsid w:val="00CA0302"/>
    <w:rsid w:val="00CA0514"/>
    <w:rsid w:val="00CA0856"/>
    <w:rsid w:val="00CA09E4"/>
    <w:rsid w:val="00CA0AAC"/>
    <w:rsid w:val="00CA0AFB"/>
    <w:rsid w:val="00CA0BA6"/>
    <w:rsid w:val="00CA0BD6"/>
    <w:rsid w:val="00CA0BE2"/>
    <w:rsid w:val="00CA0E4B"/>
    <w:rsid w:val="00CA11BE"/>
    <w:rsid w:val="00CA1203"/>
    <w:rsid w:val="00CA15EE"/>
    <w:rsid w:val="00CA1650"/>
    <w:rsid w:val="00CA1738"/>
    <w:rsid w:val="00CA1BA1"/>
    <w:rsid w:val="00CA1D3B"/>
    <w:rsid w:val="00CA25A3"/>
    <w:rsid w:val="00CA266A"/>
    <w:rsid w:val="00CA297F"/>
    <w:rsid w:val="00CA2AD4"/>
    <w:rsid w:val="00CA2D37"/>
    <w:rsid w:val="00CA2E09"/>
    <w:rsid w:val="00CA30E0"/>
    <w:rsid w:val="00CA30EE"/>
    <w:rsid w:val="00CA3162"/>
    <w:rsid w:val="00CA3248"/>
    <w:rsid w:val="00CA38E4"/>
    <w:rsid w:val="00CA3915"/>
    <w:rsid w:val="00CA39AD"/>
    <w:rsid w:val="00CA3BF0"/>
    <w:rsid w:val="00CA3C03"/>
    <w:rsid w:val="00CA3D77"/>
    <w:rsid w:val="00CA3FB4"/>
    <w:rsid w:val="00CA3FBD"/>
    <w:rsid w:val="00CA3FFD"/>
    <w:rsid w:val="00CA40A5"/>
    <w:rsid w:val="00CA4370"/>
    <w:rsid w:val="00CA4719"/>
    <w:rsid w:val="00CA4933"/>
    <w:rsid w:val="00CA4951"/>
    <w:rsid w:val="00CA4A4D"/>
    <w:rsid w:val="00CA4AA9"/>
    <w:rsid w:val="00CA4C7F"/>
    <w:rsid w:val="00CA4EDD"/>
    <w:rsid w:val="00CA4EF5"/>
    <w:rsid w:val="00CA4FB8"/>
    <w:rsid w:val="00CA51B8"/>
    <w:rsid w:val="00CA57D2"/>
    <w:rsid w:val="00CA5A13"/>
    <w:rsid w:val="00CA5AC5"/>
    <w:rsid w:val="00CA5CC4"/>
    <w:rsid w:val="00CA5DF2"/>
    <w:rsid w:val="00CA5E83"/>
    <w:rsid w:val="00CA5EF0"/>
    <w:rsid w:val="00CA608B"/>
    <w:rsid w:val="00CA61CE"/>
    <w:rsid w:val="00CA6B99"/>
    <w:rsid w:val="00CA6E73"/>
    <w:rsid w:val="00CA7057"/>
    <w:rsid w:val="00CA70DC"/>
    <w:rsid w:val="00CA79D7"/>
    <w:rsid w:val="00CA7AA6"/>
    <w:rsid w:val="00CA7DDA"/>
    <w:rsid w:val="00CB035B"/>
    <w:rsid w:val="00CB0607"/>
    <w:rsid w:val="00CB0823"/>
    <w:rsid w:val="00CB0A09"/>
    <w:rsid w:val="00CB0A53"/>
    <w:rsid w:val="00CB0AEA"/>
    <w:rsid w:val="00CB1142"/>
    <w:rsid w:val="00CB127F"/>
    <w:rsid w:val="00CB12BE"/>
    <w:rsid w:val="00CB13BF"/>
    <w:rsid w:val="00CB16C3"/>
    <w:rsid w:val="00CB1A91"/>
    <w:rsid w:val="00CB1C5D"/>
    <w:rsid w:val="00CB1D8B"/>
    <w:rsid w:val="00CB1D95"/>
    <w:rsid w:val="00CB2521"/>
    <w:rsid w:val="00CB25A7"/>
    <w:rsid w:val="00CB268A"/>
    <w:rsid w:val="00CB26E0"/>
    <w:rsid w:val="00CB27D0"/>
    <w:rsid w:val="00CB27ED"/>
    <w:rsid w:val="00CB2928"/>
    <w:rsid w:val="00CB2949"/>
    <w:rsid w:val="00CB2960"/>
    <w:rsid w:val="00CB2981"/>
    <w:rsid w:val="00CB2997"/>
    <w:rsid w:val="00CB2B31"/>
    <w:rsid w:val="00CB2B6B"/>
    <w:rsid w:val="00CB2C3B"/>
    <w:rsid w:val="00CB2D04"/>
    <w:rsid w:val="00CB2D2C"/>
    <w:rsid w:val="00CB2E2F"/>
    <w:rsid w:val="00CB2ED3"/>
    <w:rsid w:val="00CB2FE9"/>
    <w:rsid w:val="00CB326D"/>
    <w:rsid w:val="00CB3709"/>
    <w:rsid w:val="00CB38C3"/>
    <w:rsid w:val="00CB38C5"/>
    <w:rsid w:val="00CB3B21"/>
    <w:rsid w:val="00CB3C34"/>
    <w:rsid w:val="00CB3D04"/>
    <w:rsid w:val="00CB3D84"/>
    <w:rsid w:val="00CB42F2"/>
    <w:rsid w:val="00CB466D"/>
    <w:rsid w:val="00CB4D7C"/>
    <w:rsid w:val="00CB4D7D"/>
    <w:rsid w:val="00CB4E9D"/>
    <w:rsid w:val="00CB5222"/>
    <w:rsid w:val="00CB52E4"/>
    <w:rsid w:val="00CB53AF"/>
    <w:rsid w:val="00CB53CF"/>
    <w:rsid w:val="00CB564A"/>
    <w:rsid w:val="00CB572F"/>
    <w:rsid w:val="00CB57B3"/>
    <w:rsid w:val="00CB58B8"/>
    <w:rsid w:val="00CB595F"/>
    <w:rsid w:val="00CB5A4E"/>
    <w:rsid w:val="00CB5A95"/>
    <w:rsid w:val="00CB5B14"/>
    <w:rsid w:val="00CB5B4D"/>
    <w:rsid w:val="00CB5B72"/>
    <w:rsid w:val="00CB5C71"/>
    <w:rsid w:val="00CB5CD7"/>
    <w:rsid w:val="00CB5DD8"/>
    <w:rsid w:val="00CB5E9D"/>
    <w:rsid w:val="00CB605E"/>
    <w:rsid w:val="00CB60D2"/>
    <w:rsid w:val="00CB6252"/>
    <w:rsid w:val="00CB63DB"/>
    <w:rsid w:val="00CB63FA"/>
    <w:rsid w:val="00CB64C7"/>
    <w:rsid w:val="00CB64E6"/>
    <w:rsid w:val="00CB65DD"/>
    <w:rsid w:val="00CB660C"/>
    <w:rsid w:val="00CB66B0"/>
    <w:rsid w:val="00CB6707"/>
    <w:rsid w:val="00CB675A"/>
    <w:rsid w:val="00CB6A0B"/>
    <w:rsid w:val="00CB6CA0"/>
    <w:rsid w:val="00CB6CA5"/>
    <w:rsid w:val="00CB6CEA"/>
    <w:rsid w:val="00CB6E16"/>
    <w:rsid w:val="00CB72A0"/>
    <w:rsid w:val="00CB73F2"/>
    <w:rsid w:val="00CB73F5"/>
    <w:rsid w:val="00CB7806"/>
    <w:rsid w:val="00CB78B4"/>
    <w:rsid w:val="00CB7980"/>
    <w:rsid w:val="00CB7989"/>
    <w:rsid w:val="00CB79C0"/>
    <w:rsid w:val="00CB7C48"/>
    <w:rsid w:val="00CB7C56"/>
    <w:rsid w:val="00CC0241"/>
    <w:rsid w:val="00CC05EE"/>
    <w:rsid w:val="00CC0620"/>
    <w:rsid w:val="00CC0976"/>
    <w:rsid w:val="00CC0ABE"/>
    <w:rsid w:val="00CC0ADC"/>
    <w:rsid w:val="00CC0AE4"/>
    <w:rsid w:val="00CC0B0C"/>
    <w:rsid w:val="00CC0C84"/>
    <w:rsid w:val="00CC0D1F"/>
    <w:rsid w:val="00CC0EA5"/>
    <w:rsid w:val="00CC0F1F"/>
    <w:rsid w:val="00CC17B8"/>
    <w:rsid w:val="00CC182C"/>
    <w:rsid w:val="00CC1BA8"/>
    <w:rsid w:val="00CC1D06"/>
    <w:rsid w:val="00CC1F1A"/>
    <w:rsid w:val="00CC1F61"/>
    <w:rsid w:val="00CC1F65"/>
    <w:rsid w:val="00CC2112"/>
    <w:rsid w:val="00CC227B"/>
    <w:rsid w:val="00CC22ED"/>
    <w:rsid w:val="00CC240E"/>
    <w:rsid w:val="00CC2444"/>
    <w:rsid w:val="00CC24D0"/>
    <w:rsid w:val="00CC2528"/>
    <w:rsid w:val="00CC2592"/>
    <w:rsid w:val="00CC2629"/>
    <w:rsid w:val="00CC276E"/>
    <w:rsid w:val="00CC2B58"/>
    <w:rsid w:val="00CC2C54"/>
    <w:rsid w:val="00CC2D11"/>
    <w:rsid w:val="00CC3013"/>
    <w:rsid w:val="00CC30C4"/>
    <w:rsid w:val="00CC325E"/>
    <w:rsid w:val="00CC365E"/>
    <w:rsid w:val="00CC3A98"/>
    <w:rsid w:val="00CC3BF0"/>
    <w:rsid w:val="00CC3C35"/>
    <w:rsid w:val="00CC3E81"/>
    <w:rsid w:val="00CC3F44"/>
    <w:rsid w:val="00CC409B"/>
    <w:rsid w:val="00CC411D"/>
    <w:rsid w:val="00CC41A9"/>
    <w:rsid w:val="00CC4203"/>
    <w:rsid w:val="00CC4210"/>
    <w:rsid w:val="00CC49C3"/>
    <w:rsid w:val="00CC4B09"/>
    <w:rsid w:val="00CC4BFD"/>
    <w:rsid w:val="00CC4C27"/>
    <w:rsid w:val="00CC4C53"/>
    <w:rsid w:val="00CC4F2B"/>
    <w:rsid w:val="00CC4F4C"/>
    <w:rsid w:val="00CC5131"/>
    <w:rsid w:val="00CC534A"/>
    <w:rsid w:val="00CC554D"/>
    <w:rsid w:val="00CC5551"/>
    <w:rsid w:val="00CC59C0"/>
    <w:rsid w:val="00CC59CF"/>
    <w:rsid w:val="00CC5C41"/>
    <w:rsid w:val="00CC5E6F"/>
    <w:rsid w:val="00CC5F5A"/>
    <w:rsid w:val="00CC65D5"/>
    <w:rsid w:val="00CC66DF"/>
    <w:rsid w:val="00CC680B"/>
    <w:rsid w:val="00CC69AD"/>
    <w:rsid w:val="00CC6A98"/>
    <w:rsid w:val="00CC741F"/>
    <w:rsid w:val="00CC764B"/>
    <w:rsid w:val="00CC7786"/>
    <w:rsid w:val="00CC778A"/>
    <w:rsid w:val="00CC7985"/>
    <w:rsid w:val="00CC7B1E"/>
    <w:rsid w:val="00CC7B2F"/>
    <w:rsid w:val="00CC7C02"/>
    <w:rsid w:val="00CC7EBB"/>
    <w:rsid w:val="00CD01EF"/>
    <w:rsid w:val="00CD02E0"/>
    <w:rsid w:val="00CD0574"/>
    <w:rsid w:val="00CD078D"/>
    <w:rsid w:val="00CD09C7"/>
    <w:rsid w:val="00CD0AC2"/>
    <w:rsid w:val="00CD0D9C"/>
    <w:rsid w:val="00CD0DC3"/>
    <w:rsid w:val="00CD0FDB"/>
    <w:rsid w:val="00CD124A"/>
    <w:rsid w:val="00CD1781"/>
    <w:rsid w:val="00CD179E"/>
    <w:rsid w:val="00CD17CF"/>
    <w:rsid w:val="00CD183B"/>
    <w:rsid w:val="00CD1939"/>
    <w:rsid w:val="00CD1A26"/>
    <w:rsid w:val="00CD1C19"/>
    <w:rsid w:val="00CD1C7D"/>
    <w:rsid w:val="00CD1F03"/>
    <w:rsid w:val="00CD2005"/>
    <w:rsid w:val="00CD2054"/>
    <w:rsid w:val="00CD24A7"/>
    <w:rsid w:val="00CD24C6"/>
    <w:rsid w:val="00CD259B"/>
    <w:rsid w:val="00CD25F9"/>
    <w:rsid w:val="00CD2B20"/>
    <w:rsid w:val="00CD2E43"/>
    <w:rsid w:val="00CD306B"/>
    <w:rsid w:val="00CD30AD"/>
    <w:rsid w:val="00CD30FC"/>
    <w:rsid w:val="00CD3189"/>
    <w:rsid w:val="00CD31E2"/>
    <w:rsid w:val="00CD33B5"/>
    <w:rsid w:val="00CD33FC"/>
    <w:rsid w:val="00CD347E"/>
    <w:rsid w:val="00CD36DB"/>
    <w:rsid w:val="00CD3701"/>
    <w:rsid w:val="00CD38A9"/>
    <w:rsid w:val="00CD3AE0"/>
    <w:rsid w:val="00CD3FE2"/>
    <w:rsid w:val="00CD402B"/>
    <w:rsid w:val="00CD417C"/>
    <w:rsid w:val="00CD41A8"/>
    <w:rsid w:val="00CD432B"/>
    <w:rsid w:val="00CD44D0"/>
    <w:rsid w:val="00CD45F5"/>
    <w:rsid w:val="00CD4638"/>
    <w:rsid w:val="00CD490D"/>
    <w:rsid w:val="00CD4ABF"/>
    <w:rsid w:val="00CD4C35"/>
    <w:rsid w:val="00CD4E14"/>
    <w:rsid w:val="00CD4E55"/>
    <w:rsid w:val="00CD4EAA"/>
    <w:rsid w:val="00CD4F66"/>
    <w:rsid w:val="00CD5074"/>
    <w:rsid w:val="00CD516F"/>
    <w:rsid w:val="00CD5233"/>
    <w:rsid w:val="00CD52A8"/>
    <w:rsid w:val="00CD5ED9"/>
    <w:rsid w:val="00CD6043"/>
    <w:rsid w:val="00CD61CE"/>
    <w:rsid w:val="00CD6270"/>
    <w:rsid w:val="00CD6568"/>
    <w:rsid w:val="00CD6CB2"/>
    <w:rsid w:val="00CD6FAF"/>
    <w:rsid w:val="00CD6FEE"/>
    <w:rsid w:val="00CD716B"/>
    <w:rsid w:val="00CD7273"/>
    <w:rsid w:val="00CD7303"/>
    <w:rsid w:val="00CD7355"/>
    <w:rsid w:val="00CD768D"/>
    <w:rsid w:val="00CD7725"/>
    <w:rsid w:val="00CD77E9"/>
    <w:rsid w:val="00CD77F5"/>
    <w:rsid w:val="00CD7D35"/>
    <w:rsid w:val="00CD7D47"/>
    <w:rsid w:val="00CD7F68"/>
    <w:rsid w:val="00CE0581"/>
    <w:rsid w:val="00CE06A6"/>
    <w:rsid w:val="00CE078E"/>
    <w:rsid w:val="00CE0B36"/>
    <w:rsid w:val="00CE0D95"/>
    <w:rsid w:val="00CE0FF0"/>
    <w:rsid w:val="00CE12D5"/>
    <w:rsid w:val="00CE1393"/>
    <w:rsid w:val="00CE1792"/>
    <w:rsid w:val="00CE1840"/>
    <w:rsid w:val="00CE1EC0"/>
    <w:rsid w:val="00CE229F"/>
    <w:rsid w:val="00CE22A2"/>
    <w:rsid w:val="00CE230A"/>
    <w:rsid w:val="00CE244A"/>
    <w:rsid w:val="00CE26D8"/>
    <w:rsid w:val="00CE2724"/>
    <w:rsid w:val="00CE284D"/>
    <w:rsid w:val="00CE2A45"/>
    <w:rsid w:val="00CE2AD0"/>
    <w:rsid w:val="00CE301E"/>
    <w:rsid w:val="00CE33EF"/>
    <w:rsid w:val="00CE3402"/>
    <w:rsid w:val="00CE3419"/>
    <w:rsid w:val="00CE3702"/>
    <w:rsid w:val="00CE376F"/>
    <w:rsid w:val="00CE3A0C"/>
    <w:rsid w:val="00CE3AA8"/>
    <w:rsid w:val="00CE3D35"/>
    <w:rsid w:val="00CE3F29"/>
    <w:rsid w:val="00CE4151"/>
    <w:rsid w:val="00CE41F4"/>
    <w:rsid w:val="00CE42FD"/>
    <w:rsid w:val="00CE4340"/>
    <w:rsid w:val="00CE447C"/>
    <w:rsid w:val="00CE45A2"/>
    <w:rsid w:val="00CE478A"/>
    <w:rsid w:val="00CE4D1C"/>
    <w:rsid w:val="00CE4D6A"/>
    <w:rsid w:val="00CE4E61"/>
    <w:rsid w:val="00CE4F47"/>
    <w:rsid w:val="00CE4FD2"/>
    <w:rsid w:val="00CE5326"/>
    <w:rsid w:val="00CE54D2"/>
    <w:rsid w:val="00CE583B"/>
    <w:rsid w:val="00CE58CA"/>
    <w:rsid w:val="00CE59E0"/>
    <w:rsid w:val="00CE5D8C"/>
    <w:rsid w:val="00CE6020"/>
    <w:rsid w:val="00CE6178"/>
    <w:rsid w:val="00CE62DF"/>
    <w:rsid w:val="00CE6616"/>
    <w:rsid w:val="00CE677A"/>
    <w:rsid w:val="00CE68B2"/>
    <w:rsid w:val="00CE69C1"/>
    <w:rsid w:val="00CE6B13"/>
    <w:rsid w:val="00CE6B35"/>
    <w:rsid w:val="00CE6B5E"/>
    <w:rsid w:val="00CE6DAB"/>
    <w:rsid w:val="00CE708D"/>
    <w:rsid w:val="00CE7395"/>
    <w:rsid w:val="00CE7466"/>
    <w:rsid w:val="00CE7534"/>
    <w:rsid w:val="00CE7880"/>
    <w:rsid w:val="00CE7925"/>
    <w:rsid w:val="00CE7C06"/>
    <w:rsid w:val="00CED590"/>
    <w:rsid w:val="00CF018B"/>
    <w:rsid w:val="00CF0814"/>
    <w:rsid w:val="00CF084B"/>
    <w:rsid w:val="00CF0859"/>
    <w:rsid w:val="00CF0E13"/>
    <w:rsid w:val="00CF0E31"/>
    <w:rsid w:val="00CF0EE8"/>
    <w:rsid w:val="00CF1058"/>
    <w:rsid w:val="00CF14B5"/>
    <w:rsid w:val="00CF170E"/>
    <w:rsid w:val="00CF1728"/>
    <w:rsid w:val="00CF1B5B"/>
    <w:rsid w:val="00CF1D7A"/>
    <w:rsid w:val="00CF1FBC"/>
    <w:rsid w:val="00CF203D"/>
    <w:rsid w:val="00CF227A"/>
    <w:rsid w:val="00CF2417"/>
    <w:rsid w:val="00CF2581"/>
    <w:rsid w:val="00CF2629"/>
    <w:rsid w:val="00CF28FF"/>
    <w:rsid w:val="00CF290D"/>
    <w:rsid w:val="00CF2992"/>
    <w:rsid w:val="00CF2AC3"/>
    <w:rsid w:val="00CF2D1A"/>
    <w:rsid w:val="00CF3015"/>
    <w:rsid w:val="00CF33C9"/>
    <w:rsid w:val="00CF35A1"/>
    <w:rsid w:val="00CF3F6D"/>
    <w:rsid w:val="00CF406F"/>
    <w:rsid w:val="00CF4724"/>
    <w:rsid w:val="00CF4C2C"/>
    <w:rsid w:val="00CF4E2F"/>
    <w:rsid w:val="00CF4F94"/>
    <w:rsid w:val="00CF4FD5"/>
    <w:rsid w:val="00CF536C"/>
    <w:rsid w:val="00CF540B"/>
    <w:rsid w:val="00CF5659"/>
    <w:rsid w:val="00CF5CC0"/>
    <w:rsid w:val="00CF5D37"/>
    <w:rsid w:val="00CF5E3C"/>
    <w:rsid w:val="00CF5F93"/>
    <w:rsid w:val="00CF6057"/>
    <w:rsid w:val="00CF6626"/>
    <w:rsid w:val="00CF6767"/>
    <w:rsid w:val="00CF6B46"/>
    <w:rsid w:val="00CF6DBB"/>
    <w:rsid w:val="00CF6F5F"/>
    <w:rsid w:val="00CF70DF"/>
    <w:rsid w:val="00CF71C5"/>
    <w:rsid w:val="00CF7262"/>
    <w:rsid w:val="00CF748F"/>
    <w:rsid w:val="00CF74C3"/>
    <w:rsid w:val="00CF7914"/>
    <w:rsid w:val="00CF7928"/>
    <w:rsid w:val="00CF7CB5"/>
    <w:rsid w:val="00CF7E4B"/>
    <w:rsid w:val="00CF7F40"/>
    <w:rsid w:val="00CF7F49"/>
    <w:rsid w:val="00D00002"/>
    <w:rsid w:val="00D0003E"/>
    <w:rsid w:val="00D001C9"/>
    <w:rsid w:val="00D00FE0"/>
    <w:rsid w:val="00D010A7"/>
    <w:rsid w:val="00D01181"/>
    <w:rsid w:val="00D011F3"/>
    <w:rsid w:val="00D0139A"/>
    <w:rsid w:val="00D01462"/>
    <w:rsid w:val="00D014D1"/>
    <w:rsid w:val="00D01743"/>
    <w:rsid w:val="00D01797"/>
    <w:rsid w:val="00D01CCE"/>
    <w:rsid w:val="00D01CFE"/>
    <w:rsid w:val="00D02170"/>
    <w:rsid w:val="00D0275A"/>
    <w:rsid w:val="00D027BB"/>
    <w:rsid w:val="00D02851"/>
    <w:rsid w:val="00D029B5"/>
    <w:rsid w:val="00D029C8"/>
    <w:rsid w:val="00D02A24"/>
    <w:rsid w:val="00D02A31"/>
    <w:rsid w:val="00D02A4D"/>
    <w:rsid w:val="00D02BCA"/>
    <w:rsid w:val="00D02CA0"/>
    <w:rsid w:val="00D02CA3"/>
    <w:rsid w:val="00D02EF6"/>
    <w:rsid w:val="00D03001"/>
    <w:rsid w:val="00D0325A"/>
    <w:rsid w:val="00D033D0"/>
    <w:rsid w:val="00D03725"/>
    <w:rsid w:val="00D03928"/>
    <w:rsid w:val="00D03A8E"/>
    <w:rsid w:val="00D03CA3"/>
    <w:rsid w:val="00D03E92"/>
    <w:rsid w:val="00D0405B"/>
    <w:rsid w:val="00D04148"/>
    <w:rsid w:val="00D0421E"/>
    <w:rsid w:val="00D04740"/>
    <w:rsid w:val="00D04B41"/>
    <w:rsid w:val="00D04E5D"/>
    <w:rsid w:val="00D04ED4"/>
    <w:rsid w:val="00D052F3"/>
    <w:rsid w:val="00D053A5"/>
    <w:rsid w:val="00D0547E"/>
    <w:rsid w:val="00D056A6"/>
    <w:rsid w:val="00D0570A"/>
    <w:rsid w:val="00D057C5"/>
    <w:rsid w:val="00D05858"/>
    <w:rsid w:val="00D05978"/>
    <w:rsid w:val="00D05A95"/>
    <w:rsid w:val="00D05CF3"/>
    <w:rsid w:val="00D05E02"/>
    <w:rsid w:val="00D05E07"/>
    <w:rsid w:val="00D05ECC"/>
    <w:rsid w:val="00D05ED8"/>
    <w:rsid w:val="00D05FE1"/>
    <w:rsid w:val="00D05FF6"/>
    <w:rsid w:val="00D0608A"/>
    <w:rsid w:val="00D06229"/>
    <w:rsid w:val="00D0642D"/>
    <w:rsid w:val="00D06446"/>
    <w:rsid w:val="00D06494"/>
    <w:rsid w:val="00D06581"/>
    <w:rsid w:val="00D06771"/>
    <w:rsid w:val="00D06928"/>
    <w:rsid w:val="00D06C9F"/>
    <w:rsid w:val="00D06DBB"/>
    <w:rsid w:val="00D06E5E"/>
    <w:rsid w:val="00D06FD3"/>
    <w:rsid w:val="00D07217"/>
    <w:rsid w:val="00D0722E"/>
    <w:rsid w:val="00D0725D"/>
    <w:rsid w:val="00D072EE"/>
    <w:rsid w:val="00D07317"/>
    <w:rsid w:val="00D074B5"/>
    <w:rsid w:val="00D0783C"/>
    <w:rsid w:val="00D07A26"/>
    <w:rsid w:val="00D07BF5"/>
    <w:rsid w:val="00D07CA3"/>
    <w:rsid w:val="00D07D61"/>
    <w:rsid w:val="00D07D63"/>
    <w:rsid w:val="00D07DA4"/>
    <w:rsid w:val="00D07ED5"/>
    <w:rsid w:val="00D07EE7"/>
    <w:rsid w:val="00D1003D"/>
    <w:rsid w:val="00D1004C"/>
    <w:rsid w:val="00D10098"/>
    <w:rsid w:val="00D1016F"/>
    <w:rsid w:val="00D1025C"/>
    <w:rsid w:val="00D102C0"/>
    <w:rsid w:val="00D10571"/>
    <w:rsid w:val="00D105EF"/>
    <w:rsid w:val="00D1090C"/>
    <w:rsid w:val="00D10C27"/>
    <w:rsid w:val="00D10F0C"/>
    <w:rsid w:val="00D11264"/>
    <w:rsid w:val="00D11316"/>
    <w:rsid w:val="00D117E1"/>
    <w:rsid w:val="00D11BAC"/>
    <w:rsid w:val="00D11C2F"/>
    <w:rsid w:val="00D120FE"/>
    <w:rsid w:val="00D1229B"/>
    <w:rsid w:val="00D1232F"/>
    <w:rsid w:val="00D123B9"/>
    <w:rsid w:val="00D1244B"/>
    <w:rsid w:val="00D127FB"/>
    <w:rsid w:val="00D128BA"/>
    <w:rsid w:val="00D1292C"/>
    <w:rsid w:val="00D12E54"/>
    <w:rsid w:val="00D12F37"/>
    <w:rsid w:val="00D12FCA"/>
    <w:rsid w:val="00D1306D"/>
    <w:rsid w:val="00D135BE"/>
    <w:rsid w:val="00D136D1"/>
    <w:rsid w:val="00D136FE"/>
    <w:rsid w:val="00D13895"/>
    <w:rsid w:val="00D13905"/>
    <w:rsid w:val="00D13921"/>
    <w:rsid w:val="00D13A45"/>
    <w:rsid w:val="00D13DC3"/>
    <w:rsid w:val="00D13E3B"/>
    <w:rsid w:val="00D14011"/>
    <w:rsid w:val="00D14173"/>
    <w:rsid w:val="00D14271"/>
    <w:rsid w:val="00D1431B"/>
    <w:rsid w:val="00D1441D"/>
    <w:rsid w:val="00D14741"/>
    <w:rsid w:val="00D14A76"/>
    <w:rsid w:val="00D14BE1"/>
    <w:rsid w:val="00D14C63"/>
    <w:rsid w:val="00D14E17"/>
    <w:rsid w:val="00D15209"/>
    <w:rsid w:val="00D15264"/>
    <w:rsid w:val="00D152E6"/>
    <w:rsid w:val="00D15931"/>
    <w:rsid w:val="00D159CF"/>
    <w:rsid w:val="00D15EEA"/>
    <w:rsid w:val="00D16178"/>
    <w:rsid w:val="00D16227"/>
    <w:rsid w:val="00D1636D"/>
    <w:rsid w:val="00D163AE"/>
    <w:rsid w:val="00D164DB"/>
    <w:rsid w:val="00D16565"/>
    <w:rsid w:val="00D16588"/>
    <w:rsid w:val="00D16A59"/>
    <w:rsid w:val="00D16CBB"/>
    <w:rsid w:val="00D16DEE"/>
    <w:rsid w:val="00D17273"/>
    <w:rsid w:val="00D17376"/>
    <w:rsid w:val="00D17398"/>
    <w:rsid w:val="00D17529"/>
    <w:rsid w:val="00D177AE"/>
    <w:rsid w:val="00D17897"/>
    <w:rsid w:val="00D178E0"/>
    <w:rsid w:val="00D17A81"/>
    <w:rsid w:val="00D17C66"/>
    <w:rsid w:val="00D17E58"/>
    <w:rsid w:val="00D20147"/>
    <w:rsid w:val="00D2014F"/>
    <w:rsid w:val="00D201A4"/>
    <w:rsid w:val="00D202BE"/>
    <w:rsid w:val="00D20530"/>
    <w:rsid w:val="00D205D6"/>
    <w:rsid w:val="00D20B61"/>
    <w:rsid w:val="00D20B6A"/>
    <w:rsid w:val="00D20BB4"/>
    <w:rsid w:val="00D20BFC"/>
    <w:rsid w:val="00D20D0A"/>
    <w:rsid w:val="00D20EC6"/>
    <w:rsid w:val="00D2106F"/>
    <w:rsid w:val="00D2109E"/>
    <w:rsid w:val="00D210B1"/>
    <w:rsid w:val="00D2125F"/>
    <w:rsid w:val="00D21297"/>
    <w:rsid w:val="00D21363"/>
    <w:rsid w:val="00D215E8"/>
    <w:rsid w:val="00D21747"/>
    <w:rsid w:val="00D21A86"/>
    <w:rsid w:val="00D21B89"/>
    <w:rsid w:val="00D21BCE"/>
    <w:rsid w:val="00D21EB0"/>
    <w:rsid w:val="00D22114"/>
    <w:rsid w:val="00D221C9"/>
    <w:rsid w:val="00D22408"/>
    <w:rsid w:val="00D22445"/>
    <w:rsid w:val="00D2287C"/>
    <w:rsid w:val="00D2288E"/>
    <w:rsid w:val="00D22A0F"/>
    <w:rsid w:val="00D22F6B"/>
    <w:rsid w:val="00D230CA"/>
    <w:rsid w:val="00D232AE"/>
    <w:rsid w:val="00D23377"/>
    <w:rsid w:val="00D23387"/>
    <w:rsid w:val="00D235A2"/>
    <w:rsid w:val="00D23663"/>
    <w:rsid w:val="00D23798"/>
    <w:rsid w:val="00D238D4"/>
    <w:rsid w:val="00D23B20"/>
    <w:rsid w:val="00D2452E"/>
    <w:rsid w:val="00D2458A"/>
    <w:rsid w:val="00D245EA"/>
    <w:rsid w:val="00D24764"/>
    <w:rsid w:val="00D24B41"/>
    <w:rsid w:val="00D250DB"/>
    <w:rsid w:val="00D252FA"/>
    <w:rsid w:val="00D25484"/>
    <w:rsid w:val="00D254E7"/>
    <w:rsid w:val="00D25517"/>
    <w:rsid w:val="00D25520"/>
    <w:rsid w:val="00D256CD"/>
    <w:rsid w:val="00D2575C"/>
    <w:rsid w:val="00D2576E"/>
    <w:rsid w:val="00D25F22"/>
    <w:rsid w:val="00D25FCC"/>
    <w:rsid w:val="00D2633E"/>
    <w:rsid w:val="00D26510"/>
    <w:rsid w:val="00D26789"/>
    <w:rsid w:val="00D2683E"/>
    <w:rsid w:val="00D26A9F"/>
    <w:rsid w:val="00D26AA2"/>
    <w:rsid w:val="00D26CB6"/>
    <w:rsid w:val="00D26DB9"/>
    <w:rsid w:val="00D26E25"/>
    <w:rsid w:val="00D26F10"/>
    <w:rsid w:val="00D27139"/>
    <w:rsid w:val="00D271EB"/>
    <w:rsid w:val="00D277C7"/>
    <w:rsid w:val="00D278FE"/>
    <w:rsid w:val="00D27BD1"/>
    <w:rsid w:val="00D27D04"/>
    <w:rsid w:val="00D27DF7"/>
    <w:rsid w:val="00D27FF2"/>
    <w:rsid w:val="00D3025F"/>
    <w:rsid w:val="00D302CF"/>
    <w:rsid w:val="00D3062F"/>
    <w:rsid w:val="00D306C6"/>
    <w:rsid w:val="00D306EE"/>
    <w:rsid w:val="00D30798"/>
    <w:rsid w:val="00D309BA"/>
    <w:rsid w:val="00D30A74"/>
    <w:rsid w:val="00D30C4D"/>
    <w:rsid w:val="00D30C60"/>
    <w:rsid w:val="00D30F7E"/>
    <w:rsid w:val="00D31307"/>
    <w:rsid w:val="00D313B1"/>
    <w:rsid w:val="00D313C5"/>
    <w:rsid w:val="00D31537"/>
    <w:rsid w:val="00D3160A"/>
    <w:rsid w:val="00D3180B"/>
    <w:rsid w:val="00D3183C"/>
    <w:rsid w:val="00D31AB7"/>
    <w:rsid w:val="00D31C2B"/>
    <w:rsid w:val="00D31C8A"/>
    <w:rsid w:val="00D31CF0"/>
    <w:rsid w:val="00D31E3B"/>
    <w:rsid w:val="00D320E5"/>
    <w:rsid w:val="00D32186"/>
    <w:rsid w:val="00D3226C"/>
    <w:rsid w:val="00D326BD"/>
    <w:rsid w:val="00D327DB"/>
    <w:rsid w:val="00D327FC"/>
    <w:rsid w:val="00D3280B"/>
    <w:rsid w:val="00D328D1"/>
    <w:rsid w:val="00D32B8A"/>
    <w:rsid w:val="00D32B8C"/>
    <w:rsid w:val="00D32C48"/>
    <w:rsid w:val="00D32D46"/>
    <w:rsid w:val="00D33075"/>
    <w:rsid w:val="00D3333A"/>
    <w:rsid w:val="00D33612"/>
    <w:rsid w:val="00D33746"/>
    <w:rsid w:val="00D337A6"/>
    <w:rsid w:val="00D33869"/>
    <w:rsid w:val="00D3387E"/>
    <w:rsid w:val="00D33A95"/>
    <w:rsid w:val="00D33BE1"/>
    <w:rsid w:val="00D33C3E"/>
    <w:rsid w:val="00D33CEB"/>
    <w:rsid w:val="00D33D4C"/>
    <w:rsid w:val="00D33E1D"/>
    <w:rsid w:val="00D34379"/>
    <w:rsid w:val="00D34476"/>
    <w:rsid w:val="00D344AB"/>
    <w:rsid w:val="00D344E1"/>
    <w:rsid w:val="00D345B8"/>
    <w:rsid w:val="00D34861"/>
    <w:rsid w:val="00D348B7"/>
    <w:rsid w:val="00D34C91"/>
    <w:rsid w:val="00D34F98"/>
    <w:rsid w:val="00D34FCC"/>
    <w:rsid w:val="00D35007"/>
    <w:rsid w:val="00D351C1"/>
    <w:rsid w:val="00D35648"/>
    <w:rsid w:val="00D356DF"/>
    <w:rsid w:val="00D35737"/>
    <w:rsid w:val="00D357CD"/>
    <w:rsid w:val="00D35969"/>
    <w:rsid w:val="00D35AF4"/>
    <w:rsid w:val="00D35B0D"/>
    <w:rsid w:val="00D36682"/>
    <w:rsid w:val="00D36916"/>
    <w:rsid w:val="00D3692B"/>
    <w:rsid w:val="00D36CE5"/>
    <w:rsid w:val="00D36DA6"/>
    <w:rsid w:val="00D36EF0"/>
    <w:rsid w:val="00D37126"/>
    <w:rsid w:val="00D3715F"/>
    <w:rsid w:val="00D372F3"/>
    <w:rsid w:val="00D3736D"/>
    <w:rsid w:val="00D37877"/>
    <w:rsid w:val="00D37A3A"/>
    <w:rsid w:val="00D37E77"/>
    <w:rsid w:val="00D40061"/>
    <w:rsid w:val="00D4012E"/>
    <w:rsid w:val="00D401B0"/>
    <w:rsid w:val="00D4059A"/>
    <w:rsid w:val="00D405A2"/>
    <w:rsid w:val="00D40653"/>
    <w:rsid w:val="00D407E2"/>
    <w:rsid w:val="00D408E8"/>
    <w:rsid w:val="00D40EBE"/>
    <w:rsid w:val="00D40F17"/>
    <w:rsid w:val="00D40FEF"/>
    <w:rsid w:val="00D41033"/>
    <w:rsid w:val="00D4123D"/>
    <w:rsid w:val="00D4139A"/>
    <w:rsid w:val="00D41423"/>
    <w:rsid w:val="00D41654"/>
    <w:rsid w:val="00D4165D"/>
    <w:rsid w:val="00D41858"/>
    <w:rsid w:val="00D41D07"/>
    <w:rsid w:val="00D41DA9"/>
    <w:rsid w:val="00D41FCE"/>
    <w:rsid w:val="00D4214C"/>
    <w:rsid w:val="00D421AF"/>
    <w:rsid w:val="00D422D6"/>
    <w:rsid w:val="00D42931"/>
    <w:rsid w:val="00D42B6B"/>
    <w:rsid w:val="00D42C65"/>
    <w:rsid w:val="00D42D64"/>
    <w:rsid w:val="00D42F0A"/>
    <w:rsid w:val="00D42FE5"/>
    <w:rsid w:val="00D430B0"/>
    <w:rsid w:val="00D430D3"/>
    <w:rsid w:val="00D43123"/>
    <w:rsid w:val="00D4315A"/>
    <w:rsid w:val="00D43624"/>
    <w:rsid w:val="00D437D9"/>
    <w:rsid w:val="00D43827"/>
    <w:rsid w:val="00D43CAC"/>
    <w:rsid w:val="00D442FD"/>
    <w:rsid w:val="00D44314"/>
    <w:rsid w:val="00D4440A"/>
    <w:rsid w:val="00D4446F"/>
    <w:rsid w:val="00D44879"/>
    <w:rsid w:val="00D44A89"/>
    <w:rsid w:val="00D44BA6"/>
    <w:rsid w:val="00D45127"/>
    <w:rsid w:val="00D45143"/>
    <w:rsid w:val="00D45163"/>
    <w:rsid w:val="00D45193"/>
    <w:rsid w:val="00D45539"/>
    <w:rsid w:val="00D45588"/>
    <w:rsid w:val="00D4559C"/>
    <w:rsid w:val="00D455E7"/>
    <w:rsid w:val="00D457C1"/>
    <w:rsid w:val="00D45860"/>
    <w:rsid w:val="00D45B27"/>
    <w:rsid w:val="00D45BAD"/>
    <w:rsid w:val="00D45BB3"/>
    <w:rsid w:val="00D45D20"/>
    <w:rsid w:val="00D45DAD"/>
    <w:rsid w:val="00D46069"/>
    <w:rsid w:val="00D4637E"/>
    <w:rsid w:val="00D468C8"/>
    <w:rsid w:val="00D46943"/>
    <w:rsid w:val="00D46D1A"/>
    <w:rsid w:val="00D4700D"/>
    <w:rsid w:val="00D4712D"/>
    <w:rsid w:val="00D473F4"/>
    <w:rsid w:val="00D4745E"/>
    <w:rsid w:val="00D474B9"/>
    <w:rsid w:val="00D478B7"/>
    <w:rsid w:val="00D47A97"/>
    <w:rsid w:val="00D47E43"/>
    <w:rsid w:val="00D47EBB"/>
    <w:rsid w:val="00D500F2"/>
    <w:rsid w:val="00D50423"/>
    <w:rsid w:val="00D5053A"/>
    <w:rsid w:val="00D507C6"/>
    <w:rsid w:val="00D508E9"/>
    <w:rsid w:val="00D50AA1"/>
    <w:rsid w:val="00D50C7D"/>
    <w:rsid w:val="00D50CBF"/>
    <w:rsid w:val="00D50FC9"/>
    <w:rsid w:val="00D50FEA"/>
    <w:rsid w:val="00D510B8"/>
    <w:rsid w:val="00D511D4"/>
    <w:rsid w:val="00D51264"/>
    <w:rsid w:val="00D5130D"/>
    <w:rsid w:val="00D51474"/>
    <w:rsid w:val="00D5164E"/>
    <w:rsid w:val="00D517B9"/>
    <w:rsid w:val="00D517FE"/>
    <w:rsid w:val="00D51E13"/>
    <w:rsid w:val="00D51ED7"/>
    <w:rsid w:val="00D51FE3"/>
    <w:rsid w:val="00D5200B"/>
    <w:rsid w:val="00D520A3"/>
    <w:rsid w:val="00D52118"/>
    <w:rsid w:val="00D52198"/>
    <w:rsid w:val="00D525CC"/>
    <w:rsid w:val="00D52958"/>
    <w:rsid w:val="00D52C6E"/>
    <w:rsid w:val="00D52C79"/>
    <w:rsid w:val="00D52C7B"/>
    <w:rsid w:val="00D52D75"/>
    <w:rsid w:val="00D52FBA"/>
    <w:rsid w:val="00D530E8"/>
    <w:rsid w:val="00D5329E"/>
    <w:rsid w:val="00D532F0"/>
    <w:rsid w:val="00D5332A"/>
    <w:rsid w:val="00D53355"/>
    <w:rsid w:val="00D53542"/>
    <w:rsid w:val="00D53A1E"/>
    <w:rsid w:val="00D53FA0"/>
    <w:rsid w:val="00D540E1"/>
    <w:rsid w:val="00D543CF"/>
    <w:rsid w:val="00D544DA"/>
    <w:rsid w:val="00D5462B"/>
    <w:rsid w:val="00D546CA"/>
    <w:rsid w:val="00D547B2"/>
    <w:rsid w:val="00D5480E"/>
    <w:rsid w:val="00D54875"/>
    <w:rsid w:val="00D549BC"/>
    <w:rsid w:val="00D54A10"/>
    <w:rsid w:val="00D54B7D"/>
    <w:rsid w:val="00D54CCA"/>
    <w:rsid w:val="00D54CE6"/>
    <w:rsid w:val="00D54E6B"/>
    <w:rsid w:val="00D54FF0"/>
    <w:rsid w:val="00D5503E"/>
    <w:rsid w:val="00D550DB"/>
    <w:rsid w:val="00D551F2"/>
    <w:rsid w:val="00D55461"/>
    <w:rsid w:val="00D555D6"/>
    <w:rsid w:val="00D5592F"/>
    <w:rsid w:val="00D55959"/>
    <w:rsid w:val="00D55A8D"/>
    <w:rsid w:val="00D55CBD"/>
    <w:rsid w:val="00D56213"/>
    <w:rsid w:val="00D56274"/>
    <w:rsid w:val="00D563CD"/>
    <w:rsid w:val="00D5653D"/>
    <w:rsid w:val="00D56774"/>
    <w:rsid w:val="00D5678B"/>
    <w:rsid w:val="00D567E1"/>
    <w:rsid w:val="00D569C9"/>
    <w:rsid w:val="00D56C6C"/>
    <w:rsid w:val="00D56F33"/>
    <w:rsid w:val="00D56F57"/>
    <w:rsid w:val="00D570F6"/>
    <w:rsid w:val="00D571FE"/>
    <w:rsid w:val="00D572BC"/>
    <w:rsid w:val="00D57431"/>
    <w:rsid w:val="00D575C4"/>
    <w:rsid w:val="00D5774B"/>
    <w:rsid w:val="00D57A50"/>
    <w:rsid w:val="00D57D9C"/>
    <w:rsid w:val="00D600C6"/>
    <w:rsid w:val="00D60170"/>
    <w:rsid w:val="00D60278"/>
    <w:rsid w:val="00D60439"/>
    <w:rsid w:val="00D60474"/>
    <w:rsid w:val="00D604A7"/>
    <w:rsid w:val="00D608AE"/>
    <w:rsid w:val="00D608C5"/>
    <w:rsid w:val="00D60C1E"/>
    <w:rsid w:val="00D60D26"/>
    <w:rsid w:val="00D60E58"/>
    <w:rsid w:val="00D60F09"/>
    <w:rsid w:val="00D60F51"/>
    <w:rsid w:val="00D61019"/>
    <w:rsid w:val="00D61791"/>
    <w:rsid w:val="00D6180E"/>
    <w:rsid w:val="00D6191E"/>
    <w:rsid w:val="00D61B41"/>
    <w:rsid w:val="00D61CDF"/>
    <w:rsid w:val="00D62041"/>
    <w:rsid w:val="00D6241C"/>
    <w:rsid w:val="00D62783"/>
    <w:rsid w:val="00D62996"/>
    <w:rsid w:val="00D62E61"/>
    <w:rsid w:val="00D63062"/>
    <w:rsid w:val="00D63736"/>
    <w:rsid w:val="00D63963"/>
    <w:rsid w:val="00D63C67"/>
    <w:rsid w:val="00D63D73"/>
    <w:rsid w:val="00D63D91"/>
    <w:rsid w:val="00D6404C"/>
    <w:rsid w:val="00D6419C"/>
    <w:rsid w:val="00D642D2"/>
    <w:rsid w:val="00D643B0"/>
    <w:rsid w:val="00D6440D"/>
    <w:rsid w:val="00D64500"/>
    <w:rsid w:val="00D64690"/>
    <w:rsid w:val="00D64956"/>
    <w:rsid w:val="00D64D3F"/>
    <w:rsid w:val="00D64D5F"/>
    <w:rsid w:val="00D64DB3"/>
    <w:rsid w:val="00D64E22"/>
    <w:rsid w:val="00D64F3A"/>
    <w:rsid w:val="00D64FD9"/>
    <w:rsid w:val="00D650BE"/>
    <w:rsid w:val="00D6528D"/>
    <w:rsid w:val="00D65438"/>
    <w:rsid w:val="00D656A9"/>
    <w:rsid w:val="00D656CD"/>
    <w:rsid w:val="00D657E7"/>
    <w:rsid w:val="00D658B4"/>
    <w:rsid w:val="00D659A5"/>
    <w:rsid w:val="00D65B33"/>
    <w:rsid w:val="00D65C8A"/>
    <w:rsid w:val="00D65E18"/>
    <w:rsid w:val="00D65E78"/>
    <w:rsid w:val="00D65F07"/>
    <w:rsid w:val="00D65F39"/>
    <w:rsid w:val="00D660CE"/>
    <w:rsid w:val="00D66479"/>
    <w:rsid w:val="00D664C8"/>
    <w:rsid w:val="00D66933"/>
    <w:rsid w:val="00D66D36"/>
    <w:rsid w:val="00D66EF2"/>
    <w:rsid w:val="00D66F3A"/>
    <w:rsid w:val="00D67013"/>
    <w:rsid w:val="00D67198"/>
    <w:rsid w:val="00D671E5"/>
    <w:rsid w:val="00D67217"/>
    <w:rsid w:val="00D6750D"/>
    <w:rsid w:val="00D67649"/>
    <w:rsid w:val="00D67779"/>
    <w:rsid w:val="00D678C7"/>
    <w:rsid w:val="00D6790B"/>
    <w:rsid w:val="00D6794D"/>
    <w:rsid w:val="00D67A53"/>
    <w:rsid w:val="00D67AD2"/>
    <w:rsid w:val="00D67BEA"/>
    <w:rsid w:val="00D67D80"/>
    <w:rsid w:val="00D67FD3"/>
    <w:rsid w:val="00D701E9"/>
    <w:rsid w:val="00D704D3"/>
    <w:rsid w:val="00D704DD"/>
    <w:rsid w:val="00D70585"/>
    <w:rsid w:val="00D70671"/>
    <w:rsid w:val="00D70768"/>
    <w:rsid w:val="00D70915"/>
    <w:rsid w:val="00D70BE1"/>
    <w:rsid w:val="00D712B3"/>
    <w:rsid w:val="00D7134E"/>
    <w:rsid w:val="00D7148A"/>
    <w:rsid w:val="00D719DA"/>
    <w:rsid w:val="00D71C59"/>
    <w:rsid w:val="00D71C5A"/>
    <w:rsid w:val="00D71D8E"/>
    <w:rsid w:val="00D71DBC"/>
    <w:rsid w:val="00D71F56"/>
    <w:rsid w:val="00D71FE0"/>
    <w:rsid w:val="00D72098"/>
    <w:rsid w:val="00D720AB"/>
    <w:rsid w:val="00D7211B"/>
    <w:rsid w:val="00D726CF"/>
    <w:rsid w:val="00D726E9"/>
    <w:rsid w:val="00D72748"/>
    <w:rsid w:val="00D72896"/>
    <w:rsid w:val="00D729B5"/>
    <w:rsid w:val="00D72A33"/>
    <w:rsid w:val="00D72A36"/>
    <w:rsid w:val="00D72A67"/>
    <w:rsid w:val="00D72A78"/>
    <w:rsid w:val="00D72B16"/>
    <w:rsid w:val="00D72C6A"/>
    <w:rsid w:val="00D72DB6"/>
    <w:rsid w:val="00D72DBD"/>
    <w:rsid w:val="00D72EAE"/>
    <w:rsid w:val="00D7309A"/>
    <w:rsid w:val="00D73114"/>
    <w:rsid w:val="00D73146"/>
    <w:rsid w:val="00D732D3"/>
    <w:rsid w:val="00D732E3"/>
    <w:rsid w:val="00D7350C"/>
    <w:rsid w:val="00D735FD"/>
    <w:rsid w:val="00D735FF"/>
    <w:rsid w:val="00D737BA"/>
    <w:rsid w:val="00D738DC"/>
    <w:rsid w:val="00D73C07"/>
    <w:rsid w:val="00D73C31"/>
    <w:rsid w:val="00D73CBA"/>
    <w:rsid w:val="00D73E0E"/>
    <w:rsid w:val="00D740FC"/>
    <w:rsid w:val="00D743F4"/>
    <w:rsid w:val="00D744B8"/>
    <w:rsid w:val="00D7489E"/>
    <w:rsid w:val="00D74A0C"/>
    <w:rsid w:val="00D74C0D"/>
    <w:rsid w:val="00D74C9A"/>
    <w:rsid w:val="00D74CC9"/>
    <w:rsid w:val="00D74DB1"/>
    <w:rsid w:val="00D74F44"/>
    <w:rsid w:val="00D74F90"/>
    <w:rsid w:val="00D751BE"/>
    <w:rsid w:val="00D75211"/>
    <w:rsid w:val="00D75669"/>
    <w:rsid w:val="00D7573F"/>
    <w:rsid w:val="00D757C1"/>
    <w:rsid w:val="00D7589D"/>
    <w:rsid w:val="00D75955"/>
    <w:rsid w:val="00D759CA"/>
    <w:rsid w:val="00D75E73"/>
    <w:rsid w:val="00D760EF"/>
    <w:rsid w:val="00D762E8"/>
    <w:rsid w:val="00D76622"/>
    <w:rsid w:val="00D766C3"/>
    <w:rsid w:val="00D76718"/>
    <w:rsid w:val="00D76767"/>
    <w:rsid w:val="00D7680C"/>
    <w:rsid w:val="00D76B71"/>
    <w:rsid w:val="00D76DB0"/>
    <w:rsid w:val="00D76DEE"/>
    <w:rsid w:val="00D77209"/>
    <w:rsid w:val="00D77399"/>
    <w:rsid w:val="00D775ED"/>
    <w:rsid w:val="00D77665"/>
    <w:rsid w:val="00D77777"/>
    <w:rsid w:val="00D77B06"/>
    <w:rsid w:val="00D77EEE"/>
    <w:rsid w:val="00D77F91"/>
    <w:rsid w:val="00D77FAC"/>
    <w:rsid w:val="00D8001E"/>
    <w:rsid w:val="00D8005E"/>
    <w:rsid w:val="00D800C8"/>
    <w:rsid w:val="00D80527"/>
    <w:rsid w:val="00D8063D"/>
    <w:rsid w:val="00D808F0"/>
    <w:rsid w:val="00D80C26"/>
    <w:rsid w:val="00D80CCA"/>
    <w:rsid w:val="00D80FBF"/>
    <w:rsid w:val="00D8121E"/>
    <w:rsid w:val="00D81287"/>
    <w:rsid w:val="00D812BF"/>
    <w:rsid w:val="00D8139C"/>
    <w:rsid w:val="00D8139E"/>
    <w:rsid w:val="00D81515"/>
    <w:rsid w:val="00D815ED"/>
    <w:rsid w:val="00D815F6"/>
    <w:rsid w:val="00D81604"/>
    <w:rsid w:val="00D81705"/>
    <w:rsid w:val="00D8170B"/>
    <w:rsid w:val="00D81E3E"/>
    <w:rsid w:val="00D81EA1"/>
    <w:rsid w:val="00D82030"/>
    <w:rsid w:val="00D822A9"/>
    <w:rsid w:val="00D827CF"/>
    <w:rsid w:val="00D827E3"/>
    <w:rsid w:val="00D828A6"/>
    <w:rsid w:val="00D8293F"/>
    <w:rsid w:val="00D82AA2"/>
    <w:rsid w:val="00D82DD6"/>
    <w:rsid w:val="00D82EDC"/>
    <w:rsid w:val="00D83110"/>
    <w:rsid w:val="00D8311C"/>
    <w:rsid w:val="00D832FD"/>
    <w:rsid w:val="00D83373"/>
    <w:rsid w:val="00D8346A"/>
    <w:rsid w:val="00D83530"/>
    <w:rsid w:val="00D83A62"/>
    <w:rsid w:val="00D83C4B"/>
    <w:rsid w:val="00D83CA9"/>
    <w:rsid w:val="00D83FE8"/>
    <w:rsid w:val="00D84293"/>
    <w:rsid w:val="00D84342"/>
    <w:rsid w:val="00D84386"/>
    <w:rsid w:val="00D84912"/>
    <w:rsid w:val="00D8498E"/>
    <w:rsid w:val="00D84A4E"/>
    <w:rsid w:val="00D84A60"/>
    <w:rsid w:val="00D84A63"/>
    <w:rsid w:val="00D84AC9"/>
    <w:rsid w:val="00D84B5F"/>
    <w:rsid w:val="00D84C82"/>
    <w:rsid w:val="00D84CF0"/>
    <w:rsid w:val="00D84E41"/>
    <w:rsid w:val="00D84ECE"/>
    <w:rsid w:val="00D84F5D"/>
    <w:rsid w:val="00D84FC6"/>
    <w:rsid w:val="00D85196"/>
    <w:rsid w:val="00D851D6"/>
    <w:rsid w:val="00D85227"/>
    <w:rsid w:val="00D855BA"/>
    <w:rsid w:val="00D85694"/>
    <w:rsid w:val="00D856E9"/>
    <w:rsid w:val="00D858F8"/>
    <w:rsid w:val="00D85AB7"/>
    <w:rsid w:val="00D85AE2"/>
    <w:rsid w:val="00D85B2A"/>
    <w:rsid w:val="00D85BF3"/>
    <w:rsid w:val="00D85F28"/>
    <w:rsid w:val="00D8612F"/>
    <w:rsid w:val="00D861BE"/>
    <w:rsid w:val="00D86514"/>
    <w:rsid w:val="00D86AD4"/>
    <w:rsid w:val="00D86F71"/>
    <w:rsid w:val="00D870E0"/>
    <w:rsid w:val="00D8715A"/>
    <w:rsid w:val="00D871DB"/>
    <w:rsid w:val="00D87414"/>
    <w:rsid w:val="00D874FB"/>
    <w:rsid w:val="00D874FE"/>
    <w:rsid w:val="00D8768D"/>
    <w:rsid w:val="00D878F9"/>
    <w:rsid w:val="00D87B55"/>
    <w:rsid w:val="00D87E18"/>
    <w:rsid w:val="00D87EE5"/>
    <w:rsid w:val="00D87EE8"/>
    <w:rsid w:val="00D9002D"/>
    <w:rsid w:val="00D903AD"/>
    <w:rsid w:val="00D908AE"/>
    <w:rsid w:val="00D90A07"/>
    <w:rsid w:val="00D90E48"/>
    <w:rsid w:val="00D91040"/>
    <w:rsid w:val="00D910CD"/>
    <w:rsid w:val="00D910D6"/>
    <w:rsid w:val="00D91283"/>
    <w:rsid w:val="00D91411"/>
    <w:rsid w:val="00D91942"/>
    <w:rsid w:val="00D91B2D"/>
    <w:rsid w:val="00D91B77"/>
    <w:rsid w:val="00D91CF2"/>
    <w:rsid w:val="00D91D07"/>
    <w:rsid w:val="00D92074"/>
    <w:rsid w:val="00D92117"/>
    <w:rsid w:val="00D922E1"/>
    <w:rsid w:val="00D922F1"/>
    <w:rsid w:val="00D9243A"/>
    <w:rsid w:val="00D92714"/>
    <w:rsid w:val="00D9271A"/>
    <w:rsid w:val="00D927F9"/>
    <w:rsid w:val="00D92808"/>
    <w:rsid w:val="00D9280D"/>
    <w:rsid w:val="00D92824"/>
    <w:rsid w:val="00D92969"/>
    <w:rsid w:val="00D92A18"/>
    <w:rsid w:val="00D92B7E"/>
    <w:rsid w:val="00D92DB2"/>
    <w:rsid w:val="00D934CF"/>
    <w:rsid w:val="00D935BE"/>
    <w:rsid w:val="00D93689"/>
    <w:rsid w:val="00D93B05"/>
    <w:rsid w:val="00D93B74"/>
    <w:rsid w:val="00D93C12"/>
    <w:rsid w:val="00D93C3A"/>
    <w:rsid w:val="00D93C95"/>
    <w:rsid w:val="00D93ECA"/>
    <w:rsid w:val="00D94099"/>
    <w:rsid w:val="00D94278"/>
    <w:rsid w:val="00D945B2"/>
    <w:rsid w:val="00D94AB2"/>
    <w:rsid w:val="00D954BE"/>
    <w:rsid w:val="00D959B0"/>
    <w:rsid w:val="00D95BB4"/>
    <w:rsid w:val="00D96163"/>
    <w:rsid w:val="00D9637D"/>
    <w:rsid w:val="00D963E0"/>
    <w:rsid w:val="00D96495"/>
    <w:rsid w:val="00D96578"/>
    <w:rsid w:val="00D9674C"/>
    <w:rsid w:val="00D9678A"/>
    <w:rsid w:val="00D96893"/>
    <w:rsid w:val="00D96981"/>
    <w:rsid w:val="00D96C4F"/>
    <w:rsid w:val="00D96D60"/>
    <w:rsid w:val="00D96DD7"/>
    <w:rsid w:val="00D96E23"/>
    <w:rsid w:val="00D96F1E"/>
    <w:rsid w:val="00D972D6"/>
    <w:rsid w:val="00D975E8"/>
    <w:rsid w:val="00D9766D"/>
    <w:rsid w:val="00D97917"/>
    <w:rsid w:val="00D97920"/>
    <w:rsid w:val="00D97A53"/>
    <w:rsid w:val="00D97B22"/>
    <w:rsid w:val="00D97C9C"/>
    <w:rsid w:val="00D97E7A"/>
    <w:rsid w:val="00D97FD9"/>
    <w:rsid w:val="00DA0442"/>
    <w:rsid w:val="00DA047E"/>
    <w:rsid w:val="00DA0957"/>
    <w:rsid w:val="00DA0EC8"/>
    <w:rsid w:val="00DA1135"/>
    <w:rsid w:val="00DA1279"/>
    <w:rsid w:val="00DA1293"/>
    <w:rsid w:val="00DA1375"/>
    <w:rsid w:val="00DA145E"/>
    <w:rsid w:val="00DA14E3"/>
    <w:rsid w:val="00DA180A"/>
    <w:rsid w:val="00DA1C54"/>
    <w:rsid w:val="00DA2378"/>
    <w:rsid w:val="00DA2528"/>
    <w:rsid w:val="00DA2D1C"/>
    <w:rsid w:val="00DA2D6D"/>
    <w:rsid w:val="00DA2E0C"/>
    <w:rsid w:val="00DA3045"/>
    <w:rsid w:val="00DA308E"/>
    <w:rsid w:val="00DA33F8"/>
    <w:rsid w:val="00DA38E1"/>
    <w:rsid w:val="00DA3963"/>
    <w:rsid w:val="00DA3A99"/>
    <w:rsid w:val="00DA3AD0"/>
    <w:rsid w:val="00DA3D48"/>
    <w:rsid w:val="00DA3E10"/>
    <w:rsid w:val="00DA3E58"/>
    <w:rsid w:val="00DA4173"/>
    <w:rsid w:val="00DA433D"/>
    <w:rsid w:val="00DA451C"/>
    <w:rsid w:val="00DA47CB"/>
    <w:rsid w:val="00DA4805"/>
    <w:rsid w:val="00DA4C33"/>
    <w:rsid w:val="00DA5056"/>
    <w:rsid w:val="00DA50A1"/>
    <w:rsid w:val="00DA510F"/>
    <w:rsid w:val="00DA52AB"/>
    <w:rsid w:val="00DA53D5"/>
    <w:rsid w:val="00DA5A97"/>
    <w:rsid w:val="00DA5AA2"/>
    <w:rsid w:val="00DA60E4"/>
    <w:rsid w:val="00DA62EE"/>
    <w:rsid w:val="00DA671A"/>
    <w:rsid w:val="00DA691D"/>
    <w:rsid w:val="00DA692A"/>
    <w:rsid w:val="00DA6BC7"/>
    <w:rsid w:val="00DA6C44"/>
    <w:rsid w:val="00DA6E38"/>
    <w:rsid w:val="00DA6EB6"/>
    <w:rsid w:val="00DA6F83"/>
    <w:rsid w:val="00DA74CD"/>
    <w:rsid w:val="00DA751F"/>
    <w:rsid w:val="00DA7643"/>
    <w:rsid w:val="00DB0332"/>
    <w:rsid w:val="00DB052F"/>
    <w:rsid w:val="00DB0574"/>
    <w:rsid w:val="00DB05D1"/>
    <w:rsid w:val="00DB089F"/>
    <w:rsid w:val="00DB0BBF"/>
    <w:rsid w:val="00DB0D02"/>
    <w:rsid w:val="00DB0DA0"/>
    <w:rsid w:val="00DB11B8"/>
    <w:rsid w:val="00DB12BE"/>
    <w:rsid w:val="00DB1570"/>
    <w:rsid w:val="00DB1679"/>
    <w:rsid w:val="00DB199B"/>
    <w:rsid w:val="00DB1BD5"/>
    <w:rsid w:val="00DB1CB2"/>
    <w:rsid w:val="00DB214D"/>
    <w:rsid w:val="00DB21C6"/>
    <w:rsid w:val="00DB2221"/>
    <w:rsid w:val="00DB22CA"/>
    <w:rsid w:val="00DB24EA"/>
    <w:rsid w:val="00DB2866"/>
    <w:rsid w:val="00DB28DA"/>
    <w:rsid w:val="00DB2D90"/>
    <w:rsid w:val="00DB325B"/>
    <w:rsid w:val="00DB32C7"/>
    <w:rsid w:val="00DB354A"/>
    <w:rsid w:val="00DB3720"/>
    <w:rsid w:val="00DB3726"/>
    <w:rsid w:val="00DB3794"/>
    <w:rsid w:val="00DB3B8C"/>
    <w:rsid w:val="00DB3D53"/>
    <w:rsid w:val="00DB3ED5"/>
    <w:rsid w:val="00DB44B0"/>
    <w:rsid w:val="00DB4538"/>
    <w:rsid w:val="00DB4838"/>
    <w:rsid w:val="00DB4E61"/>
    <w:rsid w:val="00DB504D"/>
    <w:rsid w:val="00DB50E3"/>
    <w:rsid w:val="00DB5329"/>
    <w:rsid w:val="00DB58E8"/>
    <w:rsid w:val="00DB5A39"/>
    <w:rsid w:val="00DB5A67"/>
    <w:rsid w:val="00DB5F81"/>
    <w:rsid w:val="00DB6066"/>
    <w:rsid w:val="00DB607E"/>
    <w:rsid w:val="00DB61AE"/>
    <w:rsid w:val="00DB648E"/>
    <w:rsid w:val="00DB6578"/>
    <w:rsid w:val="00DB67CC"/>
    <w:rsid w:val="00DB67ED"/>
    <w:rsid w:val="00DB6CAD"/>
    <w:rsid w:val="00DB6D0D"/>
    <w:rsid w:val="00DB6EF9"/>
    <w:rsid w:val="00DB6F4D"/>
    <w:rsid w:val="00DB7452"/>
    <w:rsid w:val="00DB7670"/>
    <w:rsid w:val="00DB78D0"/>
    <w:rsid w:val="00DB78E5"/>
    <w:rsid w:val="00DB7A1B"/>
    <w:rsid w:val="00DB7ADA"/>
    <w:rsid w:val="00DB7AF6"/>
    <w:rsid w:val="00DB7C6F"/>
    <w:rsid w:val="00DB7D21"/>
    <w:rsid w:val="00DB7D9D"/>
    <w:rsid w:val="00DB7F05"/>
    <w:rsid w:val="00DB7F17"/>
    <w:rsid w:val="00DB7F1C"/>
    <w:rsid w:val="00DC02CD"/>
    <w:rsid w:val="00DC09C4"/>
    <w:rsid w:val="00DC0BAC"/>
    <w:rsid w:val="00DC0C24"/>
    <w:rsid w:val="00DC0D56"/>
    <w:rsid w:val="00DC0E7B"/>
    <w:rsid w:val="00DC111F"/>
    <w:rsid w:val="00DC12B8"/>
    <w:rsid w:val="00DC1504"/>
    <w:rsid w:val="00DC170B"/>
    <w:rsid w:val="00DC1773"/>
    <w:rsid w:val="00DC1A6F"/>
    <w:rsid w:val="00DC20B9"/>
    <w:rsid w:val="00DC2192"/>
    <w:rsid w:val="00DC2206"/>
    <w:rsid w:val="00DC237B"/>
    <w:rsid w:val="00DC24FF"/>
    <w:rsid w:val="00DC2541"/>
    <w:rsid w:val="00DC25C7"/>
    <w:rsid w:val="00DC29A3"/>
    <w:rsid w:val="00DC2A20"/>
    <w:rsid w:val="00DC2B3D"/>
    <w:rsid w:val="00DC2CDC"/>
    <w:rsid w:val="00DC2DAD"/>
    <w:rsid w:val="00DC2E5B"/>
    <w:rsid w:val="00DC2FD4"/>
    <w:rsid w:val="00DC3288"/>
    <w:rsid w:val="00DC3649"/>
    <w:rsid w:val="00DC37D0"/>
    <w:rsid w:val="00DC3E43"/>
    <w:rsid w:val="00DC4064"/>
    <w:rsid w:val="00DC4144"/>
    <w:rsid w:val="00DC427A"/>
    <w:rsid w:val="00DC4285"/>
    <w:rsid w:val="00DC42E0"/>
    <w:rsid w:val="00DC44FA"/>
    <w:rsid w:val="00DC46C1"/>
    <w:rsid w:val="00DC46EE"/>
    <w:rsid w:val="00DC4A2E"/>
    <w:rsid w:val="00DC4B6F"/>
    <w:rsid w:val="00DC4B77"/>
    <w:rsid w:val="00DC4D33"/>
    <w:rsid w:val="00DC4EEC"/>
    <w:rsid w:val="00DC4F6D"/>
    <w:rsid w:val="00DC501C"/>
    <w:rsid w:val="00DC509D"/>
    <w:rsid w:val="00DC529D"/>
    <w:rsid w:val="00DC52E7"/>
    <w:rsid w:val="00DC54C2"/>
    <w:rsid w:val="00DC55D8"/>
    <w:rsid w:val="00DC566C"/>
    <w:rsid w:val="00DC5D15"/>
    <w:rsid w:val="00DC5E2E"/>
    <w:rsid w:val="00DC5F32"/>
    <w:rsid w:val="00DC6278"/>
    <w:rsid w:val="00DC62E4"/>
    <w:rsid w:val="00DC64AE"/>
    <w:rsid w:val="00DC6503"/>
    <w:rsid w:val="00DC650D"/>
    <w:rsid w:val="00DC6584"/>
    <w:rsid w:val="00DC6629"/>
    <w:rsid w:val="00DC692B"/>
    <w:rsid w:val="00DC694C"/>
    <w:rsid w:val="00DC6959"/>
    <w:rsid w:val="00DC6BC0"/>
    <w:rsid w:val="00DC6CD3"/>
    <w:rsid w:val="00DC6D12"/>
    <w:rsid w:val="00DC6DEE"/>
    <w:rsid w:val="00DC6E39"/>
    <w:rsid w:val="00DC70EC"/>
    <w:rsid w:val="00DC73E4"/>
    <w:rsid w:val="00DC744A"/>
    <w:rsid w:val="00DC766E"/>
    <w:rsid w:val="00DC7702"/>
    <w:rsid w:val="00DC779D"/>
    <w:rsid w:val="00DC7D60"/>
    <w:rsid w:val="00DC7F4A"/>
    <w:rsid w:val="00DD000A"/>
    <w:rsid w:val="00DD00A7"/>
    <w:rsid w:val="00DD00DF"/>
    <w:rsid w:val="00DD0273"/>
    <w:rsid w:val="00DD0381"/>
    <w:rsid w:val="00DD0384"/>
    <w:rsid w:val="00DD0891"/>
    <w:rsid w:val="00DD0A20"/>
    <w:rsid w:val="00DD0B7C"/>
    <w:rsid w:val="00DD0C0C"/>
    <w:rsid w:val="00DD0CB8"/>
    <w:rsid w:val="00DD0CF9"/>
    <w:rsid w:val="00DD0D96"/>
    <w:rsid w:val="00DD0DD4"/>
    <w:rsid w:val="00DD0E28"/>
    <w:rsid w:val="00DD125F"/>
    <w:rsid w:val="00DD12B7"/>
    <w:rsid w:val="00DD18A9"/>
    <w:rsid w:val="00DD1963"/>
    <w:rsid w:val="00DD1BCF"/>
    <w:rsid w:val="00DD1D49"/>
    <w:rsid w:val="00DD1EAF"/>
    <w:rsid w:val="00DD20F8"/>
    <w:rsid w:val="00DD22D3"/>
    <w:rsid w:val="00DD22DF"/>
    <w:rsid w:val="00DD23A6"/>
    <w:rsid w:val="00DD24EA"/>
    <w:rsid w:val="00DD2782"/>
    <w:rsid w:val="00DD28E7"/>
    <w:rsid w:val="00DD2A74"/>
    <w:rsid w:val="00DD2B9B"/>
    <w:rsid w:val="00DD2E24"/>
    <w:rsid w:val="00DD30A6"/>
    <w:rsid w:val="00DD30DE"/>
    <w:rsid w:val="00DD327D"/>
    <w:rsid w:val="00DD3318"/>
    <w:rsid w:val="00DD34C8"/>
    <w:rsid w:val="00DD3BF0"/>
    <w:rsid w:val="00DD3C0D"/>
    <w:rsid w:val="00DD3D23"/>
    <w:rsid w:val="00DD3DC9"/>
    <w:rsid w:val="00DD3E66"/>
    <w:rsid w:val="00DD40C8"/>
    <w:rsid w:val="00DD4155"/>
    <w:rsid w:val="00DD4665"/>
    <w:rsid w:val="00DD48DB"/>
    <w:rsid w:val="00DD491A"/>
    <w:rsid w:val="00DD4923"/>
    <w:rsid w:val="00DD49E7"/>
    <w:rsid w:val="00DD4B3F"/>
    <w:rsid w:val="00DD4D49"/>
    <w:rsid w:val="00DD4DA0"/>
    <w:rsid w:val="00DD4DB3"/>
    <w:rsid w:val="00DD4E32"/>
    <w:rsid w:val="00DD522A"/>
    <w:rsid w:val="00DD535F"/>
    <w:rsid w:val="00DD569C"/>
    <w:rsid w:val="00DD5700"/>
    <w:rsid w:val="00DD5973"/>
    <w:rsid w:val="00DD5999"/>
    <w:rsid w:val="00DD59AE"/>
    <w:rsid w:val="00DD5EE6"/>
    <w:rsid w:val="00DD62DA"/>
    <w:rsid w:val="00DD62ED"/>
    <w:rsid w:val="00DD6591"/>
    <w:rsid w:val="00DD65AB"/>
    <w:rsid w:val="00DD67D7"/>
    <w:rsid w:val="00DD695C"/>
    <w:rsid w:val="00DD6ACD"/>
    <w:rsid w:val="00DD6ED1"/>
    <w:rsid w:val="00DD6F90"/>
    <w:rsid w:val="00DD72B6"/>
    <w:rsid w:val="00DD72D2"/>
    <w:rsid w:val="00DD737D"/>
    <w:rsid w:val="00DD7669"/>
    <w:rsid w:val="00DD7A93"/>
    <w:rsid w:val="00DD7F5F"/>
    <w:rsid w:val="00DD7FD5"/>
    <w:rsid w:val="00DE015E"/>
    <w:rsid w:val="00DE046D"/>
    <w:rsid w:val="00DE0773"/>
    <w:rsid w:val="00DE07BE"/>
    <w:rsid w:val="00DE084F"/>
    <w:rsid w:val="00DE0972"/>
    <w:rsid w:val="00DE0A46"/>
    <w:rsid w:val="00DE0D63"/>
    <w:rsid w:val="00DE0EC3"/>
    <w:rsid w:val="00DE1063"/>
    <w:rsid w:val="00DE1118"/>
    <w:rsid w:val="00DE12BD"/>
    <w:rsid w:val="00DE1453"/>
    <w:rsid w:val="00DE1BB2"/>
    <w:rsid w:val="00DE20DF"/>
    <w:rsid w:val="00DE2178"/>
    <w:rsid w:val="00DE257C"/>
    <w:rsid w:val="00DE259B"/>
    <w:rsid w:val="00DE27DD"/>
    <w:rsid w:val="00DE2AAA"/>
    <w:rsid w:val="00DE2C53"/>
    <w:rsid w:val="00DE30F9"/>
    <w:rsid w:val="00DE316A"/>
    <w:rsid w:val="00DE3415"/>
    <w:rsid w:val="00DE34BA"/>
    <w:rsid w:val="00DE3801"/>
    <w:rsid w:val="00DE39B6"/>
    <w:rsid w:val="00DE39ED"/>
    <w:rsid w:val="00DE3C7D"/>
    <w:rsid w:val="00DE3CA4"/>
    <w:rsid w:val="00DE3CB0"/>
    <w:rsid w:val="00DE3EC6"/>
    <w:rsid w:val="00DE3F39"/>
    <w:rsid w:val="00DE408F"/>
    <w:rsid w:val="00DE4104"/>
    <w:rsid w:val="00DE43A3"/>
    <w:rsid w:val="00DE43A9"/>
    <w:rsid w:val="00DE4406"/>
    <w:rsid w:val="00DE44DA"/>
    <w:rsid w:val="00DE4727"/>
    <w:rsid w:val="00DE4750"/>
    <w:rsid w:val="00DE48F1"/>
    <w:rsid w:val="00DE4ACD"/>
    <w:rsid w:val="00DE4B8F"/>
    <w:rsid w:val="00DE4DFE"/>
    <w:rsid w:val="00DE4E66"/>
    <w:rsid w:val="00DE4E70"/>
    <w:rsid w:val="00DE50EC"/>
    <w:rsid w:val="00DE5486"/>
    <w:rsid w:val="00DE54E3"/>
    <w:rsid w:val="00DE54ED"/>
    <w:rsid w:val="00DE5527"/>
    <w:rsid w:val="00DE57EF"/>
    <w:rsid w:val="00DE58C3"/>
    <w:rsid w:val="00DE5AA4"/>
    <w:rsid w:val="00DE5AA5"/>
    <w:rsid w:val="00DE5C2D"/>
    <w:rsid w:val="00DE5DB4"/>
    <w:rsid w:val="00DE5EC8"/>
    <w:rsid w:val="00DE630C"/>
    <w:rsid w:val="00DE63A5"/>
    <w:rsid w:val="00DE6434"/>
    <w:rsid w:val="00DE6BD8"/>
    <w:rsid w:val="00DE6C17"/>
    <w:rsid w:val="00DE7053"/>
    <w:rsid w:val="00DE70EA"/>
    <w:rsid w:val="00DE721C"/>
    <w:rsid w:val="00DE76E4"/>
    <w:rsid w:val="00DE79B3"/>
    <w:rsid w:val="00DE79D1"/>
    <w:rsid w:val="00DE7DC1"/>
    <w:rsid w:val="00DE7E1E"/>
    <w:rsid w:val="00DE7E54"/>
    <w:rsid w:val="00DE7E90"/>
    <w:rsid w:val="00DF0218"/>
    <w:rsid w:val="00DF0901"/>
    <w:rsid w:val="00DF09E3"/>
    <w:rsid w:val="00DF0C66"/>
    <w:rsid w:val="00DF0F80"/>
    <w:rsid w:val="00DF10D7"/>
    <w:rsid w:val="00DF15B1"/>
    <w:rsid w:val="00DF15FE"/>
    <w:rsid w:val="00DF1978"/>
    <w:rsid w:val="00DF1B4C"/>
    <w:rsid w:val="00DF1BA0"/>
    <w:rsid w:val="00DF1DAF"/>
    <w:rsid w:val="00DF1E14"/>
    <w:rsid w:val="00DF20A7"/>
    <w:rsid w:val="00DF2197"/>
    <w:rsid w:val="00DF223C"/>
    <w:rsid w:val="00DF2394"/>
    <w:rsid w:val="00DF2442"/>
    <w:rsid w:val="00DF2578"/>
    <w:rsid w:val="00DF25A0"/>
    <w:rsid w:val="00DF265D"/>
    <w:rsid w:val="00DF278E"/>
    <w:rsid w:val="00DF2A61"/>
    <w:rsid w:val="00DF2A75"/>
    <w:rsid w:val="00DF2AFE"/>
    <w:rsid w:val="00DF2FBA"/>
    <w:rsid w:val="00DF2FBD"/>
    <w:rsid w:val="00DF30F7"/>
    <w:rsid w:val="00DF34D5"/>
    <w:rsid w:val="00DF35E2"/>
    <w:rsid w:val="00DF38A0"/>
    <w:rsid w:val="00DF3993"/>
    <w:rsid w:val="00DF3BE9"/>
    <w:rsid w:val="00DF3C8E"/>
    <w:rsid w:val="00DF3F1C"/>
    <w:rsid w:val="00DF4185"/>
    <w:rsid w:val="00DF432B"/>
    <w:rsid w:val="00DF433B"/>
    <w:rsid w:val="00DF471C"/>
    <w:rsid w:val="00DF5004"/>
    <w:rsid w:val="00DF50EC"/>
    <w:rsid w:val="00DF5494"/>
    <w:rsid w:val="00DF5512"/>
    <w:rsid w:val="00DF5538"/>
    <w:rsid w:val="00DF55AD"/>
    <w:rsid w:val="00DF56CB"/>
    <w:rsid w:val="00DF573E"/>
    <w:rsid w:val="00DF57BB"/>
    <w:rsid w:val="00DF5911"/>
    <w:rsid w:val="00DF5A1E"/>
    <w:rsid w:val="00DF5CDD"/>
    <w:rsid w:val="00DF5D7B"/>
    <w:rsid w:val="00DF5E84"/>
    <w:rsid w:val="00DF5FAF"/>
    <w:rsid w:val="00DF614B"/>
    <w:rsid w:val="00DF66A7"/>
    <w:rsid w:val="00DF693C"/>
    <w:rsid w:val="00DF6975"/>
    <w:rsid w:val="00DF69CA"/>
    <w:rsid w:val="00DF6C33"/>
    <w:rsid w:val="00DF6C8D"/>
    <w:rsid w:val="00DF6D41"/>
    <w:rsid w:val="00DF6D50"/>
    <w:rsid w:val="00DF73F4"/>
    <w:rsid w:val="00DF75FB"/>
    <w:rsid w:val="00DF76FA"/>
    <w:rsid w:val="00DF77DE"/>
    <w:rsid w:val="00DF7AD1"/>
    <w:rsid w:val="00DF7C80"/>
    <w:rsid w:val="00DF7FE8"/>
    <w:rsid w:val="00E0029D"/>
    <w:rsid w:val="00E003E1"/>
    <w:rsid w:val="00E004F2"/>
    <w:rsid w:val="00E006D4"/>
    <w:rsid w:val="00E007C7"/>
    <w:rsid w:val="00E008DC"/>
    <w:rsid w:val="00E009C6"/>
    <w:rsid w:val="00E00A96"/>
    <w:rsid w:val="00E00BB0"/>
    <w:rsid w:val="00E00C5D"/>
    <w:rsid w:val="00E00CAE"/>
    <w:rsid w:val="00E00D12"/>
    <w:rsid w:val="00E01021"/>
    <w:rsid w:val="00E01174"/>
    <w:rsid w:val="00E012AE"/>
    <w:rsid w:val="00E013C9"/>
    <w:rsid w:val="00E01455"/>
    <w:rsid w:val="00E0150C"/>
    <w:rsid w:val="00E01859"/>
    <w:rsid w:val="00E02024"/>
    <w:rsid w:val="00E023B6"/>
    <w:rsid w:val="00E024F0"/>
    <w:rsid w:val="00E02632"/>
    <w:rsid w:val="00E026EE"/>
    <w:rsid w:val="00E026FA"/>
    <w:rsid w:val="00E0280D"/>
    <w:rsid w:val="00E02937"/>
    <w:rsid w:val="00E02B77"/>
    <w:rsid w:val="00E02C8A"/>
    <w:rsid w:val="00E02F68"/>
    <w:rsid w:val="00E03007"/>
    <w:rsid w:val="00E03105"/>
    <w:rsid w:val="00E03154"/>
    <w:rsid w:val="00E032A9"/>
    <w:rsid w:val="00E03378"/>
    <w:rsid w:val="00E03527"/>
    <w:rsid w:val="00E03544"/>
    <w:rsid w:val="00E0363B"/>
    <w:rsid w:val="00E03777"/>
    <w:rsid w:val="00E0387B"/>
    <w:rsid w:val="00E038D6"/>
    <w:rsid w:val="00E0390F"/>
    <w:rsid w:val="00E03975"/>
    <w:rsid w:val="00E03B1A"/>
    <w:rsid w:val="00E03B70"/>
    <w:rsid w:val="00E03D3A"/>
    <w:rsid w:val="00E04113"/>
    <w:rsid w:val="00E041C7"/>
    <w:rsid w:val="00E0429C"/>
    <w:rsid w:val="00E042E4"/>
    <w:rsid w:val="00E04302"/>
    <w:rsid w:val="00E04324"/>
    <w:rsid w:val="00E0459A"/>
    <w:rsid w:val="00E0476A"/>
    <w:rsid w:val="00E0476E"/>
    <w:rsid w:val="00E048F4"/>
    <w:rsid w:val="00E04CE0"/>
    <w:rsid w:val="00E04DAA"/>
    <w:rsid w:val="00E04FBD"/>
    <w:rsid w:val="00E05215"/>
    <w:rsid w:val="00E0530C"/>
    <w:rsid w:val="00E0540E"/>
    <w:rsid w:val="00E055BF"/>
    <w:rsid w:val="00E05655"/>
    <w:rsid w:val="00E05805"/>
    <w:rsid w:val="00E05F37"/>
    <w:rsid w:val="00E05F3F"/>
    <w:rsid w:val="00E05FCB"/>
    <w:rsid w:val="00E05FDD"/>
    <w:rsid w:val="00E062C1"/>
    <w:rsid w:val="00E0630B"/>
    <w:rsid w:val="00E064F7"/>
    <w:rsid w:val="00E0663D"/>
    <w:rsid w:val="00E06952"/>
    <w:rsid w:val="00E0714A"/>
    <w:rsid w:val="00E07199"/>
    <w:rsid w:val="00E07335"/>
    <w:rsid w:val="00E0756D"/>
    <w:rsid w:val="00E078D0"/>
    <w:rsid w:val="00E07928"/>
    <w:rsid w:val="00E079AF"/>
    <w:rsid w:val="00E07B1A"/>
    <w:rsid w:val="00E07C7C"/>
    <w:rsid w:val="00E07CFF"/>
    <w:rsid w:val="00E07E00"/>
    <w:rsid w:val="00E07EDF"/>
    <w:rsid w:val="00E07FA3"/>
    <w:rsid w:val="00E07FDB"/>
    <w:rsid w:val="00E1032A"/>
    <w:rsid w:val="00E10375"/>
    <w:rsid w:val="00E10437"/>
    <w:rsid w:val="00E10944"/>
    <w:rsid w:val="00E109B9"/>
    <w:rsid w:val="00E10A89"/>
    <w:rsid w:val="00E10B03"/>
    <w:rsid w:val="00E10B72"/>
    <w:rsid w:val="00E10D31"/>
    <w:rsid w:val="00E10E64"/>
    <w:rsid w:val="00E10FAD"/>
    <w:rsid w:val="00E10FCB"/>
    <w:rsid w:val="00E11027"/>
    <w:rsid w:val="00E1109D"/>
    <w:rsid w:val="00E117C9"/>
    <w:rsid w:val="00E11880"/>
    <w:rsid w:val="00E11BD0"/>
    <w:rsid w:val="00E11DBD"/>
    <w:rsid w:val="00E11DCE"/>
    <w:rsid w:val="00E11E6F"/>
    <w:rsid w:val="00E124C1"/>
    <w:rsid w:val="00E12569"/>
    <w:rsid w:val="00E1262E"/>
    <w:rsid w:val="00E1265B"/>
    <w:rsid w:val="00E1279C"/>
    <w:rsid w:val="00E12868"/>
    <w:rsid w:val="00E12D5F"/>
    <w:rsid w:val="00E12DC5"/>
    <w:rsid w:val="00E12FBF"/>
    <w:rsid w:val="00E1300F"/>
    <w:rsid w:val="00E131F4"/>
    <w:rsid w:val="00E131FB"/>
    <w:rsid w:val="00E1374B"/>
    <w:rsid w:val="00E137E9"/>
    <w:rsid w:val="00E13871"/>
    <w:rsid w:val="00E1390B"/>
    <w:rsid w:val="00E139A4"/>
    <w:rsid w:val="00E13A63"/>
    <w:rsid w:val="00E13B6E"/>
    <w:rsid w:val="00E1406A"/>
    <w:rsid w:val="00E140DD"/>
    <w:rsid w:val="00E142F6"/>
    <w:rsid w:val="00E143FC"/>
    <w:rsid w:val="00E144E2"/>
    <w:rsid w:val="00E14951"/>
    <w:rsid w:val="00E14CC7"/>
    <w:rsid w:val="00E14D67"/>
    <w:rsid w:val="00E14DCB"/>
    <w:rsid w:val="00E14F9A"/>
    <w:rsid w:val="00E14F9E"/>
    <w:rsid w:val="00E1526F"/>
    <w:rsid w:val="00E154D1"/>
    <w:rsid w:val="00E154D2"/>
    <w:rsid w:val="00E155BB"/>
    <w:rsid w:val="00E156CD"/>
    <w:rsid w:val="00E1588F"/>
    <w:rsid w:val="00E158DD"/>
    <w:rsid w:val="00E15AAE"/>
    <w:rsid w:val="00E15ADD"/>
    <w:rsid w:val="00E15BD5"/>
    <w:rsid w:val="00E15BFB"/>
    <w:rsid w:val="00E15C22"/>
    <w:rsid w:val="00E15DA2"/>
    <w:rsid w:val="00E15F66"/>
    <w:rsid w:val="00E160CD"/>
    <w:rsid w:val="00E16225"/>
    <w:rsid w:val="00E16607"/>
    <w:rsid w:val="00E1665A"/>
    <w:rsid w:val="00E16966"/>
    <w:rsid w:val="00E16995"/>
    <w:rsid w:val="00E16ACA"/>
    <w:rsid w:val="00E16BB2"/>
    <w:rsid w:val="00E16C24"/>
    <w:rsid w:val="00E16D28"/>
    <w:rsid w:val="00E17028"/>
    <w:rsid w:val="00E1711C"/>
    <w:rsid w:val="00E171C1"/>
    <w:rsid w:val="00E17376"/>
    <w:rsid w:val="00E1773B"/>
    <w:rsid w:val="00E17926"/>
    <w:rsid w:val="00E179B5"/>
    <w:rsid w:val="00E17D0D"/>
    <w:rsid w:val="00E17E46"/>
    <w:rsid w:val="00E20804"/>
    <w:rsid w:val="00E20951"/>
    <w:rsid w:val="00E209DB"/>
    <w:rsid w:val="00E20F8C"/>
    <w:rsid w:val="00E20FA5"/>
    <w:rsid w:val="00E211B7"/>
    <w:rsid w:val="00E21629"/>
    <w:rsid w:val="00E2168A"/>
    <w:rsid w:val="00E21748"/>
    <w:rsid w:val="00E217A7"/>
    <w:rsid w:val="00E21A05"/>
    <w:rsid w:val="00E21A69"/>
    <w:rsid w:val="00E21AB3"/>
    <w:rsid w:val="00E21B45"/>
    <w:rsid w:val="00E21B91"/>
    <w:rsid w:val="00E2207D"/>
    <w:rsid w:val="00E221D3"/>
    <w:rsid w:val="00E223AD"/>
    <w:rsid w:val="00E225DF"/>
    <w:rsid w:val="00E22975"/>
    <w:rsid w:val="00E2314C"/>
    <w:rsid w:val="00E23560"/>
    <w:rsid w:val="00E235BA"/>
    <w:rsid w:val="00E23E20"/>
    <w:rsid w:val="00E24275"/>
    <w:rsid w:val="00E246C6"/>
    <w:rsid w:val="00E24701"/>
    <w:rsid w:val="00E24A06"/>
    <w:rsid w:val="00E24B2F"/>
    <w:rsid w:val="00E24E9F"/>
    <w:rsid w:val="00E24ED5"/>
    <w:rsid w:val="00E24F03"/>
    <w:rsid w:val="00E24F53"/>
    <w:rsid w:val="00E24FDB"/>
    <w:rsid w:val="00E2545E"/>
    <w:rsid w:val="00E2557B"/>
    <w:rsid w:val="00E25746"/>
    <w:rsid w:val="00E25A2D"/>
    <w:rsid w:val="00E25B2C"/>
    <w:rsid w:val="00E25CD8"/>
    <w:rsid w:val="00E25FDD"/>
    <w:rsid w:val="00E26074"/>
    <w:rsid w:val="00E260F9"/>
    <w:rsid w:val="00E261E2"/>
    <w:rsid w:val="00E26232"/>
    <w:rsid w:val="00E2637C"/>
    <w:rsid w:val="00E264EC"/>
    <w:rsid w:val="00E26501"/>
    <w:rsid w:val="00E26859"/>
    <w:rsid w:val="00E268D6"/>
    <w:rsid w:val="00E26A73"/>
    <w:rsid w:val="00E26BB9"/>
    <w:rsid w:val="00E26CFE"/>
    <w:rsid w:val="00E26E27"/>
    <w:rsid w:val="00E2762A"/>
    <w:rsid w:val="00E27964"/>
    <w:rsid w:val="00E27D07"/>
    <w:rsid w:val="00E27D4C"/>
    <w:rsid w:val="00E27EAD"/>
    <w:rsid w:val="00E27F47"/>
    <w:rsid w:val="00E3003D"/>
    <w:rsid w:val="00E3048B"/>
    <w:rsid w:val="00E30689"/>
    <w:rsid w:val="00E3111B"/>
    <w:rsid w:val="00E311FA"/>
    <w:rsid w:val="00E312E7"/>
    <w:rsid w:val="00E315A4"/>
    <w:rsid w:val="00E31620"/>
    <w:rsid w:val="00E31811"/>
    <w:rsid w:val="00E318E2"/>
    <w:rsid w:val="00E31950"/>
    <w:rsid w:val="00E31AE9"/>
    <w:rsid w:val="00E31B1F"/>
    <w:rsid w:val="00E31BC6"/>
    <w:rsid w:val="00E31C7E"/>
    <w:rsid w:val="00E320BE"/>
    <w:rsid w:val="00E322AD"/>
    <w:rsid w:val="00E32430"/>
    <w:rsid w:val="00E325AE"/>
    <w:rsid w:val="00E32C22"/>
    <w:rsid w:val="00E32E12"/>
    <w:rsid w:val="00E32E13"/>
    <w:rsid w:val="00E32FD4"/>
    <w:rsid w:val="00E33001"/>
    <w:rsid w:val="00E3312C"/>
    <w:rsid w:val="00E332BE"/>
    <w:rsid w:val="00E33533"/>
    <w:rsid w:val="00E33537"/>
    <w:rsid w:val="00E3369A"/>
    <w:rsid w:val="00E337D4"/>
    <w:rsid w:val="00E337E9"/>
    <w:rsid w:val="00E3380D"/>
    <w:rsid w:val="00E338E5"/>
    <w:rsid w:val="00E33C51"/>
    <w:rsid w:val="00E33C79"/>
    <w:rsid w:val="00E33F55"/>
    <w:rsid w:val="00E34155"/>
    <w:rsid w:val="00E34295"/>
    <w:rsid w:val="00E349CF"/>
    <w:rsid w:val="00E34C15"/>
    <w:rsid w:val="00E34F9F"/>
    <w:rsid w:val="00E3526F"/>
    <w:rsid w:val="00E3529E"/>
    <w:rsid w:val="00E352A0"/>
    <w:rsid w:val="00E35D50"/>
    <w:rsid w:val="00E35E1D"/>
    <w:rsid w:val="00E360A3"/>
    <w:rsid w:val="00E36747"/>
    <w:rsid w:val="00E3691C"/>
    <w:rsid w:val="00E36C8A"/>
    <w:rsid w:val="00E36D78"/>
    <w:rsid w:val="00E36F54"/>
    <w:rsid w:val="00E370EF"/>
    <w:rsid w:val="00E3718D"/>
    <w:rsid w:val="00E379BE"/>
    <w:rsid w:val="00E37DBC"/>
    <w:rsid w:val="00E4004F"/>
    <w:rsid w:val="00E40082"/>
    <w:rsid w:val="00E40A12"/>
    <w:rsid w:val="00E40B33"/>
    <w:rsid w:val="00E40B70"/>
    <w:rsid w:val="00E40BDC"/>
    <w:rsid w:val="00E40DB8"/>
    <w:rsid w:val="00E40E8F"/>
    <w:rsid w:val="00E40F06"/>
    <w:rsid w:val="00E40FA5"/>
    <w:rsid w:val="00E41084"/>
    <w:rsid w:val="00E410B3"/>
    <w:rsid w:val="00E412B1"/>
    <w:rsid w:val="00E41643"/>
    <w:rsid w:val="00E41680"/>
    <w:rsid w:val="00E416DA"/>
    <w:rsid w:val="00E41766"/>
    <w:rsid w:val="00E41967"/>
    <w:rsid w:val="00E41991"/>
    <w:rsid w:val="00E419A4"/>
    <w:rsid w:val="00E41D98"/>
    <w:rsid w:val="00E41DF1"/>
    <w:rsid w:val="00E41EC1"/>
    <w:rsid w:val="00E42006"/>
    <w:rsid w:val="00E4239F"/>
    <w:rsid w:val="00E4245B"/>
    <w:rsid w:val="00E424F5"/>
    <w:rsid w:val="00E425D8"/>
    <w:rsid w:val="00E426F5"/>
    <w:rsid w:val="00E428DF"/>
    <w:rsid w:val="00E429E3"/>
    <w:rsid w:val="00E42AFD"/>
    <w:rsid w:val="00E430BB"/>
    <w:rsid w:val="00E430E9"/>
    <w:rsid w:val="00E4315E"/>
    <w:rsid w:val="00E4325C"/>
    <w:rsid w:val="00E433F5"/>
    <w:rsid w:val="00E43480"/>
    <w:rsid w:val="00E4353B"/>
    <w:rsid w:val="00E435FE"/>
    <w:rsid w:val="00E43692"/>
    <w:rsid w:val="00E436C9"/>
    <w:rsid w:val="00E43911"/>
    <w:rsid w:val="00E43D29"/>
    <w:rsid w:val="00E43F6A"/>
    <w:rsid w:val="00E44144"/>
    <w:rsid w:val="00E442E4"/>
    <w:rsid w:val="00E4455A"/>
    <w:rsid w:val="00E44614"/>
    <w:rsid w:val="00E44639"/>
    <w:rsid w:val="00E4473F"/>
    <w:rsid w:val="00E4486C"/>
    <w:rsid w:val="00E4488B"/>
    <w:rsid w:val="00E449BA"/>
    <w:rsid w:val="00E44D2C"/>
    <w:rsid w:val="00E44F6F"/>
    <w:rsid w:val="00E44FAE"/>
    <w:rsid w:val="00E4508B"/>
    <w:rsid w:val="00E452C3"/>
    <w:rsid w:val="00E453D7"/>
    <w:rsid w:val="00E453E6"/>
    <w:rsid w:val="00E45407"/>
    <w:rsid w:val="00E4560F"/>
    <w:rsid w:val="00E45894"/>
    <w:rsid w:val="00E45B9A"/>
    <w:rsid w:val="00E45BB7"/>
    <w:rsid w:val="00E4617A"/>
    <w:rsid w:val="00E4631D"/>
    <w:rsid w:val="00E4651B"/>
    <w:rsid w:val="00E4693D"/>
    <w:rsid w:val="00E46A47"/>
    <w:rsid w:val="00E46AB6"/>
    <w:rsid w:val="00E46BAE"/>
    <w:rsid w:val="00E46C74"/>
    <w:rsid w:val="00E46CA4"/>
    <w:rsid w:val="00E46DBE"/>
    <w:rsid w:val="00E46F49"/>
    <w:rsid w:val="00E470A5"/>
    <w:rsid w:val="00E472F8"/>
    <w:rsid w:val="00E47457"/>
    <w:rsid w:val="00E475C6"/>
    <w:rsid w:val="00E475E7"/>
    <w:rsid w:val="00E4775C"/>
    <w:rsid w:val="00E478F1"/>
    <w:rsid w:val="00E47C39"/>
    <w:rsid w:val="00E47CB5"/>
    <w:rsid w:val="00E47DF6"/>
    <w:rsid w:val="00E47E6B"/>
    <w:rsid w:val="00E47ECE"/>
    <w:rsid w:val="00E50467"/>
    <w:rsid w:val="00E50875"/>
    <w:rsid w:val="00E508E3"/>
    <w:rsid w:val="00E50B1A"/>
    <w:rsid w:val="00E50BA0"/>
    <w:rsid w:val="00E50D95"/>
    <w:rsid w:val="00E50DE6"/>
    <w:rsid w:val="00E50EC5"/>
    <w:rsid w:val="00E510E1"/>
    <w:rsid w:val="00E51112"/>
    <w:rsid w:val="00E51276"/>
    <w:rsid w:val="00E5130E"/>
    <w:rsid w:val="00E51348"/>
    <w:rsid w:val="00E514FF"/>
    <w:rsid w:val="00E516C2"/>
    <w:rsid w:val="00E517AD"/>
    <w:rsid w:val="00E518C4"/>
    <w:rsid w:val="00E518E5"/>
    <w:rsid w:val="00E51952"/>
    <w:rsid w:val="00E51A37"/>
    <w:rsid w:val="00E51B2A"/>
    <w:rsid w:val="00E522E5"/>
    <w:rsid w:val="00E525A2"/>
    <w:rsid w:val="00E526F9"/>
    <w:rsid w:val="00E52770"/>
    <w:rsid w:val="00E52796"/>
    <w:rsid w:val="00E52AA4"/>
    <w:rsid w:val="00E52C95"/>
    <w:rsid w:val="00E52CCE"/>
    <w:rsid w:val="00E52FEA"/>
    <w:rsid w:val="00E5302A"/>
    <w:rsid w:val="00E530DD"/>
    <w:rsid w:val="00E539C4"/>
    <w:rsid w:val="00E53A73"/>
    <w:rsid w:val="00E53D63"/>
    <w:rsid w:val="00E53E21"/>
    <w:rsid w:val="00E53E7C"/>
    <w:rsid w:val="00E53EE2"/>
    <w:rsid w:val="00E54001"/>
    <w:rsid w:val="00E5405E"/>
    <w:rsid w:val="00E5429F"/>
    <w:rsid w:val="00E545DB"/>
    <w:rsid w:val="00E54755"/>
    <w:rsid w:val="00E54788"/>
    <w:rsid w:val="00E5484A"/>
    <w:rsid w:val="00E5489A"/>
    <w:rsid w:val="00E548F0"/>
    <w:rsid w:val="00E54C51"/>
    <w:rsid w:val="00E54F96"/>
    <w:rsid w:val="00E550BB"/>
    <w:rsid w:val="00E5568A"/>
    <w:rsid w:val="00E5580E"/>
    <w:rsid w:val="00E55D13"/>
    <w:rsid w:val="00E56328"/>
    <w:rsid w:val="00E563E0"/>
    <w:rsid w:val="00E5654B"/>
    <w:rsid w:val="00E565BB"/>
    <w:rsid w:val="00E5673A"/>
    <w:rsid w:val="00E56A49"/>
    <w:rsid w:val="00E56B75"/>
    <w:rsid w:val="00E571D1"/>
    <w:rsid w:val="00E5722A"/>
    <w:rsid w:val="00E574E8"/>
    <w:rsid w:val="00E57591"/>
    <w:rsid w:val="00E5763D"/>
    <w:rsid w:val="00E57690"/>
    <w:rsid w:val="00E576B4"/>
    <w:rsid w:val="00E5776D"/>
    <w:rsid w:val="00E5781F"/>
    <w:rsid w:val="00E5790C"/>
    <w:rsid w:val="00E57BCE"/>
    <w:rsid w:val="00E57C96"/>
    <w:rsid w:val="00E57D61"/>
    <w:rsid w:val="00E57ECE"/>
    <w:rsid w:val="00E57FE2"/>
    <w:rsid w:val="00E60008"/>
    <w:rsid w:val="00E6003B"/>
    <w:rsid w:val="00E600B5"/>
    <w:rsid w:val="00E600FA"/>
    <w:rsid w:val="00E602C7"/>
    <w:rsid w:val="00E60324"/>
    <w:rsid w:val="00E6043C"/>
    <w:rsid w:val="00E60657"/>
    <w:rsid w:val="00E60681"/>
    <w:rsid w:val="00E606CF"/>
    <w:rsid w:val="00E60900"/>
    <w:rsid w:val="00E60AF6"/>
    <w:rsid w:val="00E60D8E"/>
    <w:rsid w:val="00E60DA6"/>
    <w:rsid w:val="00E60E5B"/>
    <w:rsid w:val="00E610AE"/>
    <w:rsid w:val="00E612C7"/>
    <w:rsid w:val="00E61549"/>
    <w:rsid w:val="00E615FC"/>
    <w:rsid w:val="00E61756"/>
    <w:rsid w:val="00E617D4"/>
    <w:rsid w:val="00E61A9A"/>
    <w:rsid w:val="00E6207B"/>
    <w:rsid w:val="00E622F6"/>
    <w:rsid w:val="00E6282A"/>
    <w:rsid w:val="00E62AFF"/>
    <w:rsid w:val="00E62BFD"/>
    <w:rsid w:val="00E62C6F"/>
    <w:rsid w:val="00E62DBE"/>
    <w:rsid w:val="00E63704"/>
    <w:rsid w:val="00E63782"/>
    <w:rsid w:val="00E63836"/>
    <w:rsid w:val="00E63887"/>
    <w:rsid w:val="00E63919"/>
    <w:rsid w:val="00E63A2B"/>
    <w:rsid w:val="00E63E99"/>
    <w:rsid w:val="00E64083"/>
    <w:rsid w:val="00E643B5"/>
    <w:rsid w:val="00E645BC"/>
    <w:rsid w:val="00E646E2"/>
    <w:rsid w:val="00E647B0"/>
    <w:rsid w:val="00E648FD"/>
    <w:rsid w:val="00E64B0D"/>
    <w:rsid w:val="00E64C7A"/>
    <w:rsid w:val="00E64CB5"/>
    <w:rsid w:val="00E64E0F"/>
    <w:rsid w:val="00E65014"/>
    <w:rsid w:val="00E650C5"/>
    <w:rsid w:val="00E651D1"/>
    <w:rsid w:val="00E65289"/>
    <w:rsid w:val="00E656DE"/>
    <w:rsid w:val="00E659EC"/>
    <w:rsid w:val="00E65A83"/>
    <w:rsid w:val="00E65B4B"/>
    <w:rsid w:val="00E65BCC"/>
    <w:rsid w:val="00E65CBC"/>
    <w:rsid w:val="00E66099"/>
    <w:rsid w:val="00E6615A"/>
    <w:rsid w:val="00E662A6"/>
    <w:rsid w:val="00E665AD"/>
    <w:rsid w:val="00E66AE7"/>
    <w:rsid w:val="00E66B17"/>
    <w:rsid w:val="00E66BE4"/>
    <w:rsid w:val="00E66C0D"/>
    <w:rsid w:val="00E66C86"/>
    <w:rsid w:val="00E66ED9"/>
    <w:rsid w:val="00E67165"/>
    <w:rsid w:val="00E671F3"/>
    <w:rsid w:val="00E67244"/>
    <w:rsid w:val="00E673F6"/>
    <w:rsid w:val="00E67457"/>
    <w:rsid w:val="00E67472"/>
    <w:rsid w:val="00E675FB"/>
    <w:rsid w:val="00E67646"/>
    <w:rsid w:val="00E676C4"/>
    <w:rsid w:val="00E67817"/>
    <w:rsid w:val="00E6790F"/>
    <w:rsid w:val="00E67918"/>
    <w:rsid w:val="00E67C59"/>
    <w:rsid w:val="00E67D83"/>
    <w:rsid w:val="00E67E75"/>
    <w:rsid w:val="00E67EAA"/>
    <w:rsid w:val="00E67F85"/>
    <w:rsid w:val="00E67FEE"/>
    <w:rsid w:val="00E700AA"/>
    <w:rsid w:val="00E701F2"/>
    <w:rsid w:val="00E70475"/>
    <w:rsid w:val="00E705FA"/>
    <w:rsid w:val="00E70706"/>
    <w:rsid w:val="00E7071A"/>
    <w:rsid w:val="00E70805"/>
    <w:rsid w:val="00E70831"/>
    <w:rsid w:val="00E7088A"/>
    <w:rsid w:val="00E70E29"/>
    <w:rsid w:val="00E71032"/>
    <w:rsid w:val="00E71A60"/>
    <w:rsid w:val="00E71D2B"/>
    <w:rsid w:val="00E71DD0"/>
    <w:rsid w:val="00E71DFD"/>
    <w:rsid w:val="00E71E5B"/>
    <w:rsid w:val="00E71EE7"/>
    <w:rsid w:val="00E71FCE"/>
    <w:rsid w:val="00E7272F"/>
    <w:rsid w:val="00E72820"/>
    <w:rsid w:val="00E729AC"/>
    <w:rsid w:val="00E729DB"/>
    <w:rsid w:val="00E72C13"/>
    <w:rsid w:val="00E72DCD"/>
    <w:rsid w:val="00E72FB1"/>
    <w:rsid w:val="00E72FB2"/>
    <w:rsid w:val="00E7343F"/>
    <w:rsid w:val="00E73464"/>
    <w:rsid w:val="00E737CE"/>
    <w:rsid w:val="00E73992"/>
    <w:rsid w:val="00E73A2D"/>
    <w:rsid w:val="00E73A68"/>
    <w:rsid w:val="00E73AE2"/>
    <w:rsid w:val="00E73B48"/>
    <w:rsid w:val="00E73B6D"/>
    <w:rsid w:val="00E73B9F"/>
    <w:rsid w:val="00E73BFE"/>
    <w:rsid w:val="00E73F26"/>
    <w:rsid w:val="00E74193"/>
    <w:rsid w:val="00E7448C"/>
    <w:rsid w:val="00E74715"/>
    <w:rsid w:val="00E747B7"/>
    <w:rsid w:val="00E74882"/>
    <w:rsid w:val="00E74BF9"/>
    <w:rsid w:val="00E74C26"/>
    <w:rsid w:val="00E74C50"/>
    <w:rsid w:val="00E74D49"/>
    <w:rsid w:val="00E74DE6"/>
    <w:rsid w:val="00E74E5C"/>
    <w:rsid w:val="00E74E98"/>
    <w:rsid w:val="00E74F04"/>
    <w:rsid w:val="00E74F0E"/>
    <w:rsid w:val="00E750D5"/>
    <w:rsid w:val="00E75262"/>
    <w:rsid w:val="00E75304"/>
    <w:rsid w:val="00E75530"/>
    <w:rsid w:val="00E755A7"/>
    <w:rsid w:val="00E75743"/>
    <w:rsid w:val="00E757B1"/>
    <w:rsid w:val="00E7585B"/>
    <w:rsid w:val="00E75A45"/>
    <w:rsid w:val="00E75E77"/>
    <w:rsid w:val="00E75FB5"/>
    <w:rsid w:val="00E7627C"/>
    <w:rsid w:val="00E762C6"/>
    <w:rsid w:val="00E76323"/>
    <w:rsid w:val="00E7639C"/>
    <w:rsid w:val="00E7647E"/>
    <w:rsid w:val="00E764C2"/>
    <w:rsid w:val="00E76659"/>
    <w:rsid w:val="00E76C0E"/>
    <w:rsid w:val="00E76F8C"/>
    <w:rsid w:val="00E772F9"/>
    <w:rsid w:val="00E773A1"/>
    <w:rsid w:val="00E77669"/>
    <w:rsid w:val="00E779EF"/>
    <w:rsid w:val="00E77AD3"/>
    <w:rsid w:val="00E77BC3"/>
    <w:rsid w:val="00E800B0"/>
    <w:rsid w:val="00E801C8"/>
    <w:rsid w:val="00E80259"/>
    <w:rsid w:val="00E8032E"/>
    <w:rsid w:val="00E805FB"/>
    <w:rsid w:val="00E80A58"/>
    <w:rsid w:val="00E80A5B"/>
    <w:rsid w:val="00E80B0B"/>
    <w:rsid w:val="00E80B34"/>
    <w:rsid w:val="00E80B93"/>
    <w:rsid w:val="00E80E43"/>
    <w:rsid w:val="00E81045"/>
    <w:rsid w:val="00E8107C"/>
    <w:rsid w:val="00E81214"/>
    <w:rsid w:val="00E81244"/>
    <w:rsid w:val="00E81387"/>
    <w:rsid w:val="00E81526"/>
    <w:rsid w:val="00E8173A"/>
    <w:rsid w:val="00E81BDD"/>
    <w:rsid w:val="00E81BFD"/>
    <w:rsid w:val="00E81EF0"/>
    <w:rsid w:val="00E81F65"/>
    <w:rsid w:val="00E81FB6"/>
    <w:rsid w:val="00E82327"/>
    <w:rsid w:val="00E82384"/>
    <w:rsid w:val="00E823D5"/>
    <w:rsid w:val="00E823E8"/>
    <w:rsid w:val="00E8247F"/>
    <w:rsid w:val="00E826C7"/>
    <w:rsid w:val="00E82776"/>
    <w:rsid w:val="00E827BC"/>
    <w:rsid w:val="00E82817"/>
    <w:rsid w:val="00E82D3A"/>
    <w:rsid w:val="00E83211"/>
    <w:rsid w:val="00E83452"/>
    <w:rsid w:val="00E834FE"/>
    <w:rsid w:val="00E83505"/>
    <w:rsid w:val="00E83700"/>
    <w:rsid w:val="00E83B45"/>
    <w:rsid w:val="00E83F81"/>
    <w:rsid w:val="00E83FAE"/>
    <w:rsid w:val="00E84374"/>
    <w:rsid w:val="00E84545"/>
    <w:rsid w:val="00E846F2"/>
    <w:rsid w:val="00E84A0F"/>
    <w:rsid w:val="00E84B23"/>
    <w:rsid w:val="00E84B4A"/>
    <w:rsid w:val="00E84D40"/>
    <w:rsid w:val="00E84EFA"/>
    <w:rsid w:val="00E84FFA"/>
    <w:rsid w:val="00E850EE"/>
    <w:rsid w:val="00E85231"/>
    <w:rsid w:val="00E8544B"/>
    <w:rsid w:val="00E85929"/>
    <w:rsid w:val="00E85AE8"/>
    <w:rsid w:val="00E85B12"/>
    <w:rsid w:val="00E85C9A"/>
    <w:rsid w:val="00E8600F"/>
    <w:rsid w:val="00E86225"/>
    <w:rsid w:val="00E8640B"/>
    <w:rsid w:val="00E86422"/>
    <w:rsid w:val="00E869CF"/>
    <w:rsid w:val="00E869E3"/>
    <w:rsid w:val="00E86A1D"/>
    <w:rsid w:val="00E86A8B"/>
    <w:rsid w:val="00E86B6C"/>
    <w:rsid w:val="00E86C5E"/>
    <w:rsid w:val="00E87375"/>
    <w:rsid w:val="00E8748C"/>
    <w:rsid w:val="00E87748"/>
    <w:rsid w:val="00E877E1"/>
    <w:rsid w:val="00E87AC7"/>
    <w:rsid w:val="00E87BC6"/>
    <w:rsid w:val="00E87CBA"/>
    <w:rsid w:val="00E87DC6"/>
    <w:rsid w:val="00E9018E"/>
    <w:rsid w:val="00E90327"/>
    <w:rsid w:val="00E904F9"/>
    <w:rsid w:val="00E9056E"/>
    <w:rsid w:val="00E905B7"/>
    <w:rsid w:val="00E9095F"/>
    <w:rsid w:val="00E90C14"/>
    <w:rsid w:val="00E90D3F"/>
    <w:rsid w:val="00E90DF4"/>
    <w:rsid w:val="00E90E72"/>
    <w:rsid w:val="00E90F2D"/>
    <w:rsid w:val="00E912CD"/>
    <w:rsid w:val="00E913A3"/>
    <w:rsid w:val="00E91400"/>
    <w:rsid w:val="00E9176A"/>
    <w:rsid w:val="00E91EDA"/>
    <w:rsid w:val="00E9203E"/>
    <w:rsid w:val="00E920EF"/>
    <w:rsid w:val="00E921C8"/>
    <w:rsid w:val="00E9234B"/>
    <w:rsid w:val="00E92433"/>
    <w:rsid w:val="00E92440"/>
    <w:rsid w:val="00E9291D"/>
    <w:rsid w:val="00E929F0"/>
    <w:rsid w:val="00E929F3"/>
    <w:rsid w:val="00E92DAA"/>
    <w:rsid w:val="00E92F09"/>
    <w:rsid w:val="00E930A9"/>
    <w:rsid w:val="00E9358B"/>
    <w:rsid w:val="00E93629"/>
    <w:rsid w:val="00E938BC"/>
    <w:rsid w:val="00E93A15"/>
    <w:rsid w:val="00E93C1C"/>
    <w:rsid w:val="00E93CA8"/>
    <w:rsid w:val="00E93E2A"/>
    <w:rsid w:val="00E93E82"/>
    <w:rsid w:val="00E93EDB"/>
    <w:rsid w:val="00E94072"/>
    <w:rsid w:val="00E94268"/>
    <w:rsid w:val="00E9483E"/>
    <w:rsid w:val="00E9486D"/>
    <w:rsid w:val="00E94A0C"/>
    <w:rsid w:val="00E94A6D"/>
    <w:rsid w:val="00E94B5A"/>
    <w:rsid w:val="00E94D4C"/>
    <w:rsid w:val="00E94E3C"/>
    <w:rsid w:val="00E94E70"/>
    <w:rsid w:val="00E95185"/>
    <w:rsid w:val="00E951BB"/>
    <w:rsid w:val="00E9538B"/>
    <w:rsid w:val="00E955E0"/>
    <w:rsid w:val="00E9561F"/>
    <w:rsid w:val="00E95972"/>
    <w:rsid w:val="00E95A39"/>
    <w:rsid w:val="00E95D2C"/>
    <w:rsid w:val="00E95DFA"/>
    <w:rsid w:val="00E95E29"/>
    <w:rsid w:val="00E95EB9"/>
    <w:rsid w:val="00E96203"/>
    <w:rsid w:val="00E96276"/>
    <w:rsid w:val="00E965D6"/>
    <w:rsid w:val="00E96693"/>
    <w:rsid w:val="00E966B2"/>
    <w:rsid w:val="00E9691C"/>
    <w:rsid w:val="00E96979"/>
    <w:rsid w:val="00E96EA6"/>
    <w:rsid w:val="00E97103"/>
    <w:rsid w:val="00E971D1"/>
    <w:rsid w:val="00E97496"/>
    <w:rsid w:val="00E9756C"/>
    <w:rsid w:val="00E9771E"/>
    <w:rsid w:val="00E9776A"/>
    <w:rsid w:val="00E9777B"/>
    <w:rsid w:val="00E977CA"/>
    <w:rsid w:val="00E97DF2"/>
    <w:rsid w:val="00E97E02"/>
    <w:rsid w:val="00EA0252"/>
    <w:rsid w:val="00EA0399"/>
    <w:rsid w:val="00EA045D"/>
    <w:rsid w:val="00EA048B"/>
    <w:rsid w:val="00EA052A"/>
    <w:rsid w:val="00EA05B7"/>
    <w:rsid w:val="00EA0606"/>
    <w:rsid w:val="00EA07AB"/>
    <w:rsid w:val="00EA0AB7"/>
    <w:rsid w:val="00EA0B02"/>
    <w:rsid w:val="00EA0BE5"/>
    <w:rsid w:val="00EA0CCA"/>
    <w:rsid w:val="00EA1013"/>
    <w:rsid w:val="00EA112A"/>
    <w:rsid w:val="00EA1332"/>
    <w:rsid w:val="00EA14D3"/>
    <w:rsid w:val="00EA152F"/>
    <w:rsid w:val="00EA168A"/>
    <w:rsid w:val="00EA16D0"/>
    <w:rsid w:val="00EA1840"/>
    <w:rsid w:val="00EA1A65"/>
    <w:rsid w:val="00EA1AAC"/>
    <w:rsid w:val="00EA2388"/>
    <w:rsid w:val="00EA240F"/>
    <w:rsid w:val="00EA25CC"/>
    <w:rsid w:val="00EA263D"/>
    <w:rsid w:val="00EA295F"/>
    <w:rsid w:val="00EA2A49"/>
    <w:rsid w:val="00EA2DD6"/>
    <w:rsid w:val="00EA2E9B"/>
    <w:rsid w:val="00EA3128"/>
    <w:rsid w:val="00EA33AE"/>
    <w:rsid w:val="00EA33EF"/>
    <w:rsid w:val="00EA3923"/>
    <w:rsid w:val="00EA3ADA"/>
    <w:rsid w:val="00EA3B08"/>
    <w:rsid w:val="00EA3B36"/>
    <w:rsid w:val="00EA3DE1"/>
    <w:rsid w:val="00EA3F7F"/>
    <w:rsid w:val="00EA3F91"/>
    <w:rsid w:val="00EA423D"/>
    <w:rsid w:val="00EA4342"/>
    <w:rsid w:val="00EA44E4"/>
    <w:rsid w:val="00EA455B"/>
    <w:rsid w:val="00EA47BE"/>
    <w:rsid w:val="00EA4857"/>
    <w:rsid w:val="00EA4878"/>
    <w:rsid w:val="00EA4A4E"/>
    <w:rsid w:val="00EA4A57"/>
    <w:rsid w:val="00EA4D4D"/>
    <w:rsid w:val="00EA4DF5"/>
    <w:rsid w:val="00EA4EA9"/>
    <w:rsid w:val="00EA50E6"/>
    <w:rsid w:val="00EA519D"/>
    <w:rsid w:val="00EA52EA"/>
    <w:rsid w:val="00EA53A4"/>
    <w:rsid w:val="00EA54AD"/>
    <w:rsid w:val="00EA556B"/>
    <w:rsid w:val="00EA55E2"/>
    <w:rsid w:val="00EA569D"/>
    <w:rsid w:val="00EA57CE"/>
    <w:rsid w:val="00EA57D5"/>
    <w:rsid w:val="00EA5AAB"/>
    <w:rsid w:val="00EA5CDD"/>
    <w:rsid w:val="00EA5E2B"/>
    <w:rsid w:val="00EA5EF3"/>
    <w:rsid w:val="00EA60B1"/>
    <w:rsid w:val="00EA6274"/>
    <w:rsid w:val="00EA6693"/>
    <w:rsid w:val="00EA6754"/>
    <w:rsid w:val="00EA6794"/>
    <w:rsid w:val="00EA6B4F"/>
    <w:rsid w:val="00EA6B8B"/>
    <w:rsid w:val="00EA70C4"/>
    <w:rsid w:val="00EA71C4"/>
    <w:rsid w:val="00EA736A"/>
    <w:rsid w:val="00EA7445"/>
    <w:rsid w:val="00EA7654"/>
    <w:rsid w:val="00EA767C"/>
    <w:rsid w:val="00EA7881"/>
    <w:rsid w:val="00EA7951"/>
    <w:rsid w:val="00EA79DB"/>
    <w:rsid w:val="00EA7B77"/>
    <w:rsid w:val="00EA7CA6"/>
    <w:rsid w:val="00EA7D33"/>
    <w:rsid w:val="00EB0556"/>
    <w:rsid w:val="00EB067A"/>
    <w:rsid w:val="00EB07F8"/>
    <w:rsid w:val="00EB0B66"/>
    <w:rsid w:val="00EB0B6D"/>
    <w:rsid w:val="00EB0D3C"/>
    <w:rsid w:val="00EB0DC3"/>
    <w:rsid w:val="00EB10F3"/>
    <w:rsid w:val="00EB1197"/>
    <w:rsid w:val="00EB119D"/>
    <w:rsid w:val="00EB12B7"/>
    <w:rsid w:val="00EB18B8"/>
    <w:rsid w:val="00EB1935"/>
    <w:rsid w:val="00EB1CD8"/>
    <w:rsid w:val="00EB1CF8"/>
    <w:rsid w:val="00EB1FD5"/>
    <w:rsid w:val="00EB203B"/>
    <w:rsid w:val="00EB217E"/>
    <w:rsid w:val="00EB23C9"/>
    <w:rsid w:val="00EB2738"/>
    <w:rsid w:val="00EB27D5"/>
    <w:rsid w:val="00EB2BFD"/>
    <w:rsid w:val="00EB2D37"/>
    <w:rsid w:val="00EB2D5C"/>
    <w:rsid w:val="00EB2F43"/>
    <w:rsid w:val="00EB2FB3"/>
    <w:rsid w:val="00EB30F3"/>
    <w:rsid w:val="00EB3191"/>
    <w:rsid w:val="00EB31CC"/>
    <w:rsid w:val="00EB3248"/>
    <w:rsid w:val="00EB33F7"/>
    <w:rsid w:val="00EB34B2"/>
    <w:rsid w:val="00EB357C"/>
    <w:rsid w:val="00EB359E"/>
    <w:rsid w:val="00EB36A9"/>
    <w:rsid w:val="00EB3A0F"/>
    <w:rsid w:val="00EB3B37"/>
    <w:rsid w:val="00EB4777"/>
    <w:rsid w:val="00EB4ADF"/>
    <w:rsid w:val="00EB4B97"/>
    <w:rsid w:val="00EB5224"/>
    <w:rsid w:val="00EB534B"/>
    <w:rsid w:val="00EB5370"/>
    <w:rsid w:val="00EB5507"/>
    <w:rsid w:val="00EB56A8"/>
    <w:rsid w:val="00EB5776"/>
    <w:rsid w:val="00EB5934"/>
    <w:rsid w:val="00EB59FA"/>
    <w:rsid w:val="00EB5A80"/>
    <w:rsid w:val="00EB5EDA"/>
    <w:rsid w:val="00EB622E"/>
    <w:rsid w:val="00EB660A"/>
    <w:rsid w:val="00EB6701"/>
    <w:rsid w:val="00EB6751"/>
    <w:rsid w:val="00EB6757"/>
    <w:rsid w:val="00EB6776"/>
    <w:rsid w:val="00EB6915"/>
    <w:rsid w:val="00EB6AE7"/>
    <w:rsid w:val="00EB7280"/>
    <w:rsid w:val="00EB7801"/>
    <w:rsid w:val="00EB7867"/>
    <w:rsid w:val="00EB7ABD"/>
    <w:rsid w:val="00EB7B72"/>
    <w:rsid w:val="00EB7C48"/>
    <w:rsid w:val="00EB7CF0"/>
    <w:rsid w:val="00EB7EFC"/>
    <w:rsid w:val="00EC012C"/>
    <w:rsid w:val="00EC0191"/>
    <w:rsid w:val="00EC0793"/>
    <w:rsid w:val="00EC08D2"/>
    <w:rsid w:val="00EC095B"/>
    <w:rsid w:val="00EC0CBC"/>
    <w:rsid w:val="00EC0D0C"/>
    <w:rsid w:val="00EC0E55"/>
    <w:rsid w:val="00EC0F5D"/>
    <w:rsid w:val="00EC0F8B"/>
    <w:rsid w:val="00EC107F"/>
    <w:rsid w:val="00EC10DD"/>
    <w:rsid w:val="00EC114D"/>
    <w:rsid w:val="00EC1211"/>
    <w:rsid w:val="00EC1574"/>
    <w:rsid w:val="00EC15FA"/>
    <w:rsid w:val="00EC1A7C"/>
    <w:rsid w:val="00EC1CF5"/>
    <w:rsid w:val="00EC1D52"/>
    <w:rsid w:val="00EC1D92"/>
    <w:rsid w:val="00EC1EA7"/>
    <w:rsid w:val="00EC21BF"/>
    <w:rsid w:val="00EC2485"/>
    <w:rsid w:val="00EC2503"/>
    <w:rsid w:val="00EC2570"/>
    <w:rsid w:val="00EC2988"/>
    <w:rsid w:val="00EC2B0F"/>
    <w:rsid w:val="00EC2C4A"/>
    <w:rsid w:val="00EC2DB9"/>
    <w:rsid w:val="00EC3081"/>
    <w:rsid w:val="00EC3303"/>
    <w:rsid w:val="00EC3460"/>
    <w:rsid w:val="00EC34D2"/>
    <w:rsid w:val="00EC35C1"/>
    <w:rsid w:val="00EC35FB"/>
    <w:rsid w:val="00EC38D4"/>
    <w:rsid w:val="00EC3A53"/>
    <w:rsid w:val="00EC3A96"/>
    <w:rsid w:val="00EC3CD2"/>
    <w:rsid w:val="00EC4540"/>
    <w:rsid w:val="00EC45D1"/>
    <w:rsid w:val="00EC4750"/>
    <w:rsid w:val="00EC4B57"/>
    <w:rsid w:val="00EC4CC5"/>
    <w:rsid w:val="00EC4CFC"/>
    <w:rsid w:val="00EC4FEE"/>
    <w:rsid w:val="00EC5262"/>
    <w:rsid w:val="00EC529B"/>
    <w:rsid w:val="00EC5305"/>
    <w:rsid w:val="00EC5456"/>
    <w:rsid w:val="00EC5A2A"/>
    <w:rsid w:val="00EC5EB5"/>
    <w:rsid w:val="00EC5F66"/>
    <w:rsid w:val="00EC601D"/>
    <w:rsid w:val="00EC6101"/>
    <w:rsid w:val="00EC63B7"/>
    <w:rsid w:val="00EC6409"/>
    <w:rsid w:val="00EC6791"/>
    <w:rsid w:val="00EC67C1"/>
    <w:rsid w:val="00EC6A92"/>
    <w:rsid w:val="00EC6B00"/>
    <w:rsid w:val="00EC6CD7"/>
    <w:rsid w:val="00EC6CED"/>
    <w:rsid w:val="00EC6CFA"/>
    <w:rsid w:val="00EC6DBB"/>
    <w:rsid w:val="00EC6EA4"/>
    <w:rsid w:val="00EC6FEE"/>
    <w:rsid w:val="00EC71E8"/>
    <w:rsid w:val="00EC73AC"/>
    <w:rsid w:val="00EC744B"/>
    <w:rsid w:val="00EC75CC"/>
    <w:rsid w:val="00EC75F8"/>
    <w:rsid w:val="00EC779B"/>
    <w:rsid w:val="00EC7C97"/>
    <w:rsid w:val="00EC7D12"/>
    <w:rsid w:val="00EC7E3D"/>
    <w:rsid w:val="00EC7EB7"/>
    <w:rsid w:val="00ED00B2"/>
    <w:rsid w:val="00ED00F9"/>
    <w:rsid w:val="00ED00FE"/>
    <w:rsid w:val="00ED0123"/>
    <w:rsid w:val="00ED01CA"/>
    <w:rsid w:val="00ED0313"/>
    <w:rsid w:val="00ED0395"/>
    <w:rsid w:val="00ED0396"/>
    <w:rsid w:val="00ED05CF"/>
    <w:rsid w:val="00ED05E0"/>
    <w:rsid w:val="00ED08AB"/>
    <w:rsid w:val="00ED0BBD"/>
    <w:rsid w:val="00ED0DCC"/>
    <w:rsid w:val="00ED0DFD"/>
    <w:rsid w:val="00ED0F1E"/>
    <w:rsid w:val="00ED110B"/>
    <w:rsid w:val="00ED11B1"/>
    <w:rsid w:val="00ED130C"/>
    <w:rsid w:val="00ED1C69"/>
    <w:rsid w:val="00ED1F05"/>
    <w:rsid w:val="00ED2057"/>
    <w:rsid w:val="00ED2157"/>
    <w:rsid w:val="00ED23C8"/>
    <w:rsid w:val="00ED241F"/>
    <w:rsid w:val="00ED2789"/>
    <w:rsid w:val="00ED2882"/>
    <w:rsid w:val="00ED29DB"/>
    <w:rsid w:val="00ED2A5D"/>
    <w:rsid w:val="00ED2A8E"/>
    <w:rsid w:val="00ED2AD0"/>
    <w:rsid w:val="00ED2C75"/>
    <w:rsid w:val="00ED2E8C"/>
    <w:rsid w:val="00ED2FA1"/>
    <w:rsid w:val="00ED33C5"/>
    <w:rsid w:val="00ED35F5"/>
    <w:rsid w:val="00ED36FD"/>
    <w:rsid w:val="00ED3A26"/>
    <w:rsid w:val="00ED3B6E"/>
    <w:rsid w:val="00ED3BDF"/>
    <w:rsid w:val="00ED403C"/>
    <w:rsid w:val="00ED4995"/>
    <w:rsid w:val="00ED4C24"/>
    <w:rsid w:val="00ED4D00"/>
    <w:rsid w:val="00ED4E17"/>
    <w:rsid w:val="00ED4EB1"/>
    <w:rsid w:val="00ED507E"/>
    <w:rsid w:val="00ED5317"/>
    <w:rsid w:val="00ED537C"/>
    <w:rsid w:val="00ED544C"/>
    <w:rsid w:val="00ED54F1"/>
    <w:rsid w:val="00ED5584"/>
    <w:rsid w:val="00ED5622"/>
    <w:rsid w:val="00ED563D"/>
    <w:rsid w:val="00ED57AF"/>
    <w:rsid w:val="00ED5DE3"/>
    <w:rsid w:val="00ED5E1B"/>
    <w:rsid w:val="00ED6366"/>
    <w:rsid w:val="00ED663D"/>
    <w:rsid w:val="00ED664A"/>
    <w:rsid w:val="00ED6729"/>
    <w:rsid w:val="00ED68F2"/>
    <w:rsid w:val="00ED6B03"/>
    <w:rsid w:val="00ED6C30"/>
    <w:rsid w:val="00ED6F4A"/>
    <w:rsid w:val="00ED7028"/>
    <w:rsid w:val="00ED7583"/>
    <w:rsid w:val="00ED75C5"/>
    <w:rsid w:val="00ED7643"/>
    <w:rsid w:val="00ED77E2"/>
    <w:rsid w:val="00ED7C5A"/>
    <w:rsid w:val="00ED7D1F"/>
    <w:rsid w:val="00ED7D33"/>
    <w:rsid w:val="00ED7EF1"/>
    <w:rsid w:val="00ED7F0E"/>
    <w:rsid w:val="00ED7F63"/>
    <w:rsid w:val="00EE01D6"/>
    <w:rsid w:val="00EE052F"/>
    <w:rsid w:val="00EE0665"/>
    <w:rsid w:val="00EE06C2"/>
    <w:rsid w:val="00EE06D6"/>
    <w:rsid w:val="00EE08D8"/>
    <w:rsid w:val="00EE0932"/>
    <w:rsid w:val="00EE0A36"/>
    <w:rsid w:val="00EE0ADB"/>
    <w:rsid w:val="00EE0BF3"/>
    <w:rsid w:val="00EE0C54"/>
    <w:rsid w:val="00EE0D00"/>
    <w:rsid w:val="00EE0DC1"/>
    <w:rsid w:val="00EE0DF7"/>
    <w:rsid w:val="00EE13D0"/>
    <w:rsid w:val="00EE1409"/>
    <w:rsid w:val="00EE142C"/>
    <w:rsid w:val="00EE1603"/>
    <w:rsid w:val="00EE18C9"/>
    <w:rsid w:val="00EE18DD"/>
    <w:rsid w:val="00EE1A10"/>
    <w:rsid w:val="00EE1A1D"/>
    <w:rsid w:val="00EE1D21"/>
    <w:rsid w:val="00EE2593"/>
    <w:rsid w:val="00EE25C9"/>
    <w:rsid w:val="00EE26FD"/>
    <w:rsid w:val="00EE2A72"/>
    <w:rsid w:val="00EE2C31"/>
    <w:rsid w:val="00EE2F03"/>
    <w:rsid w:val="00EE31A6"/>
    <w:rsid w:val="00EE328A"/>
    <w:rsid w:val="00EE335C"/>
    <w:rsid w:val="00EE3439"/>
    <w:rsid w:val="00EE349A"/>
    <w:rsid w:val="00EE3525"/>
    <w:rsid w:val="00EE3649"/>
    <w:rsid w:val="00EE39C9"/>
    <w:rsid w:val="00EE3A53"/>
    <w:rsid w:val="00EE3A77"/>
    <w:rsid w:val="00EE3C6B"/>
    <w:rsid w:val="00EE3E95"/>
    <w:rsid w:val="00EE3FB7"/>
    <w:rsid w:val="00EE431F"/>
    <w:rsid w:val="00EE4471"/>
    <w:rsid w:val="00EE44D8"/>
    <w:rsid w:val="00EE455C"/>
    <w:rsid w:val="00EE4906"/>
    <w:rsid w:val="00EE497F"/>
    <w:rsid w:val="00EE4CAC"/>
    <w:rsid w:val="00EE4ED5"/>
    <w:rsid w:val="00EE51F5"/>
    <w:rsid w:val="00EE564C"/>
    <w:rsid w:val="00EE570B"/>
    <w:rsid w:val="00EE5723"/>
    <w:rsid w:val="00EE5BF7"/>
    <w:rsid w:val="00EE5EEC"/>
    <w:rsid w:val="00EE5FA7"/>
    <w:rsid w:val="00EE6035"/>
    <w:rsid w:val="00EE6037"/>
    <w:rsid w:val="00EE61D7"/>
    <w:rsid w:val="00EE62E4"/>
    <w:rsid w:val="00EE6406"/>
    <w:rsid w:val="00EE6755"/>
    <w:rsid w:val="00EE6C91"/>
    <w:rsid w:val="00EE6D74"/>
    <w:rsid w:val="00EE70BE"/>
    <w:rsid w:val="00EE71E6"/>
    <w:rsid w:val="00EE71FE"/>
    <w:rsid w:val="00EE723C"/>
    <w:rsid w:val="00EE7635"/>
    <w:rsid w:val="00EE7985"/>
    <w:rsid w:val="00EE7AB0"/>
    <w:rsid w:val="00EF01F2"/>
    <w:rsid w:val="00EF05DC"/>
    <w:rsid w:val="00EF069A"/>
    <w:rsid w:val="00EF08C6"/>
    <w:rsid w:val="00EF0B19"/>
    <w:rsid w:val="00EF0E98"/>
    <w:rsid w:val="00EF0F99"/>
    <w:rsid w:val="00EF1270"/>
    <w:rsid w:val="00EF1368"/>
    <w:rsid w:val="00EF138A"/>
    <w:rsid w:val="00EF17E1"/>
    <w:rsid w:val="00EF1850"/>
    <w:rsid w:val="00EF1998"/>
    <w:rsid w:val="00EF1E2C"/>
    <w:rsid w:val="00EF1EB0"/>
    <w:rsid w:val="00EF2204"/>
    <w:rsid w:val="00EF242C"/>
    <w:rsid w:val="00EF25D8"/>
    <w:rsid w:val="00EF26C5"/>
    <w:rsid w:val="00EF28B2"/>
    <w:rsid w:val="00EF2A3F"/>
    <w:rsid w:val="00EF2B46"/>
    <w:rsid w:val="00EF2CAE"/>
    <w:rsid w:val="00EF2EA3"/>
    <w:rsid w:val="00EF2EB1"/>
    <w:rsid w:val="00EF2FDA"/>
    <w:rsid w:val="00EF30DD"/>
    <w:rsid w:val="00EF38C8"/>
    <w:rsid w:val="00EF39AB"/>
    <w:rsid w:val="00EF3ECA"/>
    <w:rsid w:val="00EF3EE3"/>
    <w:rsid w:val="00EF3F41"/>
    <w:rsid w:val="00EF3FD0"/>
    <w:rsid w:val="00EF40A8"/>
    <w:rsid w:val="00EF4121"/>
    <w:rsid w:val="00EF42D8"/>
    <w:rsid w:val="00EF4589"/>
    <w:rsid w:val="00EF4777"/>
    <w:rsid w:val="00EF49D8"/>
    <w:rsid w:val="00EF49EA"/>
    <w:rsid w:val="00EF4A1E"/>
    <w:rsid w:val="00EF4A4D"/>
    <w:rsid w:val="00EF4C71"/>
    <w:rsid w:val="00EF4C81"/>
    <w:rsid w:val="00EF4E8D"/>
    <w:rsid w:val="00EF4F95"/>
    <w:rsid w:val="00EF527F"/>
    <w:rsid w:val="00EF53E0"/>
    <w:rsid w:val="00EF5486"/>
    <w:rsid w:val="00EF551E"/>
    <w:rsid w:val="00EF5744"/>
    <w:rsid w:val="00EF57F0"/>
    <w:rsid w:val="00EF57F2"/>
    <w:rsid w:val="00EF59F9"/>
    <w:rsid w:val="00EF5A50"/>
    <w:rsid w:val="00EF5CB4"/>
    <w:rsid w:val="00EF5DD5"/>
    <w:rsid w:val="00EF62A7"/>
    <w:rsid w:val="00EF6C03"/>
    <w:rsid w:val="00EF6C57"/>
    <w:rsid w:val="00EF6CCB"/>
    <w:rsid w:val="00EF6FCB"/>
    <w:rsid w:val="00EF713B"/>
    <w:rsid w:val="00EF71F6"/>
    <w:rsid w:val="00EF721C"/>
    <w:rsid w:val="00EF76A0"/>
    <w:rsid w:val="00EF76E8"/>
    <w:rsid w:val="00EF7B63"/>
    <w:rsid w:val="00F001F8"/>
    <w:rsid w:val="00F0035F"/>
    <w:rsid w:val="00F00A80"/>
    <w:rsid w:val="00F00C8A"/>
    <w:rsid w:val="00F00DC6"/>
    <w:rsid w:val="00F00F24"/>
    <w:rsid w:val="00F0112B"/>
    <w:rsid w:val="00F01170"/>
    <w:rsid w:val="00F01580"/>
    <w:rsid w:val="00F018E6"/>
    <w:rsid w:val="00F018FA"/>
    <w:rsid w:val="00F01EB7"/>
    <w:rsid w:val="00F0201B"/>
    <w:rsid w:val="00F02126"/>
    <w:rsid w:val="00F023CA"/>
    <w:rsid w:val="00F02447"/>
    <w:rsid w:val="00F024CD"/>
    <w:rsid w:val="00F0254D"/>
    <w:rsid w:val="00F02619"/>
    <w:rsid w:val="00F0285D"/>
    <w:rsid w:val="00F02AF2"/>
    <w:rsid w:val="00F02EE6"/>
    <w:rsid w:val="00F02F36"/>
    <w:rsid w:val="00F030C9"/>
    <w:rsid w:val="00F030ED"/>
    <w:rsid w:val="00F03171"/>
    <w:rsid w:val="00F031E2"/>
    <w:rsid w:val="00F0345C"/>
    <w:rsid w:val="00F03624"/>
    <w:rsid w:val="00F03CBA"/>
    <w:rsid w:val="00F03EA0"/>
    <w:rsid w:val="00F042D8"/>
    <w:rsid w:val="00F04422"/>
    <w:rsid w:val="00F0455F"/>
    <w:rsid w:val="00F045C4"/>
    <w:rsid w:val="00F04AF8"/>
    <w:rsid w:val="00F04F5B"/>
    <w:rsid w:val="00F052A9"/>
    <w:rsid w:val="00F0556A"/>
    <w:rsid w:val="00F059E4"/>
    <w:rsid w:val="00F05CEE"/>
    <w:rsid w:val="00F05D3C"/>
    <w:rsid w:val="00F05D53"/>
    <w:rsid w:val="00F05F44"/>
    <w:rsid w:val="00F05FDB"/>
    <w:rsid w:val="00F06851"/>
    <w:rsid w:val="00F068C7"/>
    <w:rsid w:val="00F069E3"/>
    <w:rsid w:val="00F06BFB"/>
    <w:rsid w:val="00F06F03"/>
    <w:rsid w:val="00F072A2"/>
    <w:rsid w:val="00F0741E"/>
    <w:rsid w:val="00F07549"/>
    <w:rsid w:val="00F07604"/>
    <w:rsid w:val="00F076A0"/>
    <w:rsid w:val="00F07776"/>
    <w:rsid w:val="00F07C68"/>
    <w:rsid w:val="00F07E4C"/>
    <w:rsid w:val="00F1026D"/>
    <w:rsid w:val="00F10431"/>
    <w:rsid w:val="00F1062E"/>
    <w:rsid w:val="00F1068F"/>
    <w:rsid w:val="00F10735"/>
    <w:rsid w:val="00F108ED"/>
    <w:rsid w:val="00F10AC5"/>
    <w:rsid w:val="00F10BC7"/>
    <w:rsid w:val="00F10ED6"/>
    <w:rsid w:val="00F11601"/>
    <w:rsid w:val="00F1175F"/>
    <w:rsid w:val="00F11AF1"/>
    <w:rsid w:val="00F11D47"/>
    <w:rsid w:val="00F1222C"/>
    <w:rsid w:val="00F122D1"/>
    <w:rsid w:val="00F122DB"/>
    <w:rsid w:val="00F1230E"/>
    <w:rsid w:val="00F124F6"/>
    <w:rsid w:val="00F12AA7"/>
    <w:rsid w:val="00F12B10"/>
    <w:rsid w:val="00F12BB7"/>
    <w:rsid w:val="00F12FC8"/>
    <w:rsid w:val="00F12FCA"/>
    <w:rsid w:val="00F132BF"/>
    <w:rsid w:val="00F1346C"/>
    <w:rsid w:val="00F134E5"/>
    <w:rsid w:val="00F1368E"/>
    <w:rsid w:val="00F138E7"/>
    <w:rsid w:val="00F13906"/>
    <w:rsid w:val="00F13BFB"/>
    <w:rsid w:val="00F13D0E"/>
    <w:rsid w:val="00F13E35"/>
    <w:rsid w:val="00F13E85"/>
    <w:rsid w:val="00F1424A"/>
    <w:rsid w:val="00F142FC"/>
    <w:rsid w:val="00F1461A"/>
    <w:rsid w:val="00F146BD"/>
    <w:rsid w:val="00F146CD"/>
    <w:rsid w:val="00F14704"/>
    <w:rsid w:val="00F1484A"/>
    <w:rsid w:val="00F14904"/>
    <w:rsid w:val="00F14A50"/>
    <w:rsid w:val="00F14A71"/>
    <w:rsid w:val="00F14A9E"/>
    <w:rsid w:val="00F14E42"/>
    <w:rsid w:val="00F14E5F"/>
    <w:rsid w:val="00F1501C"/>
    <w:rsid w:val="00F150D8"/>
    <w:rsid w:val="00F15120"/>
    <w:rsid w:val="00F1543B"/>
    <w:rsid w:val="00F15529"/>
    <w:rsid w:val="00F15561"/>
    <w:rsid w:val="00F157F6"/>
    <w:rsid w:val="00F1583A"/>
    <w:rsid w:val="00F159E4"/>
    <w:rsid w:val="00F15B09"/>
    <w:rsid w:val="00F15CB0"/>
    <w:rsid w:val="00F15E37"/>
    <w:rsid w:val="00F15FF5"/>
    <w:rsid w:val="00F16017"/>
    <w:rsid w:val="00F16052"/>
    <w:rsid w:val="00F1610E"/>
    <w:rsid w:val="00F1613D"/>
    <w:rsid w:val="00F16249"/>
    <w:rsid w:val="00F1641E"/>
    <w:rsid w:val="00F1654D"/>
    <w:rsid w:val="00F166FA"/>
    <w:rsid w:val="00F168BF"/>
    <w:rsid w:val="00F16A87"/>
    <w:rsid w:val="00F16C6C"/>
    <w:rsid w:val="00F16D5B"/>
    <w:rsid w:val="00F16F93"/>
    <w:rsid w:val="00F1719F"/>
    <w:rsid w:val="00F17414"/>
    <w:rsid w:val="00F17541"/>
    <w:rsid w:val="00F1756B"/>
    <w:rsid w:val="00F1759B"/>
    <w:rsid w:val="00F176F0"/>
    <w:rsid w:val="00F17820"/>
    <w:rsid w:val="00F17A16"/>
    <w:rsid w:val="00F17DD5"/>
    <w:rsid w:val="00F17FBF"/>
    <w:rsid w:val="00F1C765"/>
    <w:rsid w:val="00F202D5"/>
    <w:rsid w:val="00F20468"/>
    <w:rsid w:val="00F2050A"/>
    <w:rsid w:val="00F20725"/>
    <w:rsid w:val="00F20769"/>
    <w:rsid w:val="00F208BA"/>
    <w:rsid w:val="00F20CDE"/>
    <w:rsid w:val="00F20D52"/>
    <w:rsid w:val="00F20EFD"/>
    <w:rsid w:val="00F21395"/>
    <w:rsid w:val="00F213E0"/>
    <w:rsid w:val="00F2150B"/>
    <w:rsid w:val="00F215A5"/>
    <w:rsid w:val="00F216C3"/>
    <w:rsid w:val="00F21CE2"/>
    <w:rsid w:val="00F21CF1"/>
    <w:rsid w:val="00F21D32"/>
    <w:rsid w:val="00F21DB6"/>
    <w:rsid w:val="00F223C3"/>
    <w:rsid w:val="00F223CD"/>
    <w:rsid w:val="00F2243C"/>
    <w:rsid w:val="00F2296B"/>
    <w:rsid w:val="00F22BEF"/>
    <w:rsid w:val="00F22E40"/>
    <w:rsid w:val="00F23300"/>
    <w:rsid w:val="00F236C5"/>
    <w:rsid w:val="00F23708"/>
    <w:rsid w:val="00F2380B"/>
    <w:rsid w:val="00F239DD"/>
    <w:rsid w:val="00F239FF"/>
    <w:rsid w:val="00F23C25"/>
    <w:rsid w:val="00F23CB2"/>
    <w:rsid w:val="00F23DB4"/>
    <w:rsid w:val="00F23F79"/>
    <w:rsid w:val="00F23FE4"/>
    <w:rsid w:val="00F240AB"/>
    <w:rsid w:val="00F240EA"/>
    <w:rsid w:val="00F2414C"/>
    <w:rsid w:val="00F242D1"/>
    <w:rsid w:val="00F24620"/>
    <w:rsid w:val="00F24665"/>
    <w:rsid w:val="00F2468F"/>
    <w:rsid w:val="00F24701"/>
    <w:rsid w:val="00F24711"/>
    <w:rsid w:val="00F249E3"/>
    <w:rsid w:val="00F249E8"/>
    <w:rsid w:val="00F249EF"/>
    <w:rsid w:val="00F24B04"/>
    <w:rsid w:val="00F24C75"/>
    <w:rsid w:val="00F24DA4"/>
    <w:rsid w:val="00F2519A"/>
    <w:rsid w:val="00F25581"/>
    <w:rsid w:val="00F255D7"/>
    <w:rsid w:val="00F258A2"/>
    <w:rsid w:val="00F25937"/>
    <w:rsid w:val="00F26052"/>
    <w:rsid w:val="00F261DF"/>
    <w:rsid w:val="00F263DF"/>
    <w:rsid w:val="00F268E4"/>
    <w:rsid w:val="00F26A89"/>
    <w:rsid w:val="00F26BD2"/>
    <w:rsid w:val="00F26C50"/>
    <w:rsid w:val="00F26CEA"/>
    <w:rsid w:val="00F26DB7"/>
    <w:rsid w:val="00F26E38"/>
    <w:rsid w:val="00F26F8A"/>
    <w:rsid w:val="00F26FDA"/>
    <w:rsid w:val="00F27271"/>
    <w:rsid w:val="00F272A2"/>
    <w:rsid w:val="00F27301"/>
    <w:rsid w:val="00F27393"/>
    <w:rsid w:val="00F27589"/>
    <w:rsid w:val="00F2761E"/>
    <w:rsid w:val="00F276D5"/>
    <w:rsid w:val="00F277F7"/>
    <w:rsid w:val="00F279DC"/>
    <w:rsid w:val="00F27EDF"/>
    <w:rsid w:val="00F27F51"/>
    <w:rsid w:val="00F3038E"/>
    <w:rsid w:val="00F304A4"/>
    <w:rsid w:val="00F304E2"/>
    <w:rsid w:val="00F306D4"/>
    <w:rsid w:val="00F308D9"/>
    <w:rsid w:val="00F30B6B"/>
    <w:rsid w:val="00F30C58"/>
    <w:rsid w:val="00F30D01"/>
    <w:rsid w:val="00F30E80"/>
    <w:rsid w:val="00F30E9A"/>
    <w:rsid w:val="00F31097"/>
    <w:rsid w:val="00F313C7"/>
    <w:rsid w:val="00F3150A"/>
    <w:rsid w:val="00F31991"/>
    <w:rsid w:val="00F31ADE"/>
    <w:rsid w:val="00F31E93"/>
    <w:rsid w:val="00F31F5D"/>
    <w:rsid w:val="00F32126"/>
    <w:rsid w:val="00F32495"/>
    <w:rsid w:val="00F32A27"/>
    <w:rsid w:val="00F32A36"/>
    <w:rsid w:val="00F32DBD"/>
    <w:rsid w:val="00F32E85"/>
    <w:rsid w:val="00F32F3E"/>
    <w:rsid w:val="00F334D8"/>
    <w:rsid w:val="00F33FA2"/>
    <w:rsid w:val="00F3403C"/>
    <w:rsid w:val="00F3403D"/>
    <w:rsid w:val="00F340E5"/>
    <w:rsid w:val="00F342EE"/>
    <w:rsid w:val="00F34412"/>
    <w:rsid w:val="00F34F2D"/>
    <w:rsid w:val="00F35451"/>
    <w:rsid w:val="00F358CA"/>
    <w:rsid w:val="00F35E07"/>
    <w:rsid w:val="00F35FEE"/>
    <w:rsid w:val="00F36104"/>
    <w:rsid w:val="00F363F5"/>
    <w:rsid w:val="00F3650A"/>
    <w:rsid w:val="00F365FD"/>
    <w:rsid w:val="00F36D05"/>
    <w:rsid w:val="00F36D1D"/>
    <w:rsid w:val="00F36D95"/>
    <w:rsid w:val="00F36E36"/>
    <w:rsid w:val="00F36EC0"/>
    <w:rsid w:val="00F37075"/>
    <w:rsid w:val="00F374D1"/>
    <w:rsid w:val="00F3753F"/>
    <w:rsid w:val="00F37768"/>
    <w:rsid w:val="00F378E4"/>
    <w:rsid w:val="00F37B88"/>
    <w:rsid w:val="00F37B8C"/>
    <w:rsid w:val="00F37C12"/>
    <w:rsid w:val="00F37D36"/>
    <w:rsid w:val="00F37DE6"/>
    <w:rsid w:val="00F37FB8"/>
    <w:rsid w:val="00F4012B"/>
    <w:rsid w:val="00F402CB"/>
    <w:rsid w:val="00F403E8"/>
    <w:rsid w:val="00F404C5"/>
    <w:rsid w:val="00F406E5"/>
    <w:rsid w:val="00F4092C"/>
    <w:rsid w:val="00F4096B"/>
    <w:rsid w:val="00F40A48"/>
    <w:rsid w:val="00F40B09"/>
    <w:rsid w:val="00F40D88"/>
    <w:rsid w:val="00F410C2"/>
    <w:rsid w:val="00F41197"/>
    <w:rsid w:val="00F4120F"/>
    <w:rsid w:val="00F4127F"/>
    <w:rsid w:val="00F41283"/>
    <w:rsid w:val="00F412A5"/>
    <w:rsid w:val="00F4132A"/>
    <w:rsid w:val="00F416A2"/>
    <w:rsid w:val="00F41744"/>
    <w:rsid w:val="00F4194A"/>
    <w:rsid w:val="00F41C03"/>
    <w:rsid w:val="00F41D22"/>
    <w:rsid w:val="00F41DE1"/>
    <w:rsid w:val="00F41E43"/>
    <w:rsid w:val="00F423BC"/>
    <w:rsid w:val="00F4249D"/>
    <w:rsid w:val="00F42B87"/>
    <w:rsid w:val="00F42DF8"/>
    <w:rsid w:val="00F42E05"/>
    <w:rsid w:val="00F42E66"/>
    <w:rsid w:val="00F42FBD"/>
    <w:rsid w:val="00F43191"/>
    <w:rsid w:val="00F43280"/>
    <w:rsid w:val="00F43324"/>
    <w:rsid w:val="00F43361"/>
    <w:rsid w:val="00F43419"/>
    <w:rsid w:val="00F4343C"/>
    <w:rsid w:val="00F4348C"/>
    <w:rsid w:val="00F43500"/>
    <w:rsid w:val="00F4351F"/>
    <w:rsid w:val="00F436C6"/>
    <w:rsid w:val="00F43CAA"/>
    <w:rsid w:val="00F43DCA"/>
    <w:rsid w:val="00F43E0D"/>
    <w:rsid w:val="00F4445C"/>
    <w:rsid w:val="00F444AD"/>
    <w:rsid w:val="00F446E4"/>
    <w:rsid w:val="00F4472C"/>
    <w:rsid w:val="00F4478A"/>
    <w:rsid w:val="00F44836"/>
    <w:rsid w:val="00F44E30"/>
    <w:rsid w:val="00F45068"/>
    <w:rsid w:val="00F453CD"/>
    <w:rsid w:val="00F45ADB"/>
    <w:rsid w:val="00F45C8C"/>
    <w:rsid w:val="00F45C8F"/>
    <w:rsid w:val="00F4604F"/>
    <w:rsid w:val="00F46212"/>
    <w:rsid w:val="00F46347"/>
    <w:rsid w:val="00F46556"/>
    <w:rsid w:val="00F46602"/>
    <w:rsid w:val="00F466AE"/>
    <w:rsid w:val="00F466BE"/>
    <w:rsid w:val="00F46843"/>
    <w:rsid w:val="00F46949"/>
    <w:rsid w:val="00F469F3"/>
    <w:rsid w:val="00F46A7D"/>
    <w:rsid w:val="00F46D0F"/>
    <w:rsid w:val="00F46DA7"/>
    <w:rsid w:val="00F46FD7"/>
    <w:rsid w:val="00F471FD"/>
    <w:rsid w:val="00F4723B"/>
    <w:rsid w:val="00F47329"/>
    <w:rsid w:val="00F474CD"/>
    <w:rsid w:val="00F474FC"/>
    <w:rsid w:val="00F47838"/>
    <w:rsid w:val="00F47A5D"/>
    <w:rsid w:val="00F47A7B"/>
    <w:rsid w:val="00F47CEB"/>
    <w:rsid w:val="00F47EEB"/>
    <w:rsid w:val="00F501AB"/>
    <w:rsid w:val="00F5049C"/>
    <w:rsid w:val="00F50663"/>
    <w:rsid w:val="00F50928"/>
    <w:rsid w:val="00F5096B"/>
    <w:rsid w:val="00F509D1"/>
    <w:rsid w:val="00F50A10"/>
    <w:rsid w:val="00F50B1A"/>
    <w:rsid w:val="00F50D99"/>
    <w:rsid w:val="00F50DAF"/>
    <w:rsid w:val="00F50E1A"/>
    <w:rsid w:val="00F50E30"/>
    <w:rsid w:val="00F50E8B"/>
    <w:rsid w:val="00F50EB5"/>
    <w:rsid w:val="00F51208"/>
    <w:rsid w:val="00F51525"/>
    <w:rsid w:val="00F51551"/>
    <w:rsid w:val="00F522F8"/>
    <w:rsid w:val="00F5244D"/>
    <w:rsid w:val="00F52682"/>
    <w:rsid w:val="00F52770"/>
    <w:rsid w:val="00F52A35"/>
    <w:rsid w:val="00F52AB4"/>
    <w:rsid w:val="00F52C56"/>
    <w:rsid w:val="00F53015"/>
    <w:rsid w:val="00F53051"/>
    <w:rsid w:val="00F533BA"/>
    <w:rsid w:val="00F5349F"/>
    <w:rsid w:val="00F53758"/>
    <w:rsid w:val="00F5387D"/>
    <w:rsid w:val="00F539A5"/>
    <w:rsid w:val="00F53E48"/>
    <w:rsid w:val="00F53E5B"/>
    <w:rsid w:val="00F53E8A"/>
    <w:rsid w:val="00F541B3"/>
    <w:rsid w:val="00F541D0"/>
    <w:rsid w:val="00F54324"/>
    <w:rsid w:val="00F545C8"/>
    <w:rsid w:val="00F54795"/>
    <w:rsid w:val="00F548C7"/>
    <w:rsid w:val="00F549F2"/>
    <w:rsid w:val="00F54A15"/>
    <w:rsid w:val="00F54B1B"/>
    <w:rsid w:val="00F54B65"/>
    <w:rsid w:val="00F551A2"/>
    <w:rsid w:val="00F553CE"/>
    <w:rsid w:val="00F553F9"/>
    <w:rsid w:val="00F5549F"/>
    <w:rsid w:val="00F55600"/>
    <w:rsid w:val="00F557E1"/>
    <w:rsid w:val="00F55B6D"/>
    <w:rsid w:val="00F55DB7"/>
    <w:rsid w:val="00F55E36"/>
    <w:rsid w:val="00F55E43"/>
    <w:rsid w:val="00F55F03"/>
    <w:rsid w:val="00F55FBC"/>
    <w:rsid w:val="00F5623E"/>
    <w:rsid w:val="00F56270"/>
    <w:rsid w:val="00F56720"/>
    <w:rsid w:val="00F56827"/>
    <w:rsid w:val="00F56953"/>
    <w:rsid w:val="00F56992"/>
    <w:rsid w:val="00F56B58"/>
    <w:rsid w:val="00F56C40"/>
    <w:rsid w:val="00F56D26"/>
    <w:rsid w:val="00F56FD7"/>
    <w:rsid w:val="00F57173"/>
    <w:rsid w:val="00F572FE"/>
    <w:rsid w:val="00F57322"/>
    <w:rsid w:val="00F578DD"/>
    <w:rsid w:val="00F57A6F"/>
    <w:rsid w:val="00F57CD6"/>
    <w:rsid w:val="00F57D66"/>
    <w:rsid w:val="00F60071"/>
    <w:rsid w:val="00F601CF"/>
    <w:rsid w:val="00F60299"/>
    <w:rsid w:val="00F60586"/>
    <w:rsid w:val="00F60782"/>
    <w:rsid w:val="00F60D61"/>
    <w:rsid w:val="00F60DE1"/>
    <w:rsid w:val="00F6125A"/>
    <w:rsid w:val="00F613ED"/>
    <w:rsid w:val="00F61480"/>
    <w:rsid w:val="00F61579"/>
    <w:rsid w:val="00F617C9"/>
    <w:rsid w:val="00F61800"/>
    <w:rsid w:val="00F61856"/>
    <w:rsid w:val="00F61958"/>
    <w:rsid w:val="00F61AE4"/>
    <w:rsid w:val="00F61B65"/>
    <w:rsid w:val="00F61F4D"/>
    <w:rsid w:val="00F61FB9"/>
    <w:rsid w:val="00F62109"/>
    <w:rsid w:val="00F62465"/>
    <w:rsid w:val="00F625FF"/>
    <w:rsid w:val="00F62967"/>
    <w:rsid w:val="00F629AF"/>
    <w:rsid w:val="00F62A33"/>
    <w:rsid w:val="00F62B09"/>
    <w:rsid w:val="00F62EAB"/>
    <w:rsid w:val="00F62EC6"/>
    <w:rsid w:val="00F63233"/>
    <w:rsid w:val="00F633CD"/>
    <w:rsid w:val="00F63415"/>
    <w:rsid w:val="00F63448"/>
    <w:rsid w:val="00F63463"/>
    <w:rsid w:val="00F6356C"/>
    <w:rsid w:val="00F635FA"/>
    <w:rsid w:val="00F63686"/>
    <w:rsid w:val="00F63991"/>
    <w:rsid w:val="00F639D9"/>
    <w:rsid w:val="00F6404A"/>
    <w:rsid w:val="00F64612"/>
    <w:rsid w:val="00F647A9"/>
    <w:rsid w:val="00F64819"/>
    <w:rsid w:val="00F64903"/>
    <w:rsid w:val="00F64A48"/>
    <w:rsid w:val="00F64AE5"/>
    <w:rsid w:val="00F64E75"/>
    <w:rsid w:val="00F651AF"/>
    <w:rsid w:val="00F6524E"/>
    <w:rsid w:val="00F6553F"/>
    <w:rsid w:val="00F65E5A"/>
    <w:rsid w:val="00F65EE0"/>
    <w:rsid w:val="00F660BB"/>
    <w:rsid w:val="00F660E4"/>
    <w:rsid w:val="00F66125"/>
    <w:rsid w:val="00F66161"/>
    <w:rsid w:val="00F661F8"/>
    <w:rsid w:val="00F66644"/>
    <w:rsid w:val="00F66720"/>
    <w:rsid w:val="00F669B4"/>
    <w:rsid w:val="00F669E3"/>
    <w:rsid w:val="00F66A70"/>
    <w:rsid w:val="00F66BC7"/>
    <w:rsid w:val="00F66BED"/>
    <w:rsid w:val="00F66F70"/>
    <w:rsid w:val="00F67178"/>
    <w:rsid w:val="00F67291"/>
    <w:rsid w:val="00F673EA"/>
    <w:rsid w:val="00F67522"/>
    <w:rsid w:val="00F67633"/>
    <w:rsid w:val="00F67639"/>
    <w:rsid w:val="00F6773E"/>
    <w:rsid w:val="00F67747"/>
    <w:rsid w:val="00F677CE"/>
    <w:rsid w:val="00F678DC"/>
    <w:rsid w:val="00F67D03"/>
    <w:rsid w:val="00F67D16"/>
    <w:rsid w:val="00F67DF4"/>
    <w:rsid w:val="00F67F3D"/>
    <w:rsid w:val="00F67F83"/>
    <w:rsid w:val="00F70204"/>
    <w:rsid w:val="00F70631"/>
    <w:rsid w:val="00F7080A"/>
    <w:rsid w:val="00F70C47"/>
    <w:rsid w:val="00F70C8A"/>
    <w:rsid w:val="00F70D5D"/>
    <w:rsid w:val="00F70DEF"/>
    <w:rsid w:val="00F70E21"/>
    <w:rsid w:val="00F711D1"/>
    <w:rsid w:val="00F712D8"/>
    <w:rsid w:val="00F71593"/>
    <w:rsid w:val="00F716AE"/>
    <w:rsid w:val="00F716B8"/>
    <w:rsid w:val="00F71B72"/>
    <w:rsid w:val="00F71C4D"/>
    <w:rsid w:val="00F71FFC"/>
    <w:rsid w:val="00F7205A"/>
    <w:rsid w:val="00F7208A"/>
    <w:rsid w:val="00F7237F"/>
    <w:rsid w:val="00F724C6"/>
    <w:rsid w:val="00F72608"/>
    <w:rsid w:val="00F72747"/>
    <w:rsid w:val="00F728FB"/>
    <w:rsid w:val="00F72D96"/>
    <w:rsid w:val="00F72DCF"/>
    <w:rsid w:val="00F72E4D"/>
    <w:rsid w:val="00F7320C"/>
    <w:rsid w:val="00F733FA"/>
    <w:rsid w:val="00F7346E"/>
    <w:rsid w:val="00F734AC"/>
    <w:rsid w:val="00F734DF"/>
    <w:rsid w:val="00F737F2"/>
    <w:rsid w:val="00F73856"/>
    <w:rsid w:val="00F73AC1"/>
    <w:rsid w:val="00F73DD9"/>
    <w:rsid w:val="00F73ED5"/>
    <w:rsid w:val="00F73F5C"/>
    <w:rsid w:val="00F74018"/>
    <w:rsid w:val="00F741DC"/>
    <w:rsid w:val="00F742F5"/>
    <w:rsid w:val="00F74433"/>
    <w:rsid w:val="00F7469E"/>
    <w:rsid w:val="00F747B5"/>
    <w:rsid w:val="00F74822"/>
    <w:rsid w:val="00F7487F"/>
    <w:rsid w:val="00F74AB1"/>
    <w:rsid w:val="00F74BC8"/>
    <w:rsid w:val="00F74E1B"/>
    <w:rsid w:val="00F74E8C"/>
    <w:rsid w:val="00F751D0"/>
    <w:rsid w:val="00F7529B"/>
    <w:rsid w:val="00F7536A"/>
    <w:rsid w:val="00F754B1"/>
    <w:rsid w:val="00F7569B"/>
    <w:rsid w:val="00F75917"/>
    <w:rsid w:val="00F75A5A"/>
    <w:rsid w:val="00F75AF2"/>
    <w:rsid w:val="00F75B10"/>
    <w:rsid w:val="00F75BB0"/>
    <w:rsid w:val="00F75C54"/>
    <w:rsid w:val="00F75CAF"/>
    <w:rsid w:val="00F75D73"/>
    <w:rsid w:val="00F75DDC"/>
    <w:rsid w:val="00F76090"/>
    <w:rsid w:val="00F7662D"/>
    <w:rsid w:val="00F7684E"/>
    <w:rsid w:val="00F76851"/>
    <w:rsid w:val="00F769CC"/>
    <w:rsid w:val="00F76B7A"/>
    <w:rsid w:val="00F76D38"/>
    <w:rsid w:val="00F76E54"/>
    <w:rsid w:val="00F7739D"/>
    <w:rsid w:val="00F773E8"/>
    <w:rsid w:val="00F774E2"/>
    <w:rsid w:val="00F77BCF"/>
    <w:rsid w:val="00F80143"/>
    <w:rsid w:val="00F80449"/>
    <w:rsid w:val="00F80470"/>
    <w:rsid w:val="00F806CE"/>
    <w:rsid w:val="00F806D3"/>
    <w:rsid w:val="00F8082A"/>
    <w:rsid w:val="00F8097F"/>
    <w:rsid w:val="00F81482"/>
    <w:rsid w:val="00F81641"/>
    <w:rsid w:val="00F81749"/>
    <w:rsid w:val="00F81996"/>
    <w:rsid w:val="00F819EF"/>
    <w:rsid w:val="00F81A4D"/>
    <w:rsid w:val="00F81FEC"/>
    <w:rsid w:val="00F8204F"/>
    <w:rsid w:val="00F8219A"/>
    <w:rsid w:val="00F82254"/>
    <w:rsid w:val="00F82702"/>
    <w:rsid w:val="00F82856"/>
    <w:rsid w:val="00F82B3C"/>
    <w:rsid w:val="00F82F4F"/>
    <w:rsid w:val="00F8324C"/>
    <w:rsid w:val="00F833F8"/>
    <w:rsid w:val="00F83465"/>
    <w:rsid w:val="00F836F4"/>
    <w:rsid w:val="00F8370E"/>
    <w:rsid w:val="00F839D5"/>
    <w:rsid w:val="00F83BB0"/>
    <w:rsid w:val="00F83BBB"/>
    <w:rsid w:val="00F83FBD"/>
    <w:rsid w:val="00F840C2"/>
    <w:rsid w:val="00F84534"/>
    <w:rsid w:val="00F84708"/>
    <w:rsid w:val="00F84742"/>
    <w:rsid w:val="00F84EB1"/>
    <w:rsid w:val="00F84F70"/>
    <w:rsid w:val="00F850AF"/>
    <w:rsid w:val="00F85289"/>
    <w:rsid w:val="00F8530C"/>
    <w:rsid w:val="00F853A1"/>
    <w:rsid w:val="00F85429"/>
    <w:rsid w:val="00F85868"/>
    <w:rsid w:val="00F859F3"/>
    <w:rsid w:val="00F85AFE"/>
    <w:rsid w:val="00F85B50"/>
    <w:rsid w:val="00F86096"/>
    <w:rsid w:val="00F860A7"/>
    <w:rsid w:val="00F8623B"/>
    <w:rsid w:val="00F86279"/>
    <w:rsid w:val="00F86292"/>
    <w:rsid w:val="00F864D9"/>
    <w:rsid w:val="00F86596"/>
    <w:rsid w:val="00F865A8"/>
    <w:rsid w:val="00F86677"/>
    <w:rsid w:val="00F8670E"/>
    <w:rsid w:val="00F86994"/>
    <w:rsid w:val="00F86FAA"/>
    <w:rsid w:val="00F8707D"/>
    <w:rsid w:val="00F871C8"/>
    <w:rsid w:val="00F87319"/>
    <w:rsid w:val="00F8732E"/>
    <w:rsid w:val="00F875BD"/>
    <w:rsid w:val="00F87729"/>
    <w:rsid w:val="00F877B7"/>
    <w:rsid w:val="00F87932"/>
    <w:rsid w:val="00F87E27"/>
    <w:rsid w:val="00F9003B"/>
    <w:rsid w:val="00F901A3"/>
    <w:rsid w:val="00F905B6"/>
    <w:rsid w:val="00F90D81"/>
    <w:rsid w:val="00F90DAA"/>
    <w:rsid w:val="00F90F34"/>
    <w:rsid w:val="00F91045"/>
    <w:rsid w:val="00F91185"/>
    <w:rsid w:val="00F91312"/>
    <w:rsid w:val="00F9187A"/>
    <w:rsid w:val="00F918CA"/>
    <w:rsid w:val="00F91903"/>
    <w:rsid w:val="00F91B09"/>
    <w:rsid w:val="00F91C19"/>
    <w:rsid w:val="00F91CE2"/>
    <w:rsid w:val="00F91CE6"/>
    <w:rsid w:val="00F91DCF"/>
    <w:rsid w:val="00F9204E"/>
    <w:rsid w:val="00F92138"/>
    <w:rsid w:val="00F921D0"/>
    <w:rsid w:val="00F92449"/>
    <w:rsid w:val="00F929EB"/>
    <w:rsid w:val="00F92BD5"/>
    <w:rsid w:val="00F935B6"/>
    <w:rsid w:val="00F936C1"/>
    <w:rsid w:val="00F938EF"/>
    <w:rsid w:val="00F93BDE"/>
    <w:rsid w:val="00F93DAC"/>
    <w:rsid w:val="00F93E72"/>
    <w:rsid w:val="00F9441F"/>
    <w:rsid w:val="00F94853"/>
    <w:rsid w:val="00F948B1"/>
    <w:rsid w:val="00F94CA3"/>
    <w:rsid w:val="00F94D09"/>
    <w:rsid w:val="00F94DE5"/>
    <w:rsid w:val="00F94EF1"/>
    <w:rsid w:val="00F95135"/>
    <w:rsid w:val="00F95197"/>
    <w:rsid w:val="00F951F5"/>
    <w:rsid w:val="00F95212"/>
    <w:rsid w:val="00F95313"/>
    <w:rsid w:val="00F954B1"/>
    <w:rsid w:val="00F95520"/>
    <w:rsid w:val="00F957EA"/>
    <w:rsid w:val="00F95ABC"/>
    <w:rsid w:val="00F95AE0"/>
    <w:rsid w:val="00F95C88"/>
    <w:rsid w:val="00F95D63"/>
    <w:rsid w:val="00F95F55"/>
    <w:rsid w:val="00F96337"/>
    <w:rsid w:val="00F963DB"/>
    <w:rsid w:val="00F9652A"/>
    <w:rsid w:val="00F96569"/>
    <w:rsid w:val="00F96692"/>
    <w:rsid w:val="00F9688B"/>
    <w:rsid w:val="00F96A87"/>
    <w:rsid w:val="00F96B5F"/>
    <w:rsid w:val="00F96C31"/>
    <w:rsid w:val="00F96DC6"/>
    <w:rsid w:val="00F96F0E"/>
    <w:rsid w:val="00F9736F"/>
    <w:rsid w:val="00F973D4"/>
    <w:rsid w:val="00F97491"/>
    <w:rsid w:val="00F97860"/>
    <w:rsid w:val="00F97A10"/>
    <w:rsid w:val="00F97AA7"/>
    <w:rsid w:val="00F97F71"/>
    <w:rsid w:val="00FA01C1"/>
    <w:rsid w:val="00FA0363"/>
    <w:rsid w:val="00FA053C"/>
    <w:rsid w:val="00FA05F9"/>
    <w:rsid w:val="00FA0825"/>
    <w:rsid w:val="00FA08D2"/>
    <w:rsid w:val="00FA08F7"/>
    <w:rsid w:val="00FA09B1"/>
    <w:rsid w:val="00FA09DF"/>
    <w:rsid w:val="00FA0A55"/>
    <w:rsid w:val="00FA0B6F"/>
    <w:rsid w:val="00FA1419"/>
    <w:rsid w:val="00FA170A"/>
    <w:rsid w:val="00FA175D"/>
    <w:rsid w:val="00FA19DD"/>
    <w:rsid w:val="00FA1B9C"/>
    <w:rsid w:val="00FA1E7E"/>
    <w:rsid w:val="00FA2075"/>
    <w:rsid w:val="00FA23B2"/>
    <w:rsid w:val="00FA2458"/>
    <w:rsid w:val="00FA24F6"/>
    <w:rsid w:val="00FA262C"/>
    <w:rsid w:val="00FA2D50"/>
    <w:rsid w:val="00FA2F70"/>
    <w:rsid w:val="00FA3376"/>
    <w:rsid w:val="00FA36EC"/>
    <w:rsid w:val="00FA3725"/>
    <w:rsid w:val="00FA38B3"/>
    <w:rsid w:val="00FA4140"/>
    <w:rsid w:val="00FA454F"/>
    <w:rsid w:val="00FA4953"/>
    <w:rsid w:val="00FA49FE"/>
    <w:rsid w:val="00FA4A0A"/>
    <w:rsid w:val="00FA4B6F"/>
    <w:rsid w:val="00FA4BD9"/>
    <w:rsid w:val="00FA4FDD"/>
    <w:rsid w:val="00FA51E5"/>
    <w:rsid w:val="00FA5376"/>
    <w:rsid w:val="00FA5384"/>
    <w:rsid w:val="00FA5574"/>
    <w:rsid w:val="00FA562A"/>
    <w:rsid w:val="00FA56C2"/>
    <w:rsid w:val="00FA56C8"/>
    <w:rsid w:val="00FA57C6"/>
    <w:rsid w:val="00FA5863"/>
    <w:rsid w:val="00FA58A9"/>
    <w:rsid w:val="00FA592B"/>
    <w:rsid w:val="00FA5B32"/>
    <w:rsid w:val="00FA5C72"/>
    <w:rsid w:val="00FA5D82"/>
    <w:rsid w:val="00FA5FB7"/>
    <w:rsid w:val="00FA6323"/>
    <w:rsid w:val="00FA644E"/>
    <w:rsid w:val="00FA64E9"/>
    <w:rsid w:val="00FA6568"/>
    <w:rsid w:val="00FA66E4"/>
    <w:rsid w:val="00FA6911"/>
    <w:rsid w:val="00FA6C50"/>
    <w:rsid w:val="00FA6D86"/>
    <w:rsid w:val="00FA708C"/>
    <w:rsid w:val="00FA7149"/>
    <w:rsid w:val="00FA7202"/>
    <w:rsid w:val="00FA737D"/>
    <w:rsid w:val="00FA75F2"/>
    <w:rsid w:val="00FA78C8"/>
    <w:rsid w:val="00FA7C3C"/>
    <w:rsid w:val="00FA7FDD"/>
    <w:rsid w:val="00FB01CB"/>
    <w:rsid w:val="00FB05C0"/>
    <w:rsid w:val="00FB0A2A"/>
    <w:rsid w:val="00FB0A2E"/>
    <w:rsid w:val="00FB0B0D"/>
    <w:rsid w:val="00FB0B13"/>
    <w:rsid w:val="00FB0BA7"/>
    <w:rsid w:val="00FB0F0F"/>
    <w:rsid w:val="00FB1342"/>
    <w:rsid w:val="00FB13EE"/>
    <w:rsid w:val="00FB14FB"/>
    <w:rsid w:val="00FB176B"/>
    <w:rsid w:val="00FB188F"/>
    <w:rsid w:val="00FB1A92"/>
    <w:rsid w:val="00FB1B87"/>
    <w:rsid w:val="00FB1DCC"/>
    <w:rsid w:val="00FB1EFB"/>
    <w:rsid w:val="00FB20E9"/>
    <w:rsid w:val="00FB226E"/>
    <w:rsid w:val="00FB244A"/>
    <w:rsid w:val="00FB24C1"/>
    <w:rsid w:val="00FB2585"/>
    <w:rsid w:val="00FB2774"/>
    <w:rsid w:val="00FB28B6"/>
    <w:rsid w:val="00FB2F80"/>
    <w:rsid w:val="00FB316F"/>
    <w:rsid w:val="00FB3229"/>
    <w:rsid w:val="00FB355F"/>
    <w:rsid w:val="00FB359A"/>
    <w:rsid w:val="00FB380A"/>
    <w:rsid w:val="00FB3845"/>
    <w:rsid w:val="00FB3989"/>
    <w:rsid w:val="00FB399C"/>
    <w:rsid w:val="00FB3AF3"/>
    <w:rsid w:val="00FB3BE5"/>
    <w:rsid w:val="00FB3C35"/>
    <w:rsid w:val="00FB3DF9"/>
    <w:rsid w:val="00FB3FDE"/>
    <w:rsid w:val="00FB4395"/>
    <w:rsid w:val="00FB43F4"/>
    <w:rsid w:val="00FB4654"/>
    <w:rsid w:val="00FB4B84"/>
    <w:rsid w:val="00FB5135"/>
    <w:rsid w:val="00FB53F1"/>
    <w:rsid w:val="00FB54A9"/>
    <w:rsid w:val="00FB54F7"/>
    <w:rsid w:val="00FB572E"/>
    <w:rsid w:val="00FB5A5C"/>
    <w:rsid w:val="00FB5CE4"/>
    <w:rsid w:val="00FB60C2"/>
    <w:rsid w:val="00FB613E"/>
    <w:rsid w:val="00FB61DF"/>
    <w:rsid w:val="00FB6240"/>
    <w:rsid w:val="00FB630F"/>
    <w:rsid w:val="00FB6344"/>
    <w:rsid w:val="00FB6744"/>
    <w:rsid w:val="00FB6844"/>
    <w:rsid w:val="00FB6D73"/>
    <w:rsid w:val="00FB6E57"/>
    <w:rsid w:val="00FB705C"/>
    <w:rsid w:val="00FB70BF"/>
    <w:rsid w:val="00FB7229"/>
    <w:rsid w:val="00FB7245"/>
    <w:rsid w:val="00FB72AF"/>
    <w:rsid w:val="00FB7346"/>
    <w:rsid w:val="00FB73B5"/>
    <w:rsid w:val="00FB7485"/>
    <w:rsid w:val="00FB7503"/>
    <w:rsid w:val="00FB7AEA"/>
    <w:rsid w:val="00FB7B12"/>
    <w:rsid w:val="00FB7EE9"/>
    <w:rsid w:val="00FB7FF0"/>
    <w:rsid w:val="00FC01BC"/>
    <w:rsid w:val="00FC0250"/>
    <w:rsid w:val="00FC0345"/>
    <w:rsid w:val="00FC0380"/>
    <w:rsid w:val="00FC040C"/>
    <w:rsid w:val="00FC07A1"/>
    <w:rsid w:val="00FC09A1"/>
    <w:rsid w:val="00FC0C57"/>
    <w:rsid w:val="00FC0EB6"/>
    <w:rsid w:val="00FC1117"/>
    <w:rsid w:val="00FC152A"/>
    <w:rsid w:val="00FC1672"/>
    <w:rsid w:val="00FC17B0"/>
    <w:rsid w:val="00FC1926"/>
    <w:rsid w:val="00FC1AA9"/>
    <w:rsid w:val="00FC1F6C"/>
    <w:rsid w:val="00FC2007"/>
    <w:rsid w:val="00FC24E1"/>
    <w:rsid w:val="00FC27E1"/>
    <w:rsid w:val="00FC29DC"/>
    <w:rsid w:val="00FC2C19"/>
    <w:rsid w:val="00FC2DA2"/>
    <w:rsid w:val="00FC2F7E"/>
    <w:rsid w:val="00FC309E"/>
    <w:rsid w:val="00FC3158"/>
    <w:rsid w:val="00FC34B9"/>
    <w:rsid w:val="00FC3519"/>
    <w:rsid w:val="00FC35A4"/>
    <w:rsid w:val="00FC36FE"/>
    <w:rsid w:val="00FC3888"/>
    <w:rsid w:val="00FC39D5"/>
    <w:rsid w:val="00FC3C25"/>
    <w:rsid w:val="00FC3E62"/>
    <w:rsid w:val="00FC3E91"/>
    <w:rsid w:val="00FC4004"/>
    <w:rsid w:val="00FC4055"/>
    <w:rsid w:val="00FC42FF"/>
    <w:rsid w:val="00FC43B2"/>
    <w:rsid w:val="00FC43E8"/>
    <w:rsid w:val="00FC4619"/>
    <w:rsid w:val="00FC47EF"/>
    <w:rsid w:val="00FC52D9"/>
    <w:rsid w:val="00FC5916"/>
    <w:rsid w:val="00FC5980"/>
    <w:rsid w:val="00FC5A24"/>
    <w:rsid w:val="00FC5A5D"/>
    <w:rsid w:val="00FC5C56"/>
    <w:rsid w:val="00FC5DC1"/>
    <w:rsid w:val="00FC5F99"/>
    <w:rsid w:val="00FC61CE"/>
    <w:rsid w:val="00FC627F"/>
    <w:rsid w:val="00FC633D"/>
    <w:rsid w:val="00FC6ABA"/>
    <w:rsid w:val="00FC6DD5"/>
    <w:rsid w:val="00FC6DF6"/>
    <w:rsid w:val="00FC6E69"/>
    <w:rsid w:val="00FC6F55"/>
    <w:rsid w:val="00FC7195"/>
    <w:rsid w:val="00FC71C7"/>
    <w:rsid w:val="00FC765C"/>
    <w:rsid w:val="00FC76CB"/>
    <w:rsid w:val="00FC77D0"/>
    <w:rsid w:val="00FC79EB"/>
    <w:rsid w:val="00FC7EF5"/>
    <w:rsid w:val="00FC7F3B"/>
    <w:rsid w:val="00FD025B"/>
    <w:rsid w:val="00FD0338"/>
    <w:rsid w:val="00FD0410"/>
    <w:rsid w:val="00FD04F4"/>
    <w:rsid w:val="00FD06ED"/>
    <w:rsid w:val="00FD0895"/>
    <w:rsid w:val="00FD08D6"/>
    <w:rsid w:val="00FD08FE"/>
    <w:rsid w:val="00FD0B1B"/>
    <w:rsid w:val="00FD0D26"/>
    <w:rsid w:val="00FD0E87"/>
    <w:rsid w:val="00FD0F0A"/>
    <w:rsid w:val="00FD0F42"/>
    <w:rsid w:val="00FD10F3"/>
    <w:rsid w:val="00FD1180"/>
    <w:rsid w:val="00FD1237"/>
    <w:rsid w:val="00FD1377"/>
    <w:rsid w:val="00FD1392"/>
    <w:rsid w:val="00FD1664"/>
    <w:rsid w:val="00FD17AE"/>
    <w:rsid w:val="00FD194A"/>
    <w:rsid w:val="00FD1D55"/>
    <w:rsid w:val="00FD1F07"/>
    <w:rsid w:val="00FD2019"/>
    <w:rsid w:val="00FD2178"/>
    <w:rsid w:val="00FD2688"/>
    <w:rsid w:val="00FD26DB"/>
    <w:rsid w:val="00FD28AB"/>
    <w:rsid w:val="00FD28DA"/>
    <w:rsid w:val="00FD2964"/>
    <w:rsid w:val="00FD2A87"/>
    <w:rsid w:val="00FD2AF3"/>
    <w:rsid w:val="00FD2C70"/>
    <w:rsid w:val="00FD2DE6"/>
    <w:rsid w:val="00FD2E90"/>
    <w:rsid w:val="00FD2FD7"/>
    <w:rsid w:val="00FD3096"/>
    <w:rsid w:val="00FD3121"/>
    <w:rsid w:val="00FD3424"/>
    <w:rsid w:val="00FD3482"/>
    <w:rsid w:val="00FD34A9"/>
    <w:rsid w:val="00FD3783"/>
    <w:rsid w:val="00FD3A6A"/>
    <w:rsid w:val="00FD3B92"/>
    <w:rsid w:val="00FD3BC6"/>
    <w:rsid w:val="00FD3C0A"/>
    <w:rsid w:val="00FD3C17"/>
    <w:rsid w:val="00FD3C29"/>
    <w:rsid w:val="00FD3C2E"/>
    <w:rsid w:val="00FD3CCB"/>
    <w:rsid w:val="00FD3CFD"/>
    <w:rsid w:val="00FD3D71"/>
    <w:rsid w:val="00FD4417"/>
    <w:rsid w:val="00FD4ADA"/>
    <w:rsid w:val="00FD4B59"/>
    <w:rsid w:val="00FD4DAE"/>
    <w:rsid w:val="00FD4F8B"/>
    <w:rsid w:val="00FD515F"/>
    <w:rsid w:val="00FD542A"/>
    <w:rsid w:val="00FD5501"/>
    <w:rsid w:val="00FD5504"/>
    <w:rsid w:val="00FD5511"/>
    <w:rsid w:val="00FD56CF"/>
    <w:rsid w:val="00FD56DE"/>
    <w:rsid w:val="00FD576B"/>
    <w:rsid w:val="00FD584D"/>
    <w:rsid w:val="00FD58A1"/>
    <w:rsid w:val="00FD5903"/>
    <w:rsid w:val="00FD5AF6"/>
    <w:rsid w:val="00FD5F30"/>
    <w:rsid w:val="00FD6367"/>
    <w:rsid w:val="00FD65EA"/>
    <w:rsid w:val="00FD66A4"/>
    <w:rsid w:val="00FD66CB"/>
    <w:rsid w:val="00FD6806"/>
    <w:rsid w:val="00FD68B2"/>
    <w:rsid w:val="00FD6AD9"/>
    <w:rsid w:val="00FD6C9E"/>
    <w:rsid w:val="00FD6CF6"/>
    <w:rsid w:val="00FD6E3A"/>
    <w:rsid w:val="00FD6E90"/>
    <w:rsid w:val="00FD76A2"/>
    <w:rsid w:val="00FD77FC"/>
    <w:rsid w:val="00FD783B"/>
    <w:rsid w:val="00FD78FF"/>
    <w:rsid w:val="00FD7AE0"/>
    <w:rsid w:val="00FD7E9F"/>
    <w:rsid w:val="00FD7F14"/>
    <w:rsid w:val="00FD7F9B"/>
    <w:rsid w:val="00FE0343"/>
    <w:rsid w:val="00FE070E"/>
    <w:rsid w:val="00FE087B"/>
    <w:rsid w:val="00FE087C"/>
    <w:rsid w:val="00FE09AE"/>
    <w:rsid w:val="00FE09C8"/>
    <w:rsid w:val="00FE0DDE"/>
    <w:rsid w:val="00FE10E2"/>
    <w:rsid w:val="00FE128F"/>
    <w:rsid w:val="00FE139D"/>
    <w:rsid w:val="00FE19C5"/>
    <w:rsid w:val="00FE1C41"/>
    <w:rsid w:val="00FE1D43"/>
    <w:rsid w:val="00FE1FB0"/>
    <w:rsid w:val="00FE20BC"/>
    <w:rsid w:val="00FE248B"/>
    <w:rsid w:val="00FE2534"/>
    <w:rsid w:val="00FE2575"/>
    <w:rsid w:val="00FE2766"/>
    <w:rsid w:val="00FE2839"/>
    <w:rsid w:val="00FE299A"/>
    <w:rsid w:val="00FE2BE7"/>
    <w:rsid w:val="00FE2CBA"/>
    <w:rsid w:val="00FE318A"/>
    <w:rsid w:val="00FE327D"/>
    <w:rsid w:val="00FE33C6"/>
    <w:rsid w:val="00FE3835"/>
    <w:rsid w:val="00FE384F"/>
    <w:rsid w:val="00FE3903"/>
    <w:rsid w:val="00FE3B01"/>
    <w:rsid w:val="00FE3D37"/>
    <w:rsid w:val="00FE3D45"/>
    <w:rsid w:val="00FE3EBD"/>
    <w:rsid w:val="00FE3F99"/>
    <w:rsid w:val="00FE41A2"/>
    <w:rsid w:val="00FE46E1"/>
    <w:rsid w:val="00FE474B"/>
    <w:rsid w:val="00FE4777"/>
    <w:rsid w:val="00FE47B5"/>
    <w:rsid w:val="00FE48AD"/>
    <w:rsid w:val="00FE4E9B"/>
    <w:rsid w:val="00FE50DD"/>
    <w:rsid w:val="00FE5224"/>
    <w:rsid w:val="00FE525A"/>
    <w:rsid w:val="00FE52F8"/>
    <w:rsid w:val="00FE5333"/>
    <w:rsid w:val="00FE5562"/>
    <w:rsid w:val="00FE5681"/>
    <w:rsid w:val="00FE56DF"/>
    <w:rsid w:val="00FE57AC"/>
    <w:rsid w:val="00FE5B1A"/>
    <w:rsid w:val="00FE5B7A"/>
    <w:rsid w:val="00FE5BC2"/>
    <w:rsid w:val="00FE6358"/>
    <w:rsid w:val="00FE6B98"/>
    <w:rsid w:val="00FE6E15"/>
    <w:rsid w:val="00FE71D2"/>
    <w:rsid w:val="00FE75CA"/>
    <w:rsid w:val="00FE7668"/>
    <w:rsid w:val="00FE7775"/>
    <w:rsid w:val="00FE77D5"/>
    <w:rsid w:val="00FE791E"/>
    <w:rsid w:val="00FE7BC7"/>
    <w:rsid w:val="00FE7C58"/>
    <w:rsid w:val="00FE7DDE"/>
    <w:rsid w:val="00FE7F9A"/>
    <w:rsid w:val="00FF0231"/>
    <w:rsid w:val="00FF0236"/>
    <w:rsid w:val="00FF02EF"/>
    <w:rsid w:val="00FF0345"/>
    <w:rsid w:val="00FF036C"/>
    <w:rsid w:val="00FF0430"/>
    <w:rsid w:val="00FF04F6"/>
    <w:rsid w:val="00FF08EE"/>
    <w:rsid w:val="00FF09CB"/>
    <w:rsid w:val="00FF0B8B"/>
    <w:rsid w:val="00FF0C89"/>
    <w:rsid w:val="00FF0EE8"/>
    <w:rsid w:val="00FF126F"/>
    <w:rsid w:val="00FF129F"/>
    <w:rsid w:val="00FF14C7"/>
    <w:rsid w:val="00FF156C"/>
    <w:rsid w:val="00FF17C8"/>
    <w:rsid w:val="00FF1A95"/>
    <w:rsid w:val="00FF1AAE"/>
    <w:rsid w:val="00FF1AFB"/>
    <w:rsid w:val="00FF1B88"/>
    <w:rsid w:val="00FF1EDA"/>
    <w:rsid w:val="00FF1FCD"/>
    <w:rsid w:val="00FF1FF0"/>
    <w:rsid w:val="00FF2011"/>
    <w:rsid w:val="00FF20A9"/>
    <w:rsid w:val="00FF226C"/>
    <w:rsid w:val="00FF2500"/>
    <w:rsid w:val="00FF2803"/>
    <w:rsid w:val="00FF292D"/>
    <w:rsid w:val="00FF2C31"/>
    <w:rsid w:val="00FF2DB0"/>
    <w:rsid w:val="00FF2E11"/>
    <w:rsid w:val="00FF2E43"/>
    <w:rsid w:val="00FF2EF4"/>
    <w:rsid w:val="00FF2F8B"/>
    <w:rsid w:val="00FF3332"/>
    <w:rsid w:val="00FF3380"/>
    <w:rsid w:val="00FF33B7"/>
    <w:rsid w:val="00FF3437"/>
    <w:rsid w:val="00FF399D"/>
    <w:rsid w:val="00FF3AAF"/>
    <w:rsid w:val="00FF3D6F"/>
    <w:rsid w:val="00FF3DD8"/>
    <w:rsid w:val="00FF3EB2"/>
    <w:rsid w:val="00FF3FE8"/>
    <w:rsid w:val="00FF4011"/>
    <w:rsid w:val="00FF40CD"/>
    <w:rsid w:val="00FF4246"/>
    <w:rsid w:val="00FF42F4"/>
    <w:rsid w:val="00FF4392"/>
    <w:rsid w:val="00FF43A4"/>
    <w:rsid w:val="00FF47C4"/>
    <w:rsid w:val="00FF481F"/>
    <w:rsid w:val="00FF4847"/>
    <w:rsid w:val="00FF48CB"/>
    <w:rsid w:val="00FF494B"/>
    <w:rsid w:val="00FF53DC"/>
    <w:rsid w:val="00FF5624"/>
    <w:rsid w:val="00FF5772"/>
    <w:rsid w:val="00FF598F"/>
    <w:rsid w:val="00FF5FE9"/>
    <w:rsid w:val="00FF608E"/>
    <w:rsid w:val="00FF6133"/>
    <w:rsid w:val="00FF6148"/>
    <w:rsid w:val="00FF615E"/>
    <w:rsid w:val="00FF6993"/>
    <w:rsid w:val="00FF6C63"/>
    <w:rsid w:val="00FF6DC4"/>
    <w:rsid w:val="00FF70B3"/>
    <w:rsid w:val="00FF78F0"/>
    <w:rsid w:val="00FF79A3"/>
    <w:rsid w:val="00FF7E64"/>
    <w:rsid w:val="01065638"/>
    <w:rsid w:val="010671D2"/>
    <w:rsid w:val="010EF410"/>
    <w:rsid w:val="01195163"/>
    <w:rsid w:val="01195CE5"/>
    <w:rsid w:val="0125FD79"/>
    <w:rsid w:val="012BEA7E"/>
    <w:rsid w:val="01342E4D"/>
    <w:rsid w:val="013AE652"/>
    <w:rsid w:val="01427E2F"/>
    <w:rsid w:val="014350AF"/>
    <w:rsid w:val="01483C05"/>
    <w:rsid w:val="014C240E"/>
    <w:rsid w:val="014D08C8"/>
    <w:rsid w:val="014D8CFE"/>
    <w:rsid w:val="014E52B9"/>
    <w:rsid w:val="01504AA8"/>
    <w:rsid w:val="015203FC"/>
    <w:rsid w:val="0155E74A"/>
    <w:rsid w:val="015A008F"/>
    <w:rsid w:val="017AAA8B"/>
    <w:rsid w:val="017C2026"/>
    <w:rsid w:val="0180FC54"/>
    <w:rsid w:val="01827D71"/>
    <w:rsid w:val="01845B92"/>
    <w:rsid w:val="01991694"/>
    <w:rsid w:val="019DE80E"/>
    <w:rsid w:val="01A36337"/>
    <w:rsid w:val="01A9155F"/>
    <w:rsid w:val="01AD1B73"/>
    <w:rsid w:val="01B383E9"/>
    <w:rsid w:val="01B78EF4"/>
    <w:rsid w:val="01C345EC"/>
    <w:rsid w:val="01C6DF44"/>
    <w:rsid w:val="01CBBF87"/>
    <w:rsid w:val="01CDD5D8"/>
    <w:rsid w:val="01D09DC3"/>
    <w:rsid w:val="01D37F1F"/>
    <w:rsid w:val="01D6BB88"/>
    <w:rsid w:val="01E1976B"/>
    <w:rsid w:val="01E864BE"/>
    <w:rsid w:val="01EBA5C8"/>
    <w:rsid w:val="01F10D21"/>
    <w:rsid w:val="01F5E0EF"/>
    <w:rsid w:val="01F91202"/>
    <w:rsid w:val="01FB4EF0"/>
    <w:rsid w:val="01FCC1FA"/>
    <w:rsid w:val="01FEE93C"/>
    <w:rsid w:val="020077A4"/>
    <w:rsid w:val="020401CF"/>
    <w:rsid w:val="0211A5DB"/>
    <w:rsid w:val="021B99C0"/>
    <w:rsid w:val="02220E90"/>
    <w:rsid w:val="0223A024"/>
    <w:rsid w:val="022FAECE"/>
    <w:rsid w:val="0230A3DC"/>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436FD"/>
    <w:rsid w:val="02AB3EA4"/>
    <w:rsid w:val="02B60F08"/>
    <w:rsid w:val="02B9439E"/>
    <w:rsid w:val="02BC328B"/>
    <w:rsid w:val="02BE6390"/>
    <w:rsid w:val="02CB5098"/>
    <w:rsid w:val="02D935B6"/>
    <w:rsid w:val="02E3E377"/>
    <w:rsid w:val="02E7C3D9"/>
    <w:rsid w:val="02F46E2F"/>
    <w:rsid w:val="02FC76AA"/>
    <w:rsid w:val="030CE5DB"/>
    <w:rsid w:val="030DC2DA"/>
    <w:rsid w:val="030E3434"/>
    <w:rsid w:val="0312AB57"/>
    <w:rsid w:val="03285085"/>
    <w:rsid w:val="032D23E0"/>
    <w:rsid w:val="033CFD5A"/>
    <w:rsid w:val="0344BCC4"/>
    <w:rsid w:val="0348CE18"/>
    <w:rsid w:val="035602E5"/>
    <w:rsid w:val="03670E10"/>
    <w:rsid w:val="036B2B19"/>
    <w:rsid w:val="0370CF46"/>
    <w:rsid w:val="037DDDEA"/>
    <w:rsid w:val="03832A34"/>
    <w:rsid w:val="0383FA44"/>
    <w:rsid w:val="039758E0"/>
    <w:rsid w:val="0398E64B"/>
    <w:rsid w:val="03A206DF"/>
    <w:rsid w:val="03A2558A"/>
    <w:rsid w:val="03A4C15A"/>
    <w:rsid w:val="03A57FAD"/>
    <w:rsid w:val="03AEE272"/>
    <w:rsid w:val="03AF2916"/>
    <w:rsid w:val="03B0B9D1"/>
    <w:rsid w:val="03B136CD"/>
    <w:rsid w:val="03B3AF7C"/>
    <w:rsid w:val="03BE9D2B"/>
    <w:rsid w:val="03C2CDFF"/>
    <w:rsid w:val="03C662A4"/>
    <w:rsid w:val="03CA16A1"/>
    <w:rsid w:val="03D5A7CA"/>
    <w:rsid w:val="03D6062F"/>
    <w:rsid w:val="03DB328A"/>
    <w:rsid w:val="03DCD4A1"/>
    <w:rsid w:val="03DD6E5D"/>
    <w:rsid w:val="03E44B8C"/>
    <w:rsid w:val="03E769A4"/>
    <w:rsid w:val="03E93DD7"/>
    <w:rsid w:val="03F02340"/>
    <w:rsid w:val="03F0B863"/>
    <w:rsid w:val="03F4432B"/>
    <w:rsid w:val="04063B6C"/>
    <w:rsid w:val="040C0CEC"/>
    <w:rsid w:val="040C7874"/>
    <w:rsid w:val="041227F6"/>
    <w:rsid w:val="0417F57B"/>
    <w:rsid w:val="041C36A6"/>
    <w:rsid w:val="041D5E52"/>
    <w:rsid w:val="042BA07D"/>
    <w:rsid w:val="043F2306"/>
    <w:rsid w:val="0442B078"/>
    <w:rsid w:val="044D6F79"/>
    <w:rsid w:val="044F4B93"/>
    <w:rsid w:val="04539DE9"/>
    <w:rsid w:val="0453DC0F"/>
    <w:rsid w:val="04544791"/>
    <w:rsid w:val="0457771D"/>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CE36E"/>
    <w:rsid w:val="04C4CE63"/>
    <w:rsid w:val="04C4CFF9"/>
    <w:rsid w:val="04CD0CC9"/>
    <w:rsid w:val="04D053EC"/>
    <w:rsid w:val="04D64835"/>
    <w:rsid w:val="04D86CCD"/>
    <w:rsid w:val="04DC311B"/>
    <w:rsid w:val="04E009B5"/>
    <w:rsid w:val="04E99A81"/>
    <w:rsid w:val="04EC1B87"/>
    <w:rsid w:val="05025727"/>
    <w:rsid w:val="0503655E"/>
    <w:rsid w:val="0514F78B"/>
    <w:rsid w:val="0516CE99"/>
    <w:rsid w:val="0517E049"/>
    <w:rsid w:val="0519D0CA"/>
    <w:rsid w:val="0521816C"/>
    <w:rsid w:val="05251F37"/>
    <w:rsid w:val="052796F9"/>
    <w:rsid w:val="0534721D"/>
    <w:rsid w:val="053E04FE"/>
    <w:rsid w:val="0542F6C6"/>
    <w:rsid w:val="0545013D"/>
    <w:rsid w:val="05510917"/>
    <w:rsid w:val="055992C5"/>
    <w:rsid w:val="055A120C"/>
    <w:rsid w:val="055EC4E2"/>
    <w:rsid w:val="0568CC21"/>
    <w:rsid w:val="056C390F"/>
    <w:rsid w:val="0570A558"/>
    <w:rsid w:val="0570C224"/>
    <w:rsid w:val="05722995"/>
    <w:rsid w:val="057344AA"/>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6668E"/>
    <w:rsid w:val="05A66A56"/>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E00ED"/>
    <w:rsid w:val="060112DE"/>
    <w:rsid w:val="0602A586"/>
    <w:rsid w:val="060BD26D"/>
    <w:rsid w:val="060D98DD"/>
    <w:rsid w:val="060F5BD3"/>
    <w:rsid w:val="06118951"/>
    <w:rsid w:val="061D5D01"/>
    <w:rsid w:val="0624CD7F"/>
    <w:rsid w:val="0625092B"/>
    <w:rsid w:val="0628EB46"/>
    <w:rsid w:val="06336558"/>
    <w:rsid w:val="06338A65"/>
    <w:rsid w:val="0634158F"/>
    <w:rsid w:val="0634D1ED"/>
    <w:rsid w:val="0640E1E0"/>
    <w:rsid w:val="06430F15"/>
    <w:rsid w:val="0658C5DF"/>
    <w:rsid w:val="06625AB8"/>
    <w:rsid w:val="0664897A"/>
    <w:rsid w:val="06659BD9"/>
    <w:rsid w:val="067B4C9C"/>
    <w:rsid w:val="068C5B36"/>
    <w:rsid w:val="068FD2F4"/>
    <w:rsid w:val="0690269F"/>
    <w:rsid w:val="06984553"/>
    <w:rsid w:val="06A58B9C"/>
    <w:rsid w:val="06A7B6DA"/>
    <w:rsid w:val="06B89AA0"/>
    <w:rsid w:val="06BE7BE0"/>
    <w:rsid w:val="06C0DD51"/>
    <w:rsid w:val="06C3BDB7"/>
    <w:rsid w:val="06C6E104"/>
    <w:rsid w:val="06CAD27B"/>
    <w:rsid w:val="06CB225F"/>
    <w:rsid w:val="06CC8405"/>
    <w:rsid w:val="06D3B9E9"/>
    <w:rsid w:val="06DCB56E"/>
    <w:rsid w:val="06E61029"/>
    <w:rsid w:val="06E76CF2"/>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601CC"/>
    <w:rsid w:val="0769C8C6"/>
    <w:rsid w:val="076BCA25"/>
    <w:rsid w:val="0772AFF9"/>
    <w:rsid w:val="07753AE5"/>
    <w:rsid w:val="077DA4CB"/>
    <w:rsid w:val="0781E2FC"/>
    <w:rsid w:val="078CE1FE"/>
    <w:rsid w:val="078DE91E"/>
    <w:rsid w:val="07927B9A"/>
    <w:rsid w:val="07969F93"/>
    <w:rsid w:val="0799A3F0"/>
    <w:rsid w:val="079C0AC7"/>
    <w:rsid w:val="07A19C34"/>
    <w:rsid w:val="07A4CEDB"/>
    <w:rsid w:val="07A8AB19"/>
    <w:rsid w:val="07AD20DD"/>
    <w:rsid w:val="07B76CEC"/>
    <w:rsid w:val="07B85167"/>
    <w:rsid w:val="07BEE514"/>
    <w:rsid w:val="07BF0AFB"/>
    <w:rsid w:val="07CCFA29"/>
    <w:rsid w:val="07CDE2FC"/>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9B104"/>
    <w:rsid w:val="0822ACDB"/>
    <w:rsid w:val="082CC26A"/>
    <w:rsid w:val="082CE7FA"/>
    <w:rsid w:val="0843F9FC"/>
    <w:rsid w:val="08493985"/>
    <w:rsid w:val="084FC457"/>
    <w:rsid w:val="08543A61"/>
    <w:rsid w:val="085599F1"/>
    <w:rsid w:val="0858D3C7"/>
    <w:rsid w:val="0864D8EA"/>
    <w:rsid w:val="087F6597"/>
    <w:rsid w:val="087FD2D4"/>
    <w:rsid w:val="08836F1F"/>
    <w:rsid w:val="088DF37D"/>
    <w:rsid w:val="089002D4"/>
    <w:rsid w:val="089154F9"/>
    <w:rsid w:val="0891E4D6"/>
    <w:rsid w:val="089224ED"/>
    <w:rsid w:val="0894AA5E"/>
    <w:rsid w:val="0897D4DB"/>
    <w:rsid w:val="08A53256"/>
    <w:rsid w:val="08A62CB4"/>
    <w:rsid w:val="08ABA164"/>
    <w:rsid w:val="08B1DE04"/>
    <w:rsid w:val="08B292CD"/>
    <w:rsid w:val="08B43F38"/>
    <w:rsid w:val="08B618F0"/>
    <w:rsid w:val="08BA33DB"/>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D4D6"/>
    <w:rsid w:val="0947B5BD"/>
    <w:rsid w:val="094E60C4"/>
    <w:rsid w:val="094FF30E"/>
    <w:rsid w:val="0951AC56"/>
    <w:rsid w:val="09539276"/>
    <w:rsid w:val="0966F079"/>
    <w:rsid w:val="09796CBB"/>
    <w:rsid w:val="097CA5C4"/>
    <w:rsid w:val="097EE9E6"/>
    <w:rsid w:val="09828053"/>
    <w:rsid w:val="0994AE9E"/>
    <w:rsid w:val="099A9335"/>
    <w:rsid w:val="09AFE235"/>
    <w:rsid w:val="09B5975E"/>
    <w:rsid w:val="09B9C856"/>
    <w:rsid w:val="09BA9E90"/>
    <w:rsid w:val="09BB646D"/>
    <w:rsid w:val="09CA02AE"/>
    <w:rsid w:val="09CB1592"/>
    <w:rsid w:val="09D5330D"/>
    <w:rsid w:val="09E33CF2"/>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299BC"/>
    <w:rsid w:val="0A724FCD"/>
    <w:rsid w:val="0A7B9D66"/>
    <w:rsid w:val="0A8059A4"/>
    <w:rsid w:val="0A88B7A0"/>
    <w:rsid w:val="0A97B848"/>
    <w:rsid w:val="0AA5FB9E"/>
    <w:rsid w:val="0AA8A0B1"/>
    <w:rsid w:val="0AB15027"/>
    <w:rsid w:val="0AB34C82"/>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E8BBB"/>
    <w:rsid w:val="0B14B889"/>
    <w:rsid w:val="0B1F9D20"/>
    <w:rsid w:val="0B25F94E"/>
    <w:rsid w:val="0B2BC111"/>
    <w:rsid w:val="0B2C4D2B"/>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14A09"/>
    <w:rsid w:val="0C76775B"/>
    <w:rsid w:val="0C7870E5"/>
    <w:rsid w:val="0C7D4089"/>
    <w:rsid w:val="0C82E4DB"/>
    <w:rsid w:val="0C8CA124"/>
    <w:rsid w:val="0C923338"/>
    <w:rsid w:val="0C9F8DCF"/>
    <w:rsid w:val="0CB319AA"/>
    <w:rsid w:val="0CB4292C"/>
    <w:rsid w:val="0CB6B41D"/>
    <w:rsid w:val="0CB73DA1"/>
    <w:rsid w:val="0CBB717E"/>
    <w:rsid w:val="0CBE52AB"/>
    <w:rsid w:val="0CC126DC"/>
    <w:rsid w:val="0CC96A5D"/>
    <w:rsid w:val="0CD269DD"/>
    <w:rsid w:val="0CEEC28C"/>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8038A"/>
    <w:rsid w:val="0D8D3BAA"/>
    <w:rsid w:val="0DA5FAE9"/>
    <w:rsid w:val="0DB7240C"/>
    <w:rsid w:val="0DB8BDB7"/>
    <w:rsid w:val="0DC0C9BA"/>
    <w:rsid w:val="0DC3AB7D"/>
    <w:rsid w:val="0DC96B35"/>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27B86A"/>
    <w:rsid w:val="0E280850"/>
    <w:rsid w:val="0E30B68C"/>
    <w:rsid w:val="0E3FFE8D"/>
    <w:rsid w:val="0E42E79E"/>
    <w:rsid w:val="0E45CB1A"/>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C27874"/>
    <w:rsid w:val="0ED3A6D1"/>
    <w:rsid w:val="0EDBBF01"/>
    <w:rsid w:val="0EE0647B"/>
    <w:rsid w:val="0EE1B27E"/>
    <w:rsid w:val="0EE50AA4"/>
    <w:rsid w:val="0EE677B9"/>
    <w:rsid w:val="0EEC5F23"/>
    <w:rsid w:val="0EF14CFC"/>
    <w:rsid w:val="0EF5EEE5"/>
    <w:rsid w:val="0EFCE708"/>
    <w:rsid w:val="0EFD6109"/>
    <w:rsid w:val="0F1C9D35"/>
    <w:rsid w:val="0F2139CE"/>
    <w:rsid w:val="0F3E931B"/>
    <w:rsid w:val="0F499BCC"/>
    <w:rsid w:val="0F4D38AE"/>
    <w:rsid w:val="0F503E2C"/>
    <w:rsid w:val="0F53CA44"/>
    <w:rsid w:val="0F565D35"/>
    <w:rsid w:val="0F58F702"/>
    <w:rsid w:val="0F5A80AA"/>
    <w:rsid w:val="0F5F6C98"/>
    <w:rsid w:val="0F653B96"/>
    <w:rsid w:val="0F6C5A32"/>
    <w:rsid w:val="0F6DEE1D"/>
    <w:rsid w:val="0F708845"/>
    <w:rsid w:val="0F7D9EFC"/>
    <w:rsid w:val="0F89C04E"/>
    <w:rsid w:val="0F8AB7DF"/>
    <w:rsid w:val="0F8D517A"/>
    <w:rsid w:val="0F8E39E2"/>
    <w:rsid w:val="0FA06E93"/>
    <w:rsid w:val="0FA48D7B"/>
    <w:rsid w:val="0FA4E7FF"/>
    <w:rsid w:val="0FA5D464"/>
    <w:rsid w:val="0FA60A87"/>
    <w:rsid w:val="0FAFEBCA"/>
    <w:rsid w:val="0FB4A3C8"/>
    <w:rsid w:val="0FB7237E"/>
    <w:rsid w:val="0FC52910"/>
    <w:rsid w:val="0FC98D8E"/>
    <w:rsid w:val="0FCCD564"/>
    <w:rsid w:val="0FCF4649"/>
    <w:rsid w:val="0FDEEEB7"/>
    <w:rsid w:val="0FE5612B"/>
    <w:rsid w:val="0FE70F87"/>
    <w:rsid w:val="0FEAFB9B"/>
    <w:rsid w:val="0FEF9AB2"/>
    <w:rsid w:val="0FF194E9"/>
    <w:rsid w:val="0FF5957A"/>
    <w:rsid w:val="0FF5A7BB"/>
    <w:rsid w:val="1000CE4E"/>
    <w:rsid w:val="1005F0CA"/>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EAD6A"/>
    <w:rsid w:val="10712C03"/>
    <w:rsid w:val="1077AAF5"/>
    <w:rsid w:val="1080A219"/>
    <w:rsid w:val="1081DB15"/>
    <w:rsid w:val="108837AA"/>
    <w:rsid w:val="108DE2BC"/>
    <w:rsid w:val="109606E6"/>
    <w:rsid w:val="109A4217"/>
    <w:rsid w:val="109F8461"/>
    <w:rsid w:val="10A89523"/>
    <w:rsid w:val="10A9E87E"/>
    <w:rsid w:val="10B46CD9"/>
    <w:rsid w:val="10BA884E"/>
    <w:rsid w:val="10D30E8A"/>
    <w:rsid w:val="10D31149"/>
    <w:rsid w:val="10D7C626"/>
    <w:rsid w:val="10DED9A9"/>
    <w:rsid w:val="10E08D07"/>
    <w:rsid w:val="10E8C0E7"/>
    <w:rsid w:val="10EA1B14"/>
    <w:rsid w:val="10ECF7AD"/>
    <w:rsid w:val="10ED1491"/>
    <w:rsid w:val="10ED9143"/>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4165F4"/>
    <w:rsid w:val="11468896"/>
    <w:rsid w:val="11480C80"/>
    <w:rsid w:val="115401BB"/>
    <w:rsid w:val="1166067C"/>
    <w:rsid w:val="116D738E"/>
    <w:rsid w:val="116F43E1"/>
    <w:rsid w:val="1176F359"/>
    <w:rsid w:val="1178D09E"/>
    <w:rsid w:val="117D1985"/>
    <w:rsid w:val="11886D05"/>
    <w:rsid w:val="119377FF"/>
    <w:rsid w:val="119F5D07"/>
    <w:rsid w:val="11AAFEEC"/>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F7782"/>
    <w:rsid w:val="12237AEE"/>
    <w:rsid w:val="1226B62F"/>
    <w:rsid w:val="1229C987"/>
    <w:rsid w:val="122F806B"/>
    <w:rsid w:val="123093C8"/>
    <w:rsid w:val="12309A44"/>
    <w:rsid w:val="1232390D"/>
    <w:rsid w:val="12333ED2"/>
    <w:rsid w:val="12342918"/>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B494"/>
    <w:rsid w:val="12790A88"/>
    <w:rsid w:val="127E3F85"/>
    <w:rsid w:val="128714E7"/>
    <w:rsid w:val="1289FCA5"/>
    <w:rsid w:val="128D91B2"/>
    <w:rsid w:val="1290C9A8"/>
    <w:rsid w:val="1292B348"/>
    <w:rsid w:val="129F1A38"/>
    <w:rsid w:val="12A97A28"/>
    <w:rsid w:val="12B3E26B"/>
    <w:rsid w:val="12BC05A5"/>
    <w:rsid w:val="12BF1211"/>
    <w:rsid w:val="12C1DFD1"/>
    <w:rsid w:val="12C86EB9"/>
    <w:rsid w:val="12D7B593"/>
    <w:rsid w:val="12E176A3"/>
    <w:rsid w:val="12E4726A"/>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43FEE3"/>
    <w:rsid w:val="1346E9C7"/>
    <w:rsid w:val="13475053"/>
    <w:rsid w:val="134AFDA3"/>
    <w:rsid w:val="13527875"/>
    <w:rsid w:val="1355BD31"/>
    <w:rsid w:val="135D08EF"/>
    <w:rsid w:val="135E09AF"/>
    <w:rsid w:val="13636D7E"/>
    <w:rsid w:val="13643E9F"/>
    <w:rsid w:val="1365961A"/>
    <w:rsid w:val="1372A2D0"/>
    <w:rsid w:val="1380CE2C"/>
    <w:rsid w:val="13831D14"/>
    <w:rsid w:val="1386CBFB"/>
    <w:rsid w:val="138C80BF"/>
    <w:rsid w:val="1393ED6F"/>
    <w:rsid w:val="13A02EE5"/>
    <w:rsid w:val="13A8D0C7"/>
    <w:rsid w:val="13B89AB0"/>
    <w:rsid w:val="13BDF5BD"/>
    <w:rsid w:val="13C18F67"/>
    <w:rsid w:val="13C1E4C6"/>
    <w:rsid w:val="13C3B788"/>
    <w:rsid w:val="13C77DA9"/>
    <w:rsid w:val="13D6FCAD"/>
    <w:rsid w:val="13DD29AC"/>
    <w:rsid w:val="13E0A4E1"/>
    <w:rsid w:val="13E721F1"/>
    <w:rsid w:val="13F4CAAF"/>
    <w:rsid w:val="13FCA85D"/>
    <w:rsid w:val="14068CB8"/>
    <w:rsid w:val="14086A5D"/>
    <w:rsid w:val="140970E7"/>
    <w:rsid w:val="140C4C1E"/>
    <w:rsid w:val="140D9529"/>
    <w:rsid w:val="140FBC23"/>
    <w:rsid w:val="1429949E"/>
    <w:rsid w:val="14336269"/>
    <w:rsid w:val="143E7F86"/>
    <w:rsid w:val="144440AE"/>
    <w:rsid w:val="14553331"/>
    <w:rsid w:val="1462998D"/>
    <w:rsid w:val="146A657D"/>
    <w:rsid w:val="146B2A48"/>
    <w:rsid w:val="146C655F"/>
    <w:rsid w:val="146DF72D"/>
    <w:rsid w:val="14747AAF"/>
    <w:rsid w:val="147C9A0B"/>
    <w:rsid w:val="14853173"/>
    <w:rsid w:val="148D0B3D"/>
    <w:rsid w:val="148E1BDC"/>
    <w:rsid w:val="149181DA"/>
    <w:rsid w:val="1491F5BF"/>
    <w:rsid w:val="14946F1B"/>
    <w:rsid w:val="149882B4"/>
    <w:rsid w:val="14BB6CCC"/>
    <w:rsid w:val="14BBBE3B"/>
    <w:rsid w:val="14BD8D34"/>
    <w:rsid w:val="14CA4BA8"/>
    <w:rsid w:val="14CC0EE1"/>
    <w:rsid w:val="14E21892"/>
    <w:rsid w:val="14E407A3"/>
    <w:rsid w:val="14E4352F"/>
    <w:rsid w:val="14E57B0F"/>
    <w:rsid w:val="14E7F2DA"/>
    <w:rsid w:val="14EF6BF3"/>
    <w:rsid w:val="14F2CA5C"/>
    <w:rsid w:val="14F562AF"/>
    <w:rsid w:val="14FB34F5"/>
    <w:rsid w:val="14FBF4CB"/>
    <w:rsid w:val="14FE00D6"/>
    <w:rsid w:val="15094759"/>
    <w:rsid w:val="150E8464"/>
    <w:rsid w:val="1520A26B"/>
    <w:rsid w:val="152D814C"/>
    <w:rsid w:val="152E6E65"/>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8A95"/>
    <w:rsid w:val="157286D1"/>
    <w:rsid w:val="1574570B"/>
    <w:rsid w:val="1585D078"/>
    <w:rsid w:val="1588F679"/>
    <w:rsid w:val="158A1DD7"/>
    <w:rsid w:val="158A4EA9"/>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D139B"/>
    <w:rsid w:val="15DFFE4A"/>
    <w:rsid w:val="15E05DF4"/>
    <w:rsid w:val="15F0E892"/>
    <w:rsid w:val="15F1A820"/>
    <w:rsid w:val="15F2A10D"/>
    <w:rsid w:val="15F33518"/>
    <w:rsid w:val="15F4EA3E"/>
    <w:rsid w:val="15F793E8"/>
    <w:rsid w:val="15FFF102"/>
    <w:rsid w:val="160D32A7"/>
    <w:rsid w:val="1610127C"/>
    <w:rsid w:val="16131E7D"/>
    <w:rsid w:val="162193F1"/>
    <w:rsid w:val="162849B8"/>
    <w:rsid w:val="1633BDFB"/>
    <w:rsid w:val="16442194"/>
    <w:rsid w:val="164BFF6F"/>
    <w:rsid w:val="164E28B0"/>
    <w:rsid w:val="16588BEF"/>
    <w:rsid w:val="165EB868"/>
    <w:rsid w:val="166152B6"/>
    <w:rsid w:val="1665D745"/>
    <w:rsid w:val="16673D0E"/>
    <w:rsid w:val="16689788"/>
    <w:rsid w:val="16785F66"/>
    <w:rsid w:val="1678D44E"/>
    <w:rsid w:val="167F23E6"/>
    <w:rsid w:val="168296CA"/>
    <w:rsid w:val="168449C8"/>
    <w:rsid w:val="168806D2"/>
    <w:rsid w:val="1688D9EA"/>
    <w:rsid w:val="168D34E0"/>
    <w:rsid w:val="168D81C1"/>
    <w:rsid w:val="168E5C84"/>
    <w:rsid w:val="1690B031"/>
    <w:rsid w:val="16AA54C5"/>
    <w:rsid w:val="16AC13D3"/>
    <w:rsid w:val="16AFADBA"/>
    <w:rsid w:val="16BE4C8A"/>
    <w:rsid w:val="16C36A18"/>
    <w:rsid w:val="16D170FE"/>
    <w:rsid w:val="16D7C780"/>
    <w:rsid w:val="16DA4AF1"/>
    <w:rsid w:val="16DD4991"/>
    <w:rsid w:val="16E34AF0"/>
    <w:rsid w:val="16F12DE0"/>
    <w:rsid w:val="16F1CF13"/>
    <w:rsid w:val="16F33A22"/>
    <w:rsid w:val="16F43F85"/>
    <w:rsid w:val="16F8754D"/>
    <w:rsid w:val="16F9E9F6"/>
    <w:rsid w:val="16FBE4D8"/>
    <w:rsid w:val="16FF1EF8"/>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6F0F1B"/>
    <w:rsid w:val="177041B5"/>
    <w:rsid w:val="17708040"/>
    <w:rsid w:val="1775C656"/>
    <w:rsid w:val="178FFCB5"/>
    <w:rsid w:val="17908C62"/>
    <w:rsid w:val="1790F99A"/>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F8C68E"/>
    <w:rsid w:val="17FD3099"/>
    <w:rsid w:val="17FED6D3"/>
    <w:rsid w:val="18012B0D"/>
    <w:rsid w:val="18066112"/>
    <w:rsid w:val="18072C01"/>
    <w:rsid w:val="180A307C"/>
    <w:rsid w:val="180AD4CD"/>
    <w:rsid w:val="1811C170"/>
    <w:rsid w:val="182BDC41"/>
    <w:rsid w:val="1830C812"/>
    <w:rsid w:val="18317C59"/>
    <w:rsid w:val="183EBAF4"/>
    <w:rsid w:val="184140D2"/>
    <w:rsid w:val="18473AA9"/>
    <w:rsid w:val="18499006"/>
    <w:rsid w:val="184BEADB"/>
    <w:rsid w:val="184D475E"/>
    <w:rsid w:val="18574343"/>
    <w:rsid w:val="185D5CFE"/>
    <w:rsid w:val="186DD368"/>
    <w:rsid w:val="186E5E4F"/>
    <w:rsid w:val="187211AA"/>
    <w:rsid w:val="18791591"/>
    <w:rsid w:val="187A4AFA"/>
    <w:rsid w:val="18804E9C"/>
    <w:rsid w:val="18845F70"/>
    <w:rsid w:val="189B01D7"/>
    <w:rsid w:val="189ECA5E"/>
    <w:rsid w:val="18AA2793"/>
    <w:rsid w:val="18ABD291"/>
    <w:rsid w:val="18ABE0F5"/>
    <w:rsid w:val="18ADA848"/>
    <w:rsid w:val="18AE8005"/>
    <w:rsid w:val="18B544E4"/>
    <w:rsid w:val="18BFB47F"/>
    <w:rsid w:val="18D4EFB3"/>
    <w:rsid w:val="18D7D60E"/>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48F55"/>
    <w:rsid w:val="195EEAED"/>
    <w:rsid w:val="19699210"/>
    <w:rsid w:val="19699E15"/>
    <w:rsid w:val="197175DB"/>
    <w:rsid w:val="197580CC"/>
    <w:rsid w:val="197BF2E5"/>
    <w:rsid w:val="1988E22E"/>
    <w:rsid w:val="198AC9A3"/>
    <w:rsid w:val="1995BC78"/>
    <w:rsid w:val="199639A3"/>
    <w:rsid w:val="199A1D91"/>
    <w:rsid w:val="199ABD42"/>
    <w:rsid w:val="19A2FF1A"/>
    <w:rsid w:val="19ACDC44"/>
    <w:rsid w:val="19AE7E87"/>
    <w:rsid w:val="19BA3153"/>
    <w:rsid w:val="19C33727"/>
    <w:rsid w:val="19C3B221"/>
    <w:rsid w:val="19CCF266"/>
    <w:rsid w:val="19CFC11C"/>
    <w:rsid w:val="19DBB70A"/>
    <w:rsid w:val="19DFACE5"/>
    <w:rsid w:val="19E05491"/>
    <w:rsid w:val="19E8D5C2"/>
    <w:rsid w:val="19EA337A"/>
    <w:rsid w:val="19EEE9C6"/>
    <w:rsid w:val="19F08A96"/>
    <w:rsid w:val="19F13C0C"/>
    <w:rsid w:val="19FE4C2E"/>
    <w:rsid w:val="1A058F0A"/>
    <w:rsid w:val="1A0B619B"/>
    <w:rsid w:val="1A0CF36A"/>
    <w:rsid w:val="1A0E54D2"/>
    <w:rsid w:val="1A0EA55B"/>
    <w:rsid w:val="1A0F6842"/>
    <w:rsid w:val="1A10DEE0"/>
    <w:rsid w:val="1A1742ED"/>
    <w:rsid w:val="1A180A94"/>
    <w:rsid w:val="1A1A2263"/>
    <w:rsid w:val="1A1B52EC"/>
    <w:rsid w:val="1A1ED350"/>
    <w:rsid w:val="1A2589B6"/>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A8B1D"/>
    <w:rsid w:val="1AFF541F"/>
    <w:rsid w:val="1B0082C6"/>
    <w:rsid w:val="1B054BED"/>
    <w:rsid w:val="1B10D35D"/>
    <w:rsid w:val="1B18B9B6"/>
    <w:rsid w:val="1B1DFCA7"/>
    <w:rsid w:val="1B22AF5F"/>
    <w:rsid w:val="1B256663"/>
    <w:rsid w:val="1B282C93"/>
    <w:rsid w:val="1B2AD869"/>
    <w:rsid w:val="1B408254"/>
    <w:rsid w:val="1B4C4340"/>
    <w:rsid w:val="1B583093"/>
    <w:rsid w:val="1B5FC72E"/>
    <w:rsid w:val="1B70660F"/>
    <w:rsid w:val="1B8065D5"/>
    <w:rsid w:val="1B838502"/>
    <w:rsid w:val="1B86C291"/>
    <w:rsid w:val="1B8C7F27"/>
    <w:rsid w:val="1B8D1B85"/>
    <w:rsid w:val="1B8D7363"/>
    <w:rsid w:val="1B963EA0"/>
    <w:rsid w:val="1BA85375"/>
    <w:rsid w:val="1BAFC24C"/>
    <w:rsid w:val="1BB7D116"/>
    <w:rsid w:val="1BBF655D"/>
    <w:rsid w:val="1BC0DDD9"/>
    <w:rsid w:val="1BD24AEC"/>
    <w:rsid w:val="1BD38F1F"/>
    <w:rsid w:val="1BD8B772"/>
    <w:rsid w:val="1BDB6B58"/>
    <w:rsid w:val="1BDBB74B"/>
    <w:rsid w:val="1BE03B80"/>
    <w:rsid w:val="1BE0B8F8"/>
    <w:rsid w:val="1BE7CEA5"/>
    <w:rsid w:val="1BF21D4C"/>
    <w:rsid w:val="1BF31FFA"/>
    <w:rsid w:val="1C06058A"/>
    <w:rsid w:val="1C072087"/>
    <w:rsid w:val="1C245D71"/>
    <w:rsid w:val="1C26D10D"/>
    <w:rsid w:val="1C323F6F"/>
    <w:rsid w:val="1C4387E0"/>
    <w:rsid w:val="1C45F22D"/>
    <w:rsid w:val="1C519B10"/>
    <w:rsid w:val="1C58E243"/>
    <w:rsid w:val="1C625548"/>
    <w:rsid w:val="1C6A1E93"/>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C1DEED"/>
    <w:rsid w:val="1CC3C698"/>
    <w:rsid w:val="1CC6F263"/>
    <w:rsid w:val="1CCBAE56"/>
    <w:rsid w:val="1CDD8D38"/>
    <w:rsid w:val="1CEB0969"/>
    <w:rsid w:val="1CF604C1"/>
    <w:rsid w:val="1CFD6E62"/>
    <w:rsid w:val="1D00678D"/>
    <w:rsid w:val="1D035666"/>
    <w:rsid w:val="1D08B054"/>
    <w:rsid w:val="1D16E860"/>
    <w:rsid w:val="1D1D5B2A"/>
    <w:rsid w:val="1D237D03"/>
    <w:rsid w:val="1D23A31B"/>
    <w:rsid w:val="1D242D1D"/>
    <w:rsid w:val="1D2BDB5D"/>
    <w:rsid w:val="1D388348"/>
    <w:rsid w:val="1D3DFFD8"/>
    <w:rsid w:val="1D4DF48C"/>
    <w:rsid w:val="1D51E090"/>
    <w:rsid w:val="1D59D6EC"/>
    <w:rsid w:val="1D5A46F1"/>
    <w:rsid w:val="1D711DBA"/>
    <w:rsid w:val="1D727435"/>
    <w:rsid w:val="1D77D79D"/>
    <w:rsid w:val="1D7B538C"/>
    <w:rsid w:val="1D80D53A"/>
    <w:rsid w:val="1D83184E"/>
    <w:rsid w:val="1D8DB883"/>
    <w:rsid w:val="1D8E3FBC"/>
    <w:rsid w:val="1D93DA8A"/>
    <w:rsid w:val="1DA5CEA0"/>
    <w:rsid w:val="1DA7D4ED"/>
    <w:rsid w:val="1DABA6F6"/>
    <w:rsid w:val="1DAED0EC"/>
    <w:rsid w:val="1DB6477A"/>
    <w:rsid w:val="1DBAC2E2"/>
    <w:rsid w:val="1DC666F5"/>
    <w:rsid w:val="1DC74D46"/>
    <w:rsid w:val="1DCCA446"/>
    <w:rsid w:val="1DD3D14E"/>
    <w:rsid w:val="1DD7FA98"/>
    <w:rsid w:val="1DE34454"/>
    <w:rsid w:val="1DE66152"/>
    <w:rsid w:val="1DE71C52"/>
    <w:rsid w:val="1DF344CC"/>
    <w:rsid w:val="1DF68765"/>
    <w:rsid w:val="1DFD48F8"/>
    <w:rsid w:val="1DFE3B10"/>
    <w:rsid w:val="1E028903"/>
    <w:rsid w:val="1E1CE0AF"/>
    <w:rsid w:val="1E24C94F"/>
    <w:rsid w:val="1E24F934"/>
    <w:rsid w:val="1E2FAF83"/>
    <w:rsid w:val="1E326C34"/>
    <w:rsid w:val="1E3EE2C8"/>
    <w:rsid w:val="1E416A0B"/>
    <w:rsid w:val="1E54AB6B"/>
    <w:rsid w:val="1E57C7E3"/>
    <w:rsid w:val="1E64C36D"/>
    <w:rsid w:val="1E6ECD2F"/>
    <w:rsid w:val="1E752F40"/>
    <w:rsid w:val="1E769B12"/>
    <w:rsid w:val="1E7828E3"/>
    <w:rsid w:val="1E7CC726"/>
    <w:rsid w:val="1E8192FB"/>
    <w:rsid w:val="1E8208E2"/>
    <w:rsid w:val="1E836BB8"/>
    <w:rsid w:val="1E8BA125"/>
    <w:rsid w:val="1E8BC6A8"/>
    <w:rsid w:val="1E90AA29"/>
    <w:rsid w:val="1E9118A2"/>
    <w:rsid w:val="1E958E44"/>
    <w:rsid w:val="1EB87531"/>
    <w:rsid w:val="1EC11113"/>
    <w:rsid w:val="1EC32F2E"/>
    <w:rsid w:val="1ECAA0A5"/>
    <w:rsid w:val="1EDCFFF3"/>
    <w:rsid w:val="1EDFF684"/>
    <w:rsid w:val="1EE061D5"/>
    <w:rsid w:val="1EE82EDD"/>
    <w:rsid w:val="1EED3126"/>
    <w:rsid w:val="1EFA9326"/>
    <w:rsid w:val="1F0809F5"/>
    <w:rsid w:val="1F11140C"/>
    <w:rsid w:val="1F16D05C"/>
    <w:rsid w:val="1F23026A"/>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928A97"/>
    <w:rsid w:val="1F9E7002"/>
    <w:rsid w:val="1F9F2783"/>
    <w:rsid w:val="1F9F64F8"/>
    <w:rsid w:val="1FA10719"/>
    <w:rsid w:val="1FA5FB15"/>
    <w:rsid w:val="1FA9B0CA"/>
    <w:rsid w:val="1FAE3D1F"/>
    <w:rsid w:val="1FB4E2EC"/>
    <w:rsid w:val="1FB61C2F"/>
    <w:rsid w:val="1FBC9591"/>
    <w:rsid w:val="1FBD766E"/>
    <w:rsid w:val="1FCDBABA"/>
    <w:rsid w:val="1FD2C8C3"/>
    <w:rsid w:val="1FD3CFC8"/>
    <w:rsid w:val="1FD5B8D6"/>
    <w:rsid w:val="1FE92397"/>
    <w:rsid w:val="1FEAF204"/>
    <w:rsid w:val="1FF0E409"/>
    <w:rsid w:val="1FF1D9F0"/>
    <w:rsid w:val="1FF962EE"/>
    <w:rsid w:val="1FFA5740"/>
    <w:rsid w:val="20019F1E"/>
    <w:rsid w:val="200E4BC5"/>
    <w:rsid w:val="200F575C"/>
    <w:rsid w:val="20147072"/>
    <w:rsid w:val="20187A34"/>
    <w:rsid w:val="20258A3F"/>
    <w:rsid w:val="2030030F"/>
    <w:rsid w:val="203DAA83"/>
    <w:rsid w:val="204382E6"/>
    <w:rsid w:val="20491F55"/>
    <w:rsid w:val="204CA4A0"/>
    <w:rsid w:val="205219B1"/>
    <w:rsid w:val="20571FAB"/>
    <w:rsid w:val="20583CA7"/>
    <w:rsid w:val="205FC379"/>
    <w:rsid w:val="2060271C"/>
    <w:rsid w:val="206D865A"/>
    <w:rsid w:val="20719F4F"/>
    <w:rsid w:val="208A0919"/>
    <w:rsid w:val="20977FCB"/>
    <w:rsid w:val="209DB36C"/>
    <w:rsid w:val="20A0445B"/>
    <w:rsid w:val="20A0E347"/>
    <w:rsid w:val="20A3EC93"/>
    <w:rsid w:val="20A66F80"/>
    <w:rsid w:val="20A71AD2"/>
    <w:rsid w:val="20B40199"/>
    <w:rsid w:val="20BB906F"/>
    <w:rsid w:val="20BE0648"/>
    <w:rsid w:val="20C3D6C1"/>
    <w:rsid w:val="20C457C4"/>
    <w:rsid w:val="20D0E163"/>
    <w:rsid w:val="20D23F98"/>
    <w:rsid w:val="20DDA152"/>
    <w:rsid w:val="20DF60EC"/>
    <w:rsid w:val="20ED1323"/>
    <w:rsid w:val="20F09FAF"/>
    <w:rsid w:val="20F9189B"/>
    <w:rsid w:val="2102C363"/>
    <w:rsid w:val="210EEF93"/>
    <w:rsid w:val="2124ACD9"/>
    <w:rsid w:val="213260B7"/>
    <w:rsid w:val="213655CC"/>
    <w:rsid w:val="21374787"/>
    <w:rsid w:val="213A0F3C"/>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D3DFA3"/>
    <w:rsid w:val="21D4E062"/>
    <w:rsid w:val="21E43BE8"/>
    <w:rsid w:val="21ECDC0C"/>
    <w:rsid w:val="21ED145C"/>
    <w:rsid w:val="21FDFA39"/>
    <w:rsid w:val="2200FF31"/>
    <w:rsid w:val="220A7078"/>
    <w:rsid w:val="220BB516"/>
    <w:rsid w:val="220D9BC7"/>
    <w:rsid w:val="22163DFB"/>
    <w:rsid w:val="2216B7E0"/>
    <w:rsid w:val="22170DB0"/>
    <w:rsid w:val="22182FA7"/>
    <w:rsid w:val="221AA5B4"/>
    <w:rsid w:val="221D59E8"/>
    <w:rsid w:val="2222EF76"/>
    <w:rsid w:val="2229AAB2"/>
    <w:rsid w:val="222AB66B"/>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79DB0"/>
    <w:rsid w:val="22952E02"/>
    <w:rsid w:val="22A29D3B"/>
    <w:rsid w:val="22A7800E"/>
    <w:rsid w:val="22B17B86"/>
    <w:rsid w:val="22B8C320"/>
    <w:rsid w:val="22BE8886"/>
    <w:rsid w:val="22C03CFF"/>
    <w:rsid w:val="22C69B65"/>
    <w:rsid w:val="22C6DB3F"/>
    <w:rsid w:val="22CC5184"/>
    <w:rsid w:val="22D4E2FE"/>
    <w:rsid w:val="22DCC534"/>
    <w:rsid w:val="22F59A27"/>
    <w:rsid w:val="22F5C437"/>
    <w:rsid w:val="22FA8F47"/>
    <w:rsid w:val="22FB6054"/>
    <w:rsid w:val="2303C56A"/>
    <w:rsid w:val="23077767"/>
    <w:rsid w:val="230A8C1D"/>
    <w:rsid w:val="2313CBEC"/>
    <w:rsid w:val="2314B1EE"/>
    <w:rsid w:val="23158607"/>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E3787B"/>
    <w:rsid w:val="23E8005B"/>
    <w:rsid w:val="23E98A0D"/>
    <w:rsid w:val="23EA7806"/>
    <w:rsid w:val="23ED0B63"/>
    <w:rsid w:val="23F683FA"/>
    <w:rsid w:val="2405D793"/>
    <w:rsid w:val="2409BB4B"/>
    <w:rsid w:val="240B0061"/>
    <w:rsid w:val="24102605"/>
    <w:rsid w:val="242AC065"/>
    <w:rsid w:val="24331659"/>
    <w:rsid w:val="2435325F"/>
    <w:rsid w:val="243962DF"/>
    <w:rsid w:val="243A4542"/>
    <w:rsid w:val="244C558E"/>
    <w:rsid w:val="244C6CF7"/>
    <w:rsid w:val="244D3D8D"/>
    <w:rsid w:val="2454D980"/>
    <w:rsid w:val="2459E625"/>
    <w:rsid w:val="245E24F4"/>
    <w:rsid w:val="2468A813"/>
    <w:rsid w:val="246AE940"/>
    <w:rsid w:val="24730AC4"/>
    <w:rsid w:val="247FECF8"/>
    <w:rsid w:val="24863EB6"/>
    <w:rsid w:val="24888996"/>
    <w:rsid w:val="248AF05C"/>
    <w:rsid w:val="248BC2B5"/>
    <w:rsid w:val="24903100"/>
    <w:rsid w:val="2498C42D"/>
    <w:rsid w:val="249ED4DF"/>
    <w:rsid w:val="249EFB6A"/>
    <w:rsid w:val="24A7FD51"/>
    <w:rsid w:val="24B613F7"/>
    <w:rsid w:val="24BC1F51"/>
    <w:rsid w:val="24C2DB55"/>
    <w:rsid w:val="24C4552C"/>
    <w:rsid w:val="24C7A10E"/>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FE7DD"/>
    <w:rsid w:val="25B26CD5"/>
    <w:rsid w:val="25B8BA4A"/>
    <w:rsid w:val="25C19DDF"/>
    <w:rsid w:val="25CCFB71"/>
    <w:rsid w:val="25D186A5"/>
    <w:rsid w:val="25D7C03B"/>
    <w:rsid w:val="25D7E525"/>
    <w:rsid w:val="25DBBF05"/>
    <w:rsid w:val="25E0DE58"/>
    <w:rsid w:val="25E1798B"/>
    <w:rsid w:val="25E8994F"/>
    <w:rsid w:val="25EDE63D"/>
    <w:rsid w:val="26068B81"/>
    <w:rsid w:val="2608250F"/>
    <w:rsid w:val="260A32C5"/>
    <w:rsid w:val="260C18F7"/>
    <w:rsid w:val="260E38E3"/>
    <w:rsid w:val="260F3994"/>
    <w:rsid w:val="26260EA9"/>
    <w:rsid w:val="26308000"/>
    <w:rsid w:val="263E7CBC"/>
    <w:rsid w:val="263F9993"/>
    <w:rsid w:val="2640914F"/>
    <w:rsid w:val="26421EB0"/>
    <w:rsid w:val="26472042"/>
    <w:rsid w:val="26524339"/>
    <w:rsid w:val="265D5CF8"/>
    <w:rsid w:val="26752AE7"/>
    <w:rsid w:val="2679927E"/>
    <w:rsid w:val="267E1F74"/>
    <w:rsid w:val="2681D05A"/>
    <w:rsid w:val="26832C65"/>
    <w:rsid w:val="2686A18B"/>
    <w:rsid w:val="26918BE0"/>
    <w:rsid w:val="2694A0C9"/>
    <w:rsid w:val="2696271E"/>
    <w:rsid w:val="269E6B0E"/>
    <w:rsid w:val="26A2CBAA"/>
    <w:rsid w:val="26A848FE"/>
    <w:rsid w:val="26AD7328"/>
    <w:rsid w:val="26B290EF"/>
    <w:rsid w:val="26B34A3A"/>
    <w:rsid w:val="26B5880E"/>
    <w:rsid w:val="26B80970"/>
    <w:rsid w:val="26BA5527"/>
    <w:rsid w:val="26BB19FB"/>
    <w:rsid w:val="26C41222"/>
    <w:rsid w:val="26CA9CF7"/>
    <w:rsid w:val="26CCE602"/>
    <w:rsid w:val="26E244E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85A72"/>
    <w:rsid w:val="27CD4139"/>
    <w:rsid w:val="27CD5FD6"/>
    <w:rsid w:val="27D11D2D"/>
    <w:rsid w:val="27DA91C7"/>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319D38"/>
    <w:rsid w:val="2836B012"/>
    <w:rsid w:val="28382928"/>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36A62"/>
    <w:rsid w:val="28D9C626"/>
    <w:rsid w:val="28DE67FA"/>
    <w:rsid w:val="28E5F224"/>
    <w:rsid w:val="28E9A3BF"/>
    <w:rsid w:val="28EA5F79"/>
    <w:rsid w:val="28F05E7E"/>
    <w:rsid w:val="28F87C95"/>
    <w:rsid w:val="29016AD9"/>
    <w:rsid w:val="2901D73A"/>
    <w:rsid w:val="2909281B"/>
    <w:rsid w:val="291C9E74"/>
    <w:rsid w:val="291DEBD3"/>
    <w:rsid w:val="292C5553"/>
    <w:rsid w:val="2930C778"/>
    <w:rsid w:val="29345669"/>
    <w:rsid w:val="29380C6B"/>
    <w:rsid w:val="293BF1EF"/>
    <w:rsid w:val="293D7384"/>
    <w:rsid w:val="2947BFAE"/>
    <w:rsid w:val="2948E7B1"/>
    <w:rsid w:val="2954BB8D"/>
    <w:rsid w:val="295DECB2"/>
    <w:rsid w:val="2976EE1D"/>
    <w:rsid w:val="297C6710"/>
    <w:rsid w:val="29806BF0"/>
    <w:rsid w:val="29859BF4"/>
    <w:rsid w:val="29A056F7"/>
    <w:rsid w:val="29AC6559"/>
    <w:rsid w:val="29B10571"/>
    <w:rsid w:val="29B88084"/>
    <w:rsid w:val="29C0A9F3"/>
    <w:rsid w:val="29C21A5A"/>
    <w:rsid w:val="29CD3A2D"/>
    <w:rsid w:val="29D5BF9D"/>
    <w:rsid w:val="29D948A9"/>
    <w:rsid w:val="29D9B2EE"/>
    <w:rsid w:val="29DC22D8"/>
    <w:rsid w:val="29DD4E68"/>
    <w:rsid w:val="29DFD8EF"/>
    <w:rsid w:val="29E86453"/>
    <w:rsid w:val="29EA6608"/>
    <w:rsid w:val="29F3D3E2"/>
    <w:rsid w:val="29F55283"/>
    <w:rsid w:val="29F6A841"/>
    <w:rsid w:val="2A0D3B25"/>
    <w:rsid w:val="2A0DAD5D"/>
    <w:rsid w:val="2A1D34C5"/>
    <w:rsid w:val="2A22E3FB"/>
    <w:rsid w:val="2A2416DE"/>
    <w:rsid w:val="2A2EBE78"/>
    <w:rsid w:val="2A31CB25"/>
    <w:rsid w:val="2A36BB6C"/>
    <w:rsid w:val="2A37579D"/>
    <w:rsid w:val="2A387EB6"/>
    <w:rsid w:val="2A4159A7"/>
    <w:rsid w:val="2A42DD85"/>
    <w:rsid w:val="2A437983"/>
    <w:rsid w:val="2A46DFF2"/>
    <w:rsid w:val="2A48002C"/>
    <w:rsid w:val="2A57EB46"/>
    <w:rsid w:val="2A593D8A"/>
    <w:rsid w:val="2A599E1E"/>
    <w:rsid w:val="2A5A7BCB"/>
    <w:rsid w:val="2A67B41B"/>
    <w:rsid w:val="2A87FE1A"/>
    <w:rsid w:val="2A8DB699"/>
    <w:rsid w:val="2A95CC23"/>
    <w:rsid w:val="2A9A38AD"/>
    <w:rsid w:val="2AA71F53"/>
    <w:rsid w:val="2AACAB0A"/>
    <w:rsid w:val="2AB3453A"/>
    <w:rsid w:val="2AB5C955"/>
    <w:rsid w:val="2AB67DA0"/>
    <w:rsid w:val="2AB88C09"/>
    <w:rsid w:val="2ABFB92F"/>
    <w:rsid w:val="2AC00A3B"/>
    <w:rsid w:val="2AC88B14"/>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A3801"/>
    <w:rsid w:val="2B853532"/>
    <w:rsid w:val="2B8A6549"/>
    <w:rsid w:val="2B8EB91A"/>
    <w:rsid w:val="2BA0606F"/>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BCC5F"/>
    <w:rsid w:val="2C3451AA"/>
    <w:rsid w:val="2C3C9261"/>
    <w:rsid w:val="2C3DAA13"/>
    <w:rsid w:val="2C42E2EE"/>
    <w:rsid w:val="2C4C1D76"/>
    <w:rsid w:val="2C53A020"/>
    <w:rsid w:val="2C55FD7A"/>
    <w:rsid w:val="2C58595A"/>
    <w:rsid w:val="2C594126"/>
    <w:rsid w:val="2C61FAD7"/>
    <w:rsid w:val="2C6275D0"/>
    <w:rsid w:val="2C6BE87C"/>
    <w:rsid w:val="2C7259AE"/>
    <w:rsid w:val="2C74F8EA"/>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D022CD5"/>
    <w:rsid w:val="2D06960C"/>
    <w:rsid w:val="2D0A6DE7"/>
    <w:rsid w:val="2D17F7B0"/>
    <w:rsid w:val="2D1C794A"/>
    <w:rsid w:val="2D1FD9A3"/>
    <w:rsid w:val="2D234F60"/>
    <w:rsid w:val="2D297DD8"/>
    <w:rsid w:val="2D2E58B5"/>
    <w:rsid w:val="2D39705D"/>
    <w:rsid w:val="2D47AA21"/>
    <w:rsid w:val="2D482C07"/>
    <w:rsid w:val="2D54E474"/>
    <w:rsid w:val="2D5A22AD"/>
    <w:rsid w:val="2D6237E5"/>
    <w:rsid w:val="2D6BC90B"/>
    <w:rsid w:val="2D6F1FE0"/>
    <w:rsid w:val="2D7779C4"/>
    <w:rsid w:val="2D7DA3C3"/>
    <w:rsid w:val="2D7FFBC9"/>
    <w:rsid w:val="2D927EEF"/>
    <w:rsid w:val="2D939402"/>
    <w:rsid w:val="2D9621B8"/>
    <w:rsid w:val="2DA83602"/>
    <w:rsid w:val="2DB02AC3"/>
    <w:rsid w:val="2DB93709"/>
    <w:rsid w:val="2DBB3570"/>
    <w:rsid w:val="2DBB7B7C"/>
    <w:rsid w:val="2DC64026"/>
    <w:rsid w:val="2DC9D3D5"/>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DF966"/>
    <w:rsid w:val="2E61FD44"/>
    <w:rsid w:val="2E63FFBC"/>
    <w:rsid w:val="2E754877"/>
    <w:rsid w:val="2E95B91A"/>
    <w:rsid w:val="2E995C5A"/>
    <w:rsid w:val="2E9C17E0"/>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86FDF"/>
    <w:rsid w:val="2F247794"/>
    <w:rsid w:val="2F2D43D6"/>
    <w:rsid w:val="2F372858"/>
    <w:rsid w:val="2F5150A8"/>
    <w:rsid w:val="2F51F7D2"/>
    <w:rsid w:val="2F5217F4"/>
    <w:rsid w:val="2F5973D9"/>
    <w:rsid w:val="2F5A9D84"/>
    <w:rsid w:val="2F5DA5CC"/>
    <w:rsid w:val="2F5F408E"/>
    <w:rsid w:val="2F67951D"/>
    <w:rsid w:val="2F72AEC7"/>
    <w:rsid w:val="2F76B81A"/>
    <w:rsid w:val="2F782629"/>
    <w:rsid w:val="2F78D774"/>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3000F5D4"/>
    <w:rsid w:val="300370AE"/>
    <w:rsid w:val="300528CE"/>
    <w:rsid w:val="3010AB77"/>
    <w:rsid w:val="30125552"/>
    <w:rsid w:val="3022B0DE"/>
    <w:rsid w:val="3024C6BD"/>
    <w:rsid w:val="302FB27A"/>
    <w:rsid w:val="304298ED"/>
    <w:rsid w:val="30481856"/>
    <w:rsid w:val="3048785C"/>
    <w:rsid w:val="304FA73D"/>
    <w:rsid w:val="3055AB67"/>
    <w:rsid w:val="30588C59"/>
    <w:rsid w:val="305A9C06"/>
    <w:rsid w:val="305FC515"/>
    <w:rsid w:val="306D6B7E"/>
    <w:rsid w:val="3070BEEF"/>
    <w:rsid w:val="3072202B"/>
    <w:rsid w:val="3076FC22"/>
    <w:rsid w:val="30841823"/>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C3E3BE"/>
    <w:rsid w:val="30D1D81E"/>
    <w:rsid w:val="30DB0735"/>
    <w:rsid w:val="30DB4832"/>
    <w:rsid w:val="30DC0D42"/>
    <w:rsid w:val="30E084F3"/>
    <w:rsid w:val="30E75F47"/>
    <w:rsid w:val="30E7B5BD"/>
    <w:rsid w:val="30E83654"/>
    <w:rsid w:val="30EDC6A9"/>
    <w:rsid w:val="30F66C37"/>
    <w:rsid w:val="30F7D526"/>
    <w:rsid w:val="30FB88DC"/>
    <w:rsid w:val="30FE605E"/>
    <w:rsid w:val="31018DDA"/>
    <w:rsid w:val="3102F702"/>
    <w:rsid w:val="31065808"/>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FC1EC"/>
    <w:rsid w:val="31D963B3"/>
    <w:rsid w:val="31D9BDC2"/>
    <w:rsid w:val="31DD4792"/>
    <w:rsid w:val="31DED4B2"/>
    <w:rsid w:val="31E060E7"/>
    <w:rsid w:val="31E0D47D"/>
    <w:rsid w:val="31E3B020"/>
    <w:rsid w:val="31F1081B"/>
    <w:rsid w:val="31FB11E8"/>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9156A"/>
    <w:rsid w:val="3279D821"/>
    <w:rsid w:val="327D84D8"/>
    <w:rsid w:val="3286E68E"/>
    <w:rsid w:val="32871F85"/>
    <w:rsid w:val="328F0241"/>
    <w:rsid w:val="329F5C07"/>
    <w:rsid w:val="32A25433"/>
    <w:rsid w:val="32A52E68"/>
    <w:rsid w:val="32A5544E"/>
    <w:rsid w:val="32A6B7BA"/>
    <w:rsid w:val="32AA6E56"/>
    <w:rsid w:val="32B0DB4E"/>
    <w:rsid w:val="32B6B5C7"/>
    <w:rsid w:val="32BCF69A"/>
    <w:rsid w:val="32CCF22C"/>
    <w:rsid w:val="32D8BEA9"/>
    <w:rsid w:val="32DB8828"/>
    <w:rsid w:val="32DC9B15"/>
    <w:rsid w:val="32DCCDE6"/>
    <w:rsid w:val="32E5AECD"/>
    <w:rsid w:val="32F1BD91"/>
    <w:rsid w:val="32F47729"/>
    <w:rsid w:val="32FE31F7"/>
    <w:rsid w:val="33080C73"/>
    <w:rsid w:val="330D564A"/>
    <w:rsid w:val="3314E1DB"/>
    <w:rsid w:val="33163205"/>
    <w:rsid w:val="331EE24A"/>
    <w:rsid w:val="33217C45"/>
    <w:rsid w:val="3325216A"/>
    <w:rsid w:val="332ACDAA"/>
    <w:rsid w:val="332DD7AA"/>
    <w:rsid w:val="332E04C2"/>
    <w:rsid w:val="332F5D26"/>
    <w:rsid w:val="332F7241"/>
    <w:rsid w:val="333CB365"/>
    <w:rsid w:val="333F75EC"/>
    <w:rsid w:val="334BBC76"/>
    <w:rsid w:val="334E0C42"/>
    <w:rsid w:val="334FBDC3"/>
    <w:rsid w:val="3357CAA4"/>
    <w:rsid w:val="33594DEB"/>
    <w:rsid w:val="335B2E1B"/>
    <w:rsid w:val="33665A6A"/>
    <w:rsid w:val="33769FBA"/>
    <w:rsid w:val="3377E36D"/>
    <w:rsid w:val="337DAFB5"/>
    <w:rsid w:val="33804A0E"/>
    <w:rsid w:val="3382B4F7"/>
    <w:rsid w:val="3388548E"/>
    <w:rsid w:val="33992290"/>
    <w:rsid w:val="339BD968"/>
    <w:rsid w:val="339BE283"/>
    <w:rsid w:val="33A24F02"/>
    <w:rsid w:val="33AE867E"/>
    <w:rsid w:val="33AF86C9"/>
    <w:rsid w:val="33BB1C8A"/>
    <w:rsid w:val="33C4BFDE"/>
    <w:rsid w:val="33DF6208"/>
    <w:rsid w:val="33E04C41"/>
    <w:rsid w:val="33ECF6D9"/>
    <w:rsid w:val="33F0FA20"/>
    <w:rsid w:val="33F103A1"/>
    <w:rsid w:val="33FA70DF"/>
    <w:rsid w:val="33FC9016"/>
    <w:rsid w:val="33FD9A48"/>
    <w:rsid w:val="3400A8AF"/>
    <w:rsid w:val="34039F29"/>
    <w:rsid w:val="340903BC"/>
    <w:rsid w:val="34107B71"/>
    <w:rsid w:val="3411022D"/>
    <w:rsid w:val="34138C7B"/>
    <w:rsid w:val="3414F305"/>
    <w:rsid w:val="341EE6D1"/>
    <w:rsid w:val="3424EECB"/>
    <w:rsid w:val="342FA901"/>
    <w:rsid w:val="3438E036"/>
    <w:rsid w:val="34399AF2"/>
    <w:rsid w:val="34515B96"/>
    <w:rsid w:val="3467E413"/>
    <w:rsid w:val="3469AF22"/>
    <w:rsid w:val="34705C6D"/>
    <w:rsid w:val="347224F3"/>
    <w:rsid w:val="3473048D"/>
    <w:rsid w:val="347AA42E"/>
    <w:rsid w:val="347C6316"/>
    <w:rsid w:val="347DC0B0"/>
    <w:rsid w:val="3485EF22"/>
    <w:rsid w:val="348A1440"/>
    <w:rsid w:val="348B11AF"/>
    <w:rsid w:val="349AD68C"/>
    <w:rsid w:val="34AA5755"/>
    <w:rsid w:val="34AAF903"/>
    <w:rsid w:val="34AF1CE6"/>
    <w:rsid w:val="34B8DC59"/>
    <w:rsid w:val="34BF619D"/>
    <w:rsid w:val="34C52C02"/>
    <w:rsid w:val="34D6A81D"/>
    <w:rsid w:val="34D71F53"/>
    <w:rsid w:val="34D7A28A"/>
    <w:rsid w:val="34DAB07E"/>
    <w:rsid w:val="34DE34B0"/>
    <w:rsid w:val="34DE9B49"/>
    <w:rsid w:val="34DFCD7B"/>
    <w:rsid w:val="34DFF6B9"/>
    <w:rsid w:val="34E1BD1F"/>
    <w:rsid w:val="34F51E0D"/>
    <w:rsid w:val="34F8056E"/>
    <w:rsid w:val="34F86F78"/>
    <w:rsid w:val="34FC2C2A"/>
    <w:rsid w:val="35139E10"/>
    <w:rsid w:val="351D8BFA"/>
    <w:rsid w:val="3524B566"/>
    <w:rsid w:val="35332BC8"/>
    <w:rsid w:val="3535755E"/>
    <w:rsid w:val="353ABA94"/>
    <w:rsid w:val="3542CC82"/>
    <w:rsid w:val="35434797"/>
    <w:rsid w:val="3543B8DB"/>
    <w:rsid w:val="3544BAD8"/>
    <w:rsid w:val="354987C4"/>
    <w:rsid w:val="354F6F9F"/>
    <w:rsid w:val="35535196"/>
    <w:rsid w:val="35575A31"/>
    <w:rsid w:val="3567D798"/>
    <w:rsid w:val="3569BE77"/>
    <w:rsid w:val="356C31B0"/>
    <w:rsid w:val="35713294"/>
    <w:rsid w:val="3575E023"/>
    <w:rsid w:val="357696FD"/>
    <w:rsid w:val="358FE977"/>
    <w:rsid w:val="35912B4D"/>
    <w:rsid w:val="3594668E"/>
    <w:rsid w:val="359A6A71"/>
    <w:rsid w:val="35A7CC8C"/>
    <w:rsid w:val="35A7D0AA"/>
    <w:rsid w:val="35AA0409"/>
    <w:rsid w:val="35B34B73"/>
    <w:rsid w:val="35B9E1B1"/>
    <w:rsid w:val="35C62559"/>
    <w:rsid w:val="35CA1107"/>
    <w:rsid w:val="35CAD104"/>
    <w:rsid w:val="35D08427"/>
    <w:rsid w:val="35D92B32"/>
    <w:rsid w:val="35E2AFD2"/>
    <w:rsid w:val="35E47AE1"/>
    <w:rsid w:val="35E906BF"/>
    <w:rsid w:val="35FFC862"/>
    <w:rsid w:val="36012001"/>
    <w:rsid w:val="3606F773"/>
    <w:rsid w:val="360850C2"/>
    <w:rsid w:val="36099284"/>
    <w:rsid w:val="360BC141"/>
    <w:rsid w:val="3613F3C7"/>
    <w:rsid w:val="361C8276"/>
    <w:rsid w:val="361F89DB"/>
    <w:rsid w:val="362464D0"/>
    <w:rsid w:val="3624DCEE"/>
    <w:rsid w:val="3624FED9"/>
    <w:rsid w:val="3628194D"/>
    <w:rsid w:val="3637312F"/>
    <w:rsid w:val="363C8465"/>
    <w:rsid w:val="3642AEA5"/>
    <w:rsid w:val="36465559"/>
    <w:rsid w:val="364C64FC"/>
    <w:rsid w:val="36568249"/>
    <w:rsid w:val="3657997A"/>
    <w:rsid w:val="36588029"/>
    <w:rsid w:val="3659992E"/>
    <w:rsid w:val="365A88F4"/>
    <w:rsid w:val="365CDD02"/>
    <w:rsid w:val="365EC2AC"/>
    <w:rsid w:val="36641089"/>
    <w:rsid w:val="36671C2D"/>
    <w:rsid w:val="366D9C47"/>
    <w:rsid w:val="366EC5D3"/>
    <w:rsid w:val="36702D78"/>
    <w:rsid w:val="3670B28C"/>
    <w:rsid w:val="3672B532"/>
    <w:rsid w:val="367AC914"/>
    <w:rsid w:val="36802388"/>
    <w:rsid w:val="3683FD9E"/>
    <w:rsid w:val="369287CE"/>
    <w:rsid w:val="36A2CF75"/>
    <w:rsid w:val="36A6A89A"/>
    <w:rsid w:val="36B531F0"/>
    <w:rsid w:val="36B658B4"/>
    <w:rsid w:val="36BA82B5"/>
    <w:rsid w:val="36BEDE67"/>
    <w:rsid w:val="36BFD0CF"/>
    <w:rsid w:val="36C03507"/>
    <w:rsid w:val="36D24A74"/>
    <w:rsid w:val="36D3BDF8"/>
    <w:rsid w:val="36E7B394"/>
    <w:rsid w:val="36EDFC0F"/>
    <w:rsid w:val="36F82296"/>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F213A"/>
    <w:rsid w:val="378BB236"/>
    <w:rsid w:val="3793B310"/>
    <w:rsid w:val="379B056A"/>
    <w:rsid w:val="37A4FA96"/>
    <w:rsid w:val="37A54387"/>
    <w:rsid w:val="37ABCE06"/>
    <w:rsid w:val="37AD0C42"/>
    <w:rsid w:val="37AEA2F2"/>
    <w:rsid w:val="37B54A36"/>
    <w:rsid w:val="37BFACF1"/>
    <w:rsid w:val="37C89285"/>
    <w:rsid w:val="37C99C0F"/>
    <w:rsid w:val="37CAB181"/>
    <w:rsid w:val="37D1C345"/>
    <w:rsid w:val="37E347A5"/>
    <w:rsid w:val="37E68C96"/>
    <w:rsid w:val="37EA759E"/>
    <w:rsid w:val="37ED87F2"/>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C3F23"/>
    <w:rsid w:val="3854D20E"/>
    <w:rsid w:val="385B3AEB"/>
    <w:rsid w:val="3866141B"/>
    <w:rsid w:val="386C4891"/>
    <w:rsid w:val="387025FC"/>
    <w:rsid w:val="3871E038"/>
    <w:rsid w:val="3875B2CF"/>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D81C82"/>
    <w:rsid w:val="38D98EA1"/>
    <w:rsid w:val="38DCAD69"/>
    <w:rsid w:val="38DD4F88"/>
    <w:rsid w:val="38E4B512"/>
    <w:rsid w:val="38EF7600"/>
    <w:rsid w:val="38F11847"/>
    <w:rsid w:val="38F7B673"/>
    <w:rsid w:val="38F98BFD"/>
    <w:rsid w:val="3907C883"/>
    <w:rsid w:val="39181F62"/>
    <w:rsid w:val="3918B2BD"/>
    <w:rsid w:val="392237F7"/>
    <w:rsid w:val="3927EE0B"/>
    <w:rsid w:val="39289E22"/>
    <w:rsid w:val="392C97FE"/>
    <w:rsid w:val="392CA7D0"/>
    <w:rsid w:val="39371038"/>
    <w:rsid w:val="39526623"/>
    <w:rsid w:val="39546011"/>
    <w:rsid w:val="3955A9A7"/>
    <w:rsid w:val="395A24EE"/>
    <w:rsid w:val="395A4A51"/>
    <w:rsid w:val="395B5243"/>
    <w:rsid w:val="3961650E"/>
    <w:rsid w:val="39622883"/>
    <w:rsid w:val="3962D00F"/>
    <w:rsid w:val="3964C78D"/>
    <w:rsid w:val="396D6456"/>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62BD5"/>
    <w:rsid w:val="39CCD937"/>
    <w:rsid w:val="39CD4B70"/>
    <w:rsid w:val="39CD770E"/>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D0741"/>
    <w:rsid w:val="3A327755"/>
    <w:rsid w:val="3A33905D"/>
    <w:rsid w:val="3A377C93"/>
    <w:rsid w:val="3A3E4A24"/>
    <w:rsid w:val="3A409C71"/>
    <w:rsid w:val="3A435A4F"/>
    <w:rsid w:val="3A436007"/>
    <w:rsid w:val="3A485F60"/>
    <w:rsid w:val="3A4C6514"/>
    <w:rsid w:val="3A4FA2F3"/>
    <w:rsid w:val="3A519AB7"/>
    <w:rsid w:val="3A52CDE7"/>
    <w:rsid w:val="3A55C0FA"/>
    <w:rsid w:val="3A5E350F"/>
    <w:rsid w:val="3A7689FC"/>
    <w:rsid w:val="3A802B2D"/>
    <w:rsid w:val="3A8431D4"/>
    <w:rsid w:val="3A87B3D7"/>
    <w:rsid w:val="3A93A3FB"/>
    <w:rsid w:val="3A9DA8ED"/>
    <w:rsid w:val="3AA714E8"/>
    <w:rsid w:val="3AA779CB"/>
    <w:rsid w:val="3AAF20ED"/>
    <w:rsid w:val="3AB0A8E0"/>
    <w:rsid w:val="3ABC84AB"/>
    <w:rsid w:val="3AC46F9C"/>
    <w:rsid w:val="3AC7DBAF"/>
    <w:rsid w:val="3ACAC90E"/>
    <w:rsid w:val="3AE212BC"/>
    <w:rsid w:val="3AE3E843"/>
    <w:rsid w:val="3AE8E8BD"/>
    <w:rsid w:val="3AEC4E6F"/>
    <w:rsid w:val="3AEE5539"/>
    <w:rsid w:val="3AF07921"/>
    <w:rsid w:val="3AF1FC22"/>
    <w:rsid w:val="3AFC5F4E"/>
    <w:rsid w:val="3B045B77"/>
    <w:rsid w:val="3B0A9ACA"/>
    <w:rsid w:val="3B15961C"/>
    <w:rsid w:val="3B1DD06E"/>
    <w:rsid w:val="3B25135E"/>
    <w:rsid w:val="3B26E022"/>
    <w:rsid w:val="3B2709AB"/>
    <w:rsid w:val="3B2B0A9D"/>
    <w:rsid w:val="3B30BFC6"/>
    <w:rsid w:val="3B32D055"/>
    <w:rsid w:val="3B3B465E"/>
    <w:rsid w:val="3B43A949"/>
    <w:rsid w:val="3B43C93B"/>
    <w:rsid w:val="3B46FD0B"/>
    <w:rsid w:val="3B4A0906"/>
    <w:rsid w:val="3B4B8D52"/>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E177F8"/>
    <w:rsid w:val="3BE64E0B"/>
    <w:rsid w:val="3BF791D5"/>
    <w:rsid w:val="3C010EE1"/>
    <w:rsid w:val="3C0F8EA5"/>
    <w:rsid w:val="3C13C668"/>
    <w:rsid w:val="3C17F5B2"/>
    <w:rsid w:val="3C1C6E89"/>
    <w:rsid w:val="3C1EAD01"/>
    <w:rsid w:val="3C249FA0"/>
    <w:rsid w:val="3C298AE9"/>
    <w:rsid w:val="3C2A71F1"/>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BF4FF"/>
    <w:rsid w:val="3C73510F"/>
    <w:rsid w:val="3C787D41"/>
    <w:rsid w:val="3C7EECD1"/>
    <w:rsid w:val="3C7F127F"/>
    <w:rsid w:val="3C8525B4"/>
    <w:rsid w:val="3C8DF407"/>
    <w:rsid w:val="3C92F8B6"/>
    <w:rsid w:val="3C9659B2"/>
    <w:rsid w:val="3CB2BE50"/>
    <w:rsid w:val="3CBCCB95"/>
    <w:rsid w:val="3CC67376"/>
    <w:rsid w:val="3CC7DC9A"/>
    <w:rsid w:val="3CCAC697"/>
    <w:rsid w:val="3CDA84D3"/>
    <w:rsid w:val="3CE372A3"/>
    <w:rsid w:val="3CE84FAA"/>
    <w:rsid w:val="3CED5D08"/>
    <w:rsid w:val="3CF68012"/>
    <w:rsid w:val="3CFCDDB8"/>
    <w:rsid w:val="3D01448E"/>
    <w:rsid w:val="3D086873"/>
    <w:rsid w:val="3D090C85"/>
    <w:rsid w:val="3D0E14D1"/>
    <w:rsid w:val="3D126293"/>
    <w:rsid w:val="3D1C559C"/>
    <w:rsid w:val="3D1CAA1F"/>
    <w:rsid w:val="3D26285B"/>
    <w:rsid w:val="3D2773D5"/>
    <w:rsid w:val="3D2928D6"/>
    <w:rsid w:val="3D2E8A88"/>
    <w:rsid w:val="3D38FF75"/>
    <w:rsid w:val="3D3FABA4"/>
    <w:rsid w:val="3D45086E"/>
    <w:rsid w:val="3D4D5F62"/>
    <w:rsid w:val="3D53EFBA"/>
    <w:rsid w:val="3D57A511"/>
    <w:rsid w:val="3D627E79"/>
    <w:rsid w:val="3D641110"/>
    <w:rsid w:val="3D64B868"/>
    <w:rsid w:val="3D6BFB3F"/>
    <w:rsid w:val="3D6E55F6"/>
    <w:rsid w:val="3D7337A2"/>
    <w:rsid w:val="3D75BAB2"/>
    <w:rsid w:val="3D7AD409"/>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9BF70"/>
    <w:rsid w:val="3DCAEEB7"/>
    <w:rsid w:val="3DD0964B"/>
    <w:rsid w:val="3DD530E5"/>
    <w:rsid w:val="3DF1541B"/>
    <w:rsid w:val="3DF237C7"/>
    <w:rsid w:val="3DF50A41"/>
    <w:rsid w:val="3DF7E21D"/>
    <w:rsid w:val="3E00A5B8"/>
    <w:rsid w:val="3E0C726E"/>
    <w:rsid w:val="3E11624C"/>
    <w:rsid w:val="3E15675D"/>
    <w:rsid w:val="3E20A3EA"/>
    <w:rsid w:val="3E2EBCD8"/>
    <w:rsid w:val="3E311DC3"/>
    <w:rsid w:val="3E360E77"/>
    <w:rsid w:val="3E411142"/>
    <w:rsid w:val="3E422D91"/>
    <w:rsid w:val="3E577285"/>
    <w:rsid w:val="3E5C2F34"/>
    <w:rsid w:val="3E66BE44"/>
    <w:rsid w:val="3E73AF77"/>
    <w:rsid w:val="3E86649D"/>
    <w:rsid w:val="3E8EE34D"/>
    <w:rsid w:val="3E8F7B12"/>
    <w:rsid w:val="3E92B2B9"/>
    <w:rsid w:val="3E979442"/>
    <w:rsid w:val="3E9AB3A2"/>
    <w:rsid w:val="3E9B116F"/>
    <w:rsid w:val="3EA0FBDC"/>
    <w:rsid w:val="3EA45855"/>
    <w:rsid w:val="3EA8088A"/>
    <w:rsid w:val="3EAAB91F"/>
    <w:rsid w:val="3EAC871D"/>
    <w:rsid w:val="3EB4B6CA"/>
    <w:rsid w:val="3EB702B4"/>
    <w:rsid w:val="3ECA83C5"/>
    <w:rsid w:val="3ECB3957"/>
    <w:rsid w:val="3ED6F7D2"/>
    <w:rsid w:val="3EDDFCBC"/>
    <w:rsid w:val="3EE61A2B"/>
    <w:rsid w:val="3EE9946A"/>
    <w:rsid w:val="3EEBD439"/>
    <w:rsid w:val="3EF0DA50"/>
    <w:rsid w:val="3EF381B5"/>
    <w:rsid w:val="3EF4DB2F"/>
    <w:rsid w:val="3EF6BD0C"/>
    <w:rsid w:val="3EF81214"/>
    <w:rsid w:val="3F0146F9"/>
    <w:rsid w:val="3F05C555"/>
    <w:rsid w:val="3F15D538"/>
    <w:rsid w:val="3F160D99"/>
    <w:rsid w:val="3F1FD097"/>
    <w:rsid w:val="3F30A740"/>
    <w:rsid w:val="3F36133D"/>
    <w:rsid w:val="3F3E988F"/>
    <w:rsid w:val="3F5027CC"/>
    <w:rsid w:val="3F5627FB"/>
    <w:rsid w:val="3F5BC80E"/>
    <w:rsid w:val="3F5F7744"/>
    <w:rsid w:val="3F5FCF6E"/>
    <w:rsid w:val="3F6F4002"/>
    <w:rsid w:val="3F733F2A"/>
    <w:rsid w:val="3F7376EE"/>
    <w:rsid w:val="3F75620A"/>
    <w:rsid w:val="3F7D046C"/>
    <w:rsid w:val="3F7F4D89"/>
    <w:rsid w:val="3F8DA2CB"/>
    <w:rsid w:val="3F9DAED4"/>
    <w:rsid w:val="3FA2EE11"/>
    <w:rsid w:val="3FA3A810"/>
    <w:rsid w:val="3FA8505E"/>
    <w:rsid w:val="3FAB60FC"/>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95ED3"/>
    <w:rsid w:val="401B4F13"/>
    <w:rsid w:val="401E12AB"/>
    <w:rsid w:val="4030C2BD"/>
    <w:rsid w:val="403EFC91"/>
    <w:rsid w:val="40423B9F"/>
    <w:rsid w:val="40447483"/>
    <w:rsid w:val="404FC31A"/>
    <w:rsid w:val="405239E6"/>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2C9C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E49347"/>
    <w:rsid w:val="40E68F65"/>
    <w:rsid w:val="40F33950"/>
    <w:rsid w:val="40F4F536"/>
    <w:rsid w:val="40F6E4E2"/>
    <w:rsid w:val="41085938"/>
    <w:rsid w:val="410AAC61"/>
    <w:rsid w:val="410BC2BE"/>
    <w:rsid w:val="410D920F"/>
    <w:rsid w:val="41144A0A"/>
    <w:rsid w:val="412B547C"/>
    <w:rsid w:val="412DA491"/>
    <w:rsid w:val="412FA9F8"/>
    <w:rsid w:val="41452241"/>
    <w:rsid w:val="4150F364"/>
    <w:rsid w:val="4161B8DB"/>
    <w:rsid w:val="416B9C36"/>
    <w:rsid w:val="416D8725"/>
    <w:rsid w:val="41739CFB"/>
    <w:rsid w:val="41825E47"/>
    <w:rsid w:val="418A3156"/>
    <w:rsid w:val="418B8FF2"/>
    <w:rsid w:val="418F9277"/>
    <w:rsid w:val="419013D2"/>
    <w:rsid w:val="419A40DD"/>
    <w:rsid w:val="41A300BF"/>
    <w:rsid w:val="41A33388"/>
    <w:rsid w:val="41A6711D"/>
    <w:rsid w:val="41AB9D76"/>
    <w:rsid w:val="41AC1C54"/>
    <w:rsid w:val="41B0F365"/>
    <w:rsid w:val="41B30E58"/>
    <w:rsid w:val="41B3AACD"/>
    <w:rsid w:val="41B85E38"/>
    <w:rsid w:val="41C02480"/>
    <w:rsid w:val="41CF1145"/>
    <w:rsid w:val="41CF54B9"/>
    <w:rsid w:val="41DE1922"/>
    <w:rsid w:val="41DFD7BD"/>
    <w:rsid w:val="41E02EC8"/>
    <w:rsid w:val="41E1366B"/>
    <w:rsid w:val="41E70006"/>
    <w:rsid w:val="41EB9553"/>
    <w:rsid w:val="41F43881"/>
    <w:rsid w:val="41F48C04"/>
    <w:rsid w:val="41FA4C07"/>
    <w:rsid w:val="41FEC196"/>
    <w:rsid w:val="4204D659"/>
    <w:rsid w:val="4206AC09"/>
    <w:rsid w:val="420C3FD6"/>
    <w:rsid w:val="42211042"/>
    <w:rsid w:val="4222EA1F"/>
    <w:rsid w:val="42279983"/>
    <w:rsid w:val="422E413C"/>
    <w:rsid w:val="423305FC"/>
    <w:rsid w:val="4237636A"/>
    <w:rsid w:val="423980AC"/>
    <w:rsid w:val="423C9258"/>
    <w:rsid w:val="423E8313"/>
    <w:rsid w:val="424C1FB5"/>
    <w:rsid w:val="42538040"/>
    <w:rsid w:val="42596E85"/>
    <w:rsid w:val="426199C0"/>
    <w:rsid w:val="4262B4C3"/>
    <w:rsid w:val="426FAC0F"/>
    <w:rsid w:val="4271F2BB"/>
    <w:rsid w:val="4275FF7D"/>
    <w:rsid w:val="428B3D12"/>
    <w:rsid w:val="428B6EEB"/>
    <w:rsid w:val="428E0F14"/>
    <w:rsid w:val="428FDAF5"/>
    <w:rsid w:val="4291D08F"/>
    <w:rsid w:val="4292B543"/>
    <w:rsid w:val="4295FC70"/>
    <w:rsid w:val="429C9393"/>
    <w:rsid w:val="429D0AA5"/>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806B5"/>
    <w:rsid w:val="42EBA471"/>
    <w:rsid w:val="42F2F17F"/>
    <w:rsid w:val="42F3B46C"/>
    <w:rsid w:val="42F5B1EF"/>
    <w:rsid w:val="42F68C14"/>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674401"/>
    <w:rsid w:val="436914D4"/>
    <w:rsid w:val="4369422B"/>
    <w:rsid w:val="436AE327"/>
    <w:rsid w:val="436F7CED"/>
    <w:rsid w:val="437086BA"/>
    <w:rsid w:val="43845444"/>
    <w:rsid w:val="43885501"/>
    <w:rsid w:val="4388ADDD"/>
    <w:rsid w:val="438E4542"/>
    <w:rsid w:val="439961B5"/>
    <w:rsid w:val="43A37889"/>
    <w:rsid w:val="43A7E258"/>
    <w:rsid w:val="43A8AE20"/>
    <w:rsid w:val="43B86011"/>
    <w:rsid w:val="43C6C331"/>
    <w:rsid w:val="43CB6AB6"/>
    <w:rsid w:val="43CF46DC"/>
    <w:rsid w:val="43CF857F"/>
    <w:rsid w:val="43D3289E"/>
    <w:rsid w:val="43D7311A"/>
    <w:rsid w:val="43DF3633"/>
    <w:rsid w:val="43E995D2"/>
    <w:rsid w:val="43F2F94E"/>
    <w:rsid w:val="43F38D08"/>
    <w:rsid w:val="43F3D129"/>
    <w:rsid w:val="43FDE2B7"/>
    <w:rsid w:val="43FF852B"/>
    <w:rsid w:val="4415C667"/>
    <w:rsid w:val="4418CCAF"/>
    <w:rsid w:val="4419E10C"/>
    <w:rsid w:val="442B02D0"/>
    <w:rsid w:val="442B6BEA"/>
    <w:rsid w:val="4438AF09"/>
    <w:rsid w:val="444385CA"/>
    <w:rsid w:val="444465CD"/>
    <w:rsid w:val="444C3B59"/>
    <w:rsid w:val="44519229"/>
    <w:rsid w:val="445F9980"/>
    <w:rsid w:val="44600AC0"/>
    <w:rsid w:val="4466D2B0"/>
    <w:rsid w:val="44688E12"/>
    <w:rsid w:val="446BAC55"/>
    <w:rsid w:val="4481BCD0"/>
    <w:rsid w:val="4486761E"/>
    <w:rsid w:val="44947CE2"/>
    <w:rsid w:val="44956F9C"/>
    <w:rsid w:val="449A960E"/>
    <w:rsid w:val="449C8FBB"/>
    <w:rsid w:val="449FB169"/>
    <w:rsid w:val="44A46E2D"/>
    <w:rsid w:val="44A921BF"/>
    <w:rsid w:val="44AD4182"/>
    <w:rsid w:val="44AFF94D"/>
    <w:rsid w:val="44B6958F"/>
    <w:rsid w:val="44BB6F69"/>
    <w:rsid w:val="44BC4D60"/>
    <w:rsid w:val="44C6707A"/>
    <w:rsid w:val="44D1ECE3"/>
    <w:rsid w:val="44DB24D6"/>
    <w:rsid w:val="44E53A54"/>
    <w:rsid w:val="44E66AD4"/>
    <w:rsid w:val="44F39227"/>
    <w:rsid w:val="44F7E84B"/>
    <w:rsid w:val="44F7F96B"/>
    <w:rsid w:val="44FC855A"/>
    <w:rsid w:val="4501B228"/>
    <w:rsid w:val="45054FC9"/>
    <w:rsid w:val="4509583B"/>
    <w:rsid w:val="450B6662"/>
    <w:rsid w:val="450D0E67"/>
    <w:rsid w:val="450D9679"/>
    <w:rsid w:val="451071ED"/>
    <w:rsid w:val="451242D2"/>
    <w:rsid w:val="451617A3"/>
    <w:rsid w:val="45185124"/>
    <w:rsid w:val="451A52A6"/>
    <w:rsid w:val="452056F6"/>
    <w:rsid w:val="45315AC0"/>
    <w:rsid w:val="4531A402"/>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FA676"/>
    <w:rsid w:val="458E0154"/>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920EE"/>
    <w:rsid w:val="45EE8C5D"/>
    <w:rsid w:val="45EF08D4"/>
    <w:rsid w:val="45FB0959"/>
    <w:rsid w:val="45FB1903"/>
    <w:rsid w:val="45FF36BB"/>
    <w:rsid w:val="46020BAE"/>
    <w:rsid w:val="4603F90C"/>
    <w:rsid w:val="4608CFCC"/>
    <w:rsid w:val="46164485"/>
    <w:rsid w:val="461975ED"/>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D182C"/>
    <w:rsid w:val="465F817B"/>
    <w:rsid w:val="4666C7F5"/>
    <w:rsid w:val="466785C9"/>
    <w:rsid w:val="4679DF2C"/>
    <w:rsid w:val="467A9D6A"/>
    <w:rsid w:val="46843FC0"/>
    <w:rsid w:val="46858800"/>
    <w:rsid w:val="46864946"/>
    <w:rsid w:val="46933B5F"/>
    <w:rsid w:val="4695263D"/>
    <w:rsid w:val="469D3D53"/>
    <w:rsid w:val="46A02E7C"/>
    <w:rsid w:val="46A6D8FC"/>
    <w:rsid w:val="46A81493"/>
    <w:rsid w:val="46B3531F"/>
    <w:rsid w:val="46BEB621"/>
    <w:rsid w:val="46BFD3B9"/>
    <w:rsid w:val="46CA4691"/>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39A9CE"/>
    <w:rsid w:val="473F3A5F"/>
    <w:rsid w:val="4741FB5A"/>
    <w:rsid w:val="474A91A3"/>
    <w:rsid w:val="474BDECC"/>
    <w:rsid w:val="474D8E51"/>
    <w:rsid w:val="475606BB"/>
    <w:rsid w:val="4756D1F8"/>
    <w:rsid w:val="47602166"/>
    <w:rsid w:val="47737F79"/>
    <w:rsid w:val="4773EFD6"/>
    <w:rsid w:val="4774E692"/>
    <w:rsid w:val="477C095A"/>
    <w:rsid w:val="477DC528"/>
    <w:rsid w:val="477E067C"/>
    <w:rsid w:val="4798C559"/>
    <w:rsid w:val="479F1633"/>
    <w:rsid w:val="479FB6AC"/>
    <w:rsid w:val="47A686C0"/>
    <w:rsid w:val="47B34EDF"/>
    <w:rsid w:val="47B3A5CD"/>
    <w:rsid w:val="47BF81FC"/>
    <w:rsid w:val="47C49CBC"/>
    <w:rsid w:val="47D0A9C7"/>
    <w:rsid w:val="47EB1100"/>
    <w:rsid w:val="47EFB999"/>
    <w:rsid w:val="47FA1358"/>
    <w:rsid w:val="4810792E"/>
    <w:rsid w:val="4816B0F7"/>
    <w:rsid w:val="48224B7D"/>
    <w:rsid w:val="482DA7B7"/>
    <w:rsid w:val="482F7B46"/>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C121D"/>
    <w:rsid w:val="48B44044"/>
    <w:rsid w:val="48C69D15"/>
    <w:rsid w:val="48C75432"/>
    <w:rsid w:val="48CDC95F"/>
    <w:rsid w:val="48D58A68"/>
    <w:rsid w:val="48D5E871"/>
    <w:rsid w:val="48D6AB36"/>
    <w:rsid w:val="48DC473C"/>
    <w:rsid w:val="48E06F0B"/>
    <w:rsid w:val="48E7C6DB"/>
    <w:rsid w:val="48EB3B9F"/>
    <w:rsid w:val="48F819EE"/>
    <w:rsid w:val="4900B4DA"/>
    <w:rsid w:val="4904AAAF"/>
    <w:rsid w:val="49141DFB"/>
    <w:rsid w:val="49155295"/>
    <w:rsid w:val="491C8953"/>
    <w:rsid w:val="491E9FC5"/>
    <w:rsid w:val="49237D46"/>
    <w:rsid w:val="49277382"/>
    <w:rsid w:val="49288923"/>
    <w:rsid w:val="492D7CD2"/>
    <w:rsid w:val="492E442C"/>
    <w:rsid w:val="4938B907"/>
    <w:rsid w:val="493FDA2C"/>
    <w:rsid w:val="4954AB70"/>
    <w:rsid w:val="4955699A"/>
    <w:rsid w:val="495A3B16"/>
    <w:rsid w:val="495B2532"/>
    <w:rsid w:val="496CA021"/>
    <w:rsid w:val="4975EB72"/>
    <w:rsid w:val="49785BA1"/>
    <w:rsid w:val="497AC4EC"/>
    <w:rsid w:val="497E35FB"/>
    <w:rsid w:val="49823CAB"/>
    <w:rsid w:val="498CAE57"/>
    <w:rsid w:val="49907D0E"/>
    <w:rsid w:val="499420DE"/>
    <w:rsid w:val="49973B32"/>
    <w:rsid w:val="49A8F703"/>
    <w:rsid w:val="49B111E9"/>
    <w:rsid w:val="49B19665"/>
    <w:rsid w:val="49B2C43C"/>
    <w:rsid w:val="49B39FD9"/>
    <w:rsid w:val="49BA05AC"/>
    <w:rsid w:val="49BDE1E4"/>
    <w:rsid w:val="49C4BD3A"/>
    <w:rsid w:val="49CAF92C"/>
    <w:rsid w:val="49CDBA88"/>
    <w:rsid w:val="49D4DE0F"/>
    <w:rsid w:val="49D60B8A"/>
    <w:rsid w:val="49D9E6D9"/>
    <w:rsid w:val="49DED88C"/>
    <w:rsid w:val="49DFEB5C"/>
    <w:rsid w:val="49E8E56B"/>
    <w:rsid w:val="49F6C01F"/>
    <w:rsid w:val="4A074D77"/>
    <w:rsid w:val="4A107C97"/>
    <w:rsid w:val="4A12BB36"/>
    <w:rsid w:val="4A2209F8"/>
    <w:rsid w:val="4A290DC7"/>
    <w:rsid w:val="4A2E307E"/>
    <w:rsid w:val="4A321BDA"/>
    <w:rsid w:val="4A345AF3"/>
    <w:rsid w:val="4A36E8CA"/>
    <w:rsid w:val="4A38D99D"/>
    <w:rsid w:val="4A3F16CA"/>
    <w:rsid w:val="4A45FBD9"/>
    <w:rsid w:val="4A52AFC7"/>
    <w:rsid w:val="4A58AA66"/>
    <w:rsid w:val="4A5A76CE"/>
    <w:rsid w:val="4A613E86"/>
    <w:rsid w:val="4A6AE5D2"/>
    <w:rsid w:val="4A7D8B41"/>
    <w:rsid w:val="4A7DA59F"/>
    <w:rsid w:val="4A91318D"/>
    <w:rsid w:val="4A933261"/>
    <w:rsid w:val="4A9560C2"/>
    <w:rsid w:val="4A95B77F"/>
    <w:rsid w:val="4A9880D6"/>
    <w:rsid w:val="4AA162F0"/>
    <w:rsid w:val="4AA49476"/>
    <w:rsid w:val="4AA94BF3"/>
    <w:rsid w:val="4AAD1408"/>
    <w:rsid w:val="4AAF25E8"/>
    <w:rsid w:val="4AC062B4"/>
    <w:rsid w:val="4AC0E6CD"/>
    <w:rsid w:val="4AC0F7F2"/>
    <w:rsid w:val="4AC4D826"/>
    <w:rsid w:val="4AC58885"/>
    <w:rsid w:val="4AC71E07"/>
    <w:rsid w:val="4AC72E61"/>
    <w:rsid w:val="4ACE84FD"/>
    <w:rsid w:val="4AD1B42C"/>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49B6C4"/>
    <w:rsid w:val="4B4DFEE9"/>
    <w:rsid w:val="4B5AB9DA"/>
    <w:rsid w:val="4B651443"/>
    <w:rsid w:val="4B660027"/>
    <w:rsid w:val="4B682A23"/>
    <w:rsid w:val="4B68FC07"/>
    <w:rsid w:val="4B6D07AD"/>
    <w:rsid w:val="4B6DFA3A"/>
    <w:rsid w:val="4B70497F"/>
    <w:rsid w:val="4B73B421"/>
    <w:rsid w:val="4B77E837"/>
    <w:rsid w:val="4B874D90"/>
    <w:rsid w:val="4B8A3999"/>
    <w:rsid w:val="4B910905"/>
    <w:rsid w:val="4BA3CD81"/>
    <w:rsid w:val="4BA54A89"/>
    <w:rsid w:val="4BA7F0C9"/>
    <w:rsid w:val="4BA8486B"/>
    <w:rsid w:val="4BABA0A9"/>
    <w:rsid w:val="4BC077C2"/>
    <w:rsid w:val="4BD5374C"/>
    <w:rsid w:val="4BDD28EF"/>
    <w:rsid w:val="4BDECB71"/>
    <w:rsid w:val="4BE275C6"/>
    <w:rsid w:val="4BE53EBD"/>
    <w:rsid w:val="4BF2B80F"/>
    <w:rsid w:val="4BF2C25D"/>
    <w:rsid w:val="4BF5F3BA"/>
    <w:rsid w:val="4BF94AEC"/>
    <w:rsid w:val="4BF9B5D3"/>
    <w:rsid w:val="4BFAB9E3"/>
    <w:rsid w:val="4C039421"/>
    <w:rsid w:val="4C1AA4F0"/>
    <w:rsid w:val="4C1E8958"/>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6259B"/>
    <w:rsid w:val="4CA7DC45"/>
    <w:rsid w:val="4CB554F9"/>
    <w:rsid w:val="4CB9215E"/>
    <w:rsid w:val="4CCD63C8"/>
    <w:rsid w:val="4CD1C1B4"/>
    <w:rsid w:val="4CD3107A"/>
    <w:rsid w:val="4CD3A883"/>
    <w:rsid w:val="4CD68585"/>
    <w:rsid w:val="4CD80ABC"/>
    <w:rsid w:val="4CE35E6C"/>
    <w:rsid w:val="4CE3A3A9"/>
    <w:rsid w:val="4CE45F63"/>
    <w:rsid w:val="4CE6859A"/>
    <w:rsid w:val="4CED5ACD"/>
    <w:rsid w:val="4CF5E946"/>
    <w:rsid w:val="4CFA1D9E"/>
    <w:rsid w:val="4CFB43C6"/>
    <w:rsid w:val="4CFC1A2D"/>
    <w:rsid w:val="4CFF2AFC"/>
    <w:rsid w:val="4D0051A8"/>
    <w:rsid w:val="4D0136B3"/>
    <w:rsid w:val="4D0326EE"/>
    <w:rsid w:val="4D05F625"/>
    <w:rsid w:val="4D15D569"/>
    <w:rsid w:val="4D1ECC2C"/>
    <w:rsid w:val="4D2D1A05"/>
    <w:rsid w:val="4D312C4A"/>
    <w:rsid w:val="4D36F2A3"/>
    <w:rsid w:val="4D41EBA2"/>
    <w:rsid w:val="4D4D23FA"/>
    <w:rsid w:val="4D5473FB"/>
    <w:rsid w:val="4D5553EB"/>
    <w:rsid w:val="4D57FB64"/>
    <w:rsid w:val="4D65D1E2"/>
    <w:rsid w:val="4D67B111"/>
    <w:rsid w:val="4D6D09E5"/>
    <w:rsid w:val="4D75BF05"/>
    <w:rsid w:val="4D873ECF"/>
    <w:rsid w:val="4D89AACA"/>
    <w:rsid w:val="4D8ACBCC"/>
    <w:rsid w:val="4D8B8152"/>
    <w:rsid w:val="4D8F1EED"/>
    <w:rsid w:val="4D9069A7"/>
    <w:rsid w:val="4D98B487"/>
    <w:rsid w:val="4DA11CF0"/>
    <w:rsid w:val="4DA8B223"/>
    <w:rsid w:val="4DBC4AF4"/>
    <w:rsid w:val="4DBD1437"/>
    <w:rsid w:val="4DBD53AF"/>
    <w:rsid w:val="4DBD5960"/>
    <w:rsid w:val="4DC83AD7"/>
    <w:rsid w:val="4DCB2659"/>
    <w:rsid w:val="4DCF11E0"/>
    <w:rsid w:val="4DCFE9DE"/>
    <w:rsid w:val="4DD650D7"/>
    <w:rsid w:val="4DDBA6DC"/>
    <w:rsid w:val="4DDFCCA0"/>
    <w:rsid w:val="4DE114F3"/>
    <w:rsid w:val="4DE16037"/>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FDB94"/>
    <w:rsid w:val="4E55B9D8"/>
    <w:rsid w:val="4E56EC9D"/>
    <w:rsid w:val="4E596201"/>
    <w:rsid w:val="4E5DE661"/>
    <w:rsid w:val="4E6FC8F7"/>
    <w:rsid w:val="4E7002B8"/>
    <w:rsid w:val="4E7A0530"/>
    <w:rsid w:val="4E7C2E3E"/>
    <w:rsid w:val="4E7C7727"/>
    <w:rsid w:val="4E7EB948"/>
    <w:rsid w:val="4E811194"/>
    <w:rsid w:val="4E8D1FA6"/>
    <w:rsid w:val="4E989DD3"/>
    <w:rsid w:val="4EA4D7BB"/>
    <w:rsid w:val="4EB5DF42"/>
    <w:rsid w:val="4EB7B7F9"/>
    <w:rsid w:val="4EB8FA51"/>
    <w:rsid w:val="4EB9CA09"/>
    <w:rsid w:val="4EBAFF3A"/>
    <w:rsid w:val="4EC05D9B"/>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363A81"/>
    <w:rsid w:val="4F470DBB"/>
    <w:rsid w:val="4F496C67"/>
    <w:rsid w:val="4F4B9389"/>
    <w:rsid w:val="4F56BEDB"/>
    <w:rsid w:val="4F593299"/>
    <w:rsid w:val="4F5A2104"/>
    <w:rsid w:val="4F5B68CE"/>
    <w:rsid w:val="4F5FB1E4"/>
    <w:rsid w:val="4F63B913"/>
    <w:rsid w:val="4F7655CB"/>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E0F50"/>
    <w:rsid w:val="4FCD7D61"/>
    <w:rsid w:val="4FD49720"/>
    <w:rsid w:val="4FD948E6"/>
    <w:rsid w:val="4FE0211B"/>
    <w:rsid w:val="4FE5A43B"/>
    <w:rsid w:val="4FF8C4FD"/>
    <w:rsid w:val="4FF921E5"/>
    <w:rsid w:val="4FF95D95"/>
    <w:rsid w:val="4FFAB66B"/>
    <w:rsid w:val="4FFE4670"/>
    <w:rsid w:val="5000E020"/>
    <w:rsid w:val="500D4D28"/>
    <w:rsid w:val="502837F1"/>
    <w:rsid w:val="50387954"/>
    <w:rsid w:val="5039FA3D"/>
    <w:rsid w:val="503B7D64"/>
    <w:rsid w:val="5046B806"/>
    <w:rsid w:val="504FE9EA"/>
    <w:rsid w:val="505080B3"/>
    <w:rsid w:val="50546492"/>
    <w:rsid w:val="50553537"/>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FCF9D"/>
    <w:rsid w:val="50A35AEA"/>
    <w:rsid w:val="50AA7513"/>
    <w:rsid w:val="50B5978B"/>
    <w:rsid w:val="50B5AF13"/>
    <w:rsid w:val="50B9EF73"/>
    <w:rsid w:val="50BBDAA7"/>
    <w:rsid w:val="50CB9CF8"/>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F2020"/>
    <w:rsid w:val="515C098F"/>
    <w:rsid w:val="515C4FFF"/>
    <w:rsid w:val="515F21E5"/>
    <w:rsid w:val="51637ADA"/>
    <w:rsid w:val="51660CEC"/>
    <w:rsid w:val="516AA0C3"/>
    <w:rsid w:val="516D2353"/>
    <w:rsid w:val="516EC522"/>
    <w:rsid w:val="517018B0"/>
    <w:rsid w:val="5170F9ED"/>
    <w:rsid w:val="5177D34B"/>
    <w:rsid w:val="518AA589"/>
    <w:rsid w:val="5194424B"/>
    <w:rsid w:val="5196226B"/>
    <w:rsid w:val="5196B112"/>
    <w:rsid w:val="51983E5A"/>
    <w:rsid w:val="51A404F8"/>
    <w:rsid w:val="51B4D917"/>
    <w:rsid w:val="51B85D71"/>
    <w:rsid w:val="51BE9B75"/>
    <w:rsid w:val="51C715E6"/>
    <w:rsid w:val="51C7401D"/>
    <w:rsid w:val="51CFDC64"/>
    <w:rsid w:val="51D1EB01"/>
    <w:rsid w:val="51D51C0E"/>
    <w:rsid w:val="51D59415"/>
    <w:rsid w:val="51D6041F"/>
    <w:rsid w:val="51E3B8FE"/>
    <w:rsid w:val="51E4483E"/>
    <w:rsid w:val="51EBEC14"/>
    <w:rsid w:val="51EF16C3"/>
    <w:rsid w:val="51F08742"/>
    <w:rsid w:val="51F19C4E"/>
    <w:rsid w:val="520270EB"/>
    <w:rsid w:val="520EC5B6"/>
    <w:rsid w:val="52145D3D"/>
    <w:rsid w:val="521ED239"/>
    <w:rsid w:val="52246D2F"/>
    <w:rsid w:val="522A0A52"/>
    <w:rsid w:val="5234F0EA"/>
    <w:rsid w:val="5239C16E"/>
    <w:rsid w:val="52436EAC"/>
    <w:rsid w:val="5244A070"/>
    <w:rsid w:val="52515305"/>
    <w:rsid w:val="5253EA3A"/>
    <w:rsid w:val="525B7A73"/>
    <w:rsid w:val="525CE876"/>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B5670"/>
    <w:rsid w:val="52ABC8BE"/>
    <w:rsid w:val="52AE6EF6"/>
    <w:rsid w:val="52B6DB08"/>
    <w:rsid w:val="52BA3AAF"/>
    <w:rsid w:val="52C3C0FF"/>
    <w:rsid w:val="52D489D8"/>
    <w:rsid w:val="52D954D4"/>
    <w:rsid w:val="52E9397E"/>
    <w:rsid w:val="52EABC72"/>
    <w:rsid w:val="52EDA1F9"/>
    <w:rsid w:val="52FC90DE"/>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B5090"/>
    <w:rsid w:val="535E1998"/>
    <w:rsid w:val="53712C04"/>
    <w:rsid w:val="5371BDF2"/>
    <w:rsid w:val="5374E587"/>
    <w:rsid w:val="537C7368"/>
    <w:rsid w:val="538133B6"/>
    <w:rsid w:val="53841ACE"/>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ACBE"/>
    <w:rsid w:val="547FFA1D"/>
    <w:rsid w:val="5481B929"/>
    <w:rsid w:val="5485700E"/>
    <w:rsid w:val="548ADC93"/>
    <w:rsid w:val="548DD999"/>
    <w:rsid w:val="548F4F34"/>
    <w:rsid w:val="54970EEA"/>
    <w:rsid w:val="54A89AAF"/>
    <w:rsid w:val="54BFF40B"/>
    <w:rsid w:val="54C3AA83"/>
    <w:rsid w:val="54C85F18"/>
    <w:rsid w:val="54C90C28"/>
    <w:rsid w:val="54CA80BD"/>
    <w:rsid w:val="54CD49E5"/>
    <w:rsid w:val="54D0C19D"/>
    <w:rsid w:val="54E490BE"/>
    <w:rsid w:val="54EA1D4F"/>
    <w:rsid w:val="54EEC392"/>
    <w:rsid w:val="54F457CA"/>
    <w:rsid w:val="54F4C8D5"/>
    <w:rsid w:val="5500509B"/>
    <w:rsid w:val="5510E887"/>
    <w:rsid w:val="5511E3F3"/>
    <w:rsid w:val="5518C7F2"/>
    <w:rsid w:val="551A91A1"/>
    <w:rsid w:val="551AD65B"/>
    <w:rsid w:val="551DFC24"/>
    <w:rsid w:val="551F6024"/>
    <w:rsid w:val="5521FDE8"/>
    <w:rsid w:val="55221E8E"/>
    <w:rsid w:val="552B2DCB"/>
    <w:rsid w:val="552CA7F7"/>
    <w:rsid w:val="552FD29F"/>
    <w:rsid w:val="5535936C"/>
    <w:rsid w:val="5535C627"/>
    <w:rsid w:val="553799D7"/>
    <w:rsid w:val="553AD0D0"/>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5790A"/>
    <w:rsid w:val="55A1BFFA"/>
    <w:rsid w:val="55A453ED"/>
    <w:rsid w:val="55B07E4B"/>
    <w:rsid w:val="55B1B2B9"/>
    <w:rsid w:val="55C011F4"/>
    <w:rsid w:val="55CD93FA"/>
    <w:rsid w:val="55CF9E82"/>
    <w:rsid w:val="55D558C8"/>
    <w:rsid w:val="55D5A748"/>
    <w:rsid w:val="55D621BE"/>
    <w:rsid w:val="55E6ECAE"/>
    <w:rsid w:val="55EEB2ED"/>
    <w:rsid w:val="55EF8A7E"/>
    <w:rsid w:val="55F47354"/>
    <w:rsid w:val="55F53757"/>
    <w:rsid w:val="55F5682E"/>
    <w:rsid w:val="55F63152"/>
    <w:rsid w:val="55F6C968"/>
    <w:rsid w:val="56084F48"/>
    <w:rsid w:val="56093B7E"/>
    <w:rsid w:val="5619DD86"/>
    <w:rsid w:val="5628E761"/>
    <w:rsid w:val="562B3B9D"/>
    <w:rsid w:val="56304688"/>
    <w:rsid w:val="563F0093"/>
    <w:rsid w:val="5643AE88"/>
    <w:rsid w:val="5646EBEA"/>
    <w:rsid w:val="56484F6E"/>
    <w:rsid w:val="564985CB"/>
    <w:rsid w:val="564B5BED"/>
    <w:rsid w:val="564DCD13"/>
    <w:rsid w:val="565740F5"/>
    <w:rsid w:val="5662D667"/>
    <w:rsid w:val="5667F148"/>
    <w:rsid w:val="56728BEA"/>
    <w:rsid w:val="5674A1E2"/>
    <w:rsid w:val="567C06EB"/>
    <w:rsid w:val="5687FA29"/>
    <w:rsid w:val="568DAAC0"/>
    <w:rsid w:val="568EF050"/>
    <w:rsid w:val="5696C5E3"/>
    <w:rsid w:val="56970ADF"/>
    <w:rsid w:val="569F11F6"/>
    <w:rsid w:val="56A6F9F2"/>
    <w:rsid w:val="56B3C1D6"/>
    <w:rsid w:val="56B6B821"/>
    <w:rsid w:val="56B86DEA"/>
    <w:rsid w:val="56BDF392"/>
    <w:rsid w:val="56C08008"/>
    <w:rsid w:val="56C6D246"/>
    <w:rsid w:val="56C7198B"/>
    <w:rsid w:val="56C9F974"/>
    <w:rsid w:val="56CC854E"/>
    <w:rsid w:val="56CE4B2E"/>
    <w:rsid w:val="56CE5A2A"/>
    <w:rsid w:val="56E5C581"/>
    <w:rsid w:val="56E98FFC"/>
    <w:rsid w:val="56EF6F78"/>
    <w:rsid w:val="56F24F78"/>
    <w:rsid w:val="56F2CDE6"/>
    <w:rsid w:val="56F32E76"/>
    <w:rsid w:val="56F65085"/>
    <w:rsid w:val="56FA1F78"/>
    <w:rsid w:val="56FAC0D3"/>
    <w:rsid w:val="56FF975A"/>
    <w:rsid w:val="5702A95B"/>
    <w:rsid w:val="5707B4AD"/>
    <w:rsid w:val="571189E7"/>
    <w:rsid w:val="5714E691"/>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B1121A"/>
    <w:rsid w:val="57B2B8E4"/>
    <w:rsid w:val="57B7CEC9"/>
    <w:rsid w:val="57C78784"/>
    <w:rsid w:val="57C79BB8"/>
    <w:rsid w:val="57CAE6B2"/>
    <w:rsid w:val="57CFD6B7"/>
    <w:rsid w:val="57DC99CE"/>
    <w:rsid w:val="57EB344E"/>
    <w:rsid w:val="57ECEC93"/>
    <w:rsid w:val="57F63D48"/>
    <w:rsid w:val="57FC8E9A"/>
    <w:rsid w:val="58000401"/>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B1636"/>
    <w:rsid w:val="587B8EC9"/>
    <w:rsid w:val="587C9CE8"/>
    <w:rsid w:val="5886B27D"/>
    <w:rsid w:val="5886B8B7"/>
    <w:rsid w:val="58908F9C"/>
    <w:rsid w:val="589D88B1"/>
    <w:rsid w:val="589DAA62"/>
    <w:rsid w:val="589E3A1C"/>
    <w:rsid w:val="58A70316"/>
    <w:rsid w:val="58A9B15B"/>
    <w:rsid w:val="58ABD93E"/>
    <w:rsid w:val="58BE2333"/>
    <w:rsid w:val="58C6FB44"/>
    <w:rsid w:val="58CDFB38"/>
    <w:rsid w:val="58D7CE7E"/>
    <w:rsid w:val="58D8C38E"/>
    <w:rsid w:val="58D915D0"/>
    <w:rsid w:val="58E0E9E6"/>
    <w:rsid w:val="58E69BB6"/>
    <w:rsid w:val="58EE5E88"/>
    <w:rsid w:val="58F378B4"/>
    <w:rsid w:val="58F4FBDE"/>
    <w:rsid w:val="59005ACC"/>
    <w:rsid w:val="590311E0"/>
    <w:rsid w:val="5906D2D7"/>
    <w:rsid w:val="59084A0F"/>
    <w:rsid w:val="59129571"/>
    <w:rsid w:val="5914F06B"/>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CEBBF"/>
    <w:rsid w:val="595D2235"/>
    <w:rsid w:val="59753D85"/>
    <w:rsid w:val="597714E0"/>
    <w:rsid w:val="598013B5"/>
    <w:rsid w:val="5981E226"/>
    <w:rsid w:val="59887D43"/>
    <w:rsid w:val="5991A66B"/>
    <w:rsid w:val="59920684"/>
    <w:rsid w:val="59955E26"/>
    <w:rsid w:val="59A8BFE2"/>
    <w:rsid w:val="59B53093"/>
    <w:rsid w:val="59B705C5"/>
    <w:rsid w:val="59BEBAA4"/>
    <w:rsid w:val="59C0A237"/>
    <w:rsid w:val="59C1AF44"/>
    <w:rsid w:val="59C61705"/>
    <w:rsid w:val="59C901CF"/>
    <w:rsid w:val="59D061B4"/>
    <w:rsid w:val="59D122F4"/>
    <w:rsid w:val="59D4D51D"/>
    <w:rsid w:val="59E2135D"/>
    <w:rsid w:val="59E6EC0B"/>
    <w:rsid w:val="59EF29B1"/>
    <w:rsid w:val="59F0E5FF"/>
    <w:rsid w:val="59F37798"/>
    <w:rsid w:val="59FC26B0"/>
    <w:rsid w:val="5A00583C"/>
    <w:rsid w:val="5A0DEF9D"/>
    <w:rsid w:val="5A0FD399"/>
    <w:rsid w:val="5A15273E"/>
    <w:rsid w:val="5A15D402"/>
    <w:rsid w:val="5A3895A6"/>
    <w:rsid w:val="5A3CB59B"/>
    <w:rsid w:val="5A3D533C"/>
    <w:rsid w:val="5A3D61DA"/>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940F9C"/>
    <w:rsid w:val="5A960B19"/>
    <w:rsid w:val="5A985781"/>
    <w:rsid w:val="5A9BA941"/>
    <w:rsid w:val="5AAFA6F4"/>
    <w:rsid w:val="5AC05379"/>
    <w:rsid w:val="5AC84805"/>
    <w:rsid w:val="5ACF087F"/>
    <w:rsid w:val="5ADB8A0A"/>
    <w:rsid w:val="5ADCD995"/>
    <w:rsid w:val="5ADF3369"/>
    <w:rsid w:val="5AEB94DA"/>
    <w:rsid w:val="5AF19D90"/>
    <w:rsid w:val="5AF23428"/>
    <w:rsid w:val="5AFA8CD5"/>
    <w:rsid w:val="5B016C18"/>
    <w:rsid w:val="5B0750B8"/>
    <w:rsid w:val="5B07C720"/>
    <w:rsid w:val="5B08A7C9"/>
    <w:rsid w:val="5B0F2499"/>
    <w:rsid w:val="5B100417"/>
    <w:rsid w:val="5B169704"/>
    <w:rsid w:val="5B1A3892"/>
    <w:rsid w:val="5B1D14C7"/>
    <w:rsid w:val="5B20268F"/>
    <w:rsid w:val="5B237153"/>
    <w:rsid w:val="5B2663AC"/>
    <w:rsid w:val="5B29628C"/>
    <w:rsid w:val="5B2A5F63"/>
    <w:rsid w:val="5B3462AA"/>
    <w:rsid w:val="5B3F9728"/>
    <w:rsid w:val="5B436E0E"/>
    <w:rsid w:val="5B4868AD"/>
    <w:rsid w:val="5B4B29CE"/>
    <w:rsid w:val="5B5122DE"/>
    <w:rsid w:val="5B51ADA3"/>
    <w:rsid w:val="5B5261EB"/>
    <w:rsid w:val="5B53E3FB"/>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43F01"/>
    <w:rsid w:val="5C0E28FB"/>
    <w:rsid w:val="5C0E7FFC"/>
    <w:rsid w:val="5C10B52F"/>
    <w:rsid w:val="5C13A136"/>
    <w:rsid w:val="5C20AF0F"/>
    <w:rsid w:val="5C233409"/>
    <w:rsid w:val="5C276010"/>
    <w:rsid w:val="5C27C8AA"/>
    <w:rsid w:val="5C2A50AC"/>
    <w:rsid w:val="5C2EEC4F"/>
    <w:rsid w:val="5C3DD372"/>
    <w:rsid w:val="5C3EAE4F"/>
    <w:rsid w:val="5C49D97C"/>
    <w:rsid w:val="5C5445D7"/>
    <w:rsid w:val="5C571819"/>
    <w:rsid w:val="5C58E883"/>
    <w:rsid w:val="5C58FF83"/>
    <w:rsid w:val="5C59ED38"/>
    <w:rsid w:val="5C5B8943"/>
    <w:rsid w:val="5C5E9C03"/>
    <w:rsid w:val="5C60C0A3"/>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C7507"/>
    <w:rsid w:val="5CCE41CD"/>
    <w:rsid w:val="5CCF1E4F"/>
    <w:rsid w:val="5CD79625"/>
    <w:rsid w:val="5CDAC980"/>
    <w:rsid w:val="5CDBF045"/>
    <w:rsid w:val="5CDE5905"/>
    <w:rsid w:val="5CE2113D"/>
    <w:rsid w:val="5CE6F273"/>
    <w:rsid w:val="5CF4EC24"/>
    <w:rsid w:val="5D098FDC"/>
    <w:rsid w:val="5D0D57D0"/>
    <w:rsid w:val="5D0E2846"/>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8965A9"/>
    <w:rsid w:val="5D9D8769"/>
    <w:rsid w:val="5DA5A79E"/>
    <w:rsid w:val="5DA68E4A"/>
    <w:rsid w:val="5DABB676"/>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E31C"/>
    <w:rsid w:val="5DEE1218"/>
    <w:rsid w:val="5DF5FF1E"/>
    <w:rsid w:val="5DF7384D"/>
    <w:rsid w:val="5DFCCF76"/>
    <w:rsid w:val="5E33E21D"/>
    <w:rsid w:val="5E34EFBD"/>
    <w:rsid w:val="5E39F51F"/>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EE8A4"/>
    <w:rsid w:val="5EF18067"/>
    <w:rsid w:val="5EF83C17"/>
    <w:rsid w:val="5EF9CB03"/>
    <w:rsid w:val="5EFC7D04"/>
    <w:rsid w:val="5EFCF430"/>
    <w:rsid w:val="5F051A2F"/>
    <w:rsid w:val="5F07919C"/>
    <w:rsid w:val="5F0914BA"/>
    <w:rsid w:val="5F1987B1"/>
    <w:rsid w:val="5F19A7DA"/>
    <w:rsid w:val="5F235A82"/>
    <w:rsid w:val="5F27C478"/>
    <w:rsid w:val="5F294B3A"/>
    <w:rsid w:val="5F2F67FE"/>
    <w:rsid w:val="5F31B9FE"/>
    <w:rsid w:val="5F387CF0"/>
    <w:rsid w:val="5F3C0DF6"/>
    <w:rsid w:val="5F3E0F1A"/>
    <w:rsid w:val="5F444FBE"/>
    <w:rsid w:val="5F524A2E"/>
    <w:rsid w:val="5F525374"/>
    <w:rsid w:val="5F5F4D84"/>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B261C"/>
    <w:rsid w:val="604DA83D"/>
    <w:rsid w:val="606BE565"/>
    <w:rsid w:val="60732D2E"/>
    <w:rsid w:val="607484A2"/>
    <w:rsid w:val="6083F485"/>
    <w:rsid w:val="6084D8B3"/>
    <w:rsid w:val="60901BAB"/>
    <w:rsid w:val="60B0105D"/>
    <w:rsid w:val="60B4C54C"/>
    <w:rsid w:val="60B61256"/>
    <w:rsid w:val="60B6A823"/>
    <w:rsid w:val="60B99205"/>
    <w:rsid w:val="60C69C30"/>
    <w:rsid w:val="60CB7117"/>
    <w:rsid w:val="60D3665B"/>
    <w:rsid w:val="60D563A3"/>
    <w:rsid w:val="60D74184"/>
    <w:rsid w:val="60D9D1C3"/>
    <w:rsid w:val="60E3E2CD"/>
    <w:rsid w:val="60ECA86E"/>
    <w:rsid w:val="60F4BF16"/>
    <w:rsid w:val="60F7782F"/>
    <w:rsid w:val="60F90BC6"/>
    <w:rsid w:val="60F9BD6A"/>
    <w:rsid w:val="6105C38C"/>
    <w:rsid w:val="610BD95B"/>
    <w:rsid w:val="61113F23"/>
    <w:rsid w:val="6111DB31"/>
    <w:rsid w:val="6112B0CE"/>
    <w:rsid w:val="611985FE"/>
    <w:rsid w:val="611C00A8"/>
    <w:rsid w:val="6126340A"/>
    <w:rsid w:val="6131330D"/>
    <w:rsid w:val="6132AABE"/>
    <w:rsid w:val="6137940F"/>
    <w:rsid w:val="613E6BDC"/>
    <w:rsid w:val="6144E8AF"/>
    <w:rsid w:val="6146CE06"/>
    <w:rsid w:val="6149198F"/>
    <w:rsid w:val="614F6B42"/>
    <w:rsid w:val="6150E653"/>
    <w:rsid w:val="6151101E"/>
    <w:rsid w:val="6171C713"/>
    <w:rsid w:val="61725019"/>
    <w:rsid w:val="6172E2F0"/>
    <w:rsid w:val="61742904"/>
    <w:rsid w:val="617583C8"/>
    <w:rsid w:val="617716DA"/>
    <w:rsid w:val="617AFF0C"/>
    <w:rsid w:val="617B1378"/>
    <w:rsid w:val="617C5F3C"/>
    <w:rsid w:val="6184EC5C"/>
    <w:rsid w:val="6186E34C"/>
    <w:rsid w:val="61892F5B"/>
    <w:rsid w:val="61921179"/>
    <w:rsid w:val="619F60CB"/>
    <w:rsid w:val="61A5910F"/>
    <w:rsid w:val="61ACBCD8"/>
    <w:rsid w:val="61AEADD7"/>
    <w:rsid w:val="61B0FB95"/>
    <w:rsid w:val="61B2A9CE"/>
    <w:rsid w:val="61B6876D"/>
    <w:rsid w:val="61C5572F"/>
    <w:rsid w:val="61CAAC9A"/>
    <w:rsid w:val="61CDB1EA"/>
    <w:rsid w:val="61D5791B"/>
    <w:rsid w:val="61D622AE"/>
    <w:rsid w:val="61EF75EE"/>
    <w:rsid w:val="61EFD8D8"/>
    <w:rsid w:val="61F5518E"/>
    <w:rsid w:val="61F597F4"/>
    <w:rsid w:val="61FEEC2F"/>
    <w:rsid w:val="62005B05"/>
    <w:rsid w:val="6208C03D"/>
    <w:rsid w:val="62106BE8"/>
    <w:rsid w:val="62128021"/>
    <w:rsid w:val="621C5103"/>
    <w:rsid w:val="6224E7FB"/>
    <w:rsid w:val="62290DD9"/>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E3494A"/>
    <w:rsid w:val="62EABE9D"/>
    <w:rsid w:val="62EC80D3"/>
    <w:rsid w:val="62F1E4B5"/>
    <w:rsid w:val="62FEB98F"/>
    <w:rsid w:val="630314B5"/>
    <w:rsid w:val="6303F1AB"/>
    <w:rsid w:val="6308F750"/>
    <w:rsid w:val="630A9BD8"/>
    <w:rsid w:val="63161A20"/>
    <w:rsid w:val="631D4106"/>
    <w:rsid w:val="631D9FEE"/>
    <w:rsid w:val="6320377B"/>
    <w:rsid w:val="63260BCE"/>
    <w:rsid w:val="633296BC"/>
    <w:rsid w:val="6336CFDF"/>
    <w:rsid w:val="633863A3"/>
    <w:rsid w:val="63462345"/>
    <w:rsid w:val="634D5A5E"/>
    <w:rsid w:val="6354F301"/>
    <w:rsid w:val="63561D0C"/>
    <w:rsid w:val="6356DD3A"/>
    <w:rsid w:val="63574788"/>
    <w:rsid w:val="635E2C33"/>
    <w:rsid w:val="635EA153"/>
    <w:rsid w:val="63630209"/>
    <w:rsid w:val="63729380"/>
    <w:rsid w:val="63780B36"/>
    <w:rsid w:val="637F277E"/>
    <w:rsid w:val="6383D406"/>
    <w:rsid w:val="63A081A3"/>
    <w:rsid w:val="63A462E4"/>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3DC86"/>
    <w:rsid w:val="6468CFC5"/>
    <w:rsid w:val="6478A4B8"/>
    <w:rsid w:val="647D6FFD"/>
    <w:rsid w:val="6482E59B"/>
    <w:rsid w:val="6483BAB0"/>
    <w:rsid w:val="64962FD3"/>
    <w:rsid w:val="6498DC08"/>
    <w:rsid w:val="64B220FB"/>
    <w:rsid w:val="64B3E022"/>
    <w:rsid w:val="64B4E2E1"/>
    <w:rsid w:val="64BA63A6"/>
    <w:rsid w:val="64C33CA2"/>
    <w:rsid w:val="64C55015"/>
    <w:rsid w:val="64CB18C0"/>
    <w:rsid w:val="64D5B5AE"/>
    <w:rsid w:val="64D5D13E"/>
    <w:rsid w:val="64D780CA"/>
    <w:rsid w:val="64E08145"/>
    <w:rsid w:val="64E37D85"/>
    <w:rsid w:val="64E57CE8"/>
    <w:rsid w:val="64E972CD"/>
    <w:rsid w:val="64EA0EF6"/>
    <w:rsid w:val="64F945CC"/>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79D74"/>
    <w:rsid w:val="659BB87A"/>
    <w:rsid w:val="65A3895C"/>
    <w:rsid w:val="65A975C2"/>
    <w:rsid w:val="65B6595F"/>
    <w:rsid w:val="65B7FDCF"/>
    <w:rsid w:val="65C19D24"/>
    <w:rsid w:val="65C52C9A"/>
    <w:rsid w:val="65C5790A"/>
    <w:rsid w:val="65CB8368"/>
    <w:rsid w:val="65D951DB"/>
    <w:rsid w:val="65DDC587"/>
    <w:rsid w:val="65E7B669"/>
    <w:rsid w:val="65E816A8"/>
    <w:rsid w:val="65F89486"/>
    <w:rsid w:val="65FF2316"/>
    <w:rsid w:val="66053034"/>
    <w:rsid w:val="660D54D4"/>
    <w:rsid w:val="661468FB"/>
    <w:rsid w:val="661777A0"/>
    <w:rsid w:val="6619ACAD"/>
    <w:rsid w:val="662BAE4A"/>
    <w:rsid w:val="663567E3"/>
    <w:rsid w:val="6637C4CF"/>
    <w:rsid w:val="663B5FC9"/>
    <w:rsid w:val="663D4C03"/>
    <w:rsid w:val="66421FB3"/>
    <w:rsid w:val="664A2723"/>
    <w:rsid w:val="66598A6C"/>
    <w:rsid w:val="6659DEC8"/>
    <w:rsid w:val="665E63BF"/>
    <w:rsid w:val="66612E29"/>
    <w:rsid w:val="66680709"/>
    <w:rsid w:val="666CF814"/>
    <w:rsid w:val="667094A8"/>
    <w:rsid w:val="6673D55C"/>
    <w:rsid w:val="667B2289"/>
    <w:rsid w:val="6681C078"/>
    <w:rsid w:val="6682858D"/>
    <w:rsid w:val="6686E09C"/>
    <w:rsid w:val="668ABFC8"/>
    <w:rsid w:val="669B15A9"/>
    <w:rsid w:val="66A8597F"/>
    <w:rsid w:val="66AC12DC"/>
    <w:rsid w:val="66CBF074"/>
    <w:rsid w:val="66CD89E5"/>
    <w:rsid w:val="66CE9298"/>
    <w:rsid w:val="66D4D47D"/>
    <w:rsid w:val="66D8D179"/>
    <w:rsid w:val="66DB83B3"/>
    <w:rsid w:val="66EA928C"/>
    <w:rsid w:val="66ED23D4"/>
    <w:rsid w:val="66EF2537"/>
    <w:rsid w:val="66F470E8"/>
    <w:rsid w:val="66F84432"/>
    <w:rsid w:val="6702F24E"/>
    <w:rsid w:val="6704A5B2"/>
    <w:rsid w:val="670D2356"/>
    <w:rsid w:val="670DB336"/>
    <w:rsid w:val="670E62BA"/>
    <w:rsid w:val="6710AF68"/>
    <w:rsid w:val="671363D7"/>
    <w:rsid w:val="6717E7BF"/>
    <w:rsid w:val="671EC05F"/>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CFC7"/>
    <w:rsid w:val="6795FB37"/>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D0480"/>
    <w:rsid w:val="68619652"/>
    <w:rsid w:val="68688BD5"/>
    <w:rsid w:val="686AE1BA"/>
    <w:rsid w:val="68759122"/>
    <w:rsid w:val="6895BC69"/>
    <w:rsid w:val="689943E1"/>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3F856"/>
    <w:rsid w:val="68FA0BED"/>
    <w:rsid w:val="68FBFE4F"/>
    <w:rsid w:val="68FCD953"/>
    <w:rsid w:val="68FE4A04"/>
    <w:rsid w:val="68FEE565"/>
    <w:rsid w:val="68FF0647"/>
    <w:rsid w:val="6905F405"/>
    <w:rsid w:val="690C49B7"/>
    <w:rsid w:val="691414B5"/>
    <w:rsid w:val="691A5A34"/>
    <w:rsid w:val="692554DE"/>
    <w:rsid w:val="692F36B3"/>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9DA41"/>
    <w:rsid w:val="69FAB179"/>
    <w:rsid w:val="69FF124A"/>
    <w:rsid w:val="6A035D81"/>
    <w:rsid w:val="6A05B39B"/>
    <w:rsid w:val="6A0B9726"/>
    <w:rsid w:val="6A177B52"/>
    <w:rsid w:val="6A1A1CAA"/>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6312C"/>
    <w:rsid w:val="6AE2B37F"/>
    <w:rsid w:val="6AE5B00D"/>
    <w:rsid w:val="6AE85377"/>
    <w:rsid w:val="6AEA73A6"/>
    <w:rsid w:val="6AED57B6"/>
    <w:rsid w:val="6AF30CFC"/>
    <w:rsid w:val="6AF4CBA6"/>
    <w:rsid w:val="6AFB0473"/>
    <w:rsid w:val="6AFC538A"/>
    <w:rsid w:val="6AFF6E1C"/>
    <w:rsid w:val="6B0000DA"/>
    <w:rsid w:val="6B02C7AC"/>
    <w:rsid w:val="6B08A27A"/>
    <w:rsid w:val="6B1213B2"/>
    <w:rsid w:val="6B13A5E5"/>
    <w:rsid w:val="6B187FD0"/>
    <w:rsid w:val="6B203147"/>
    <w:rsid w:val="6B278DC7"/>
    <w:rsid w:val="6B2F6A95"/>
    <w:rsid w:val="6B301C6B"/>
    <w:rsid w:val="6B371CF9"/>
    <w:rsid w:val="6B38902F"/>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F74640"/>
    <w:rsid w:val="6BFA6003"/>
    <w:rsid w:val="6BFE2824"/>
    <w:rsid w:val="6BFFAA1E"/>
    <w:rsid w:val="6C24BC2D"/>
    <w:rsid w:val="6C256504"/>
    <w:rsid w:val="6C26A20F"/>
    <w:rsid w:val="6C28626C"/>
    <w:rsid w:val="6C293477"/>
    <w:rsid w:val="6C306000"/>
    <w:rsid w:val="6C3C1942"/>
    <w:rsid w:val="6C3C48A2"/>
    <w:rsid w:val="6C3C960A"/>
    <w:rsid w:val="6C4F942D"/>
    <w:rsid w:val="6C5D3340"/>
    <w:rsid w:val="6C5F6D77"/>
    <w:rsid w:val="6C69F4E2"/>
    <w:rsid w:val="6C72AE20"/>
    <w:rsid w:val="6C73B24F"/>
    <w:rsid w:val="6C7A045B"/>
    <w:rsid w:val="6C82ED05"/>
    <w:rsid w:val="6C84893E"/>
    <w:rsid w:val="6C869A50"/>
    <w:rsid w:val="6C8913F6"/>
    <w:rsid w:val="6C94D1F7"/>
    <w:rsid w:val="6C9B52FC"/>
    <w:rsid w:val="6CA76E67"/>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E659E"/>
    <w:rsid w:val="6D218E56"/>
    <w:rsid w:val="6D27DB28"/>
    <w:rsid w:val="6D2A955C"/>
    <w:rsid w:val="6D33A85D"/>
    <w:rsid w:val="6D429806"/>
    <w:rsid w:val="6D48F8DA"/>
    <w:rsid w:val="6D4FBEED"/>
    <w:rsid w:val="6D5465FA"/>
    <w:rsid w:val="6D551FB9"/>
    <w:rsid w:val="6D5F2589"/>
    <w:rsid w:val="6D64C77E"/>
    <w:rsid w:val="6D6EF663"/>
    <w:rsid w:val="6D718CE0"/>
    <w:rsid w:val="6D72B737"/>
    <w:rsid w:val="6D7A4BC9"/>
    <w:rsid w:val="6D8CBBF0"/>
    <w:rsid w:val="6D8D15CE"/>
    <w:rsid w:val="6D8F2691"/>
    <w:rsid w:val="6D927A86"/>
    <w:rsid w:val="6D943457"/>
    <w:rsid w:val="6D98181D"/>
    <w:rsid w:val="6DA44966"/>
    <w:rsid w:val="6DAB2C0B"/>
    <w:rsid w:val="6DAD2F56"/>
    <w:rsid w:val="6DAEA94B"/>
    <w:rsid w:val="6DB76441"/>
    <w:rsid w:val="6DBAC2A0"/>
    <w:rsid w:val="6DBC0725"/>
    <w:rsid w:val="6DC014F3"/>
    <w:rsid w:val="6DC3414D"/>
    <w:rsid w:val="6DC6604E"/>
    <w:rsid w:val="6DCEF122"/>
    <w:rsid w:val="6DD4A5CF"/>
    <w:rsid w:val="6DD531F4"/>
    <w:rsid w:val="6DEBF2D5"/>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9016C2"/>
    <w:rsid w:val="6E954FBF"/>
    <w:rsid w:val="6E98BAC0"/>
    <w:rsid w:val="6E9A2A4D"/>
    <w:rsid w:val="6EA34BA1"/>
    <w:rsid w:val="6EAA5924"/>
    <w:rsid w:val="6EB0F4BF"/>
    <w:rsid w:val="6EB19044"/>
    <w:rsid w:val="6EB46487"/>
    <w:rsid w:val="6EB7FB56"/>
    <w:rsid w:val="6EBA115C"/>
    <w:rsid w:val="6EBAB9C0"/>
    <w:rsid w:val="6ED8206B"/>
    <w:rsid w:val="6ED9220B"/>
    <w:rsid w:val="6EE1D48D"/>
    <w:rsid w:val="6EE73DAC"/>
    <w:rsid w:val="6EE85066"/>
    <w:rsid w:val="6EEE09AE"/>
    <w:rsid w:val="6EEE39AB"/>
    <w:rsid w:val="6EEE5250"/>
    <w:rsid w:val="6EEFF1A5"/>
    <w:rsid w:val="6EF338C1"/>
    <w:rsid w:val="6EF4B9D8"/>
    <w:rsid w:val="6F002F03"/>
    <w:rsid w:val="6F08B6BF"/>
    <w:rsid w:val="6F0BBCCC"/>
    <w:rsid w:val="6F12010B"/>
    <w:rsid w:val="6F14D232"/>
    <w:rsid w:val="6F15B01D"/>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703BEE"/>
    <w:rsid w:val="6F7CD0AB"/>
    <w:rsid w:val="6F87BFEA"/>
    <w:rsid w:val="6F886217"/>
    <w:rsid w:val="6F8C326C"/>
    <w:rsid w:val="6F8FEC95"/>
    <w:rsid w:val="6F919900"/>
    <w:rsid w:val="6F929056"/>
    <w:rsid w:val="6F9D02B2"/>
    <w:rsid w:val="6F9E6BD3"/>
    <w:rsid w:val="6FA48CAE"/>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CA7FA"/>
    <w:rsid w:val="702115B0"/>
    <w:rsid w:val="7029412C"/>
    <w:rsid w:val="702FFD6B"/>
    <w:rsid w:val="7033684A"/>
    <w:rsid w:val="703418B3"/>
    <w:rsid w:val="70366198"/>
    <w:rsid w:val="7036973D"/>
    <w:rsid w:val="70393CF0"/>
    <w:rsid w:val="703FB50E"/>
    <w:rsid w:val="704EA238"/>
    <w:rsid w:val="70573643"/>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9ACA0E"/>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2099"/>
    <w:rsid w:val="7110FD42"/>
    <w:rsid w:val="711199DD"/>
    <w:rsid w:val="71148A70"/>
    <w:rsid w:val="71261078"/>
    <w:rsid w:val="7129125C"/>
    <w:rsid w:val="712CD66F"/>
    <w:rsid w:val="71313F2C"/>
    <w:rsid w:val="713229B1"/>
    <w:rsid w:val="7140C158"/>
    <w:rsid w:val="71441D59"/>
    <w:rsid w:val="7148B6E4"/>
    <w:rsid w:val="714FF9D9"/>
    <w:rsid w:val="71541BD2"/>
    <w:rsid w:val="7155140B"/>
    <w:rsid w:val="7157FBFA"/>
    <w:rsid w:val="71645D79"/>
    <w:rsid w:val="716E8A66"/>
    <w:rsid w:val="71755E85"/>
    <w:rsid w:val="7175F3D2"/>
    <w:rsid w:val="717AFDCA"/>
    <w:rsid w:val="717D6955"/>
    <w:rsid w:val="7185A99E"/>
    <w:rsid w:val="7190669A"/>
    <w:rsid w:val="7195FFC8"/>
    <w:rsid w:val="71974A6D"/>
    <w:rsid w:val="71A1C667"/>
    <w:rsid w:val="71A4F18F"/>
    <w:rsid w:val="71A95D43"/>
    <w:rsid w:val="71AACB84"/>
    <w:rsid w:val="71AEDDF1"/>
    <w:rsid w:val="71B737AC"/>
    <w:rsid w:val="71B7A1A5"/>
    <w:rsid w:val="71BC2F77"/>
    <w:rsid w:val="71D5AD7F"/>
    <w:rsid w:val="71D6FC7E"/>
    <w:rsid w:val="71DAC4F6"/>
    <w:rsid w:val="71DD4A14"/>
    <w:rsid w:val="71E04911"/>
    <w:rsid w:val="71ECBA3F"/>
    <w:rsid w:val="71ED5EEF"/>
    <w:rsid w:val="71EF426C"/>
    <w:rsid w:val="71F28B22"/>
    <w:rsid w:val="71F2CDA3"/>
    <w:rsid w:val="71F48986"/>
    <w:rsid w:val="71FB974A"/>
    <w:rsid w:val="71FD9BDB"/>
    <w:rsid w:val="72017D63"/>
    <w:rsid w:val="7203533E"/>
    <w:rsid w:val="7222B33F"/>
    <w:rsid w:val="72234265"/>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A10254"/>
    <w:rsid w:val="72ACD50F"/>
    <w:rsid w:val="72AFA729"/>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63607C"/>
    <w:rsid w:val="73688274"/>
    <w:rsid w:val="736ED222"/>
    <w:rsid w:val="73797F1C"/>
    <w:rsid w:val="7381A889"/>
    <w:rsid w:val="7384E12C"/>
    <w:rsid w:val="738A42FE"/>
    <w:rsid w:val="73A3222F"/>
    <w:rsid w:val="73AF9B40"/>
    <w:rsid w:val="73BA64D9"/>
    <w:rsid w:val="73BF5D73"/>
    <w:rsid w:val="73C0D8D5"/>
    <w:rsid w:val="73C405B1"/>
    <w:rsid w:val="73CD3B65"/>
    <w:rsid w:val="73D2D507"/>
    <w:rsid w:val="73DD987B"/>
    <w:rsid w:val="73E0F970"/>
    <w:rsid w:val="73E9CC51"/>
    <w:rsid w:val="73F35E13"/>
    <w:rsid w:val="73FCF22F"/>
    <w:rsid w:val="73FD4E86"/>
    <w:rsid w:val="73FF0167"/>
    <w:rsid w:val="73FFA5BE"/>
    <w:rsid w:val="7407C51A"/>
    <w:rsid w:val="7409560B"/>
    <w:rsid w:val="740B5352"/>
    <w:rsid w:val="740C0768"/>
    <w:rsid w:val="7411A5AF"/>
    <w:rsid w:val="74121A33"/>
    <w:rsid w:val="7418E3EE"/>
    <w:rsid w:val="742768ED"/>
    <w:rsid w:val="743460D6"/>
    <w:rsid w:val="74353829"/>
    <w:rsid w:val="743C2358"/>
    <w:rsid w:val="7445FB98"/>
    <w:rsid w:val="7449B7F0"/>
    <w:rsid w:val="744A028B"/>
    <w:rsid w:val="744DDE43"/>
    <w:rsid w:val="744FEBCD"/>
    <w:rsid w:val="74567317"/>
    <w:rsid w:val="7462C849"/>
    <w:rsid w:val="746F3180"/>
    <w:rsid w:val="747386B4"/>
    <w:rsid w:val="747C5E44"/>
    <w:rsid w:val="74918513"/>
    <w:rsid w:val="7494E2BC"/>
    <w:rsid w:val="7495B5AF"/>
    <w:rsid w:val="7499B88F"/>
    <w:rsid w:val="7499E21B"/>
    <w:rsid w:val="74A2A2CB"/>
    <w:rsid w:val="74A52CD2"/>
    <w:rsid w:val="74A5C66E"/>
    <w:rsid w:val="74ABCD2E"/>
    <w:rsid w:val="74AC932A"/>
    <w:rsid w:val="74AF03F5"/>
    <w:rsid w:val="74B083A2"/>
    <w:rsid w:val="74B73E60"/>
    <w:rsid w:val="74D86DA3"/>
    <w:rsid w:val="74E63359"/>
    <w:rsid w:val="74EE1931"/>
    <w:rsid w:val="74FE7AC1"/>
    <w:rsid w:val="751103C9"/>
    <w:rsid w:val="75171129"/>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A1BD5C"/>
    <w:rsid w:val="75A3B207"/>
    <w:rsid w:val="75A44CA0"/>
    <w:rsid w:val="75A5CDE6"/>
    <w:rsid w:val="75A811BB"/>
    <w:rsid w:val="75AE3657"/>
    <w:rsid w:val="75AEB6C1"/>
    <w:rsid w:val="75B29566"/>
    <w:rsid w:val="75B90B6A"/>
    <w:rsid w:val="75BB18E8"/>
    <w:rsid w:val="75C32470"/>
    <w:rsid w:val="75D0760C"/>
    <w:rsid w:val="75D13D75"/>
    <w:rsid w:val="75E743F6"/>
    <w:rsid w:val="75F443FA"/>
    <w:rsid w:val="76010B70"/>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8137AD"/>
    <w:rsid w:val="76854FE6"/>
    <w:rsid w:val="76860805"/>
    <w:rsid w:val="768AD85C"/>
    <w:rsid w:val="76914544"/>
    <w:rsid w:val="76947591"/>
    <w:rsid w:val="769B7F95"/>
    <w:rsid w:val="76A0F183"/>
    <w:rsid w:val="76A3CE9A"/>
    <w:rsid w:val="76A9839E"/>
    <w:rsid w:val="76AD24BF"/>
    <w:rsid w:val="76B085CB"/>
    <w:rsid w:val="76BFA44D"/>
    <w:rsid w:val="76D29459"/>
    <w:rsid w:val="76D630D5"/>
    <w:rsid w:val="76D95A1B"/>
    <w:rsid w:val="76F34A74"/>
    <w:rsid w:val="76FB4754"/>
    <w:rsid w:val="7702848C"/>
    <w:rsid w:val="7707E64F"/>
    <w:rsid w:val="77092E23"/>
    <w:rsid w:val="770A2701"/>
    <w:rsid w:val="77179AF4"/>
    <w:rsid w:val="77212CAD"/>
    <w:rsid w:val="772D4D80"/>
    <w:rsid w:val="77412A44"/>
    <w:rsid w:val="774E0BB8"/>
    <w:rsid w:val="7751553E"/>
    <w:rsid w:val="7753A1C5"/>
    <w:rsid w:val="7757187A"/>
    <w:rsid w:val="77571C9B"/>
    <w:rsid w:val="775CE323"/>
    <w:rsid w:val="775F3523"/>
    <w:rsid w:val="775F36AB"/>
    <w:rsid w:val="776E2EB3"/>
    <w:rsid w:val="77752A91"/>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8D782"/>
    <w:rsid w:val="77C2640D"/>
    <w:rsid w:val="77C670D8"/>
    <w:rsid w:val="77C87672"/>
    <w:rsid w:val="77CD2346"/>
    <w:rsid w:val="77CFC99A"/>
    <w:rsid w:val="77D27BDF"/>
    <w:rsid w:val="77DC8F6B"/>
    <w:rsid w:val="77F1C446"/>
    <w:rsid w:val="77F353FE"/>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4EC5"/>
    <w:rsid w:val="78717E3B"/>
    <w:rsid w:val="788546C9"/>
    <w:rsid w:val="78879D2C"/>
    <w:rsid w:val="788C210F"/>
    <w:rsid w:val="7890288D"/>
    <w:rsid w:val="7890B125"/>
    <w:rsid w:val="78A0C102"/>
    <w:rsid w:val="78A2212A"/>
    <w:rsid w:val="78ABBC3B"/>
    <w:rsid w:val="78ABFC03"/>
    <w:rsid w:val="78AF83D7"/>
    <w:rsid w:val="78B46A87"/>
    <w:rsid w:val="78B5F961"/>
    <w:rsid w:val="78B73AF7"/>
    <w:rsid w:val="78BD199B"/>
    <w:rsid w:val="78E3F821"/>
    <w:rsid w:val="78E4A447"/>
    <w:rsid w:val="78F246A2"/>
    <w:rsid w:val="78F404EE"/>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FED35"/>
    <w:rsid w:val="7957CC69"/>
    <w:rsid w:val="7961D2B2"/>
    <w:rsid w:val="79718F1D"/>
    <w:rsid w:val="79746902"/>
    <w:rsid w:val="7975DE23"/>
    <w:rsid w:val="797A14AC"/>
    <w:rsid w:val="797A8FCB"/>
    <w:rsid w:val="797B1472"/>
    <w:rsid w:val="797BFD75"/>
    <w:rsid w:val="79815262"/>
    <w:rsid w:val="798702DF"/>
    <w:rsid w:val="79890512"/>
    <w:rsid w:val="7999B143"/>
    <w:rsid w:val="79A04874"/>
    <w:rsid w:val="79AB6DF1"/>
    <w:rsid w:val="79AEC408"/>
    <w:rsid w:val="79C4FDFE"/>
    <w:rsid w:val="79C7ABB8"/>
    <w:rsid w:val="79CF5583"/>
    <w:rsid w:val="79D10AE7"/>
    <w:rsid w:val="79D1B66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7D67D"/>
    <w:rsid w:val="7A843156"/>
    <w:rsid w:val="7A8B4F69"/>
    <w:rsid w:val="7A91E78B"/>
    <w:rsid w:val="7AA66E4D"/>
    <w:rsid w:val="7AB12EE0"/>
    <w:rsid w:val="7AB20330"/>
    <w:rsid w:val="7AB98BD1"/>
    <w:rsid w:val="7ABEB04D"/>
    <w:rsid w:val="7AC69247"/>
    <w:rsid w:val="7AC99F60"/>
    <w:rsid w:val="7ADACE8B"/>
    <w:rsid w:val="7ADDF4B4"/>
    <w:rsid w:val="7AE715FF"/>
    <w:rsid w:val="7AE8DAD7"/>
    <w:rsid w:val="7AEC3FC3"/>
    <w:rsid w:val="7AEC91FF"/>
    <w:rsid w:val="7AEFFE7B"/>
    <w:rsid w:val="7AF57463"/>
    <w:rsid w:val="7AF7758E"/>
    <w:rsid w:val="7AFFF52D"/>
    <w:rsid w:val="7B02F3C2"/>
    <w:rsid w:val="7B081EA2"/>
    <w:rsid w:val="7B0A1481"/>
    <w:rsid w:val="7B21ECBE"/>
    <w:rsid w:val="7B23D929"/>
    <w:rsid w:val="7B266F5A"/>
    <w:rsid w:val="7B29A4A5"/>
    <w:rsid w:val="7B2C1208"/>
    <w:rsid w:val="7B31C04C"/>
    <w:rsid w:val="7B33ECAC"/>
    <w:rsid w:val="7B3F562D"/>
    <w:rsid w:val="7B42FC16"/>
    <w:rsid w:val="7B45C01F"/>
    <w:rsid w:val="7B46039D"/>
    <w:rsid w:val="7B47CE5D"/>
    <w:rsid w:val="7B4AB074"/>
    <w:rsid w:val="7B5C42E2"/>
    <w:rsid w:val="7B5EE4A6"/>
    <w:rsid w:val="7B5FC7F4"/>
    <w:rsid w:val="7B64B667"/>
    <w:rsid w:val="7B6835D4"/>
    <w:rsid w:val="7B717F3A"/>
    <w:rsid w:val="7B7443AD"/>
    <w:rsid w:val="7B842DEA"/>
    <w:rsid w:val="7B88ACCF"/>
    <w:rsid w:val="7B890A2B"/>
    <w:rsid w:val="7B930D07"/>
    <w:rsid w:val="7BAA553C"/>
    <w:rsid w:val="7BAADF0E"/>
    <w:rsid w:val="7BAF5CF3"/>
    <w:rsid w:val="7BB7E843"/>
    <w:rsid w:val="7BBD7A12"/>
    <w:rsid w:val="7BCF1E58"/>
    <w:rsid w:val="7BE4B066"/>
    <w:rsid w:val="7BF156B2"/>
    <w:rsid w:val="7BF7A2CE"/>
    <w:rsid w:val="7BFBE568"/>
    <w:rsid w:val="7BFF8394"/>
    <w:rsid w:val="7C0864DC"/>
    <w:rsid w:val="7C0CED0C"/>
    <w:rsid w:val="7C0FDD45"/>
    <w:rsid w:val="7C1128E9"/>
    <w:rsid w:val="7C1E351B"/>
    <w:rsid w:val="7C20EDF9"/>
    <w:rsid w:val="7C26B4A9"/>
    <w:rsid w:val="7C3C4CC9"/>
    <w:rsid w:val="7C3F9EBA"/>
    <w:rsid w:val="7C40748F"/>
    <w:rsid w:val="7C45B4A6"/>
    <w:rsid w:val="7C468A06"/>
    <w:rsid w:val="7C52E1CC"/>
    <w:rsid w:val="7C53EA2D"/>
    <w:rsid w:val="7C57EF13"/>
    <w:rsid w:val="7C59397A"/>
    <w:rsid w:val="7C6B880F"/>
    <w:rsid w:val="7C846F14"/>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D040B0D"/>
    <w:rsid w:val="7D0B73E3"/>
    <w:rsid w:val="7D14F39A"/>
    <w:rsid w:val="7D16E140"/>
    <w:rsid w:val="7D186D07"/>
    <w:rsid w:val="7D1B665E"/>
    <w:rsid w:val="7D1BE287"/>
    <w:rsid w:val="7D1BE4CC"/>
    <w:rsid w:val="7D1CC439"/>
    <w:rsid w:val="7D1ECB55"/>
    <w:rsid w:val="7D26AD32"/>
    <w:rsid w:val="7D2D0956"/>
    <w:rsid w:val="7D2F9087"/>
    <w:rsid w:val="7D33C13A"/>
    <w:rsid w:val="7D356347"/>
    <w:rsid w:val="7D356E4F"/>
    <w:rsid w:val="7D37CBA7"/>
    <w:rsid w:val="7D3C50BF"/>
    <w:rsid w:val="7D413FB8"/>
    <w:rsid w:val="7D446DD3"/>
    <w:rsid w:val="7D4569C3"/>
    <w:rsid w:val="7D4B7874"/>
    <w:rsid w:val="7D4DF820"/>
    <w:rsid w:val="7D4ECD3F"/>
    <w:rsid w:val="7D503757"/>
    <w:rsid w:val="7D6039AB"/>
    <w:rsid w:val="7D61E0BB"/>
    <w:rsid w:val="7D74C5E9"/>
    <w:rsid w:val="7D7ECA96"/>
    <w:rsid w:val="7D7FCCBA"/>
    <w:rsid w:val="7D94B656"/>
    <w:rsid w:val="7D9EF17B"/>
    <w:rsid w:val="7DA72A6D"/>
    <w:rsid w:val="7DA8073D"/>
    <w:rsid w:val="7DA94CCA"/>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EF082"/>
    <w:rsid w:val="7E3F1E73"/>
    <w:rsid w:val="7E46EEE9"/>
    <w:rsid w:val="7E4A1F2D"/>
    <w:rsid w:val="7E531E45"/>
    <w:rsid w:val="7E55EB80"/>
    <w:rsid w:val="7E5B9A86"/>
    <w:rsid w:val="7E5CDDE1"/>
    <w:rsid w:val="7E659246"/>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824D9"/>
    <w:rsid w:val="7F0AC916"/>
    <w:rsid w:val="7F1116B7"/>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EC624"/>
    <w:rsid w:val="7F69CA53"/>
    <w:rsid w:val="7F6F17EA"/>
    <w:rsid w:val="7F7E2DFB"/>
    <w:rsid w:val="7F7FA9A2"/>
    <w:rsid w:val="7F88615B"/>
    <w:rsid w:val="7F8DEE47"/>
    <w:rsid w:val="7F9B05D1"/>
    <w:rsid w:val="7F9CB2E1"/>
    <w:rsid w:val="7FA220A8"/>
    <w:rsid w:val="7FAE6D8C"/>
    <w:rsid w:val="7FAFEE8F"/>
    <w:rsid w:val="7FB00166"/>
    <w:rsid w:val="7FB13A36"/>
    <w:rsid w:val="7FB1753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AF76AFA6-3D8F-42B4-8903-140753B2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BE7D35"/>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4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4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numbering" w:customStyle="1" w:styleId="TableBulletList">
    <w:name w:val="Table Bullet List"/>
    <w:uiPriority w:val="99"/>
    <w:rsid w:val="00B47AE8"/>
    <w:pPr>
      <w:numPr>
        <w:numId w:val="13"/>
      </w:numPr>
    </w:pPr>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ind w:left="288" w:hanging="288"/>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iPriority w:val="99"/>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customStyle="1" w:styleId="CoverTopLogo">
    <w:name w:val="Cover Top Logo"/>
    <w:basedOn w:val="CoverSubtitle"/>
    <w:qFormat/>
    <w:rsid w:val="00B47AE8"/>
    <w:pPr>
      <w:spacing w:before="480"/>
      <w:ind w:left="-86"/>
    </w:pPr>
    <w:rPr>
      <w:i w:val="0"/>
      <w:iCs/>
    </w:rPr>
  </w:style>
  <w:style w:type="paragraph" w:customStyle="1" w:styleId="CoverDistrictName">
    <w:name w:val="Cover District Name"/>
    <w:basedOn w:val="CoverSubtitle"/>
    <w:qFormat/>
    <w:rsid w:val="00B47AE8"/>
    <w:pPr>
      <w:spacing w:before="1680"/>
      <w:ind w:left="4046"/>
    </w:pPr>
  </w:style>
  <w:style w:type="paragraph" w:customStyle="1" w:styleId="CoverBottomLogo">
    <w:name w:val="Cover Bottom Logo"/>
    <w:basedOn w:val="CoverDate"/>
    <w:qFormat/>
    <w:rsid w:val="00B47AE8"/>
    <w:pPr>
      <w:ind w:left="4032"/>
    </w:pPr>
  </w:style>
  <w:style w:type="paragraph" w:styleId="TableofFigures">
    <w:name w:val="table of figures"/>
    <w:basedOn w:val="Normal"/>
    <w:next w:val="Normal"/>
    <w:uiPriority w:val="99"/>
    <w:unhideWhenUsed/>
    <w:rsid w:val="00B75ACA"/>
  </w:style>
  <w:style w:type="character" w:customStyle="1" w:styleId="normaltextrun">
    <w:name w:val="normaltextrun"/>
    <w:basedOn w:val="DefaultParagraphFont"/>
    <w:rsid w:val="002A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74477846">
      <w:bodyDiv w:val="1"/>
      <w:marLeft w:val="0"/>
      <w:marRight w:val="0"/>
      <w:marTop w:val="0"/>
      <w:marBottom w:val="0"/>
      <w:divBdr>
        <w:top w:val="none" w:sz="0" w:space="0" w:color="auto"/>
        <w:left w:val="none" w:sz="0" w:space="0" w:color="auto"/>
        <w:bottom w:val="none" w:sz="0" w:space="0" w:color="auto"/>
        <w:right w:val="none" w:sz="0" w:space="0" w:color="auto"/>
      </w:divBdr>
      <w:divsChild>
        <w:div w:id="1371681979">
          <w:marLeft w:val="0"/>
          <w:marRight w:val="0"/>
          <w:marTop w:val="0"/>
          <w:marBottom w:val="0"/>
          <w:divBdr>
            <w:top w:val="none" w:sz="0" w:space="0" w:color="auto"/>
            <w:left w:val="none" w:sz="0" w:space="0" w:color="auto"/>
            <w:bottom w:val="none" w:sz="0" w:space="0" w:color="auto"/>
            <w:right w:val="none" w:sz="0" w:space="0" w:color="auto"/>
          </w:divBdr>
          <w:divsChild>
            <w:div w:id="1000621380">
              <w:marLeft w:val="0"/>
              <w:marRight w:val="0"/>
              <w:marTop w:val="0"/>
              <w:marBottom w:val="0"/>
              <w:divBdr>
                <w:top w:val="none" w:sz="0" w:space="0" w:color="auto"/>
                <w:left w:val="none" w:sz="0" w:space="0" w:color="auto"/>
                <w:bottom w:val="none" w:sz="0" w:space="0" w:color="auto"/>
                <w:right w:val="none" w:sz="0" w:space="0" w:color="auto"/>
              </w:divBdr>
              <w:divsChild>
                <w:div w:id="681055275">
                  <w:marLeft w:val="0"/>
                  <w:marRight w:val="0"/>
                  <w:marTop w:val="0"/>
                  <w:marBottom w:val="0"/>
                  <w:divBdr>
                    <w:top w:val="none" w:sz="0" w:space="0" w:color="auto"/>
                    <w:left w:val="none" w:sz="0" w:space="0" w:color="auto"/>
                    <w:bottom w:val="none" w:sz="0" w:space="0" w:color="auto"/>
                    <w:right w:val="none" w:sz="0" w:space="0" w:color="auto"/>
                  </w:divBdr>
                  <w:divsChild>
                    <w:div w:id="1308318934">
                      <w:marLeft w:val="0"/>
                      <w:marRight w:val="0"/>
                      <w:marTop w:val="0"/>
                      <w:marBottom w:val="0"/>
                      <w:divBdr>
                        <w:top w:val="none" w:sz="0" w:space="0" w:color="auto"/>
                        <w:left w:val="none" w:sz="0" w:space="0" w:color="auto"/>
                        <w:bottom w:val="none" w:sz="0" w:space="0" w:color="auto"/>
                        <w:right w:val="none" w:sz="0" w:space="0" w:color="auto"/>
                      </w:divBdr>
                      <w:divsChild>
                        <w:div w:id="531458618">
                          <w:marLeft w:val="0"/>
                          <w:marRight w:val="0"/>
                          <w:marTop w:val="0"/>
                          <w:marBottom w:val="0"/>
                          <w:divBdr>
                            <w:top w:val="none" w:sz="0" w:space="0" w:color="auto"/>
                            <w:left w:val="none" w:sz="0" w:space="0" w:color="auto"/>
                            <w:bottom w:val="none" w:sz="0" w:space="0" w:color="auto"/>
                            <w:right w:val="none" w:sz="0" w:space="0" w:color="auto"/>
                          </w:divBdr>
                          <w:divsChild>
                            <w:div w:id="11955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8379233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559094982">
      <w:bodyDiv w:val="1"/>
      <w:marLeft w:val="0"/>
      <w:marRight w:val="0"/>
      <w:marTop w:val="0"/>
      <w:marBottom w:val="0"/>
      <w:divBdr>
        <w:top w:val="none" w:sz="0" w:space="0" w:color="auto"/>
        <w:left w:val="none" w:sz="0" w:space="0" w:color="auto"/>
        <w:bottom w:val="none" w:sz="0" w:space="0" w:color="auto"/>
        <w:right w:val="none" w:sz="0" w:space="0" w:color="auto"/>
      </w:divBdr>
    </w:div>
    <w:div w:id="587156228">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00784325">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21067703">
      <w:bodyDiv w:val="1"/>
      <w:marLeft w:val="0"/>
      <w:marRight w:val="0"/>
      <w:marTop w:val="0"/>
      <w:marBottom w:val="0"/>
      <w:divBdr>
        <w:top w:val="none" w:sz="0" w:space="0" w:color="auto"/>
        <w:left w:val="none" w:sz="0" w:space="0" w:color="auto"/>
        <w:bottom w:val="none" w:sz="0" w:space="0" w:color="auto"/>
        <w:right w:val="none" w:sz="0" w:space="0" w:color="auto"/>
      </w:divBdr>
    </w:div>
    <w:div w:id="1013612013">
      <w:bodyDiv w:val="1"/>
      <w:marLeft w:val="0"/>
      <w:marRight w:val="0"/>
      <w:marTop w:val="0"/>
      <w:marBottom w:val="0"/>
      <w:divBdr>
        <w:top w:val="none" w:sz="0" w:space="0" w:color="auto"/>
        <w:left w:val="none" w:sz="0" w:space="0" w:color="auto"/>
        <w:bottom w:val="none" w:sz="0" w:space="0" w:color="auto"/>
        <w:right w:val="none" w:sz="0" w:space="0" w:color="auto"/>
      </w:divBdr>
    </w:div>
    <w:div w:id="1027875011">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5298">
      <w:bodyDiv w:val="1"/>
      <w:marLeft w:val="0"/>
      <w:marRight w:val="0"/>
      <w:marTop w:val="0"/>
      <w:marBottom w:val="0"/>
      <w:divBdr>
        <w:top w:val="none" w:sz="0" w:space="0" w:color="auto"/>
        <w:left w:val="none" w:sz="0" w:space="0" w:color="auto"/>
        <w:bottom w:val="none" w:sz="0" w:space="0" w:color="auto"/>
        <w:right w:val="none" w:sz="0" w:space="0" w:color="auto"/>
      </w:divBdr>
      <w:divsChild>
        <w:div w:id="1049382">
          <w:marLeft w:val="0"/>
          <w:marRight w:val="0"/>
          <w:marTop w:val="0"/>
          <w:marBottom w:val="0"/>
          <w:divBdr>
            <w:top w:val="none" w:sz="0" w:space="0" w:color="auto"/>
            <w:left w:val="none" w:sz="0" w:space="0" w:color="auto"/>
            <w:bottom w:val="none" w:sz="0" w:space="0" w:color="auto"/>
            <w:right w:val="none" w:sz="0" w:space="0" w:color="auto"/>
          </w:divBdr>
          <w:divsChild>
            <w:div w:id="240221773">
              <w:marLeft w:val="0"/>
              <w:marRight w:val="0"/>
              <w:marTop w:val="0"/>
              <w:marBottom w:val="0"/>
              <w:divBdr>
                <w:top w:val="none" w:sz="0" w:space="0" w:color="auto"/>
                <w:left w:val="none" w:sz="0" w:space="0" w:color="auto"/>
                <w:bottom w:val="none" w:sz="0" w:space="0" w:color="auto"/>
                <w:right w:val="none" w:sz="0" w:space="0" w:color="auto"/>
              </w:divBdr>
              <w:divsChild>
                <w:div w:id="1798329193">
                  <w:marLeft w:val="0"/>
                  <w:marRight w:val="0"/>
                  <w:marTop w:val="0"/>
                  <w:marBottom w:val="0"/>
                  <w:divBdr>
                    <w:top w:val="none" w:sz="0" w:space="0" w:color="auto"/>
                    <w:left w:val="none" w:sz="0" w:space="0" w:color="auto"/>
                    <w:bottom w:val="none" w:sz="0" w:space="0" w:color="auto"/>
                    <w:right w:val="none" w:sz="0" w:space="0" w:color="auto"/>
                  </w:divBdr>
                  <w:divsChild>
                    <w:div w:id="59839392">
                      <w:marLeft w:val="0"/>
                      <w:marRight w:val="0"/>
                      <w:marTop w:val="0"/>
                      <w:marBottom w:val="0"/>
                      <w:divBdr>
                        <w:top w:val="none" w:sz="0" w:space="0" w:color="auto"/>
                        <w:left w:val="none" w:sz="0" w:space="0" w:color="auto"/>
                        <w:bottom w:val="none" w:sz="0" w:space="0" w:color="auto"/>
                        <w:right w:val="none" w:sz="0" w:space="0" w:color="auto"/>
                      </w:divBdr>
                      <w:divsChild>
                        <w:div w:id="58789305">
                          <w:marLeft w:val="0"/>
                          <w:marRight w:val="0"/>
                          <w:marTop w:val="0"/>
                          <w:marBottom w:val="0"/>
                          <w:divBdr>
                            <w:top w:val="none" w:sz="0" w:space="0" w:color="auto"/>
                            <w:left w:val="none" w:sz="0" w:space="0" w:color="auto"/>
                            <w:bottom w:val="none" w:sz="0" w:space="0" w:color="auto"/>
                            <w:right w:val="none" w:sz="0" w:space="0" w:color="auto"/>
                          </w:divBdr>
                          <w:divsChild>
                            <w:div w:id="10274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57451211">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193108665">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4982">
      <w:bodyDiv w:val="1"/>
      <w:marLeft w:val="0"/>
      <w:marRight w:val="0"/>
      <w:marTop w:val="0"/>
      <w:marBottom w:val="0"/>
      <w:divBdr>
        <w:top w:val="none" w:sz="0" w:space="0" w:color="auto"/>
        <w:left w:val="none" w:sz="0" w:space="0" w:color="auto"/>
        <w:bottom w:val="none" w:sz="0" w:space="0" w:color="auto"/>
        <w:right w:val="none" w:sz="0" w:space="0" w:color="auto"/>
      </w:divBdr>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1851619">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3695359">
      <w:bodyDiv w:val="1"/>
      <w:marLeft w:val="0"/>
      <w:marRight w:val="0"/>
      <w:marTop w:val="0"/>
      <w:marBottom w:val="0"/>
      <w:divBdr>
        <w:top w:val="none" w:sz="0" w:space="0" w:color="auto"/>
        <w:left w:val="none" w:sz="0" w:space="0" w:color="auto"/>
        <w:bottom w:val="none" w:sz="0" w:space="0" w:color="auto"/>
        <w:right w:val="none" w:sz="0" w:space="0" w:color="auto"/>
      </w:divBdr>
    </w:div>
    <w:div w:id="1583373477">
      <w:bodyDiv w:val="1"/>
      <w:marLeft w:val="0"/>
      <w:marRight w:val="0"/>
      <w:marTop w:val="0"/>
      <w:marBottom w:val="0"/>
      <w:divBdr>
        <w:top w:val="none" w:sz="0" w:space="0" w:color="auto"/>
        <w:left w:val="none" w:sz="0" w:space="0" w:color="auto"/>
        <w:bottom w:val="none" w:sz="0" w:space="0" w:color="auto"/>
        <w:right w:val="none" w:sz="0" w:space="0" w:color="auto"/>
      </w:divBdr>
      <w:divsChild>
        <w:div w:id="122817552">
          <w:marLeft w:val="0"/>
          <w:marRight w:val="0"/>
          <w:marTop w:val="0"/>
          <w:marBottom w:val="0"/>
          <w:divBdr>
            <w:top w:val="none" w:sz="0" w:space="0" w:color="auto"/>
            <w:left w:val="none" w:sz="0" w:space="0" w:color="auto"/>
            <w:bottom w:val="none" w:sz="0" w:space="0" w:color="auto"/>
            <w:right w:val="none" w:sz="0" w:space="0" w:color="auto"/>
          </w:divBdr>
        </w:div>
        <w:div w:id="1169519621">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86963">
      <w:bodyDiv w:val="1"/>
      <w:marLeft w:val="0"/>
      <w:marRight w:val="0"/>
      <w:marTop w:val="0"/>
      <w:marBottom w:val="0"/>
      <w:divBdr>
        <w:top w:val="none" w:sz="0" w:space="0" w:color="auto"/>
        <w:left w:val="none" w:sz="0" w:space="0" w:color="auto"/>
        <w:bottom w:val="none" w:sz="0" w:space="0" w:color="auto"/>
        <w:right w:val="none" w:sz="0" w:space="0" w:color="auto"/>
      </w:divBdr>
    </w:div>
    <w:div w:id="21148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s://profiles.doe.mass.edu/general/general.aspx?topNavID=1&amp;leftNavId=100&amp;orgcode=01310000&amp;orgtypecode=5" TargetMode="External"/><Relationship Id="rId42" Type="http://schemas.openxmlformats.org/officeDocument/2006/relationships/hyperlink" Target="https://www.doe.mass.edu/instruction/impd/implement-ma.html" TargetMode="External"/><Relationship Id="rId47" Type="http://schemas.openxmlformats.org/officeDocument/2006/relationships/hyperlink" Target="https://view.officeapps.live.com/op/view.aspx?src=https%3A%2F%2Fwww.doe.mass.edu%2Finstruction%2Farts%2Fdiverse-arts-guidebook.docx&amp;wdOrigin=BROWSELINK" TargetMode="External"/><Relationship Id="rId63" Type="http://schemas.openxmlformats.org/officeDocument/2006/relationships/hyperlink" Target="https://www.doe.mass.edu/edeffectiveness/mentor/default.html" TargetMode="External"/><Relationship Id="rId68" Type="http://schemas.openxmlformats.org/officeDocument/2006/relationships/hyperlink" Target="https://www.doe.mass.edu/frameworks/observation/" TargetMode="External"/><Relationship Id="rId84" Type="http://schemas.openxmlformats.org/officeDocument/2006/relationships/hyperlink" Target="https://www.doe.mass.edu/sfs/earlylearning/resources/sel1-3/resources-g1-3.docx" TargetMode="External"/><Relationship Id="rId89" Type="http://schemas.openxmlformats.org/officeDocument/2006/relationships/hyperlink" Target="https://www.doe.mass.edu/ele/slife/default.html" TargetMode="External"/><Relationship Id="rId16" Type="http://schemas.openxmlformats.org/officeDocument/2006/relationships/image" Target="media/image4.jpeg"/><Relationship Id="rId107" Type="http://schemas.openxmlformats.org/officeDocument/2006/relationships/fontTable" Target="fontTable.xml"/><Relationship Id="rId11" Type="http://schemas.openxmlformats.org/officeDocument/2006/relationships/hyperlink" Target="http://www.doe.mass.edu" TargetMode="External"/><Relationship Id="rId32" Type="http://schemas.openxmlformats.org/officeDocument/2006/relationships/header" Target="header3.xml"/><Relationship Id="rId37" Type="http://schemas.openxmlformats.org/officeDocument/2006/relationships/hyperlink" Target="https://www.doe.mass.edu/edeffectiveness/mentor/principal.html" TargetMode="External"/><Relationship Id="rId53" Type="http://schemas.openxmlformats.org/officeDocument/2006/relationships/hyperlink" Target="https://www.doe.mass.edu/kaleidoscope/planning/default.html" TargetMode="External"/><Relationship Id="rId58" Type="http://schemas.openxmlformats.org/officeDocument/2006/relationships/hyperlink" Target="http://www.doe.mass.edu/accountability/toolkit/" TargetMode="External"/><Relationship Id="rId74" Type="http://schemas.openxmlformats.org/officeDocument/2006/relationships/hyperlink" Target="https://www.doe.mass.edu/families/" TargetMode="External"/><Relationship Id="rId79" Type="http://schemas.openxmlformats.org/officeDocument/2006/relationships/hyperlink" Target="https://matoolsforschools.com/" TargetMode="External"/><Relationship Id="rId102" Type="http://schemas.openxmlformats.org/officeDocument/2006/relationships/hyperlink" Target="https://www.doe.mass.edu/finance/statistics/per-pupil-exp.xlsx" TargetMode="External"/><Relationship Id="rId5" Type="http://schemas.openxmlformats.org/officeDocument/2006/relationships/numbering" Target="numbering.xml"/><Relationship Id="rId90" Type="http://schemas.openxmlformats.org/officeDocument/2006/relationships/hyperlink" Target="https://www.doe.mass.edu/finance/statistics/default.html" TargetMode="External"/><Relationship Id="rId95" Type="http://schemas.openxmlformats.org/officeDocument/2006/relationships/hyperlink" Target="https://www.doe.mass.edu/research/radar/" TargetMode="External"/><Relationship Id="rId22" Type="http://schemas.openxmlformats.org/officeDocument/2006/relationships/header" Target="header2.xml"/><Relationship Id="rId27" Type="http://schemas.openxmlformats.org/officeDocument/2006/relationships/image" Target="media/image5.png"/><Relationship Id="rId43" Type="http://schemas.openxmlformats.org/officeDocument/2006/relationships/hyperlink" Target="https://www.doe.mass.edu/instruction/curate/default.html" TargetMode="External"/><Relationship Id="rId48" Type="http://schemas.openxmlformats.org/officeDocument/2006/relationships/hyperlink" Target="https://www.doe.mass.edu/massliteracy/" TargetMode="External"/><Relationship Id="rId64" Type="http://schemas.openxmlformats.org/officeDocument/2006/relationships/hyperlink" Target="https://www.doe.mass.edu/edeffectiveness/mentor/principal.html" TargetMode="External"/><Relationship Id="rId69" Type="http://schemas.openxmlformats.org/officeDocument/2006/relationships/hyperlink" Target="https://www.doe.mass.edu/edeffectiveness/talent-guide/default.html" TargetMode="External"/><Relationship Id="rId80" Type="http://schemas.openxmlformats.org/officeDocument/2006/relationships/hyperlink" Target="https://www.doe.mass.edu/ele/resources/immigrant-refugee.html" TargetMode="External"/><Relationship Id="rId85" Type="http://schemas.openxmlformats.org/officeDocument/2006/relationships/hyperlink" Target="https://www.doe.mass.edu/sfs/bullying/selguide.docx"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footer" Target="footer8.xml"/><Relationship Id="rId38" Type="http://schemas.openxmlformats.org/officeDocument/2006/relationships/hyperlink" Target="https://www.doe.mass.edu/research/success/" TargetMode="External"/><Relationship Id="rId59" Type="http://schemas.openxmlformats.org/officeDocument/2006/relationships/hyperlink" Target="https://www.doe.mass.edu/instruction/screening-assessments.html" TargetMode="External"/><Relationship Id="rId103" Type="http://schemas.openxmlformats.org/officeDocument/2006/relationships/footer" Target="footer12.xml"/><Relationship Id="rId108"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www.doe.mass.edu/instruction/impd/default.html" TargetMode="External"/><Relationship Id="rId54" Type="http://schemas.openxmlformats.org/officeDocument/2006/relationships/hyperlink" Target="https://www.doe.mass.edu/instruction/culturally-sustaining/default.html" TargetMode="External"/><Relationship Id="rId62" Type="http://schemas.openxmlformats.org/officeDocument/2006/relationships/hyperlink" Target="https://www.doe.mass.edu/edeval/implementation/default.html" TargetMode="External"/><Relationship Id="rId70" Type="http://schemas.openxmlformats.org/officeDocument/2006/relationships/hyperlink" Target="https://www.doe.mass.edu/ele/prof-learning/wida/default.html" TargetMode="External"/><Relationship Id="rId75" Type="http://schemas.openxmlformats.org/officeDocument/2006/relationships/hyperlink" Target="https://www.doe.mass.edu/sfs/family-engagement-framework.pdf" TargetMode="External"/><Relationship Id="rId83" Type="http://schemas.openxmlformats.org/officeDocument/2006/relationships/hyperlink" Target="https://massschoolwellness.org/" TargetMode="External"/><Relationship Id="rId88" Type="http://schemas.openxmlformats.org/officeDocument/2006/relationships/hyperlink" Target="https://www.doe.mass.edu/sfs/sel/sel-all.docx" TargetMode="External"/><Relationship Id="rId91" Type="http://schemas.openxmlformats.org/officeDocument/2006/relationships/hyperlink" Target="https://www.doe.mass.edu/federalgrants/resources/default.html" TargetMode="External"/><Relationship Id="rId96" Type="http://schemas.openxmlformats.org/officeDocument/2006/relationships/hyperlink" Target="https://gtlcenter.org/products-resources/spending-money-wisely-getting-most-school-district-budge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hyperlink" Target="https://www.doe.mass.edu/csdp/guidebook/coherence-guidebook.pdf" TargetMode="External"/><Relationship Id="rId49" Type="http://schemas.openxmlformats.org/officeDocument/2006/relationships/hyperlink" Target="https://www.doe.mass.edu/ele/blueprint/default.html" TargetMode="External"/><Relationship Id="rId57" Type="http://schemas.openxmlformats.org/officeDocument/2006/relationships/hyperlink" Target="https://www.doe.mass.edu/acls/assessment/continuum.pdf" TargetMode="External"/><Relationship Id="rId106" Type="http://schemas.openxmlformats.org/officeDocument/2006/relationships/footer" Target="footer14.xml"/><Relationship Id="rId10" Type="http://schemas.openxmlformats.org/officeDocument/2006/relationships/endnotes" Target="endnotes.xml"/><Relationship Id="rId31" Type="http://schemas.openxmlformats.org/officeDocument/2006/relationships/hyperlink" Target="http://www.air.org" TargetMode="External"/><Relationship Id="rId44" Type="http://schemas.openxmlformats.org/officeDocument/2006/relationships/hyperlink" Target="https://www.doe.mass.edu/stem/dlcs/curriculum-guide.pdf?v=4/12/2023" TargetMode="External"/><Relationship Id="rId52" Type="http://schemas.openxmlformats.org/officeDocument/2006/relationships/hyperlink" Target="https://www.doe.mass.edu/stem/ste/openscied.html" TargetMode="External"/><Relationship Id="rId60" Type="http://schemas.openxmlformats.org/officeDocument/2006/relationships/hyperlink" Target="https://www.doe.mass.edu/assessment/" TargetMode="External"/><Relationship Id="rId65" Type="http://schemas.openxmlformats.org/officeDocument/2006/relationships/hyperlink" Target="https://www.doe.mass.edu/mtel/" TargetMode="External"/><Relationship Id="rId73" Type="http://schemas.openxmlformats.org/officeDocument/2006/relationships/hyperlink" Target="https://www.doe.mass.edu/sfs/emergencyplan/default.html" TargetMode="External"/><Relationship Id="rId78" Type="http://schemas.openxmlformats.org/officeDocument/2006/relationships/hyperlink" Target="https://www.doe.mass.edu/sfss/mtss/" TargetMode="External"/><Relationship Id="rId81" Type="http://schemas.openxmlformats.org/officeDocument/2006/relationships/hyperlink" Target="https://www.sassma.org/" TargetMode="External"/><Relationship Id="rId86" Type="http://schemas.openxmlformats.org/officeDocument/2006/relationships/hyperlink" Target="https://www.doe.mass.edu/sfs/earlylearning/resources/" TargetMode="External"/><Relationship Id="rId94" Type="http://schemas.openxmlformats.org/officeDocument/2006/relationships/hyperlink" Target="https://www.doe.mass.edu/research/success/" TargetMode="External"/><Relationship Id="rId99" Type="http://schemas.openxmlformats.org/officeDocument/2006/relationships/footer" Target="footer9.xml"/><Relationship Id="rId10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csdp/guidebook/coherence-guidebook.pdf" TargetMode="External"/><Relationship Id="rId34" Type="http://schemas.openxmlformats.org/officeDocument/2006/relationships/hyperlink" Target="http://www.teachstone.com/wp-content/uploads/2011/05/class-mtp-pk-12-brief.pdf" TargetMode="External"/><Relationship Id="rId50" Type="http://schemas.openxmlformats.org/officeDocument/2006/relationships/hyperlink" Target="https://sites.google.com/view/appleseedsk2/home" TargetMode="External"/><Relationship Id="rId55" Type="http://schemas.openxmlformats.org/officeDocument/2006/relationships/hyperlink" Target="https://view.officeapps.live.com/op/view.aspx?src=https%3A%2F%2Fwww.doe.mass.edu%2Fcsdp%2Fguidebook%2Fappendix-ilt-framework.docx&amp;wdOrigin=BROWSELINK" TargetMode="External"/><Relationship Id="rId76" Type="http://schemas.openxmlformats.org/officeDocument/2006/relationships/hyperlink" Target="https://www.doe.mass.edu/highstandards/default.html" TargetMode="External"/><Relationship Id="rId97"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04"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s://www.doe.mass.edu/sfs/bullying/default.html" TargetMode="External"/><Relationship Id="rId92" Type="http://schemas.openxmlformats.org/officeDocument/2006/relationships/hyperlink" Target="https://www.massfarmtoschool.org/announcement/grant-opportunities/" TargetMode="Externa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4.xml"/><Relationship Id="rId40" Type="http://schemas.openxmlformats.org/officeDocument/2006/relationships/hyperlink" Target="https://www.doe.mass.edu/frameworks/" TargetMode="External"/><Relationship Id="rId45" Type="http://schemas.openxmlformats.org/officeDocument/2006/relationships/hyperlink" Target="https://www.doe.mass.edu/ccte/ccr/ewis/" TargetMode="External"/><Relationship Id="rId66" Type="http://schemas.openxmlformats.org/officeDocument/2006/relationships/hyperlink" Target="https://www.ma-optic.com/" TargetMode="External"/><Relationship Id="rId87" Type="http://schemas.openxmlformats.org/officeDocument/2006/relationships/hyperlink" Target="https://www.doe.mass.edu/sfs/earlylearning/pli.html" TargetMode="External"/><Relationship Id="rId61" Type="http://schemas.openxmlformats.org/officeDocument/2006/relationships/hyperlink" Target="https://www.doe.mass.edu/edprep/resources/early-literacy-observation.html" TargetMode="External"/><Relationship Id="rId82" Type="http://schemas.openxmlformats.org/officeDocument/2006/relationships/hyperlink" Target="https://www.projectbread.org/resource-directory/breakfast-after-the-bell-resources"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image" Target="media/image7.png"/><Relationship Id="rId35" Type="http://schemas.openxmlformats.org/officeDocument/2006/relationships/hyperlink" Target="http://metproject.org/resources/CLASS_10_29_10.pdf" TargetMode="External"/><Relationship Id="rId56" Type="http://schemas.openxmlformats.org/officeDocument/2006/relationships/hyperlink" Target="https://www.doe.mass.edu/sfs/earlylearning/default.html" TargetMode="External"/><Relationship Id="rId77" Type="http://schemas.openxmlformats.org/officeDocument/2006/relationships/hyperlink" Target="https://www.doe.mass.edu/sfs/discipline/updated-expectations.docx" TargetMode="External"/><Relationship Id="rId100" Type="http://schemas.openxmlformats.org/officeDocument/2006/relationships/footer" Target="footer10.xml"/><Relationship Id="rId105"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yperlink" Target="https://www.doe.mass.edu/investigatinghistory/" TargetMode="External"/><Relationship Id="rId72" Type="http://schemas.openxmlformats.org/officeDocument/2006/relationships/hyperlink" Target="https://rems.ed.gov/" TargetMode="External"/><Relationship Id="rId93" Type="http://schemas.openxmlformats.org/officeDocument/2006/relationships/hyperlink" Target="https://www.doe.mass.edu/cnp/" TargetMode="External"/><Relationship Id="rId98" Type="http://schemas.openxmlformats.org/officeDocument/2006/relationships/hyperlink" Target="https://www.erstrategies.org/cms/files/2752-student-based-budgeting-guide.pdf),%20from%20Education%20Resource%20Strategies" TargetMode="External"/><Relationship Id="rId3" Type="http://schemas.openxmlformats.org/officeDocument/2006/relationships/customXml" Target="../customXml/item3.xml"/><Relationship Id="rId25" Type="http://schemas.openxmlformats.org/officeDocument/2006/relationships/footer" Target="footer5.xml"/><Relationship Id="rId46" Type="http://schemas.openxmlformats.org/officeDocument/2006/relationships/hyperlink" Target="https://www.doe.mass.edu/edeval/guidebook/" TargetMode="External"/><Relationship Id="rId67" Type="http://schemas.openxmlformats.org/officeDocument/2006/relationships/hyperlink" Target="https://plpartnerguid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instruction/curate"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www.doe.mass.edu/research/radar/"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SharingLinks.e6986122-4037-4e10-839e-9cc9e1b2e7f5.Flexible.1f636ddd-3f83-49aa-a88c-9cd8c828426a</DisplayName>
        <AccountId>55</AccountId>
        <AccountType/>
      </UserInfo>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SharingLinks.7b0df000-e354-44d0-b12b-855985df241d.Flexible.705f5d28-3913-447f-ae6c-4147fb1a0784</DisplayName>
        <AccountId>223</AccountId>
        <AccountType/>
      </UserInfo>
      <UserInfo>
        <DisplayName>Everyone</DisplayName>
        <AccountId>10</AccountId>
        <AccountType/>
      </UserInfo>
      <UserInfo>
        <DisplayName>SharingLinks.2901c117-7d3e-4f31-aaa7-f275525a7d7e.Flexible.3df49876-3088-45f2-bc09-579bea23aafb</DisplayName>
        <AccountId>221</AccountId>
        <AccountType/>
      </UserInfo>
      <UserInfo>
        <DisplayName>SharingLinks.506eb105-3624-478d-8f4f-ed33696dedf7.Flexible.cd41c460-491f-4d1d-8c04-80a9d96e2262</DisplayName>
        <AccountId>222</AccountId>
        <AccountType/>
      </UserInfo>
      <UserInfo>
        <DisplayName>SharingLinks.14d6ee93-ce34-4f9f-8371-68043c1cbc5a.Flexible.2d0cc9d7-5c43-477d-b7ab-7b366c93b355</DisplayName>
        <AccountId>232</AccountId>
        <AccountType/>
      </UserInfo>
      <UserInfo>
        <DisplayName>Simon, Jeremy (DESE)</DisplayName>
        <AccountId>263</AccountId>
        <AccountType/>
      </UserInfo>
      <UserInfo>
        <DisplayName>doe-odrm Owners</DisplayName>
        <AccountId>7</AccountId>
        <AccountType/>
      </UserInfo>
      <UserInfo>
        <DisplayName>Daly, Kevin (DESE)</DisplayName>
        <AccountId>21</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95a6a7b68e28fef166bebe07fc97fb55">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a07da051c436c912aae5dc1c67e0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3.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4.xml><?xml version="1.0" encoding="utf-8"?>
<ds:datastoreItem xmlns:ds="http://schemas.openxmlformats.org/officeDocument/2006/customXml" ds:itemID="{92BEA5D4-37BD-4211-A573-94AE9A283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96</Pages>
  <Words>35998</Words>
  <Characters>205194</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Hingham District Review Report 2024</vt:lpstr>
    </vt:vector>
  </TitlesOfParts>
  <Company/>
  <LinksUpToDate>false</LinksUpToDate>
  <CharactersWithSpaces>240711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Hingham District Review Report 2024</dc:title>
  <dc:subject/>
  <dc:creator>DESE</dc:creator>
  <cp:keywords/>
  <cp:lastModifiedBy>Zou, Dong (EOE)</cp:lastModifiedBy>
  <cp:revision>5</cp:revision>
  <cp:lastPrinted>2024-06-25T19:03:00Z</cp:lastPrinted>
  <dcterms:created xsi:type="dcterms:W3CDTF">2024-08-13T13:26:00Z</dcterms:created>
  <dcterms:modified xsi:type="dcterms:W3CDTF">2024-08-13T14:41:00Z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13 2024 12:00AM</vt:lpwstr>
  </property>
</Properties>
</file>