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DAC10" w14:textId="4CEC9A4A" w:rsidR="00E47457" w:rsidRPr="00A06F1E" w:rsidRDefault="009572A5" w:rsidP="0010545A">
      <w:pPr>
        <w:pStyle w:val="Heading1"/>
        <w:ind w:right="3420"/>
      </w:pPr>
      <w:bookmarkStart w:id="0" w:name="_Hlk167451618"/>
      <w:r w:rsidRPr="00A06F1E">
        <w:rPr>
          <w:szCs w:val="48"/>
        </w:rPr>
        <w:t>Ralph C</w:t>
      </w:r>
      <w:r w:rsidR="005C6EDF" w:rsidRPr="00A06F1E">
        <w:rPr>
          <w:szCs w:val="48"/>
        </w:rPr>
        <w:t>.</w:t>
      </w:r>
      <w:r w:rsidRPr="00A06F1E">
        <w:rPr>
          <w:szCs w:val="48"/>
        </w:rPr>
        <w:t xml:space="preserve"> Mahar </w:t>
      </w:r>
      <w:r w:rsidR="0010545A" w:rsidRPr="00A06F1E">
        <w:rPr>
          <w:szCs w:val="48"/>
        </w:rPr>
        <w:t xml:space="preserve">and </w:t>
      </w:r>
      <w:r w:rsidRPr="00A06F1E">
        <w:rPr>
          <w:szCs w:val="48"/>
        </w:rPr>
        <w:t>School Union 73</w:t>
      </w:r>
      <w:r w:rsidR="001A7E0B" w:rsidRPr="00A06F1E">
        <w:rPr>
          <w:szCs w:val="48"/>
        </w:rPr>
        <w:t xml:space="preserve"> </w:t>
      </w:r>
    </w:p>
    <w:p w14:paraId="1BFC7936" w14:textId="77777777" w:rsidR="006C1DC9" w:rsidRPr="00A06F1E" w:rsidRDefault="00FD0F0A" w:rsidP="00457876">
      <w:pPr>
        <w:pStyle w:val="Titlepagesubheading"/>
      </w:pPr>
      <w:bookmarkStart w:id="1" w:name="_Hlk101983091"/>
      <w:bookmarkEnd w:id="0"/>
      <w:r w:rsidRPr="00A06F1E">
        <w:t xml:space="preserve">Comprehensive </w:t>
      </w:r>
      <w:r w:rsidR="008E314D" w:rsidRPr="00A06F1E">
        <w:t>District Review Report</w:t>
      </w:r>
      <w:bookmarkEnd w:id="1"/>
    </w:p>
    <w:p w14:paraId="3575704A" w14:textId="1818E118" w:rsidR="008E314D" w:rsidRPr="00A06F1E" w:rsidRDefault="00442A37" w:rsidP="00457876">
      <w:pPr>
        <w:pStyle w:val="Titlepagedate"/>
      </w:pPr>
      <w:r w:rsidRPr="00A06F1E">
        <w:t xml:space="preserve">April </w:t>
      </w:r>
      <w:r w:rsidR="00D84CF0" w:rsidRPr="00A06F1E">
        <w:t>20</w:t>
      </w:r>
      <w:r w:rsidR="00EF4710" w:rsidRPr="00A06F1E">
        <w:t>24</w:t>
      </w:r>
    </w:p>
    <w:p w14:paraId="0DB0F0E7" w14:textId="77777777" w:rsidR="00A95BAB" w:rsidRPr="00A06F1E"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Pr="00A06F1E"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Pr="00A06F1E"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Pr="00A06F1E"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Pr="00A06F1E"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Pr="00A06F1E"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A06F1E" w:rsidRDefault="4DF0ADFC" w:rsidP="00457876">
      <w:pPr>
        <w:pStyle w:val="Titlepageorganization"/>
      </w:pPr>
      <w:r w:rsidRPr="00A06F1E">
        <w:t>Massachusetts Department of Elementary and Secondary Education</w:t>
      </w:r>
    </w:p>
    <w:p w14:paraId="7AB2F13C" w14:textId="0DB8189D" w:rsidR="14BBBE3B" w:rsidRPr="00A06F1E" w:rsidRDefault="14BBBE3B" w:rsidP="00457876">
      <w:pPr>
        <w:pStyle w:val="Titlepagetext14pt"/>
      </w:pPr>
      <w:r w:rsidRPr="00A06F1E">
        <w:t>Office of District Reviews and Monitoring</w:t>
      </w:r>
    </w:p>
    <w:p w14:paraId="5DC820FA" w14:textId="5046D58B" w:rsidR="26918BE0" w:rsidRPr="00A06F1E" w:rsidRDefault="00E34155" w:rsidP="00457876">
      <w:pPr>
        <w:pStyle w:val="Titlepagetext10pt"/>
      </w:pPr>
      <w:r w:rsidRPr="00A06F1E">
        <w:t>135 Santilli Highway</w:t>
      </w:r>
    </w:p>
    <w:p w14:paraId="6DA8D26D" w14:textId="3BBEE20E" w:rsidR="26918BE0" w:rsidRPr="00A06F1E" w:rsidRDefault="00E34155" w:rsidP="00457876">
      <w:pPr>
        <w:pStyle w:val="Titlepagetext10pt"/>
      </w:pPr>
      <w:r w:rsidRPr="00A06F1E">
        <w:t>Everett</w:t>
      </w:r>
      <w:r w:rsidR="26918BE0" w:rsidRPr="00A06F1E">
        <w:t xml:space="preserve">, MA </w:t>
      </w:r>
      <w:r w:rsidR="001B2E5F" w:rsidRPr="00A06F1E">
        <w:t>02149</w:t>
      </w:r>
    </w:p>
    <w:p w14:paraId="7CA72F40" w14:textId="4A091369" w:rsidR="26918BE0" w:rsidRPr="00A06F1E" w:rsidRDefault="26918BE0" w:rsidP="00457876">
      <w:pPr>
        <w:pStyle w:val="Titlepagetext10pt"/>
      </w:pPr>
      <w:r w:rsidRPr="00A06F1E">
        <w:t>781-338-3000</w:t>
      </w:r>
    </w:p>
    <w:p w14:paraId="33E67B60" w14:textId="7BE75C45" w:rsidR="26918BE0" w:rsidRPr="00A06F1E" w:rsidRDefault="00000000" w:rsidP="00457876">
      <w:pPr>
        <w:pStyle w:val="Titlepagetext10pt"/>
        <w:rPr>
          <w:rStyle w:val="Hyperlink"/>
        </w:rPr>
      </w:pPr>
      <w:hyperlink r:id="rId11" w:history="1">
        <w:r w:rsidR="26918BE0" w:rsidRPr="00A06F1E">
          <w:rPr>
            <w:rStyle w:val="Hyperlink"/>
          </w:rPr>
          <w:t>www.doe.mass.edu</w:t>
        </w:r>
      </w:hyperlink>
    </w:p>
    <w:p w14:paraId="6719BDA7" w14:textId="77777777" w:rsidR="00B048BD" w:rsidRPr="00A06F1E"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Pr="00A06F1E"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A06F1E" w:rsidRDefault="00E64C7A" w:rsidP="00457876">
      <w:pPr>
        <w:pStyle w:val="Titlepageorganization"/>
      </w:pPr>
      <w:r w:rsidRPr="00A06F1E">
        <w:t>American Institutes for Research</w:t>
      </w:r>
    </w:p>
    <w:p w14:paraId="41A8F40D" w14:textId="77777777" w:rsidR="006C1DC9" w:rsidRPr="00A06F1E" w:rsidRDefault="00D67779" w:rsidP="00457876">
      <w:pPr>
        <w:pStyle w:val="Titlepagetext14pt"/>
      </w:pPr>
      <w:r w:rsidRPr="00A06F1E">
        <w:t>Education Systems and Policy</w:t>
      </w:r>
    </w:p>
    <w:p w14:paraId="28EE2314" w14:textId="77777777" w:rsidR="006C1DC9" w:rsidRPr="00A06F1E" w:rsidRDefault="008415C9" w:rsidP="00457876">
      <w:pPr>
        <w:pStyle w:val="Titlepagetext10pt"/>
      </w:pPr>
      <w:r w:rsidRPr="00A06F1E">
        <w:rPr>
          <w:shd w:val="clear" w:color="auto" w:fill="FFFFFF"/>
        </w:rPr>
        <w:t>201 Jones Road, Suite 100</w:t>
      </w:r>
      <w:r w:rsidRPr="00A06F1E">
        <w:br/>
      </w:r>
      <w:r w:rsidRPr="00A06F1E">
        <w:rPr>
          <w:shd w:val="clear" w:color="auto" w:fill="FFFFFF"/>
        </w:rPr>
        <w:t>Waltham, MA 02451</w:t>
      </w:r>
    </w:p>
    <w:p w14:paraId="66D16273" w14:textId="77777777" w:rsidR="006C1DC9" w:rsidRPr="00A06F1E" w:rsidRDefault="00144555" w:rsidP="00457876">
      <w:pPr>
        <w:pStyle w:val="Titlepagetext10pt"/>
      </w:pPr>
      <w:r w:rsidRPr="00A06F1E">
        <w:t>202</w:t>
      </w:r>
      <w:r w:rsidR="006D04CC" w:rsidRPr="00A06F1E">
        <w:t>-</w:t>
      </w:r>
      <w:r w:rsidRPr="00A06F1E">
        <w:t>403-5000</w:t>
      </w:r>
    </w:p>
    <w:p w14:paraId="5CEDCF71" w14:textId="724F49DC" w:rsidR="002025EB" w:rsidRPr="00A06F1E" w:rsidRDefault="00000000" w:rsidP="00457876">
      <w:pPr>
        <w:pStyle w:val="Titlepagetext10pt"/>
      </w:pPr>
      <w:hyperlink r:id="rId12" w:history="1">
        <w:r w:rsidR="002025EB" w:rsidRPr="00A06F1E">
          <w:rPr>
            <w:rStyle w:val="Hyperlink"/>
          </w:rPr>
          <w:t>www.air.org</w:t>
        </w:r>
      </w:hyperlink>
    </w:p>
    <w:p w14:paraId="634A28FF" w14:textId="77777777" w:rsidR="0047019E" w:rsidRPr="00A06F1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EFE101B" w14:textId="77777777" w:rsidR="0047019E" w:rsidRPr="00A06F1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2D2669DF" w14:textId="77777777" w:rsidR="0047019E" w:rsidRPr="00A06F1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Pr="00A06F1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Pr="00A06F1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Pr="00A06F1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Pr="00A06F1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Pr="00A06F1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Pr="00A06F1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Pr="00A06F1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A06F1E" w:rsidRDefault="002025EB" w:rsidP="00457876">
      <w:pPr>
        <w:tabs>
          <w:tab w:val="right" w:pos="9090"/>
        </w:tabs>
        <w:ind w:right="90"/>
        <w:rPr>
          <w:b/>
          <w:bCs/>
          <w:sz w:val="28"/>
          <w:szCs w:val="28"/>
        </w:rPr>
      </w:pPr>
      <w:r w:rsidRPr="00A06F1E">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sidRPr="00A06F1E">
        <w:rPr>
          <w:b/>
          <w:bCs/>
          <w:sz w:val="28"/>
          <w:szCs w:val="28"/>
        </w:rPr>
        <w:tab/>
      </w:r>
      <w:r w:rsidR="00457876" w:rsidRPr="00A06F1E">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A06F1E">
        <w:rPr>
          <w:b/>
          <w:bCs/>
          <w:sz w:val="28"/>
          <w:szCs w:val="28"/>
        </w:rPr>
        <w:br w:type="page"/>
      </w:r>
    </w:p>
    <w:p w14:paraId="224357F6" w14:textId="26DBFA6B" w:rsidR="008E314D" w:rsidRPr="00A06F1E" w:rsidRDefault="00D84CF0" w:rsidP="0055077E">
      <w:pPr>
        <w:pStyle w:val="TOCHeading"/>
      </w:pPr>
      <w:r w:rsidRPr="00A06F1E">
        <w:lastRenderedPageBreak/>
        <w:t>Contents</w:t>
      </w:r>
    </w:p>
    <w:p w14:paraId="14E5CA56" w14:textId="0C14A52A" w:rsidR="006C0F6C" w:rsidRDefault="002E7525">
      <w:pPr>
        <w:pStyle w:val="TOC1"/>
        <w:tabs>
          <w:tab w:val="right" w:leader="dot" w:pos="9350"/>
        </w:tabs>
        <w:rPr>
          <w:rFonts w:eastAsiaTheme="minorEastAsia"/>
          <w:noProof/>
          <w:kern w:val="2"/>
          <w:sz w:val="24"/>
          <w:szCs w:val="24"/>
          <w14:ligatures w14:val="standardContextual"/>
        </w:rPr>
      </w:pPr>
      <w:r w:rsidRPr="00A06F1E">
        <w:rPr>
          <w:sz w:val="20"/>
          <w:szCs w:val="20"/>
        </w:rPr>
        <w:fldChar w:fldCharType="begin"/>
      </w:r>
      <w:r w:rsidRPr="00A06F1E">
        <w:rPr>
          <w:sz w:val="20"/>
          <w:szCs w:val="20"/>
        </w:rPr>
        <w:instrText xml:space="preserve"> TOC \h \z \t "Heading 2,1" </w:instrText>
      </w:r>
      <w:r w:rsidRPr="00A06F1E">
        <w:rPr>
          <w:sz w:val="20"/>
          <w:szCs w:val="20"/>
        </w:rPr>
        <w:fldChar w:fldCharType="separate"/>
      </w:r>
      <w:hyperlink w:anchor="_Toc170896575" w:history="1">
        <w:r w:rsidR="006C0F6C" w:rsidRPr="008D4929">
          <w:rPr>
            <w:rStyle w:val="Hyperlink"/>
            <w:noProof/>
          </w:rPr>
          <w:t>Executive Summary</w:t>
        </w:r>
        <w:r w:rsidR="006C0F6C">
          <w:rPr>
            <w:noProof/>
            <w:webHidden/>
          </w:rPr>
          <w:tab/>
        </w:r>
        <w:r w:rsidR="006C0F6C">
          <w:rPr>
            <w:noProof/>
            <w:webHidden/>
          </w:rPr>
          <w:fldChar w:fldCharType="begin"/>
        </w:r>
        <w:r w:rsidR="006C0F6C">
          <w:rPr>
            <w:noProof/>
            <w:webHidden/>
          </w:rPr>
          <w:instrText xml:space="preserve"> PAGEREF _Toc170896575 \h </w:instrText>
        </w:r>
        <w:r w:rsidR="006C0F6C">
          <w:rPr>
            <w:noProof/>
            <w:webHidden/>
          </w:rPr>
        </w:r>
        <w:r w:rsidR="006C0F6C">
          <w:rPr>
            <w:noProof/>
            <w:webHidden/>
          </w:rPr>
          <w:fldChar w:fldCharType="separate"/>
        </w:r>
        <w:r w:rsidR="00AE3852">
          <w:rPr>
            <w:noProof/>
            <w:webHidden/>
          </w:rPr>
          <w:t>1</w:t>
        </w:r>
        <w:r w:rsidR="006C0F6C">
          <w:rPr>
            <w:noProof/>
            <w:webHidden/>
          </w:rPr>
          <w:fldChar w:fldCharType="end"/>
        </w:r>
      </w:hyperlink>
    </w:p>
    <w:p w14:paraId="4E8FFE69" w14:textId="40520E2B" w:rsidR="006C0F6C" w:rsidRDefault="00000000">
      <w:pPr>
        <w:pStyle w:val="TOC1"/>
        <w:tabs>
          <w:tab w:val="right" w:leader="dot" w:pos="9350"/>
        </w:tabs>
        <w:rPr>
          <w:rFonts w:eastAsiaTheme="minorEastAsia"/>
          <w:noProof/>
          <w:kern w:val="2"/>
          <w:sz w:val="24"/>
          <w:szCs w:val="24"/>
          <w14:ligatures w14:val="standardContextual"/>
        </w:rPr>
      </w:pPr>
      <w:hyperlink w:anchor="_Toc170896576" w:history="1">
        <w:r w:rsidR="006C0F6C" w:rsidRPr="008D4929">
          <w:rPr>
            <w:rStyle w:val="Hyperlink"/>
            <w:noProof/>
            <w:spacing w:val="-2"/>
          </w:rPr>
          <w:t xml:space="preserve">Ralph C. Mahar Regional </w:t>
        </w:r>
        <w:r w:rsidR="00606A66" w:rsidRPr="00606A66">
          <w:rPr>
            <w:rStyle w:val="Hyperlink"/>
            <w:noProof/>
            <w:spacing w:val="-2"/>
          </w:rPr>
          <w:t xml:space="preserve">District </w:t>
        </w:r>
        <w:r w:rsidR="006C0F6C" w:rsidRPr="008D4929">
          <w:rPr>
            <w:rStyle w:val="Hyperlink"/>
            <w:noProof/>
            <w:spacing w:val="-2"/>
          </w:rPr>
          <w:t>and School Union 73: District Review Overview</w:t>
        </w:r>
        <w:r w:rsidR="006C0F6C">
          <w:rPr>
            <w:noProof/>
            <w:webHidden/>
          </w:rPr>
          <w:tab/>
        </w:r>
        <w:r w:rsidR="006C0F6C">
          <w:rPr>
            <w:noProof/>
            <w:webHidden/>
          </w:rPr>
          <w:fldChar w:fldCharType="begin"/>
        </w:r>
        <w:r w:rsidR="006C0F6C">
          <w:rPr>
            <w:noProof/>
            <w:webHidden/>
          </w:rPr>
          <w:instrText xml:space="preserve"> PAGEREF _Toc170896576 \h </w:instrText>
        </w:r>
        <w:r w:rsidR="006C0F6C">
          <w:rPr>
            <w:noProof/>
            <w:webHidden/>
          </w:rPr>
        </w:r>
        <w:r w:rsidR="006C0F6C">
          <w:rPr>
            <w:noProof/>
            <w:webHidden/>
          </w:rPr>
          <w:fldChar w:fldCharType="separate"/>
        </w:r>
        <w:r w:rsidR="00AE3852">
          <w:rPr>
            <w:noProof/>
            <w:webHidden/>
          </w:rPr>
          <w:t>6</w:t>
        </w:r>
        <w:r w:rsidR="006C0F6C">
          <w:rPr>
            <w:noProof/>
            <w:webHidden/>
          </w:rPr>
          <w:fldChar w:fldCharType="end"/>
        </w:r>
      </w:hyperlink>
    </w:p>
    <w:p w14:paraId="051FF2B1" w14:textId="0B50D549" w:rsidR="006C0F6C" w:rsidRDefault="00000000">
      <w:pPr>
        <w:pStyle w:val="TOC1"/>
        <w:tabs>
          <w:tab w:val="right" w:leader="dot" w:pos="9350"/>
        </w:tabs>
        <w:rPr>
          <w:rFonts w:eastAsiaTheme="minorEastAsia"/>
          <w:noProof/>
          <w:kern w:val="2"/>
          <w:sz w:val="24"/>
          <w:szCs w:val="24"/>
          <w14:ligatures w14:val="standardContextual"/>
        </w:rPr>
      </w:pPr>
      <w:hyperlink w:anchor="_Toc170896577" w:history="1">
        <w:r w:rsidR="006C0F6C" w:rsidRPr="008D4929">
          <w:rPr>
            <w:rStyle w:val="Hyperlink"/>
            <w:noProof/>
          </w:rPr>
          <w:t>Leadership and Governance</w:t>
        </w:r>
        <w:r w:rsidR="006C0F6C">
          <w:rPr>
            <w:noProof/>
            <w:webHidden/>
          </w:rPr>
          <w:tab/>
        </w:r>
        <w:r w:rsidR="006C0F6C">
          <w:rPr>
            <w:noProof/>
            <w:webHidden/>
          </w:rPr>
          <w:fldChar w:fldCharType="begin"/>
        </w:r>
        <w:r w:rsidR="006C0F6C">
          <w:rPr>
            <w:noProof/>
            <w:webHidden/>
          </w:rPr>
          <w:instrText xml:space="preserve"> PAGEREF _Toc170896577 \h </w:instrText>
        </w:r>
        <w:r w:rsidR="006C0F6C">
          <w:rPr>
            <w:noProof/>
            <w:webHidden/>
          </w:rPr>
        </w:r>
        <w:r w:rsidR="006C0F6C">
          <w:rPr>
            <w:noProof/>
            <w:webHidden/>
          </w:rPr>
          <w:fldChar w:fldCharType="separate"/>
        </w:r>
        <w:r w:rsidR="00AE3852">
          <w:rPr>
            <w:noProof/>
            <w:webHidden/>
          </w:rPr>
          <w:t>12</w:t>
        </w:r>
        <w:r w:rsidR="006C0F6C">
          <w:rPr>
            <w:noProof/>
            <w:webHidden/>
          </w:rPr>
          <w:fldChar w:fldCharType="end"/>
        </w:r>
      </w:hyperlink>
    </w:p>
    <w:p w14:paraId="35AE1D09" w14:textId="3FBEEAAA" w:rsidR="006C0F6C" w:rsidRDefault="00000000">
      <w:pPr>
        <w:pStyle w:val="TOC1"/>
        <w:tabs>
          <w:tab w:val="right" w:leader="dot" w:pos="9350"/>
        </w:tabs>
        <w:rPr>
          <w:rFonts w:eastAsiaTheme="minorEastAsia"/>
          <w:noProof/>
          <w:kern w:val="2"/>
          <w:sz w:val="24"/>
          <w:szCs w:val="24"/>
          <w14:ligatures w14:val="standardContextual"/>
        </w:rPr>
      </w:pPr>
      <w:hyperlink w:anchor="_Toc170896578" w:history="1">
        <w:r w:rsidR="006C0F6C" w:rsidRPr="008D4929">
          <w:rPr>
            <w:rStyle w:val="Hyperlink"/>
            <w:noProof/>
          </w:rPr>
          <w:t>Curriculum and Instruction</w:t>
        </w:r>
        <w:r w:rsidR="006C0F6C">
          <w:rPr>
            <w:noProof/>
            <w:webHidden/>
          </w:rPr>
          <w:tab/>
        </w:r>
        <w:r w:rsidR="006C0F6C">
          <w:rPr>
            <w:noProof/>
            <w:webHidden/>
          </w:rPr>
          <w:fldChar w:fldCharType="begin"/>
        </w:r>
        <w:r w:rsidR="006C0F6C">
          <w:rPr>
            <w:noProof/>
            <w:webHidden/>
          </w:rPr>
          <w:instrText xml:space="preserve"> PAGEREF _Toc170896578 \h </w:instrText>
        </w:r>
        <w:r w:rsidR="006C0F6C">
          <w:rPr>
            <w:noProof/>
            <w:webHidden/>
          </w:rPr>
        </w:r>
        <w:r w:rsidR="006C0F6C">
          <w:rPr>
            <w:noProof/>
            <w:webHidden/>
          </w:rPr>
          <w:fldChar w:fldCharType="separate"/>
        </w:r>
        <w:r w:rsidR="00AE3852">
          <w:rPr>
            <w:noProof/>
            <w:webHidden/>
          </w:rPr>
          <w:t>21</w:t>
        </w:r>
        <w:r w:rsidR="006C0F6C">
          <w:rPr>
            <w:noProof/>
            <w:webHidden/>
          </w:rPr>
          <w:fldChar w:fldCharType="end"/>
        </w:r>
      </w:hyperlink>
    </w:p>
    <w:p w14:paraId="739CA69A" w14:textId="7F3B174F" w:rsidR="006C0F6C" w:rsidRDefault="00000000">
      <w:pPr>
        <w:pStyle w:val="TOC1"/>
        <w:tabs>
          <w:tab w:val="right" w:leader="dot" w:pos="9350"/>
        </w:tabs>
        <w:rPr>
          <w:rFonts w:eastAsiaTheme="minorEastAsia"/>
          <w:noProof/>
          <w:kern w:val="2"/>
          <w:sz w:val="24"/>
          <w:szCs w:val="24"/>
          <w14:ligatures w14:val="standardContextual"/>
        </w:rPr>
      </w:pPr>
      <w:hyperlink w:anchor="_Toc170896579" w:history="1">
        <w:r w:rsidR="006C0F6C" w:rsidRPr="008D4929">
          <w:rPr>
            <w:rStyle w:val="Hyperlink"/>
            <w:noProof/>
          </w:rPr>
          <w:t>Assessment</w:t>
        </w:r>
        <w:r w:rsidR="006C0F6C">
          <w:rPr>
            <w:noProof/>
            <w:webHidden/>
          </w:rPr>
          <w:tab/>
        </w:r>
        <w:r w:rsidR="006C0F6C">
          <w:rPr>
            <w:noProof/>
            <w:webHidden/>
          </w:rPr>
          <w:fldChar w:fldCharType="begin"/>
        </w:r>
        <w:r w:rsidR="006C0F6C">
          <w:rPr>
            <w:noProof/>
            <w:webHidden/>
          </w:rPr>
          <w:instrText xml:space="preserve"> PAGEREF _Toc170896579 \h </w:instrText>
        </w:r>
        <w:r w:rsidR="006C0F6C">
          <w:rPr>
            <w:noProof/>
            <w:webHidden/>
          </w:rPr>
        </w:r>
        <w:r w:rsidR="006C0F6C">
          <w:rPr>
            <w:noProof/>
            <w:webHidden/>
          </w:rPr>
          <w:fldChar w:fldCharType="separate"/>
        </w:r>
        <w:r w:rsidR="00AE3852">
          <w:rPr>
            <w:noProof/>
            <w:webHidden/>
          </w:rPr>
          <w:t>27</w:t>
        </w:r>
        <w:r w:rsidR="006C0F6C">
          <w:rPr>
            <w:noProof/>
            <w:webHidden/>
          </w:rPr>
          <w:fldChar w:fldCharType="end"/>
        </w:r>
      </w:hyperlink>
    </w:p>
    <w:p w14:paraId="5BB054F5" w14:textId="7B9F2C0D" w:rsidR="006C0F6C" w:rsidRDefault="00000000">
      <w:pPr>
        <w:pStyle w:val="TOC1"/>
        <w:tabs>
          <w:tab w:val="right" w:leader="dot" w:pos="9350"/>
        </w:tabs>
        <w:rPr>
          <w:rFonts w:eastAsiaTheme="minorEastAsia"/>
          <w:noProof/>
          <w:kern w:val="2"/>
          <w:sz w:val="24"/>
          <w:szCs w:val="24"/>
          <w14:ligatures w14:val="standardContextual"/>
        </w:rPr>
      </w:pPr>
      <w:hyperlink w:anchor="_Toc170896580" w:history="1">
        <w:r w:rsidR="006C0F6C" w:rsidRPr="008D4929">
          <w:rPr>
            <w:rStyle w:val="Hyperlink"/>
            <w:noProof/>
          </w:rPr>
          <w:t>Human Resources and Professional Development</w:t>
        </w:r>
        <w:r w:rsidR="006C0F6C">
          <w:rPr>
            <w:noProof/>
            <w:webHidden/>
          </w:rPr>
          <w:tab/>
        </w:r>
        <w:r w:rsidR="006C0F6C">
          <w:rPr>
            <w:noProof/>
            <w:webHidden/>
          </w:rPr>
          <w:fldChar w:fldCharType="begin"/>
        </w:r>
        <w:r w:rsidR="006C0F6C">
          <w:rPr>
            <w:noProof/>
            <w:webHidden/>
          </w:rPr>
          <w:instrText xml:space="preserve"> PAGEREF _Toc170896580 \h </w:instrText>
        </w:r>
        <w:r w:rsidR="006C0F6C">
          <w:rPr>
            <w:noProof/>
            <w:webHidden/>
          </w:rPr>
        </w:r>
        <w:r w:rsidR="006C0F6C">
          <w:rPr>
            <w:noProof/>
            <w:webHidden/>
          </w:rPr>
          <w:fldChar w:fldCharType="separate"/>
        </w:r>
        <w:r w:rsidR="00AE3852">
          <w:rPr>
            <w:noProof/>
            <w:webHidden/>
          </w:rPr>
          <w:t>31</w:t>
        </w:r>
        <w:r w:rsidR="006C0F6C">
          <w:rPr>
            <w:noProof/>
            <w:webHidden/>
          </w:rPr>
          <w:fldChar w:fldCharType="end"/>
        </w:r>
      </w:hyperlink>
    </w:p>
    <w:p w14:paraId="16B83451" w14:textId="10AFA872" w:rsidR="006C0F6C" w:rsidRDefault="00000000">
      <w:pPr>
        <w:pStyle w:val="TOC1"/>
        <w:tabs>
          <w:tab w:val="right" w:leader="dot" w:pos="9350"/>
        </w:tabs>
        <w:rPr>
          <w:rFonts w:eastAsiaTheme="minorEastAsia"/>
          <w:noProof/>
          <w:kern w:val="2"/>
          <w:sz w:val="24"/>
          <w:szCs w:val="24"/>
          <w14:ligatures w14:val="standardContextual"/>
        </w:rPr>
      </w:pPr>
      <w:hyperlink w:anchor="_Toc170896581" w:history="1">
        <w:r w:rsidR="006C0F6C" w:rsidRPr="008D4929">
          <w:rPr>
            <w:rStyle w:val="Hyperlink"/>
            <w:noProof/>
          </w:rPr>
          <w:t>Student Support</w:t>
        </w:r>
        <w:r w:rsidR="006C0F6C">
          <w:rPr>
            <w:noProof/>
            <w:webHidden/>
          </w:rPr>
          <w:tab/>
        </w:r>
        <w:r w:rsidR="006C0F6C">
          <w:rPr>
            <w:noProof/>
            <w:webHidden/>
          </w:rPr>
          <w:fldChar w:fldCharType="begin"/>
        </w:r>
        <w:r w:rsidR="006C0F6C">
          <w:rPr>
            <w:noProof/>
            <w:webHidden/>
          </w:rPr>
          <w:instrText xml:space="preserve"> PAGEREF _Toc170896581 \h </w:instrText>
        </w:r>
        <w:r w:rsidR="006C0F6C">
          <w:rPr>
            <w:noProof/>
            <w:webHidden/>
          </w:rPr>
        </w:r>
        <w:r w:rsidR="006C0F6C">
          <w:rPr>
            <w:noProof/>
            <w:webHidden/>
          </w:rPr>
          <w:fldChar w:fldCharType="separate"/>
        </w:r>
        <w:r w:rsidR="00AE3852">
          <w:rPr>
            <w:noProof/>
            <w:webHidden/>
          </w:rPr>
          <w:t>40</w:t>
        </w:r>
        <w:r w:rsidR="006C0F6C">
          <w:rPr>
            <w:noProof/>
            <w:webHidden/>
          </w:rPr>
          <w:fldChar w:fldCharType="end"/>
        </w:r>
      </w:hyperlink>
    </w:p>
    <w:p w14:paraId="33BBBDD3" w14:textId="4D77F0EB" w:rsidR="006C0F6C" w:rsidRDefault="00000000">
      <w:pPr>
        <w:pStyle w:val="TOC1"/>
        <w:tabs>
          <w:tab w:val="right" w:leader="dot" w:pos="9350"/>
        </w:tabs>
        <w:rPr>
          <w:rFonts w:eastAsiaTheme="minorEastAsia"/>
          <w:noProof/>
          <w:kern w:val="2"/>
          <w:sz w:val="24"/>
          <w:szCs w:val="24"/>
          <w14:ligatures w14:val="standardContextual"/>
        </w:rPr>
      </w:pPr>
      <w:hyperlink w:anchor="_Toc170896582" w:history="1">
        <w:r w:rsidR="006C0F6C" w:rsidRPr="008D4929">
          <w:rPr>
            <w:rStyle w:val="Hyperlink"/>
            <w:noProof/>
          </w:rPr>
          <w:t>Financial and Asset Management</w:t>
        </w:r>
        <w:r w:rsidR="006C0F6C">
          <w:rPr>
            <w:noProof/>
            <w:webHidden/>
          </w:rPr>
          <w:tab/>
        </w:r>
        <w:r w:rsidR="006C0F6C">
          <w:rPr>
            <w:noProof/>
            <w:webHidden/>
          </w:rPr>
          <w:fldChar w:fldCharType="begin"/>
        </w:r>
        <w:r w:rsidR="006C0F6C">
          <w:rPr>
            <w:noProof/>
            <w:webHidden/>
          </w:rPr>
          <w:instrText xml:space="preserve"> PAGEREF _Toc170896582 \h </w:instrText>
        </w:r>
        <w:r w:rsidR="006C0F6C">
          <w:rPr>
            <w:noProof/>
            <w:webHidden/>
          </w:rPr>
        </w:r>
        <w:r w:rsidR="006C0F6C">
          <w:rPr>
            <w:noProof/>
            <w:webHidden/>
          </w:rPr>
          <w:fldChar w:fldCharType="separate"/>
        </w:r>
        <w:r w:rsidR="00AE3852">
          <w:rPr>
            <w:noProof/>
            <w:webHidden/>
          </w:rPr>
          <w:t>45</w:t>
        </w:r>
        <w:r w:rsidR="006C0F6C">
          <w:rPr>
            <w:noProof/>
            <w:webHidden/>
          </w:rPr>
          <w:fldChar w:fldCharType="end"/>
        </w:r>
      </w:hyperlink>
    </w:p>
    <w:p w14:paraId="446E1C8C" w14:textId="005A7695" w:rsidR="006C0F6C" w:rsidRDefault="00000000">
      <w:pPr>
        <w:pStyle w:val="TOC1"/>
        <w:tabs>
          <w:tab w:val="right" w:leader="dot" w:pos="9350"/>
        </w:tabs>
        <w:rPr>
          <w:rFonts w:eastAsiaTheme="minorEastAsia"/>
          <w:noProof/>
          <w:kern w:val="2"/>
          <w:sz w:val="24"/>
          <w:szCs w:val="24"/>
          <w14:ligatures w14:val="standardContextual"/>
        </w:rPr>
      </w:pPr>
      <w:hyperlink w:anchor="_Toc170896583" w:history="1">
        <w:r w:rsidR="006C0F6C" w:rsidRPr="008D4929">
          <w:rPr>
            <w:rStyle w:val="Hyperlink"/>
            <w:noProof/>
          </w:rPr>
          <w:t>Appendix A. Summary of Site Visit Activities</w:t>
        </w:r>
        <w:r w:rsidR="006C0F6C">
          <w:rPr>
            <w:noProof/>
            <w:webHidden/>
          </w:rPr>
          <w:tab/>
          <w:t>A-</w:t>
        </w:r>
        <w:r w:rsidR="006C0F6C">
          <w:rPr>
            <w:noProof/>
            <w:webHidden/>
          </w:rPr>
          <w:fldChar w:fldCharType="begin"/>
        </w:r>
        <w:r w:rsidR="006C0F6C">
          <w:rPr>
            <w:noProof/>
            <w:webHidden/>
          </w:rPr>
          <w:instrText xml:space="preserve"> PAGEREF _Toc170896583 \h </w:instrText>
        </w:r>
        <w:r w:rsidR="006C0F6C">
          <w:rPr>
            <w:noProof/>
            <w:webHidden/>
          </w:rPr>
        </w:r>
        <w:r w:rsidR="006C0F6C">
          <w:rPr>
            <w:noProof/>
            <w:webHidden/>
          </w:rPr>
          <w:fldChar w:fldCharType="separate"/>
        </w:r>
        <w:r w:rsidR="00AE3852">
          <w:rPr>
            <w:noProof/>
            <w:webHidden/>
          </w:rPr>
          <w:t>1</w:t>
        </w:r>
        <w:r w:rsidR="006C0F6C">
          <w:rPr>
            <w:noProof/>
            <w:webHidden/>
          </w:rPr>
          <w:fldChar w:fldCharType="end"/>
        </w:r>
      </w:hyperlink>
    </w:p>
    <w:p w14:paraId="4F49F8FB" w14:textId="0F4264F0" w:rsidR="006C0F6C" w:rsidRDefault="00000000">
      <w:pPr>
        <w:pStyle w:val="TOC1"/>
        <w:tabs>
          <w:tab w:val="right" w:leader="dot" w:pos="9350"/>
        </w:tabs>
        <w:rPr>
          <w:rFonts w:eastAsiaTheme="minorEastAsia"/>
          <w:noProof/>
          <w:kern w:val="2"/>
          <w:sz w:val="24"/>
          <w:szCs w:val="24"/>
          <w14:ligatures w14:val="standardContextual"/>
        </w:rPr>
      </w:pPr>
      <w:hyperlink w:anchor="_Toc170896584" w:history="1">
        <w:r w:rsidR="006C0F6C" w:rsidRPr="008D4929">
          <w:rPr>
            <w:rStyle w:val="Hyperlink"/>
            <w:noProof/>
          </w:rPr>
          <w:t>Appendix B. Districtwide Instructional Observation Report</w:t>
        </w:r>
        <w:r w:rsidR="006C0F6C">
          <w:rPr>
            <w:noProof/>
            <w:webHidden/>
          </w:rPr>
          <w:tab/>
          <w:t>B-</w:t>
        </w:r>
        <w:r w:rsidR="006C0F6C">
          <w:rPr>
            <w:noProof/>
            <w:webHidden/>
          </w:rPr>
          <w:fldChar w:fldCharType="begin"/>
        </w:r>
        <w:r w:rsidR="006C0F6C">
          <w:rPr>
            <w:noProof/>
            <w:webHidden/>
          </w:rPr>
          <w:instrText xml:space="preserve"> PAGEREF _Toc170896584 \h </w:instrText>
        </w:r>
        <w:r w:rsidR="006C0F6C">
          <w:rPr>
            <w:noProof/>
            <w:webHidden/>
          </w:rPr>
        </w:r>
        <w:r w:rsidR="006C0F6C">
          <w:rPr>
            <w:noProof/>
            <w:webHidden/>
          </w:rPr>
          <w:fldChar w:fldCharType="separate"/>
        </w:r>
        <w:r w:rsidR="00AE3852">
          <w:rPr>
            <w:noProof/>
            <w:webHidden/>
          </w:rPr>
          <w:t>1</w:t>
        </w:r>
        <w:r w:rsidR="006C0F6C">
          <w:rPr>
            <w:noProof/>
            <w:webHidden/>
          </w:rPr>
          <w:fldChar w:fldCharType="end"/>
        </w:r>
      </w:hyperlink>
    </w:p>
    <w:p w14:paraId="63E19205" w14:textId="6B954376" w:rsidR="006C0F6C" w:rsidRDefault="00000000">
      <w:pPr>
        <w:pStyle w:val="TOC1"/>
        <w:tabs>
          <w:tab w:val="right" w:leader="dot" w:pos="9350"/>
        </w:tabs>
        <w:rPr>
          <w:rFonts w:eastAsiaTheme="minorEastAsia"/>
          <w:noProof/>
          <w:kern w:val="2"/>
          <w:sz w:val="24"/>
          <w:szCs w:val="24"/>
          <w14:ligatures w14:val="standardContextual"/>
        </w:rPr>
      </w:pPr>
      <w:hyperlink w:anchor="_Toc170896585" w:history="1">
        <w:r w:rsidR="006C0F6C" w:rsidRPr="008D4929">
          <w:rPr>
            <w:rStyle w:val="Hyperlink"/>
            <w:noProof/>
          </w:rPr>
          <w:t>Appendix C. Resources to Support Implementation of DESE’s District Standards and Indicators</w:t>
        </w:r>
        <w:r w:rsidR="006C0F6C">
          <w:rPr>
            <w:noProof/>
            <w:webHidden/>
          </w:rPr>
          <w:tab/>
          <w:t>C-</w:t>
        </w:r>
        <w:r w:rsidR="006C0F6C">
          <w:rPr>
            <w:noProof/>
            <w:webHidden/>
          </w:rPr>
          <w:fldChar w:fldCharType="begin"/>
        </w:r>
        <w:r w:rsidR="006C0F6C">
          <w:rPr>
            <w:noProof/>
            <w:webHidden/>
          </w:rPr>
          <w:instrText xml:space="preserve"> PAGEREF _Toc170896585 \h </w:instrText>
        </w:r>
        <w:r w:rsidR="006C0F6C">
          <w:rPr>
            <w:noProof/>
            <w:webHidden/>
          </w:rPr>
        </w:r>
        <w:r w:rsidR="006C0F6C">
          <w:rPr>
            <w:noProof/>
            <w:webHidden/>
          </w:rPr>
          <w:fldChar w:fldCharType="separate"/>
        </w:r>
        <w:r w:rsidR="00AE3852">
          <w:rPr>
            <w:noProof/>
            <w:webHidden/>
          </w:rPr>
          <w:t>1</w:t>
        </w:r>
        <w:r w:rsidR="006C0F6C">
          <w:rPr>
            <w:noProof/>
            <w:webHidden/>
          </w:rPr>
          <w:fldChar w:fldCharType="end"/>
        </w:r>
      </w:hyperlink>
    </w:p>
    <w:p w14:paraId="5FABA5AD" w14:textId="27B88466" w:rsidR="006C0F6C" w:rsidRDefault="00000000">
      <w:pPr>
        <w:pStyle w:val="TOC1"/>
        <w:tabs>
          <w:tab w:val="right" w:leader="dot" w:pos="9350"/>
        </w:tabs>
        <w:rPr>
          <w:rFonts w:eastAsiaTheme="minorEastAsia"/>
          <w:noProof/>
          <w:kern w:val="2"/>
          <w:sz w:val="24"/>
          <w:szCs w:val="24"/>
          <w14:ligatures w14:val="standardContextual"/>
        </w:rPr>
      </w:pPr>
      <w:hyperlink w:anchor="_Toc170896586" w:history="1">
        <w:r w:rsidR="006C0F6C" w:rsidRPr="008D4929">
          <w:rPr>
            <w:rStyle w:val="Hyperlink"/>
            <w:noProof/>
          </w:rPr>
          <w:t>Appendix D. Enrollment, Attendance, and Expenditures</w:t>
        </w:r>
        <w:r w:rsidR="006C0F6C">
          <w:rPr>
            <w:noProof/>
            <w:webHidden/>
          </w:rPr>
          <w:tab/>
          <w:t>D-</w:t>
        </w:r>
        <w:r w:rsidR="006C0F6C">
          <w:rPr>
            <w:noProof/>
            <w:webHidden/>
          </w:rPr>
          <w:fldChar w:fldCharType="begin"/>
        </w:r>
        <w:r w:rsidR="006C0F6C">
          <w:rPr>
            <w:noProof/>
            <w:webHidden/>
          </w:rPr>
          <w:instrText xml:space="preserve"> PAGEREF _Toc170896586 \h </w:instrText>
        </w:r>
        <w:r w:rsidR="006C0F6C">
          <w:rPr>
            <w:noProof/>
            <w:webHidden/>
          </w:rPr>
        </w:r>
        <w:r w:rsidR="006C0F6C">
          <w:rPr>
            <w:noProof/>
            <w:webHidden/>
          </w:rPr>
          <w:fldChar w:fldCharType="separate"/>
        </w:r>
        <w:r w:rsidR="00AE3852">
          <w:rPr>
            <w:noProof/>
            <w:webHidden/>
          </w:rPr>
          <w:t>1</w:t>
        </w:r>
        <w:r w:rsidR="006C0F6C">
          <w:rPr>
            <w:noProof/>
            <w:webHidden/>
          </w:rPr>
          <w:fldChar w:fldCharType="end"/>
        </w:r>
      </w:hyperlink>
    </w:p>
    <w:p w14:paraId="56FFD236" w14:textId="39A5CAE8" w:rsidR="006C0F6C" w:rsidRDefault="00000000">
      <w:pPr>
        <w:pStyle w:val="TOC1"/>
        <w:tabs>
          <w:tab w:val="right" w:leader="dot" w:pos="9350"/>
        </w:tabs>
        <w:rPr>
          <w:rFonts w:eastAsiaTheme="minorEastAsia"/>
          <w:noProof/>
          <w:kern w:val="2"/>
          <w:sz w:val="24"/>
          <w:szCs w:val="24"/>
          <w14:ligatures w14:val="standardContextual"/>
        </w:rPr>
      </w:pPr>
      <w:hyperlink w:anchor="_Toc170896587" w:history="1">
        <w:r w:rsidR="006C0F6C" w:rsidRPr="008D4929">
          <w:rPr>
            <w:rStyle w:val="Hyperlink"/>
            <w:noProof/>
          </w:rPr>
          <w:t>Appendix E. Student Performance Data</w:t>
        </w:r>
        <w:r w:rsidR="006C0F6C">
          <w:rPr>
            <w:noProof/>
            <w:webHidden/>
          </w:rPr>
          <w:tab/>
          <w:t>E-</w:t>
        </w:r>
        <w:r w:rsidR="006C0F6C">
          <w:rPr>
            <w:noProof/>
            <w:webHidden/>
          </w:rPr>
          <w:fldChar w:fldCharType="begin"/>
        </w:r>
        <w:r w:rsidR="006C0F6C">
          <w:rPr>
            <w:noProof/>
            <w:webHidden/>
          </w:rPr>
          <w:instrText xml:space="preserve"> PAGEREF _Toc170896587 \h </w:instrText>
        </w:r>
        <w:r w:rsidR="006C0F6C">
          <w:rPr>
            <w:noProof/>
            <w:webHidden/>
          </w:rPr>
        </w:r>
        <w:r w:rsidR="006C0F6C">
          <w:rPr>
            <w:noProof/>
            <w:webHidden/>
          </w:rPr>
          <w:fldChar w:fldCharType="separate"/>
        </w:r>
        <w:r w:rsidR="00AE3852">
          <w:rPr>
            <w:noProof/>
            <w:webHidden/>
          </w:rPr>
          <w:t>1</w:t>
        </w:r>
        <w:r w:rsidR="006C0F6C">
          <w:rPr>
            <w:noProof/>
            <w:webHidden/>
          </w:rPr>
          <w:fldChar w:fldCharType="end"/>
        </w:r>
      </w:hyperlink>
    </w:p>
    <w:p w14:paraId="6BA6D8CC" w14:textId="0F191382" w:rsidR="002E7525" w:rsidRPr="00A06F1E"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A06F1E">
        <w:rPr>
          <w:sz w:val="20"/>
          <w:szCs w:val="20"/>
        </w:rPr>
        <w:fldChar w:fldCharType="end"/>
      </w:r>
    </w:p>
    <w:p w14:paraId="4CD42A87" w14:textId="77777777" w:rsidR="002E7525" w:rsidRPr="00A06F1E"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A06F1E"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A06F1E">
        <w:rPr>
          <w:sz w:val="20"/>
          <w:szCs w:val="20"/>
        </w:rPr>
        <w:br w:type="page"/>
      </w:r>
    </w:p>
    <w:p w14:paraId="58733E23" w14:textId="0988C18C" w:rsidR="008E314D" w:rsidRPr="00A06F1E" w:rsidRDefault="002A28B1" w:rsidP="0066116F">
      <w:pPr>
        <w:tabs>
          <w:tab w:val="right" w:pos="9360"/>
        </w:tabs>
      </w:pPr>
      <w:r w:rsidRPr="00A06F1E">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A06F1E">
        <w:t xml:space="preserve"> </w:t>
      </w:r>
      <w:r w:rsidR="0066116F" w:rsidRPr="00A06F1E">
        <w:tab/>
      </w:r>
      <w:r w:rsidR="00457876" w:rsidRPr="00A06F1E">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Pr="00A06F1E"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40A60BCA" w:rsidR="008E314D" w:rsidRPr="00A06F1E" w:rsidRDefault="008E314D" w:rsidP="0066116F">
      <w:pPr>
        <w:pStyle w:val="BodyText"/>
        <w:jc w:val="center"/>
      </w:pPr>
      <w:r w:rsidRPr="00A06F1E">
        <w:t xml:space="preserve">This document was prepared by the </w:t>
      </w:r>
      <w:r w:rsidR="00740294" w:rsidRPr="00A06F1E">
        <w:t xml:space="preserve">American Institutes for Research, </w:t>
      </w:r>
      <w:r w:rsidR="001B4127" w:rsidRPr="00A06F1E">
        <w:t xml:space="preserve">in </w:t>
      </w:r>
      <w:r w:rsidR="00181912" w:rsidRPr="00A06F1E">
        <w:t xml:space="preserve">collaboration </w:t>
      </w:r>
      <w:r w:rsidR="001B4127" w:rsidRPr="00A06F1E">
        <w:t>with the</w:t>
      </w:r>
      <w:r w:rsidRPr="00A06F1E">
        <w:br/>
        <w:t>Massachusetts Department of Elementary and Secondary Education</w:t>
      </w:r>
      <w:r w:rsidR="009C2A4F" w:rsidRPr="00A06F1E">
        <w:t>.</w:t>
      </w:r>
    </w:p>
    <w:p w14:paraId="07584CCA" w14:textId="77777777" w:rsidR="009A469D" w:rsidRPr="00A06F1E"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5A5426A9" w14:textId="77777777" w:rsidR="006C1DC9" w:rsidRPr="00A06F1E" w:rsidRDefault="04D86CC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A06F1E">
        <w:t>Russell D. Johnston</w:t>
      </w:r>
    </w:p>
    <w:p w14:paraId="5F95BE93" w14:textId="7B8C8EED" w:rsidR="008E314D" w:rsidRPr="00A06F1E" w:rsidRDefault="637F277E" w:rsidP="00177F96">
      <w:pPr>
        <w:tabs>
          <w:tab w:val="left" w:pos="360"/>
          <w:tab w:val="left" w:pos="720"/>
          <w:tab w:val="left" w:pos="1080"/>
          <w:tab w:val="left" w:pos="1440"/>
          <w:tab w:val="left" w:pos="1800"/>
          <w:tab w:val="left" w:pos="2160"/>
          <w:tab w:val="left" w:pos="2520"/>
          <w:tab w:val="left" w:pos="2880"/>
        </w:tabs>
        <w:spacing w:line="240" w:lineRule="auto"/>
        <w:jc w:val="center"/>
      </w:pPr>
      <w:r w:rsidRPr="00A06F1E">
        <w:t xml:space="preserve">Acting </w:t>
      </w:r>
      <w:r w:rsidR="008E314D" w:rsidRPr="00A06F1E">
        <w:t>Commissioner</w:t>
      </w:r>
    </w:p>
    <w:p w14:paraId="26B707AB" w14:textId="68FE2BED" w:rsidR="001E776B" w:rsidRPr="004F36D3"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4F36D3">
        <w:rPr>
          <w:rStyle w:val="bold"/>
        </w:rPr>
        <w:t xml:space="preserve">Published </w:t>
      </w:r>
      <w:r w:rsidR="00222A4F">
        <w:rPr>
          <w:rStyle w:val="bold"/>
        </w:rPr>
        <w:t>September</w:t>
      </w:r>
      <w:r w:rsidR="00442A37" w:rsidRPr="004F36D3">
        <w:rPr>
          <w:rStyle w:val="bold"/>
        </w:rPr>
        <w:t xml:space="preserve"> </w:t>
      </w:r>
      <w:r w:rsidR="000538C4" w:rsidRPr="004F36D3">
        <w:rPr>
          <w:rStyle w:val="bold"/>
        </w:rPr>
        <w:t>20</w:t>
      </w:r>
      <w:r w:rsidR="00553FA3" w:rsidRPr="004F36D3">
        <w:rPr>
          <w:rStyle w:val="bold"/>
        </w:rPr>
        <w:t>24</w:t>
      </w:r>
    </w:p>
    <w:p w14:paraId="25585579" w14:textId="77777777" w:rsidR="0066787A" w:rsidRPr="00A06F1E"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6FB6ADAB" w:rsidR="008E314D" w:rsidRPr="00A06F1E" w:rsidRDefault="008E314D" w:rsidP="0066116F">
      <w:pPr>
        <w:pStyle w:val="BodyText"/>
        <w:jc w:val="center"/>
      </w:pPr>
      <w:r w:rsidRPr="00A06F1E">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w:t>
      </w:r>
      <w:r w:rsidR="00040362" w:rsidRPr="00A06F1E">
        <w:t>’</w:t>
      </w:r>
      <w:r w:rsidRPr="00A06F1E">
        <w:t xml:space="preserve">s compliance with Title IX and other civil rights laws may be directed to the Human Resources Director, </w:t>
      </w:r>
      <w:r w:rsidR="004C1845" w:rsidRPr="00A06F1E">
        <w:rPr>
          <w:snapToGrid w:val="0"/>
        </w:rPr>
        <w:t>135 Santilli Highway</w:t>
      </w:r>
      <w:r w:rsidRPr="00A06F1E">
        <w:t xml:space="preserve">, </w:t>
      </w:r>
      <w:r w:rsidR="004C1845" w:rsidRPr="00A06F1E">
        <w:t>Everett</w:t>
      </w:r>
      <w:r w:rsidRPr="00A06F1E">
        <w:t>, MA 0214</w:t>
      </w:r>
      <w:r w:rsidR="004C1845" w:rsidRPr="00A06F1E">
        <w:t>9</w:t>
      </w:r>
      <w:r w:rsidRPr="00A06F1E">
        <w:t>. Phone: 781-338-6105.</w:t>
      </w:r>
    </w:p>
    <w:p w14:paraId="4361469B" w14:textId="2DA6EAF9" w:rsidR="001166A5" w:rsidRPr="00A06F1E" w:rsidRDefault="001166A5" w:rsidP="0066116F">
      <w:pPr>
        <w:pStyle w:val="BodyTextposthead"/>
        <w:jc w:val="center"/>
      </w:pPr>
      <w:r w:rsidRPr="00A06F1E">
        <w:t>© 202</w:t>
      </w:r>
      <w:r w:rsidR="004C1845" w:rsidRPr="00A06F1E">
        <w:t>4</w:t>
      </w:r>
      <w:r w:rsidRPr="00A06F1E">
        <w:t xml:space="preserve"> Massachusetts Department of Elementary and Secondary Education</w:t>
      </w:r>
    </w:p>
    <w:p w14:paraId="05DE9136" w14:textId="5CE5BAAE" w:rsidR="001166A5" w:rsidRPr="00A06F1E" w:rsidRDefault="001166A5" w:rsidP="0066116F">
      <w:pPr>
        <w:pStyle w:val="BodyTextposthead"/>
        <w:jc w:val="center"/>
        <w:rPr>
          <w:i/>
          <w:iCs/>
          <w:spacing w:val="-4"/>
        </w:rPr>
      </w:pPr>
      <w:r w:rsidRPr="00A06F1E">
        <w:rPr>
          <w:i/>
          <w:iCs/>
          <w:spacing w:val="-4"/>
        </w:rPr>
        <w:t xml:space="preserve">Permission is hereby granted to copy any or all parts of this document for non-commercial educational purposes. Please credit the </w:t>
      </w:r>
      <w:r w:rsidR="00040362" w:rsidRPr="00A06F1E">
        <w:rPr>
          <w:i/>
          <w:iCs/>
          <w:spacing w:val="-4"/>
        </w:rPr>
        <w:t>“</w:t>
      </w:r>
      <w:r w:rsidRPr="00A06F1E">
        <w:rPr>
          <w:i/>
          <w:iCs/>
          <w:spacing w:val="-4"/>
        </w:rPr>
        <w:t>Massachusetts Department of Elementary and Secondary Education.</w:t>
      </w:r>
      <w:r w:rsidR="00040362" w:rsidRPr="00A06F1E">
        <w:rPr>
          <w:i/>
          <w:iCs/>
          <w:spacing w:val="-4"/>
        </w:rPr>
        <w:t>”</w:t>
      </w:r>
    </w:p>
    <w:p w14:paraId="4675837B" w14:textId="5D98951F" w:rsidR="001166A5" w:rsidRPr="00A06F1E" w:rsidRDefault="001166A5" w:rsidP="0066116F">
      <w:pPr>
        <w:pStyle w:val="BodyTextposthead"/>
        <w:jc w:val="center"/>
      </w:pPr>
      <w:r w:rsidRPr="00A06F1E">
        <w:t>This document printed on recycled paper</w:t>
      </w:r>
      <w:r w:rsidR="00D84CF0" w:rsidRPr="00A06F1E">
        <w:t>.</w:t>
      </w:r>
    </w:p>
    <w:p w14:paraId="33BF0CF8" w14:textId="77777777" w:rsidR="001166A5" w:rsidRPr="00A06F1E"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Pr="00A06F1E"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Pr="00A06F1E"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Pr="00A06F1E"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Pr="00A06F1E"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Pr="00A06F1E"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Pr="00A06F1E"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Pr="00A06F1E"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A06F1E"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A06F1E">
        <w:t>Massachusetts Department of Elementary and Secondary Education</w:t>
      </w:r>
    </w:p>
    <w:p w14:paraId="4D1D0F8C" w14:textId="7565DB17" w:rsidR="008E314D" w:rsidRPr="00A06F1E"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A06F1E">
        <w:rPr>
          <w:snapToGrid w:val="0"/>
        </w:rPr>
        <w:t>135 Santilli Highway</w:t>
      </w:r>
      <w:r w:rsidR="008E314D" w:rsidRPr="00A06F1E">
        <w:t xml:space="preserve">, </w:t>
      </w:r>
      <w:r w:rsidRPr="00A06F1E">
        <w:t>Everett</w:t>
      </w:r>
      <w:r w:rsidR="00F90188" w:rsidRPr="00A06F1E">
        <w:t>,</w:t>
      </w:r>
      <w:r w:rsidRPr="00A06F1E">
        <w:t xml:space="preserve"> </w:t>
      </w:r>
      <w:r w:rsidR="008E314D" w:rsidRPr="00A06F1E">
        <w:t>MA 0214</w:t>
      </w:r>
      <w:r w:rsidRPr="00A06F1E">
        <w:t>9</w:t>
      </w:r>
    </w:p>
    <w:p w14:paraId="6EEA3F3B" w14:textId="0B264AC8" w:rsidR="008E314D" w:rsidRPr="00A06F1E"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A06F1E">
        <w:t>Phone</w:t>
      </w:r>
      <w:r w:rsidR="00D84CF0" w:rsidRPr="00A06F1E">
        <w:t>:</w:t>
      </w:r>
      <w:r w:rsidRPr="00A06F1E">
        <w:t xml:space="preserve"> 781-338-3000</w:t>
      </w:r>
      <w:r w:rsidRPr="00A06F1E">
        <w:tab/>
        <w:t>TTY: N.E.T. Relay 800-439-2370</w:t>
      </w:r>
    </w:p>
    <w:p w14:paraId="2B889E51" w14:textId="77777777" w:rsidR="008E314D" w:rsidRPr="00A06F1E" w:rsidRDefault="00000000"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008E314D" w:rsidRPr="00A06F1E">
          <w:rPr>
            <w:rStyle w:val="Hyperlink"/>
          </w:rPr>
          <w:t>ww</w:t>
        </w:r>
        <w:r w:rsidR="008E314D" w:rsidRPr="00A06F1E">
          <w:rPr>
            <w:rStyle w:val="Hyperlink"/>
            <w:color w:val="0563C1"/>
          </w:rPr>
          <w:t>w.doe.m</w:t>
        </w:r>
        <w:r w:rsidR="008E314D" w:rsidRPr="00A06F1E">
          <w:rPr>
            <w:rStyle w:val="Hyperlink"/>
          </w:rPr>
          <w:t>ass.edu</w:t>
        </w:r>
      </w:hyperlink>
    </w:p>
    <w:p w14:paraId="332E41D9" w14:textId="77777777" w:rsidR="008E314D" w:rsidRPr="00A06F1E"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A06F1E"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A06F1E"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A06F1E" w:rsidSect="00D67AD2">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77777777" w:rsidR="008D6102" w:rsidRPr="00A06F1E" w:rsidRDefault="008D6102" w:rsidP="008D6102">
      <w:pPr>
        <w:pStyle w:val="Heading2"/>
      </w:pPr>
      <w:bookmarkStart w:id="2" w:name="_Toc101446225"/>
      <w:bookmarkStart w:id="3" w:name="_Toc170701352"/>
      <w:bookmarkStart w:id="4" w:name="_Toc170896575"/>
      <w:bookmarkStart w:id="5" w:name="_Toc350870260"/>
      <w:bookmarkStart w:id="6" w:name="_Toc273777167"/>
      <w:bookmarkStart w:id="7" w:name="_Toc277066425"/>
      <w:bookmarkStart w:id="8" w:name="_Toc337817149"/>
      <w:bookmarkStart w:id="9" w:name="_Toc101878649"/>
      <w:r w:rsidRPr="00A06F1E">
        <w:lastRenderedPageBreak/>
        <w:t>Executive Summary</w:t>
      </w:r>
      <w:bookmarkEnd w:id="2"/>
      <w:bookmarkEnd w:id="3"/>
      <w:bookmarkEnd w:id="4"/>
    </w:p>
    <w:p w14:paraId="38882FEA" w14:textId="10DAD092" w:rsidR="008672D4" w:rsidRPr="00A06F1E" w:rsidRDefault="000B1DD2" w:rsidP="00553FA3">
      <w:pPr>
        <w:pStyle w:val="BodyText"/>
      </w:pPr>
      <w:bookmarkStart w:id="10" w:name="_Hlk40937737"/>
      <w:bookmarkStart w:id="11" w:name="_Toc104552856"/>
      <w:bookmarkEnd w:id="5"/>
      <w:r w:rsidRPr="00A06F1E">
        <w:t xml:space="preserve">In accordance with Massachusetts state law, the Massachusetts Department of Elementary and Secondary Education (DESE) contracted with </w:t>
      </w:r>
      <w:r w:rsidR="0054101D" w:rsidRPr="00A06F1E">
        <w:t xml:space="preserve">the </w:t>
      </w:r>
      <w:r w:rsidRPr="00A06F1E">
        <w:t>American Institutes for Research</w:t>
      </w:r>
      <w:r w:rsidR="0054101D" w:rsidRPr="00A06F1E">
        <w:rPr>
          <w:rFonts w:ascii="Franklin Gothic Book" w:hAnsi="Franklin Gothic Book" w:cs="Calibri"/>
          <w:vertAlign w:val="superscript"/>
        </w:rPr>
        <w:t>®</w:t>
      </w:r>
      <w:r w:rsidRPr="00A06F1E">
        <w:t xml:space="preserve"> (AIR</w:t>
      </w:r>
      <w:r w:rsidR="0054101D" w:rsidRPr="00A06F1E">
        <w:rPr>
          <w:rFonts w:ascii="Franklin Gothic Book" w:hAnsi="Franklin Gothic Book" w:cs="Calibri"/>
          <w:vertAlign w:val="superscript"/>
        </w:rPr>
        <w:t>®</w:t>
      </w:r>
      <w:r w:rsidRPr="00A06F1E">
        <w:t xml:space="preserve">) to conduct a comprehensive review of </w:t>
      </w:r>
      <w:r w:rsidR="002C6E27">
        <w:t>Ralph C</w:t>
      </w:r>
      <w:r w:rsidR="0047724F">
        <w:t>.</w:t>
      </w:r>
      <w:r w:rsidR="002C6E27">
        <w:t xml:space="preserve"> Mahar and </w:t>
      </w:r>
      <w:r w:rsidR="00FC2509" w:rsidRPr="00A06F1E">
        <w:t>School Union 73</w:t>
      </w:r>
      <w:r w:rsidRPr="00A06F1E">
        <w:t xml:space="preserve"> (</w:t>
      </w:r>
      <w:r w:rsidR="0054101D" w:rsidRPr="00A06F1E">
        <w:t xml:space="preserve">hereafter, </w:t>
      </w:r>
      <w:r w:rsidR="0021500E">
        <w:t xml:space="preserve">RCM &amp; </w:t>
      </w:r>
      <w:r w:rsidR="000D6A8E">
        <w:t>SU 73</w:t>
      </w:r>
      <w:r w:rsidRPr="00A06F1E">
        <w:t xml:space="preserve">) in </w:t>
      </w:r>
      <w:r w:rsidR="00FC2509" w:rsidRPr="00A06F1E">
        <w:t xml:space="preserve">April </w:t>
      </w:r>
      <w:r w:rsidRPr="00A06F1E">
        <w:t>20</w:t>
      </w:r>
      <w:r w:rsidR="00FC2509" w:rsidRPr="00A06F1E">
        <w:t>24</w:t>
      </w:r>
      <w:r w:rsidRPr="00A06F1E">
        <w:t xml:space="preserve">. Data collection activities associated with the review </w:t>
      </w:r>
      <w:r w:rsidR="02F46E2F" w:rsidRPr="00A06F1E">
        <w:rPr>
          <w:rFonts w:ascii="Franklin Gothic Book" w:eastAsia="Franklin Gothic Book" w:hAnsi="Franklin Gothic Book" w:cs="Franklin Gothic Book"/>
        </w:rPr>
        <w:t xml:space="preserve">included interviews, focus groups, and document reviews and </w:t>
      </w:r>
      <w:r w:rsidRPr="00A06F1E">
        <w:t>focused on understanding how district</w:t>
      </w:r>
      <w:r w:rsidR="00FC2509" w:rsidRPr="00A06F1E">
        <w:t>s</w:t>
      </w:r>
      <w:r w:rsidR="00040362" w:rsidRPr="00A06F1E">
        <w:t>’</w:t>
      </w:r>
      <w:r w:rsidRPr="00A06F1E">
        <w:t xml:space="preserve"> systems, structures, and practices operate in support of </w:t>
      </w:r>
      <w:r w:rsidR="00FC2509" w:rsidRPr="00A06F1E">
        <w:t>the superintendency union</w:t>
      </w:r>
      <w:r w:rsidR="00040362" w:rsidRPr="00A06F1E">
        <w:t>’</w:t>
      </w:r>
      <w:r w:rsidR="00FC2509" w:rsidRPr="00A06F1E">
        <w:t xml:space="preserve">s </w:t>
      </w:r>
      <w:r w:rsidRPr="00A06F1E">
        <w:t>continuous improvement efforts. The review focused on the six standards (and related indicators) that DESE has identified as being important components of district effectiveness.</w:t>
      </w:r>
      <w:r w:rsidR="00442A37" w:rsidRPr="00A06F1E">
        <w:rPr>
          <w:rStyle w:val="FootnoteReference"/>
        </w:rPr>
        <w:footnoteReference w:id="2"/>
      </w:r>
    </w:p>
    <w:p w14:paraId="41D8CE26" w14:textId="72AC94E1" w:rsidR="000B1DD2" w:rsidRPr="00A06F1E" w:rsidRDefault="18845F70" w:rsidP="00553FA3">
      <w:pPr>
        <w:pStyle w:val="BodyText"/>
      </w:pPr>
      <w:r w:rsidRPr="00A06F1E">
        <w:rPr>
          <w:rFonts w:ascii="Franklin Gothic Book" w:eastAsia="Franklin Gothic Book" w:hAnsi="Franklin Gothic Book" w:cs="Franklin Gothic Book"/>
        </w:rPr>
        <w:t xml:space="preserve">In addition, to collect data on instructional practices, </w:t>
      </w:r>
      <w:r w:rsidR="008729BE" w:rsidRPr="00A06F1E">
        <w:rPr>
          <w:rFonts w:ascii="Franklin Gothic Book" w:eastAsia="Franklin Gothic Book" w:hAnsi="Franklin Gothic Book" w:cs="Franklin Gothic Book"/>
        </w:rPr>
        <w:t>four</w:t>
      </w:r>
      <w:r w:rsidR="008729BE" w:rsidRPr="00A06F1E">
        <w:t xml:space="preserve"> </w:t>
      </w:r>
      <w:r w:rsidR="008672D4" w:rsidRPr="00A06F1E">
        <w:t xml:space="preserve">observers, who focused primarily on instruction in the classroom, visited </w:t>
      </w:r>
      <w:r w:rsidR="000D6A8E">
        <w:t>RCM &amp; SU 73</w:t>
      </w:r>
      <w:r w:rsidR="00C77A2D" w:rsidRPr="00A06F1E">
        <w:t xml:space="preserve"> </w:t>
      </w:r>
      <w:r w:rsidR="002546B9" w:rsidRPr="00A06F1E">
        <w:t>(specifically</w:t>
      </w:r>
      <w:r w:rsidR="003D2172" w:rsidRPr="00A06F1E">
        <w:t>,</w:t>
      </w:r>
      <w:r w:rsidR="002546B9" w:rsidRPr="00A06F1E">
        <w:t xml:space="preserve"> Ralph C</w:t>
      </w:r>
      <w:r w:rsidR="001B2DBB" w:rsidRPr="00A06F1E">
        <w:t>.</w:t>
      </w:r>
      <w:r w:rsidR="002546B9" w:rsidRPr="00A06F1E">
        <w:t xml:space="preserve"> Mahar Regional School</w:t>
      </w:r>
      <w:r w:rsidR="00BC18AD" w:rsidRPr="00A06F1E">
        <w:t xml:space="preserve"> [hereafter, </w:t>
      </w:r>
      <w:r w:rsidR="009E7C4B" w:rsidRPr="00A06F1E">
        <w:t>Mahar</w:t>
      </w:r>
      <w:r w:rsidR="00E52104" w:rsidRPr="00A06F1E">
        <w:t xml:space="preserve"> Regional</w:t>
      </w:r>
      <w:r w:rsidR="009E7C4B" w:rsidRPr="00A06F1E">
        <w:t>]</w:t>
      </w:r>
      <w:r w:rsidR="002546B9" w:rsidRPr="00A06F1E">
        <w:t xml:space="preserve">, </w:t>
      </w:r>
      <w:r w:rsidR="00CF4F71">
        <w:t>Fisher Hill</w:t>
      </w:r>
      <w:r w:rsidR="0004057D" w:rsidRPr="00A06F1E">
        <w:t xml:space="preserve"> School</w:t>
      </w:r>
      <w:r w:rsidR="002546B9" w:rsidRPr="00A06F1E">
        <w:t xml:space="preserve"> in Orange</w:t>
      </w:r>
      <w:r w:rsidR="00DD1EB2" w:rsidRPr="00A06F1E">
        <w:t xml:space="preserve"> [</w:t>
      </w:r>
      <w:r w:rsidR="00CF4F71">
        <w:t>Fisher Hill</w:t>
      </w:r>
      <w:r w:rsidR="00DD1EB2" w:rsidRPr="00A06F1E">
        <w:t>]</w:t>
      </w:r>
      <w:r w:rsidR="002546B9" w:rsidRPr="00A06F1E">
        <w:t xml:space="preserve">, and </w:t>
      </w:r>
      <w:proofErr w:type="spellStart"/>
      <w:r w:rsidR="002546B9" w:rsidRPr="00A06F1E">
        <w:t>Petersham</w:t>
      </w:r>
      <w:proofErr w:type="spellEnd"/>
      <w:r w:rsidR="002546B9" w:rsidRPr="00A06F1E">
        <w:t xml:space="preserve"> Center School in </w:t>
      </w:r>
      <w:proofErr w:type="spellStart"/>
      <w:r w:rsidR="002546B9" w:rsidRPr="00A06F1E">
        <w:t>Petersham</w:t>
      </w:r>
      <w:proofErr w:type="spellEnd"/>
      <w:r w:rsidR="009D7CAA" w:rsidRPr="00A06F1E">
        <w:t xml:space="preserve"> [</w:t>
      </w:r>
      <w:proofErr w:type="spellStart"/>
      <w:r w:rsidR="00652B48">
        <w:t>Petersham</w:t>
      </w:r>
      <w:proofErr w:type="spellEnd"/>
      <w:r w:rsidR="00652B48">
        <w:t xml:space="preserve"> Center</w:t>
      </w:r>
      <w:r w:rsidR="009D7CAA" w:rsidRPr="00A06F1E">
        <w:t>]</w:t>
      </w:r>
      <w:r w:rsidR="002546B9" w:rsidRPr="00A06F1E">
        <w:t xml:space="preserve">) </w:t>
      </w:r>
      <w:r w:rsidR="008672D4" w:rsidRPr="00A06F1E">
        <w:t xml:space="preserve">during the week of </w:t>
      </w:r>
      <w:r w:rsidR="002546B9" w:rsidRPr="00A06F1E">
        <w:t>April 29, 2024</w:t>
      </w:r>
      <w:r w:rsidR="008672D4" w:rsidRPr="00A06F1E">
        <w:t xml:space="preserve">. The observers conducted </w:t>
      </w:r>
      <w:r w:rsidR="002546B9" w:rsidRPr="00A06F1E">
        <w:t xml:space="preserve">56 </w:t>
      </w:r>
      <w:r w:rsidR="008672D4" w:rsidRPr="00A06F1E">
        <w:t>observations in a sample of classrooms</w:t>
      </w:r>
      <w:r w:rsidR="002546B9" w:rsidRPr="00A06F1E">
        <w:t xml:space="preserve"> in three schools</w:t>
      </w:r>
      <w:r w:rsidR="008672D4" w:rsidRPr="00A06F1E">
        <w:t xml:space="preserve"> across grade levels, focused on literacy, English language arts (ELA), and mathematics. The Teachstone Classroom Assessment Scoring System (CLASS) protocol, developed by the Center for Advanced Study of Teaching and Learning at the University of Virginia,</w:t>
      </w:r>
      <w:r w:rsidR="008672D4" w:rsidRPr="00A06F1E">
        <w:rPr>
          <w:rStyle w:val="FootnoteReference"/>
        </w:rPr>
        <w:footnoteReference w:id="3"/>
      </w:r>
      <w:r w:rsidR="008672D4" w:rsidRPr="00A06F1E">
        <w:t xml:space="preserve"> guided all classroom observations in the district. These observations used the three grade-band levels of the CLASS protocols: K-3, Upper Elementary (4-5), and Secondary (6</w:t>
      </w:r>
      <w:r w:rsidR="008672D4" w:rsidRPr="00A06F1E">
        <w:noBreakHyphen/>
        <w:t xml:space="preserve">12). Overall, for the K-5 grade band, </w:t>
      </w:r>
      <w:r w:rsidR="00A53C4B" w:rsidRPr="00A06F1E">
        <w:t>instructional observations suggest generally moderate emotional support and student engagement (Grades 4-5), high classroom organization, and mixed evidence of consistently rigorous instructional support. In the 6-8 grade band, instructional observations provide evidence of generally moderate emotional support and student engagement, high classroom organization, and moderately rigorous instructional support. In the 9-12 grade band, instructional observations similarly provide evidence of generally moderate emotional support and student engagement</w:t>
      </w:r>
      <w:r w:rsidR="00860BD4" w:rsidRPr="00A06F1E">
        <w:t xml:space="preserve"> as well as</w:t>
      </w:r>
      <w:r w:rsidR="00A53C4B" w:rsidRPr="00A06F1E">
        <w:t xml:space="preserve"> high classroom organization and some evidence of moderately rigorous instructional support.</w:t>
      </w:r>
    </w:p>
    <w:p w14:paraId="294F0C09" w14:textId="28C9E3F7" w:rsidR="000B1DD2" w:rsidRPr="00A06F1E" w:rsidRDefault="00000000" w:rsidP="0066116F">
      <w:pPr>
        <w:pStyle w:val="Heading3"/>
        <w:rPr>
          <w:rStyle w:val="Hyperlink"/>
        </w:rPr>
      </w:pPr>
      <w:hyperlink w:anchor="_Leadership_and_Governance" w:history="1">
        <w:r w:rsidR="000B1DD2" w:rsidRPr="00A06F1E">
          <w:rPr>
            <w:rStyle w:val="Hyperlink"/>
          </w:rPr>
          <w:t>Leadership and Governance</w:t>
        </w:r>
      </w:hyperlink>
    </w:p>
    <w:p w14:paraId="235D9273" w14:textId="1E11ABA9" w:rsidR="006C1DC9" w:rsidRPr="00A06F1E" w:rsidRDefault="00AA0A42" w:rsidP="00AA0A42">
      <w:pPr>
        <w:pStyle w:val="BodyTextposthead"/>
      </w:pPr>
      <w:r w:rsidRPr="00A06F1E">
        <w:t xml:space="preserve">Dr. Elizabeth Zielinski has been the </w:t>
      </w:r>
      <w:r w:rsidR="00C92CAD" w:rsidRPr="00A06F1E">
        <w:t>s</w:t>
      </w:r>
      <w:r w:rsidRPr="00A06F1E">
        <w:t xml:space="preserve">uperintendent for </w:t>
      </w:r>
      <w:r w:rsidR="000D6A8E">
        <w:t>RCM &amp; SU 73</w:t>
      </w:r>
      <w:r w:rsidRPr="00A06F1E">
        <w:t xml:space="preserve"> since 2020. The superintendent leads the central office of the superintendency union, </w:t>
      </w:r>
      <w:r w:rsidR="000302C7">
        <w:t xml:space="preserve">which includes </w:t>
      </w:r>
      <w:r w:rsidR="000302C7" w:rsidRPr="00A06F1E">
        <w:t>four communities</w:t>
      </w:r>
      <w:r w:rsidR="00FF215F">
        <w:t xml:space="preserve"> and</w:t>
      </w:r>
      <w:r w:rsidR="003D1BE8">
        <w:t xml:space="preserve"> three distinct school districts</w:t>
      </w:r>
      <w:r w:rsidR="00FF215F">
        <w:t>.</w:t>
      </w:r>
      <w:r w:rsidR="00B547D5">
        <w:t xml:space="preserve"> Ralph C</w:t>
      </w:r>
      <w:r w:rsidR="00626D14">
        <w:t>.</w:t>
      </w:r>
      <w:r w:rsidR="00B547D5">
        <w:t xml:space="preserve"> Mahar is one of these districts and it</w:t>
      </w:r>
      <w:r w:rsidR="00AB0E42">
        <w:t xml:space="preserve"> includes a single school (Ralph C</w:t>
      </w:r>
      <w:r w:rsidR="00541F6A">
        <w:t>.</w:t>
      </w:r>
      <w:r w:rsidR="00AB0E42">
        <w:t xml:space="preserve"> Mahar Regional) and serves student in </w:t>
      </w:r>
      <w:r w:rsidR="00AB0E42" w:rsidRPr="00A06F1E">
        <w:t xml:space="preserve">Grades 7-12 from the towns of New Salem, Orange, </w:t>
      </w:r>
      <w:proofErr w:type="spellStart"/>
      <w:r w:rsidR="00AB0E42" w:rsidRPr="00A06F1E">
        <w:t>Petersham</w:t>
      </w:r>
      <w:proofErr w:type="spellEnd"/>
      <w:r w:rsidR="00AB0E42" w:rsidRPr="00A06F1E">
        <w:t xml:space="preserve">, and </w:t>
      </w:r>
      <w:r w:rsidR="00AB0E42">
        <w:t xml:space="preserve">Wendell. </w:t>
      </w:r>
      <w:r w:rsidR="006A605F">
        <w:t xml:space="preserve">The districts of Orange and </w:t>
      </w:r>
      <w:proofErr w:type="spellStart"/>
      <w:r w:rsidR="006A605F">
        <w:t>Petersham</w:t>
      </w:r>
      <w:proofErr w:type="spellEnd"/>
      <w:r w:rsidR="006A605F">
        <w:t xml:space="preserve"> are also included in the superintendency union. These are both single-school dis</w:t>
      </w:r>
      <w:r w:rsidR="009F1329">
        <w:t xml:space="preserve">tricts </w:t>
      </w:r>
      <w:r w:rsidR="004018D5">
        <w:t xml:space="preserve">consisting of Fisher Hill in Orange, which serves Grades PK-6, and </w:t>
      </w:r>
      <w:proofErr w:type="spellStart"/>
      <w:r w:rsidR="004018D5">
        <w:t>Petersham</w:t>
      </w:r>
      <w:proofErr w:type="spellEnd"/>
      <w:r w:rsidR="004018D5">
        <w:t xml:space="preserve"> Center in </w:t>
      </w:r>
      <w:proofErr w:type="spellStart"/>
      <w:r w:rsidR="004018D5">
        <w:t>Petersham</w:t>
      </w:r>
      <w:proofErr w:type="spellEnd"/>
      <w:r w:rsidR="004018D5">
        <w:t>, which serves Grades K-6.</w:t>
      </w:r>
      <w:r w:rsidR="006C78CB">
        <w:t xml:space="preserve"> </w:t>
      </w:r>
      <w:r w:rsidR="00FF215F">
        <w:t xml:space="preserve">Each district in the superintendency union </w:t>
      </w:r>
      <w:r w:rsidR="00BD43B8">
        <w:t>has</w:t>
      </w:r>
      <w:r w:rsidR="00FF215F">
        <w:t xml:space="preserve"> its own school committee. The</w:t>
      </w:r>
      <w:r w:rsidR="00D71A46">
        <w:t xml:space="preserve"> Ralph C</w:t>
      </w:r>
      <w:r w:rsidR="00B175AE">
        <w:t>.</w:t>
      </w:r>
      <w:r w:rsidR="00D71A46">
        <w:t xml:space="preserve"> Mahar school committee includes </w:t>
      </w:r>
      <w:r w:rsidR="003C28C3">
        <w:t>ten</w:t>
      </w:r>
      <w:r w:rsidR="00D71A46">
        <w:t xml:space="preserve"> members</w:t>
      </w:r>
      <w:r w:rsidR="00F0546F">
        <w:t>, who represent the four towns served by the district</w:t>
      </w:r>
      <w:r w:rsidR="00BE55C6">
        <w:t xml:space="preserve">, whereas Orange and </w:t>
      </w:r>
      <w:proofErr w:type="spellStart"/>
      <w:r w:rsidR="002712F1">
        <w:t>Petersham’s</w:t>
      </w:r>
      <w:proofErr w:type="spellEnd"/>
      <w:r w:rsidR="002712F1">
        <w:t xml:space="preserve"> school committees </w:t>
      </w:r>
      <w:r w:rsidR="00F30DEC">
        <w:t xml:space="preserve">are elected by each </w:t>
      </w:r>
      <w:r w:rsidR="009F1FF1">
        <w:t>town</w:t>
      </w:r>
      <w:r w:rsidR="00344785">
        <w:t>,</w:t>
      </w:r>
      <w:r w:rsidR="005E75BB">
        <w:t xml:space="preserve"> respectively</w:t>
      </w:r>
      <w:r w:rsidR="00F0546F">
        <w:t>.</w:t>
      </w:r>
      <w:r w:rsidR="00D71A46">
        <w:t xml:space="preserve"> </w:t>
      </w:r>
      <w:r w:rsidRPr="00A06F1E">
        <w:t xml:space="preserve">Like </w:t>
      </w:r>
      <w:r w:rsidRPr="00A06F1E">
        <w:lastRenderedPageBreak/>
        <w:t xml:space="preserve">other school committees in Massachusetts, members described their roles as managing budgets, setting policy, and hiring and evaluating the superintendent. However, </w:t>
      </w:r>
      <w:r w:rsidR="000D6A8E">
        <w:t>RCM &amp; SU 73</w:t>
      </w:r>
      <w:r w:rsidR="00040362" w:rsidRPr="00A06F1E">
        <w:t>’</w:t>
      </w:r>
      <w:r w:rsidRPr="00A06F1E">
        <w:t xml:space="preserve">s evaluation process for the superintendent is an area for growth as it has faced several administrative challenges and low engagement. </w:t>
      </w:r>
      <w:r w:rsidR="001641AA">
        <w:t>In addition</w:t>
      </w:r>
      <w:r w:rsidR="00627577">
        <w:t>, n</w:t>
      </w:r>
      <w:r w:rsidR="00627577" w:rsidRPr="00627577">
        <w:t>avigating relationships among three separate school committees</w:t>
      </w:r>
      <w:r w:rsidR="00627577">
        <w:t xml:space="preserve"> is a challenge, particularly for staff from </w:t>
      </w:r>
      <w:r w:rsidR="000D6A8E">
        <w:t>RCM &amp; SU 73</w:t>
      </w:r>
      <w:r w:rsidR="00627577">
        <w:t xml:space="preserve">’s central office such as the superintendent and director of finance. </w:t>
      </w:r>
    </w:p>
    <w:p w14:paraId="5EC5637E" w14:textId="192EC94C" w:rsidR="006C1DC9" w:rsidRPr="00A06F1E" w:rsidRDefault="00AA0A42" w:rsidP="00553FA3">
      <w:pPr>
        <w:pStyle w:val="BodyText"/>
      </w:pPr>
      <w:r w:rsidRPr="00A06F1E">
        <w:t xml:space="preserve">The three schools in </w:t>
      </w:r>
      <w:r w:rsidR="000D6A8E">
        <w:t>RCM &amp; SU 73</w:t>
      </w:r>
      <w:r w:rsidRPr="00A06F1E">
        <w:t>—Mahar</w:t>
      </w:r>
      <w:r w:rsidR="00F73F72" w:rsidRPr="00A06F1E">
        <w:t xml:space="preserve"> Regional</w:t>
      </w:r>
      <w:r w:rsidRPr="00A06F1E">
        <w:t xml:space="preserve">, </w:t>
      </w:r>
      <w:r w:rsidR="00CF4F71">
        <w:t>Fisher Hill</w:t>
      </w:r>
      <w:r w:rsidRPr="00A06F1E">
        <w:t xml:space="preserve">, and </w:t>
      </w:r>
      <w:proofErr w:type="spellStart"/>
      <w:r w:rsidR="00652B48">
        <w:t>Petersham</w:t>
      </w:r>
      <w:proofErr w:type="spellEnd"/>
      <w:r w:rsidR="00652B48">
        <w:t xml:space="preserve"> Center</w:t>
      </w:r>
      <w:r w:rsidRPr="00A06F1E">
        <w:t>—share collaborative relationships with the superintendent while also maintaining some measures of building-level autonomy. The superintendent</w:t>
      </w:r>
      <w:r w:rsidR="00040362" w:rsidRPr="00A06F1E">
        <w:t>’</w:t>
      </w:r>
      <w:r w:rsidRPr="00A06F1E">
        <w:t xml:space="preserve">s ability to maintain open and collaborative relationships with school leaders is a strength. Within schools, however, an area for growth is supporting the election of school council members and fostering an open and inclusive environment within school council meetings. </w:t>
      </w:r>
    </w:p>
    <w:p w14:paraId="25401620" w14:textId="71BA7329" w:rsidR="006C1DC9" w:rsidRPr="00A06F1E" w:rsidRDefault="000D6A8E" w:rsidP="00553FA3">
      <w:pPr>
        <w:pStyle w:val="BodyText"/>
      </w:pPr>
      <w:r>
        <w:t>RCM &amp; SU 73</w:t>
      </w:r>
      <w:r w:rsidR="00040362" w:rsidRPr="00A06F1E">
        <w:t>’</w:t>
      </w:r>
      <w:r w:rsidR="00AA0A42" w:rsidRPr="00A06F1E">
        <w:t>s District Improvement Plan outlines a comprehensive vision and strategic objectives to support academic as well as social-emotional development. The plan emphasizes high-quality instruction, parent and community engagement, professional culture, and efficient management and operations. One strength of the district</w:t>
      </w:r>
      <w:r w:rsidR="00040362" w:rsidRPr="00A06F1E">
        <w:t>’</w:t>
      </w:r>
      <w:r w:rsidR="00AA0A42" w:rsidRPr="00A06F1E">
        <w:t xml:space="preserve">s process for developing its strategic improvement plan is the collaborative effort involving various stakeholders, including school committee members, administrators, families, and students. The three member schools have their own plans, and another strength is the alignment of School Improvement Plans (SIPs) for </w:t>
      </w:r>
      <w:r w:rsidR="00CF4F71">
        <w:t>Fisher Hill</w:t>
      </w:r>
      <w:r w:rsidR="00AA0A42" w:rsidRPr="00A06F1E">
        <w:t xml:space="preserve">, </w:t>
      </w:r>
      <w:proofErr w:type="spellStart"/>
      <w:r w:rsidR="00652B48">
        <w:t>Petersham</w:t>
      </w:r>
      <w:proofErr w:type="spellEnd"/>
      <w:r w:rsidR="00652B48">
        <w:t xml:space="preserve"> Center</w:t>
      </w:r>
      <w:r w:rsidR="00AA0A42" w:rsidRPr="00A06F1E">
        <w:t xml:space="preserve">, and Mahar </w:t>
      </w:r>
      <w:r w:rsidR="00F73F72" w:rsidRPr="00A06F1E">
        <w:t xml:space="preserve">Regional </w:t>
      </w:r>
      <w:r w:rsidR="00AA0A42" w:rsidRPr="00A06F1E">
        <w:t xml:space="preserve">with the </w:t>
      </w:r>
      <w:r>
        <w:t>RCM &amp; SU 73</w:t>
      </w:r>
      <w:r w:rsidR="00AA0A42" w:rsidRPr="00A06F1E">
        <w:t xml:space="preserve"> District Strategic Plan. However, interview respondents reported mixed views on whether these plans were tools </w:t>
      </w:r>
      <w:r w:rsidR="00DA7E3E" w:rsidRPr="00A06F1E">
        <w:t xml:space="preserve">that </w:t>
      </w:r>
      <w:r w:rsidR="00AA0A42" w:rsidRPr="00A06F1E">
        <w:t xml:space="preserve">staff actively used throughout the year to guide their work. An area for growth is </w:t>
      </w:r>
      <w:r w:rsidR="005C5B49">
        <w:t>creating systems for</w:t>
      </w:r>
      <w:r w:rsidR="00AA0A42" w:rsidRPr="00A06F1E">
        <w:t xml:space="preserve"> effective follow-up on the district strategic improvement plan, as respondents highlighted gaps in action on feedback, infrequent updates on goals, and limited practical utilization of the plan.</w:t>
      </w:r>
    </w:p>
    <w:p w14:paraId="4DDE33E4" w14:textId="5EAEDFD8" w:rsidR="008C7DEE" w:rsidRPr="00380A83" w:rsidRDefault="00AA0A42" w:rsidP="00553FA3">
      <w:pPr>
        <w:pStyle w:val="BodyText"/>
      </w:pPr>
      <w:r w:rsidRPr="00A06F1E">
        <w:t>The central office</w:t>
      </w:r>
      <w:r w:rsidR="00040362" w:rsidRPr="00A06F1E">
        <w:t>’</w:t>
      </w:r>
      <w:r w:rsidRPr="00A06F1E">
        <w:t>s comprehensive approach to budgeting aims to ensure that all relevant parties, including the four towns within the union, understand and can support the budget, which is a strength</w:t>
      </w:r>
      <w:r w:rsidRPr="00380A83">
        <w:t xml:space="preserve">. </w:t>
      </w:r>
      <w:r w:rsidR="44B743AE" w:rsidRPr="00380A83">
        <w:t>However, i</w:t>
      </w:r>
      <w:r w:rsidR="44B743AE" w:rsidRPr="00380A83">
        <w:rPr>
          <w:rFonts w:eastAsia="Aptos" w:cs="Aptos"/>
        </w:rPr>
        <w:t>mproving the timeliness in which the budget is approved and creating greater consistency around the annual budget approval process is an area of growth for the district.</w:t>
      </w:r>
      <w:r w:rsidR="44B743AE" w:rsidRPr="00380A83">
        <w:t xml:space="preserve"> D</w:t>
      </w:r>
      <w:r w:rsidRPr="00380A83">
        <w:t>espite yearly efforts to gather information earlier, the budget process is consistently delayed</w:t>
      </w:r>
      <w:r w:rsidR="00586E09" w:rsidRPr="00380A83">
        <w:t xml:space="preserve"> due to tight local budgets, adjustments and renegotiations, and </w:t>
      </w:r>
      <w:r w:rsidR="000D724B" w:rsidRPr="00380A83">
        <w:t>late town meetings relative to academic calendars</w:t>
      </w:r>
      <w:r w:rsidR="04735AAC" w:rsidRPr="00380A83">
        <w:t>.</w:t>
      </w:r>
    </w:p>
    <w:bookmarkEnd w:id="10"/>
    <w:p w14:paraId="770E4914" w14:textId="5450BE1B" w:rsidR="000B1DD2" w:rsidRPr="00A06F1E" w:rsidRDefault="00B527CE" w:rsidP="000B1DD2">
      <w:pPr>
        <w:pStyle w:val="Heading3"/>
      </w:pPr>
      <w:r w:rsidRPr="00A06F1E">
        <w:fldChar w:fldCharType="begin"/>
      </w:r>
      <w:r w:rsidRPr="00A06F1E">
        <w:instrText xml:space="preserve"> HYPERLINK  \l "_Curriculum_and_Instruction" </w:instrText>
      </w:r>
      <w:r w:rsidRPr="00A06F1E">
        <w:fldChar w:fldCharType="separate"/>
      </w:r>
      <w:r w:rsidR="000B1DD2" w:rsidRPr="00A06F1E">
        <w:rPr>
          <w:rStyle w:val="Hyperlink"/>
        </w:rPr>
        <w:t>Curriculum and Instruction</w:t>
      </w:r>
      <w:r w:rsidRPr="00A06F1E">
        <w:rPr>
          <w:rStyle w:val="Hyperlink"/>
        </w:rPr>
        <w:fldChar w:fldCharType="end"/>
      </w:r>
    </w:p>
    <w:p w14:paraId="236C2749" w14:textId="06DCD7B2" w:rsidR="006C1DC9" w:rsidRPr="00A06F1E" w:rsidRDefault="000D6A8E" w:rsidP="00292D6D">
      <w:pPr>
        <w:pStyle w:val="BodyTextposthead"/>
      </w:pPr>
      <w:r>
        <w:t>RCM &amp; SU 73</w:t>
      </w:r>
      <w:r w:rsidR="00292D6D" w:rsidRPr="00A06F1E">
        <w:t xml:space="preserve"> has a clear, formal process for reviewing and selecting curricula. The central office provides guidelines, and schools make their own, independent selections. As a result, </w:t>
      </w:r>
      <w:r w:rsidR="003C0520" w:rsidRPr="00A06F1E">
        <w:t>although</w:t>
      </w:r>
      <w:r w:rsidR="00292D6D" w:rsidRPr="00A06F1E">
        <w:t xml:space="preserve"> the clear, formal process is a strength, multiple staff highlighted vertical and horizontal alignment, particularly between the regional school and the feeding elementary schools, as an area for growth for the superintendency union.</w:t>
      </w:r>
      <w:r w:rsidR="0D106060">
        <w:t xml:space="preserve"> </w:t>
      </w:r>
    </w:p>
    <w:p w14:paraId="1A6F4EA9" w14:textId="28DC78F3" w:rsidR="00292D6D" w:rsidRPr="00A06F1E" w:rsidRDefault="000D6A8E" w:rsidP="00553FA3">
      <w:pPr>
        <w:pStyle w:val="BodyText"/>
      </w:pPr>
      <w:r>
        <w:t>RCM &amp; SU 73</w:t>
      </w:r>
      <w:r w:rsidR="00292D6D" w:rsidRPr="00A06F1E">
        <w:t xml:space="preserve"> currently uses a variety of curricula across schools for ELA: </w:t>
      </w:r>
      <w:r w:rsidR="00CF4F71">
        <w:t>Fisher Hill</w:t>
      </w:r>
      <w:r w:rsidR="00292D6D" w:rsidRPr="00A06F1E">
        <w:t xml:space="preserve"> and </w:t>
      </w:r>
      <w:proofErr w:type="spellStart"/>
      <w:r w:rsidR="00652B48">
        <w:t>Petersham</w:t>
      </w:r>
      <w:proofErr w:type="spellEnd"/>
      <w:r w:rsidR="00652B48">
        <w:t xml:space="preserve"> Center</w:t>
      </w:r>
      <w:r w:rsidR="00292D6D" w:rsidRPr="00A06F1E">
        <w:t xml:space="preserve"> use McGraw Hill Wonders for Grades K-6</w:t>
      </w:r>
      <w:r w:rsidR="00EF6559" w:rsidRPr="00A06F1E">
        <w:t>, whereas</w:t>
      </w:r>
      <w:r w:rsidR="00292D6D" w:rsidRPr="00A06F1E">
        <w:t xml:space="preserve"> Mahar </w:t>
      </w:r>
      <w:r w:rsidR="00F73F72" w:rsidRPr="00A06F1E">
        <w:t xml:space="preserve">Regional </w:t>
      </w:r>
      <w:r w:rsidR="00292D6D" w:rsidRPr="00A06F1E">
        <w:t xml:space="preserve">uses </w:t>
      </w:r>
      <w:r w:rsidR="00C07FDE" w:rsidRPr="00A06F1E">
        <w:t>Houghton Mifflin Harcourt (</w:t>
      </w:r>
      <w:r w:rsidR="00292D6D" w:rsidRPr="00A06F1E">
        <w:t>HMH</w:t>
      </w:r>
      <w:r w:rsidR="00C07FDE" w:rsidRPr="00A06F1E">
        <w:t>)</w:t>
      </w:r>
      <w:r w:rsidR="00292D6D" w:rsidRPr="00A06F1E">
        <w:t xml:space="preserve"> Into Literature for Grades 7 and 8 and teacher-created resources for Grades 9-12. </w:t>
      </w:r>
      <w:r w:rsidR="00292D6D" w:rsidRPr="00A06F1E">
        <w:lastRenderedPageBreak/>
        <w:t xml:space="preserve">For mathematics, </w:t>
      </w:r>
      <w:proofErr w:type="spellStart"/>
      <w:r w:rsidR="00652B48">
        <w:t>Petersham</w:t>
      </w:r>
      <w:proofErr w:type="spellEnd"/>
      <w:r w:rsidR="00652B48">
        <w:t xml:space="preserve"> Center</w:t>
      </w:r>
      <w:r w:rsidR="00292D6D" w:rsidRPr="00A06F1E">
        <w:t xml:space="preserve"> uses Curriculum Associates i</w:t>
      </w:r>
      <w:r w:rsidR="003C0520" w:rsidRPr="00A06F1E">
        <w:t>-</w:t>
      </w:r>
      <w:r w:rsidR="00292D6D" w:rsidRPr="00A06F1E">
        <w:t>Ready</w:t>
      </w:r>
      <w:r w:rsidR="003C0520" w:rsidRPr="00A06F1E">
        <w:t>, whereas</w:t>
      </w:r>
      <w:r w:rsidR="00292D6D" w:rsidRPr="00A06F1E">
        <w:t xml:space="preserve"> </w:t>
      </w:r>
      <w:r w:rsidR="00CF4F71">
        <w:t>Fisher Hill</w:t>
      </w:r>
      <w:r w:rsidR="00292D6D" w:rsidRPr="00A06F1E">
        <w:t xml:space="preserve"> uses Zearn for Grades K-6, meaning the two elementary schools use different math</w:t>
      </w:r>
      <w:r w:rsidR="00F942D1" w:rsidRPr="00A06F1E">
        <w:t>ematics</w:t>
      </w:r>
      <w:r w:rsidR="00292D6D" w:rsidRPr="00A06F1E">
        <w:t xml:space="preserve"> programs. Mahar </w:t>
      </w:r>
      <w:r w:rsidR="00F73F72" w:rsidRPr="00A06F1E">
        <w:t xml:space="preserve">Regional </w:t>
      </w:r>
      <w:r w:rsidR="00292D6D" w:rsidRPr="00A06F1E">
        <w:t xml:space="preserve">uses Fishtank Plus Math for Grades 7 and 8 and teacher-created resources for </w:t>
      </w:r>
      <w:r w:rsidR="006D720C" w:rsidRPr="00A06F1E">
        <w:t xml:space="preserve">mathematics in </w:t>
      </w:r>
      <w:r w:rsidR="00292D6D" w:rsidRPr="00A06F1E">
        <w:t>Grades 9-12. For science and social studies, the district uses a variety of teacher-developed and published curricula.</w:t>
      </w:r>
      <w:r w:rsidR="0114B815">
        <w:t xml:space="preserve"> </w:t>
      </w:r>
    </w:p>
    <w:p w14:paraId="5232F68B" w14:textId="34AF4512" w:rsidR="006C1DC9" w:rsidRPr="00A06F1E" w:rsidRDefault="000D6A8E" w:rsidP="00553FA3">
      <w:pPr>
        <w:pStyle w:val="BodyText"/>
      </w:pPr>
      <w:r>
        <w:t>RCM &amp; SU 73</w:t>
      </w:r>
      <w:r w:rsidR="00040362" w:rsidRPr="00A06F1E">
        <w:t>’</w:t>
      </w:r>
      <w:r w:rsidR="00292D6D" w:rsidRPr="00A06F1E">
        <w:t xml:space="preserve">s instructional priorities articulated in </w:t>
      </w:r>
      <w:r w:rsidR="00467622">
        <w:t>its</w:t>
      </w:r>
      <w:r w:rsidR="00467622" w:rsidRPr="00A06F1E">
        <w:t xml:space="preserve"> </w:t>
      </w:r>
      <w:r w:rsidR="00292D6D" w:rsidRPr="00A06F1E">
        <w:t>district plan and discussions with teachers</w:t>
      </w:r>
      <w:r w:rsidR="00CB5674" w:rsidRPr="00A06F1E">
        <w:t>, the</w:t>
      </w:r>
      <w:r w:rsidR="00292D6D" w:rsidRPr="00A06F1E">
        <w:t xml:space="preserve"> central office</w:t>
      </w:r>
      <w:r w:rsidR="00CB5674" w:rsidRPr="00A06F1E">
        <w:t>,</w:t>
      </w:r>
      <w:r w:rsidR="00292D6D" w:rsidRPr="00A06F1E">
        <w:t xml:space="preserve"> and school leaders revealed a common understanding of these </w:t>
      </w:r>
      <w:r w:rsidR="005D66E8">
        <w:t>guiding principles</w:t>
      </w:r>
      <w:r w:rsidR="00292D6D" w:rsidRPr="00A06F1E">
        <w:t>.</w:t>
      </w:r>
      <w:r w:rsidR="003A1B9C">
        <w:t xml:space="preserve"> These common instructional goals are a strength.</w:t>
      </w:r>
      <w:r w:rsidR="00292D6D" w:rsidRPr="00A06F1E">
        <w:t xml:space="preserve"> However, the two elementary schools in </w:t>
      </w:r>
      <w:r>
        <w:t>RCM &amp; SU 73</w:t>
      </w:r>
      <w:r w:rsidR="00292D6D" w:rsidRPr="00A06F1E">
        <w:t xml:space="preserve"> lack </w:t>
      </w:r>
      <w:r w:rsidR="002172DD">
        <w:t>sufficient supports</w:t>
      </w:r>
      <w:r w:rsidR="00951C3A">
        <w:t xml:space="preserve"> for professional learning</w:t>
      </w:r>
      <w:r w:rsidR="00952EA3">
        <w:t xml:space="preserve"> and curriculum implementation</w:t>
      </w:r>
      <w:r w:rsidR="002172DD">
        <w:t>—such as</w:t>
      </w:r>
      <w:r w:rsidR="00292D6D" w:rsidRPr="00A06F1E">
        <w:t xml:space="preserve"> dedicated coaching positions</w:t>
      </w:r>
      <w:r w:rsidR="002172DD">
        <w:t>--</w:t>
      </w:r>
      <w:r w:rsidR="00292D6D" w:rsidRPr="00A06F1E">
        <w:t xml:space="preserve"> which central office leaders and teachers recognize as an area for growth at the elementary level. Mahar </w:t>
      </w:r>
      <w:r w:rsidR="00F73F72" w:rsidRPr="00A06F1E">
        <w:t xml:space="preserve">Regional </w:t>
      </w:r>
      <w:r w:rsidR="00292D6D" w:rsidRPr="00A06F1E">
        <w:t xml:space="preserve">does have a dedicated coach for middle and high school teachers. </w:t>
      </w:r>
      <w:r w:rsidR="00055B7D">
        <w:t xml:space="preserve">In addition, the need for additional curriculum-specific training is an area for growth. </w:t>
      </w:r>
      <w:r w:rsidR="00292D6D" w:rsidRPr="00A06F1E">
        <w:t xml:space="preserve">Classroom observations revealed a strength in classroom organization throughout the superintendency union, indicating that </w:t>
      </w:r>
      <w:r w:rsidR="00255095" w:rsidRPr="00A06F1E">
        <w:t xml:space="preserve">positive management, behavior, and engagement characterized </w:t>
      </w:r>
      <w:r w:rsidR="00292D6D" w:rsidRPr="00A06F1E">
        <w:t>most observed classrooms.</w:t>
      </w:r>
      <w:r w:rsidR="47B79796">
        <w:t xml:space="preserve"> </w:t>
      </w:r>
    </w:p>
    <w:p w14:paraId="403BE6DB" w14:textId="7D3142BE" w:rsidR="008F4AC4" w:rsidRPr="00A06F1E" w:rsidRDefault="000D6A8E" w:rsidP="00553FA3">
      <w:pPr>
        <w:pStyle w:val="BodyText"/>
        <w:rPr>
          <w:i/>
        </w:rPr>
      </w:pPr>
      <w:r>
        <w:t>RCM &amp; SU 73</w:t>
      </w:r>
      <w:r w:rsidR="00292D6D" w:rsidRPr="00A06F1E">
        <w:t xml:space="preserve"> provides a wide range of course offerings and academic pathways to accommodate diverse student needs and interests, which is a strength of the district. There is a four-week summer learning program for elementary students, and Mahar</w:t>
      </w:r>
      <w:r w:rsidR="00F73F72" w:rsidRPr="00A06F1E">
        <w:t xml:space="preserve"> Regional</w:t>
      </w:r>
      <w:r w:rsidR="00292D6D" w:rsidRPr="00A06F1E">
        <w:t xml:space="preserve"> also offers a four-week summer learning program </w:t>
      </w:r>
      <w:r w:rsidR="000313F9" w:rsidRPr="00A06F1E">
        <w:t>in which</w:t>
      </w:r>
      <w:r w:rsidR="00292D6D" w:rsidRPr="00A06F1E">
        <w:t xml:space="preserve"> rising 7th-grade students can participate in different intensive programs. Mahar </w:t>
      </w:r>
      <w:r w:rsidR="00F73F72" w:rsidRPr="00A06F1E">
        <w:t xml:space="preserve">Regional </w:t>
      </w:r>
      <w:r w:rsidR="00292D6D" w:rsidRPr="00A06F1E">
        <w:t>also provides Advanced Placement (AP), honors, and college preparatory courses and has dual enrollment through a partnership with Greenfield Community College</w:t>
      </w:r>
      <w:r w:rsidR="008F4AC4">
        <w:t>.</w:t>
      </w:r>
      <w:r w:rsidR="35DFBABD">
        <w:t xml:space="preserve"> </w:t>
      </w:r>
      <w:r w:rsidR="00C624A7">
        <w:t>Despite its many course offerings, student participation in advanced coursework is below the state rate,</w:t>
      </w:r>
      <w:r w:rsidR="00071DFB">
        <w:t xml:space="preserve"> which is an</w:t>
      </w:r>
      <w:r w:rsidR="0F01C8DE">
        <w:t xml:space="preserve"> area </w:t>
      </w:r>
      <w:r w:rsidR="00071DFB">
        <w:t>for</w:t>
      </w:r>
      <w:r w:rsidR="0F01C8DE">
        <w:t xml:space="preserve"> growth</w:t>
      </w:r>
      <w:r w:rsidR="00071DFB">
        <w:t>.</w:t>
      </w:r>
    </w:p>
    <w:p w14:paraId="65498654" w14:textId="3E760A2A" w:rsidR="000B1DD2" w:rsidRPr="00A06F1E" w:rsidRDefault="00000000" w:rsidP="000B1DD2">
      <w:pPr>
        <w:pStyle w:val="Heading3"/>
        <w:rPr>
          <w:rFonts w:cstheme="minorHAnsi"/>
          <w:color w:val="000000" w:themeColor="text1"/>
        </w:rPr>
      </w:pPr>
      <w:hyperlink w:anchor="_Assessment" w:history="1">
        <w:r w:rsidR="000B1DD2" w:rsidRPr="00A06F1E">
          <w:rPr>
            <w:rStyle w:val="Hyperlink"/>
            <w:bdr w:val="none" w:sz="0" w:space="0" w:color="auto" w:frame="1"/>
          </w:rPr>
          <w:t>Assessment</w:t>
        </w:r>
      </w:hyperlink>
    </w:p>
    <w:p w14:paraId="38CF481A" w14:textId="08A2E879" w:rsidR="006C1DC9" w:rsidRPr="00A06F1E" w:rsidRDefault="000D6A8E" w:rsidP="00F073FE">
      <w:pPr>
        <w:pStyle w:val="BodyTextposthead"/>
      </w:pPr>
      <w:r>
        <w:t>RCM &amp; SU 73</w:t>
      </w:r>
      <w:r w:rsidR="00F073FE" w:rsidRPr="00A06F1E">
        <w:t xml:space="preserve"> uses a variety of screeners to understand students</w:t>
      </w:r>
      <w:r w:rsidR="00040362" w:rsidRPr="00A06F1E">
        <w:t>’</w:t>
      </w:r>
      <w:r w:rsidR="00F073FE" w:rsidRPr="00A06F1E">
        <w:t xml:space="preserve"> reading skills at each school level, including Dynamic Indicators of Basic Early Literacy Skills</w:t>
      </w:r>
      <w:r w:rsidR="00E10613" w:rsidRPr="00A06F1E">
        <w:t xml:space="preserve"> (DIBELS</w:t>
      </w:r>
      <w:r w:rsidR="00F073FE" w:rsidRPr="00A06F1E">
        <w:t xml:space="preserve">), Star Early Literacy, and Star Reading. For mathematics, students are assessed using Star Math and i-Ready Math across grade levels. Data and assessment systems constitute a strength: </w:t>
      </w:r>
      <w:r w:rsidR="000313F9" w:rsidRPr="00A06F1E">
        <w:t>T</w:t>
      </w:r>
      <w:r w:rsidR="00F073FE" w:rsidRPr="00A06F1E">
        <w:t xml:space="preserve">he three schools in the union have a variety of data sources available, and the central office has obtained and used </w:t>
      </w:r>
      <w:r w:rsidR="00651AE7">
        <w:t>a new</w:t>
      </w:r>
      <w:r w:rsidR="00F073FE" w:rsidRPr="00A06F1E">
        <w:t xml:space="preserve"> data system to store and make data accessible to schools.</w:t>
      </w:r>
    </w:p>
    <w:p w14:paraId="326B7DC7" w14:textId="7E40D0BE" w:rsidR="006C1DC9" w:rsidRPr="00A06F1E" w:rsidRDefault="00F073FE" w:rsidP="00553FA3">
      <w:pPr>
        <w:pStyle w:val="BodyText"/>
      </w:pPr>
      <w:r w:rsidRPr="00A06F1E">
        <w:t xml:space="preserve">Staff reported that the </w:t>
      </w:r>
      <w:r w:rsidR="008849F2">
        <w:t>new data</w:t>
      </w:r>
      <w:r w:rsidR="00114F64">
        <w:t xml:space="preserve"> storage and access platform</w:t>
      </w:r>
      <w:r w:rsidR="00E4465A">
        <w:t>, designed by Open Architects,</w:t>
      </w:r>
      <w:r w:rsidR="004E2A59" w:rsidRPr="00A06F1E">
        <w:t xml:space="preserve"> </w:t>
      </w:r>
      <w:r w:rsidRPr="00A06F1E">
        <w:t xml:space="preserve">is a </w:t>
      </w:r>
      <w:r w:rsidR="006632CF">
        <w:t>helpful new</w:t>
      </w:r>
      <w:r w:rsidRPr="00A06F1E">
        <w:t xml:space="preserve"> tool for data use</w:t>
      </w:r>
      <w:r w:rsidR="00E4465A">
        <w:t xml:space="preserve"> and a strength of the union</w:t>
      </w:r>
      <w:r w:rsidRPr="00A06F1E">
        <w:t xml:space="preserve">. However, staff highlighted an area for growth for the superintendency union in providing </w:t>
      </w:r>
      <w:r w:rsidR="00E4465A">
        <w:t xml:space="preserve">more </w:t>
      </w:r>
      <w:r w:rsidRPr="00A06F1E">
        <w:t xml:space="preserve">consistent professional development and </w:t>
      </w:r>
      <w:r w:rsidR="00E4465A">
        <w:t>additional protocols</w:t>
      </w:r>
      <w:r w:rsidR="00E4465A" w:rsidRPr="00A06F1E">
        <w:t xml:space="preserve"> </w:t>
      </w:r>
      <w:r w:rsidRPr="00A06F1E">
        <w:t>for data use across schools, grade levels, and departments</w:t>
      </w:r>
      <w:r w:rsidR="00406DF0">
        <w:t>.</w:t>
      </w:r>
    </w:p>
    <w:p w14:paraId="611E9AB4" w14:textId="2F1911BF" w:rsidR="00265BA8" w:rsidRPr="00A06F1E" w:rsidRDefault="00F073FE" w:rsidP="00553FA3">
      <w:pPr>
        <w:pStyle w:val="BodyText"/>
      </w:pPr>
      <w:r w:rsidRPr="00A06F1E">
        <w:t xml:space="preserve">Schools in </w:t>
      </w:r>
      <w:r w:rsidR="000D6A8E">
        <w:t>RCM &amp; SU 73</w:t>
      </w:r>
      <w:r w:rsidRPr="00A06F1E">
        <w:t xml:space="preserve"> have a consistent process and timeline for communicating progress to students and families, which is a strength. The central office has documented procedures, </w:t>
      </w:r>
      <w:r w:rsidR="002B4A9A" w:rsidRPr="00A06F1E">
        <w:t>al</w:t>
      </w:r>
      <w:r w:rsidRPr="00A06F1E">
        <w:t>though some students and parents reported mixed opportunities to discuss progress with teachers, which is an area for growth</w:t>
      </w:r>
      <w:r w:rsidR="00265BA8" w:rsidRPr="00A06F1E">
        <w:rPr>
          <w:i/>
          <w:iCs/>
        </w:rPr>
        <w:t>.</w:t>
      </w:r>
    </w:p>
    <w:p w14:paraId="05B6D72B" w14:textId="149183DD" w:rsidR="000B1DD2" w:rsidRPr="00A06F1E" w:rsidRDefault="00000000" w:rsidP="000B1DD2">
      <w:pPr>
        <w:pStyle w:val="Heading3"/>
      </w:pPr>
      <w:hyperlink w:anchor="_Human_Resources_and" w:history="1">
        <w:r w:rsidR="000B1DD2" w:rsidRPr="00A06F1E">
          <w:rPr>
            <w:rStyle w:val="Hyperlink"/>
          </w:rPr>
          <w:t>Human Resources and Professional Development</w:t>
        </w:r>
      </w:hyperlink>
    </w:p>
    <w:p w14:paraId="393C7744" w14:textId="4A4CA847" w:rsidR="0013182D" w:rsidRPr="00A06F1E" w:rsidRDefault="00D12656" w:rsidP="0013182D">
      <w:pPr>
        <w:pStyle w:val="BodyTextposthead"/>
      </w:pPr>
      <w:r w:rsidRPr="00A06F1E">
        <w:rPr>
          <w:spacing w:val="-2"/>
        </w:rPr>
        <w:t>Since 2011, a human resources specialist leads t</w:t>
      </w:r>
      <w:r w:rsidR="0013182D" w:rsidRPr="00A06F1E">
        <w:rPr>
          <w:spacing w:val="-2"/>
        </w:rPr>
        <w:t xml:space="preserve">he </w:t>
      </w:r>
      <w:r w:rsidR="00343922" w:rsidRPr="00A06F1E">
        <w:rPr>
          <w:spacing w:val="-2"/>
        </w:rPr>
        <w:t>h</w:t>
      </w:r>
      <w:r w:rsidR="0013182D" w:rsidRPr="00A06F1E">
        <w:rPr>
          <w:spacing w:val="-2"/>
        </w:rPr>
        <w:t xml:space="preserve">uman </w:t>
      </w:r>
      <w:r w:rsidR="00343922" w:rsidRPr="00A06F1E">
        <w:rPr>
          <w:spacing w:val="-2"/>
        </w:rPr>
        <w:t>r</w:t>
      </w:r>
      <w:r w:rsidR="0013182D" w:rsidRPr="00A06F1E">
        <w:rPr>
          <w:spacing w:val="-2"/>
        </w:rPr>
        <w:t xml:space="preserve">esources department at </w:t>
      </w:r>
      <w:r w:rsidR="000D6A8E">
        <w:rPr>
          <w:spacing w:val="-2"/>
        </w:rPr>
        <w:t>RCM &amp; SU 73</w:t>
      </w:r>
      <w:r w:rsidR="0013182D" w:rsidRPr="00A06F1E">
        <w:rPr>
          <w:spacing w:val="-2"/>
        </w:rPr>
        <w:t xml:space="preserve">. This office manages payroll and </w:t>
      </w:r>
      <w:r w:rsidR="00D9614B" w:rsidRPr="00A06F1E">
        <w:rPr>
          <w:spacing w:val="-2"/>
        </w:rPr>
        <w:t>human resources</w:t>
      </w:r>
      <w:r w:rsidR="0013182D" w:rsidRPr="00A06F1E">
        <w:rPr>
          <w:spacing w:val="-2"/>
        </w:rPr>
        <w:t xml:space="preserve"> functions across Mahar</w:t>
      </w:r>
      <w:r w:rsidR="00F73F72" w:rsidRPr="00A06F1E">
        <w:rPr>
          <w:spacing w:val="-2"/>
        </w:rPr>
        <w:t xml:space="preserve"> Regional</w:t>
      </w:r>
      <w:r w:rsidR="0013182D" w:rsidRPr="00A06F1E">
        <w:rPr>
          <w:spacing w:val="-2"/>
        </w:rPr>
        <w:t xml:space="preserve">, </w:t>
      </w:r>
      <w:r w:rsidR="00CF4F71">
        <w:rPr>
          <w:spacing w:val="-2"/>
        </w:rPr>
        <w:t>Fisher Hill</w:t>
      </w:r>
      <w:r w:rsidR="0013182D" w:rsidRPr="00A06F1E">
        <w:rPr>
          <w:spacing w:val="-2"/>
        </w:rPr>
        <w:t xml:space="preserve">, and </w:t>
      </w:r>
      <w:proofErr w:type="spellStart"/>
      <w:r w:rsidR="00652B48">
        <w:rPr>
          <w:spacing w:val="-2"/>
        </w:rPr>
        <w:t>Petersham</w:t>
      </w:r>
      <w:proofErr w:type="spellEnd"/>
      <w:r w:rsidR="00652B48">
        <w:rPr>
          <w:spacing w:val="-2"/>
        </w:rPr>
        <w:t xml:space="preserve"> Center</w:t>
      </w:r>
      <w:r w:rsidR="0013182D" w:rsidRPr="00A06F1E">
        <w:rPr>
          <w:spacing w:val="-2"/>
        </w:rPr>
        <w:t xml:space="preserve">, supporting principals in recruiting and hiring staff. This office is </w:t>
      </w:r>
      <w:r w:rsidRPr="00A06F1E">
        <w:rPr>
          <w:spacing w:val="-2"/>
        </w:rPr>
        <w:t xml:space="preserve">currently </w:t>
      </w:r>
      <w:r w:rsidR="0013182D" w:rsidRPr="00A06F1E">
        <w:rPr>
          <w:spacing w:val="-2"/>
        </w:rPr>
        <w:t xml:space="preserve">transitioning traditional personnel files to electronic files. The new </w:t>
      </w:r>
      <w:r w:rsidR="00112B08">
        <w:t>data</w:t>
      </w:r>
      <w:r w:rsidR="0013182D" w:rsidRPr="00A06F1E">
        <w:rPr>
          <w:spacing w:val="-2"/>
        </w:rPr>
        <w:t xml:space="preserve"> platform, also used for student assessment data, will aid this process. In the meantime, </w:t>
      </w:r>
      <w:r w:rsidR="00D9614B" w:rsidRPr="00A06F1E">
        <w:rPr>
          <w:spacing w:val="-2"/>
        </w:rPr>
        <w:t>the human resources</w:t>
      </w:r>
      <w:r w:rsidR="0013182D" w:rsidRPr="00A06F1E">
        <w:rPr>
          <w:spacing w:val="-2"/>
        </w:rPr>
        <w:t xml:space="preserve"> </w:t>
      </w:r>
      <w:r w:rsidR="00D9614B" w:rsidRPr="00A06F1E">
        <w:rPr>
          <w:spacing w:val="-2"/>
        </w:rPr>
        <w:t xml:space="preserve">department </w:t>
      </w:r>
      <w:r w:rsidR="0013182D" w:rsidRPr="00A06F1E">
        <w:rPr>
          <w:spacing w:val="-2"/>
        </w:rPr>
        <w:t xml:space="preserve">prepares regular, detailed reports that help identify staffing trends and turnover, </w:t>
      </w:r>
      <w:r w:rsidR="00900876">
        <w:rPr>
          <w:spacing w:val="-2"/>
        </w:rPr>
        <w:t xml:space="preserve">and, along with other </w:t>
      </w:r>
      <w:r w:rsidR="00151EE2">
        <w:rPr>
          <w:spacing w:val="-2"/>
        </w:rPr>
        <w:t>school committee processes that track staffing</w:t>
      </w:r>
      <w:r w:rsidR="00900876">
        <w:rPr>
          <w:spacing w:val="-2"/>
        </w:rPr>
        <w:t xml:space="preserve">, are </w:t>
      </w:r>
      <w:r w:rsidR="0013182D" w:rsidRPr="00A06F1E">
        <w:rPr>
          <w:spacing w:val="-2"/>
        </w:rPr>
        <w:t xml:space="preserve">a strength that supports data-driven </w:t>
      </w:r>
      <w:r w:rsidR="00947001">
        <w:rPr>
          <w:spacing w:val="-2"/>
        </w:rPr>
        <w:t>decision-making</w:t>
      </w:r>
      <w:r w:rsidR="0013182D" w:rsidRPr="00A06F1E">
        <w:rPr>
          <w:spacing w:val="-2"/>
        </w:rPr>
        <w:t>.</w:t>
      </w:r>
    </w:p>
    <w:p w14:paraId="5FB8376B" w14:textId="6AC89F77" w:rsidR="0013182D" w:rsidRPr="00A06F1E" w:rsidRDefault="0013182D" w:rsidP="00553FA3">
      <w:pPr>
        <w:pStyle w:val="BodyText"/>
      </w:pPr>
      <w:r w:rsidRPr="00A06F1E">
        <w:t xml:space="preserve">The recruitment and hiring process at </w:t>
      </w:r>
      <w:r w:rsidR="000D6A8E">
        <w:t>RCM &amp; SU 73</w:t>
      </w:r>
      <w:r w:rsidRPr="00A06F1E">
        <w:t xml:space="preserve"> is a strength because it involves active engagement from key stakeholders. School administrators noted that the process of identifying staffing needs begins with them. The </w:t>
      </w:r>
      <w:r w:rsidR="00D9614B" w:rsidRPr="00A06F1E">
        <w:rPr>
          <w:spacing w:val="-2"/>
        </w:rPr>
        <w:t>human resources</w:t>
      </w:r>
      <w:r w:rsidRPr="00A06F1E">
        <w:t xml:space="preserve"> </w:t>
      </w:r>
      <w:r w:rsidR="00EC583D" w:rsidRPr="00A06F1E">
        <w:t>s</w:t>
      </w:r>
      <w:r w:rsidRPr="00A06F1E">
        <w:t xml:space="preserve">pecialist plays a role in managing the administrative aspects of the hiring process, and the superintendent oversees the entire recruitment and hiring process. The superintendent offers final approval. However, the hiring and assignment processes </w:t>
      </w:r>
      <w:r w:rsidR="00E67FFE" w:rsidRPr="00A06F1E">
        <w:t>at</w:t>
      </w:r>
      <w:r w:rsidRPr="00A06F1E">
        <w:t xml:space="preserve"> </w:t>
      </w:r>
      <w:r w:rsidR="000D6A8E">
        <w:t>RCM &amp; SU 73</w:t>
      </w:r>
      <w:r w:rsidRPr="00A06F1E">
        <w:t xml:space="preserve"> face several challenges, primarily due to budgeting constraints and the difficulty of finding qualified teachers for specialized subjects, which remains an area for growth.</w:t>
      </w:r>
    </w:p>
    <w:p w14:paraId="3932DF96" w14:textId="1F4F66A4" w:rsidR="0013182D" w:rsidRPr="00A06F1E" w:rsidRDefault="0013182D" w:rsidP="00553FA3">
      <w:pPr>
        <w:pStyle w:val="BodyText"/>
      </w:pPr>
      <w:r w:rsidRPr="00A06F1E">
        <w:t xml:space="preserve">Implementing teacher evaluations has presented significant challenges due to past practices and resistance to change and remains an area for growth. Since the current superintendent came into </w:t>
      </w:r>
      <w:r w:rsidR="00947001">
        <w:t>her role</w:t>
      </w:r>
      <w:r w:rsidRPr="00A06F1E">
        <w:t xml:space="preserve">, </w:t>
      </w:r>
      <w:r w:rsidR="000D6A8E">
        <w:t>RCM &amp; SU 73</w:t>
      </w:r>
      <w:r w:rsidRPr="00A06F1E">
        <w:t xml:space="preserve"> has tried to institute a more consistent and robust process, which some teachers had not experienced prior to her arrival. A review of teacher and administration evaluations highlights that a strength of the district is consistently identifying areas of strength through the evaluation process for teachers and administrators. On the other hand, this evidence also highlights that an area for growth for the district is articulating areas for improvement to support ongoing instructional and professional improvement for teachers.</w:t>
      </w:r>
    </w:p>
    <w:p w14:paraId="3E57517C" w14:textId="55AFBACF" w:rsidR="00BD27F3" w:rsidRPr="00A06F1E" w:rsidRDefault="00D9614B" w:rsidP="00553FA3">
      <w:pPr>
        <w:pStyle w:val="BodyText"/>
      </w:pPr>
      <w:r w:rsidRPr="00A06F1E">
        <w:t>Professional development</w:t>
      </w:r>
      <w:r w:rsidR="0013182D" w:rsidRPr="00A06F1E">
        <w:t xml:space="preserve"> </w:t>
      </w:r>
      <w:r w:rsidR="0013182D" w:rsidRPr="00B62C74">
        <w:t xml:space="preserve">plans for </w:t>
      </w:r>
      <w:r w:rsidR="000D6A8E">
        <w:t>RCM &amp; SU 73</w:t>
      </w:r>
      <w:r w:rsidR="0013182D" w:rsidRPr="00B62C74">
        <w:t xml:space="preserve"> emphasize continuous training for teachers, specialists, and paraeducators. A strength</w:t>
      </w:r>
      <w:r w:rsidR="0013182D" w:rsidRPr="00A06F1E">
        <w:t xml:space="preserve"> of the district is that its planned </w:t>
      </w:r>
      <w:r w:rsidRPr="00A06F1E">
        <w:t>professional development</w:t>
      </w:r>
      <w:r w:rsidR="0013182D" w:rsidRPr="00A06F1E">
        <w:t xml:space="preserve"> activities align with its goals for academic rigor, collaboration, and community engagement. Schools create an annual </w:t>
      </w:r>
      <w:r w:rsidRPr="00A06F1E">
        <w:t xml:space="preserve">professional development </w:t>
      </w:r>
      <w:r w:rsidR="0013182D" w:rsidRPr="00A06F1E">
        <w:t xml:space="preserve">calendar, scheduling sessions approximately once a month, with specific focus areas varying throughout the year. However, some areas of teacher support remain areas for growth, including expanding mentoring support for new teachers. In addition, </w:t>
      </w:r>
      <w:r w:rsidR="009F131F" w:rsidRPr="00A06F1E">
        <w:t>although</w:t>
      </w:r>
      <w:r w:rsidR="0013182D" w:rsidRPr="00A06F1E">
        <w:t xml:space="preserve"> there are some opportunities for teachers to take on leadership roles in the district, several teachers reported having limited opportunities to take on other leadership roles</w:t>
      </w:r>
      <w:r w:rsidR="00BD27F3" w:rsidRPr="00A06F1E">
        <w:rPr>
          <w:i/>
          <w:iCs/>
        </w:rPr>
        <w:t>.</w:t>
      </w:r>
    </w:p>
    <w:p w14:paraId="2D5F1324" w14:textId="3E4B4BAC" w:rsidR="000B1DD2" w:rsidRPr="00A06F1E" w:rsidRDefault="00000000" w:rsidP="000B1DD2">
      <w:pPr>
        <w:pStyle w:val="Heading3"/>
      </w:pPr>
      <w:hyperlink w:anchor="_Student_Support" w:history="1">
        <w:r w:rsidR="000B1DD2" w:rsidRPr="00A06F1E">
          <w:rPr>
            <w:rStyle w:val="Hyperlink"/>
          </w:rPr>
          <w:t>Student Support</w:t>
        </w:r>
      </w:hyperlink>
    </w:p>
    <w:p w14:paraId="7204EE9D" w14:textId="16D00E70" w:rsidR="00736376" w:rsidRPr="00A06F1E" w:rsidRDefault="000D6A8E" w:rsidP="00736376">
      <w:pPr>
        <w:pStyle w:val="BodyTextposthead"/>
      </w:pPr>
      <w:r>
        <w:t>RCM &amp; SU 73</w:t>
      </w:r>
      <w:r w:rsidR="00736376" w:rsidRPr="00A06F1E">
        <w:t xml:space="preserve"> has structures and systems in place to support the academic, behavioral, and social-emotional needs of students. </w:t>
      </w:r>
      <w:r>
        <w:t>RCM &amp; SU 73</w:t>
      </w:r>
      <w:r w:rsidR="00040362" w:rsidRPr="00A06F1E">
        <w:t>’</w:t>
      </w:r>
      <w:r w:rsidR="00736376" w:rsidRPr="00A06F1E">
        <w:t xml:space="preserve">s plan for forming a safe and supportive school climate and culture focuses on three district priorities: social-emotional learning, equity, and access and inclusion, and having clear priorities is a strength. Data gathered during classroom observations indicate that the three schools in the superintendency union foster a welcoming and supportive learning environment. However, </w:t>
      </w:r>
      <w:r w:rsidR="002732E4">
        <w:t xml:space="preserve">mixed student reports and </w:t>
      </w:r>
      <w:r w:rsidR="00B762FD">
        <w:t>data on student suspensions</w:t>
      </w:r>
      <w:r w:rsidR="00736376" w:rsidRPr="00A06F1E">
        <w:t xml:space="preserve"> indicate some room for improvement in providing all students with positive learning experiences</w:t>
      </w:r>
      <w:r w:rsidR="00B762FD">
        <w:t>, an area for growth</w:t>
      </w:r>
      <w:r w:rsidR="00736376" w:rsidRPr="00A06F1E">
        <w:t>.</w:t>
      </w:r>
    </w:p>
    <w:p w14:paraId="16CB2C4A" w14:textId="4E8E1CA4" w:rsidR="006C1DC9" w:rsidRPr="00A06F1E" w:rsidRDefault="00736376" w:rsidP="00553FA3">
      <w:pPr>
        <w:pStyle w:val="BodyText"/>
      </w:pPr>
      <w:r w:rsidRPr="00A06F1E">
        <w:lastRenderedPageBreak/>
        <w:t xml:space="preserve">The superintendency union has structures in place to support tiered systems of </w:t>
      </w:r>
      <w:r w:rsidR="0007734D">
        <w:t>support</w:t>
      </w:r>
      <w:r w:rsidRPr="00A06F1E">
        <w:t xml:space="preserve">, such as student support teams at each school, </w:t>
      </w:r>
      <w:r w:rsidR="2B847496">
        <w:t xml:space="preserve">and has continued to </w:t>
      </w:r>
      <w:r w:rsidR="000C1495">
        <w:t xml:space="preserve">work </w:t>
      </w:r>
      <w:r w:rsidR="2B847496">
        <w:t>to strengthen these structures</w:t>
      </w:r>
      <w:r w:rsidR="00331281">
        <w:t xml:space="preserve">. </w:t>
      </w:r>
      <w:r w:rsidR="000D6A8E">
        <w:t>RCM &amp; SU 73</w:t>
      </w:r>
      <w:r w:rsidR="00331281">
        <w:t>’s efforts around nonacademic needs are a strength</w:t>
      </w:r>
      <w:r w:rsidR="0064460A">
        <w:t>. However,</w:t>
      </w:r>
      <w:r w:rsidRPr="00A06F1E">
        <w:t xml:space="preserve"> consistently implementing tiered academic supports across schools, particularly at the elementary level, is an area </w:t>
      </w:r>
      <w:r w:rsidR="00F82473" w:rsidRPr="00A06F1E">
        <w:t>for</w:t>
      </w:r>
      <w:r w:rsidRPr="00A06F1E">
        <w:t xml:space="preserve"> growth.</w:t>
      </w:r>
      <w:r w:rsidR="31D5BB35">
        <w:t xml:space="preserve"> </w:t>
      </w:r>
    </w:p>
    <w:p w14:paraId="16794A62" w14:textId="015758BB" w:rsidR="001C2465" w:rsidRPr="00A06F1E" w:rsidRDefault="00736376" w:rsidP="00553FA3">
      <w:pPr>
        <w:pStyle w:val="BodyText"/>
      </w:pPr>
      <w:r w:rsidRPr="00A06F1E">
        <w:t xml:space="preserve">In partnering with families and the community, </w:t>
      </w:r>
      <w:r w:rsidR="000D6A8E">
        <w:t>RCM &amp; SU 73</w:t>
      </w:r>
      <w:r w:rsidRPr="00A06F1E">
        <w:t xml:space="preserve"> offers several means of engaging families</w:t>
      </w:r>
      <w:r w:rsidR="006A2114">
        <w:t xml:space="preserve"> and students</w:t>
      </w:r>
      <w:r w:rsidRPr="00A06F1E">
        <w:t xml:space="preserve">. </w:t>
      </w:r>
      <w:r w:rsidR="00112439">
        <w:t xml:space="preserve">The </w:t>
      </w:r>
      <w:r w:rsidR="00362AAE">
        <w:t>superintendency union’s opportunities for student voice are a strength.</w:t>
      </w:r>
      <w:r w:rsidRPr="00A06F1E">
        <w:t xml:space="preserve"> However, parents expressed that they have a desire for more frequent and accessible opportunities to provide feedback</w:t>
      </w:r>
      <w:r w:rsidR="009853C8">
        <w:t>, which is an area for growth.</w:t>
      </w:r>
    </w:p>
    <w:p w14:paraId="202DC286" w14:textId="586E6819" w:rsidR="000B1DD2" w:rsidRPr="00A06F1E" w:rsidRDefault="00000000" w:rsidP="000B1DD2">
      <w:pPr>
        <w:pStyle w:val="Heading3"/>
      </w:pPr>
      <w:hyperlink w:anchor="_Financial_and_Asset" w:history="1">
        <w:r w:rsidR="000B1DD2" w:rsidRPr="00A06F1E">
          <w:rPr>
            <w:rStyle w:val="Hyperlink"/>
          </w:rPr>
          <w:t>Financial and Asset Management</w:t>
        </w:r>
      </w:hyperlink>
    </w:p>
    <w:bookmarkEnd w:id="11"/>
    <w:p w14:paraId="0A0768B5" w14:textId="33B3944C" w:rsidR="00AE6807" w:rsidRPr="00A06F1E" w:rsidRDefault="00AE6807" w:rsidP="00AE6807">
      <w:pPr>
        <w:pStyle w:val="BodyTextposthead"/>
      </w:pPr>
      <w:r w:rsidRPr="00A06F1E">
        <w:t xml:space="preserve">The </w:t>
      </w:r>
      <w:r w:rsidR="00B85769" w:rsidRPr="00A06F1E">
        <w:t>f</w:t>
      </w:r>
      <w:r w:rsidRPr="00A06F1E">
        <w:t xml:space="preserve">inance and </w:t>
      </w:r>
      <w:r w:rsidR="00B85769" w:rsidRPr="00A06F1E">
        <w:t>o</w:t>
      </w:r>
      <w:r w:rsidRPr="00A06F1E">
        <w:t xml:space="preserve">perations </w:t>
      </w:r>
      <w:r w:rsidR="001C3B70">
        <w:t xml:space="preserve">director </w:t>
      </w:r>
      <w:r w:rsidRPr="00A06F1E">
        <w:t xml:space="preserve">manages budget development and other </w:t>
      </w:r>
      <w:r w:rsidR="00BD0033">
        <w:t>fiscal</w:t>
      </w:r>
      <w:r w:rsidR="00BD0033" w:rsidRPr="00A06F1E">
        <w:t xml:space="preserve"> </w:t>
      </w:r>
      <w:r w:rsidRPr="00A06F1E">
        <w:t>matters for Mahar</w:t>
      </w:r>
      <w:r w:rsidR="00280EC5" w:rsidRPr="00A06F1E">
        <w:t xml:space="preserve"> Regional</w:t>
      </w:r>
      <w:r w:rsidRPr="00A06F1E">
        <w:t xml:space="preserve">, </w:t>
      </w:r>
      <w:r w:rsidR="00CF4F71">
        <w:t>Fisher Hill</w:t>
      </w:r>
      <w:r w:rsidRPr="00A06F1E">
        <w:t xml:space="preserve">, and </w:t>
      </w:r>
      <w:proofErr w:type="spellStart"/>
      <w:r w:rsidR="00652B48">
        <w:t>Petersham</w:t>
      </w:r>
      <w:proofErr w:type="spellEnd"/>
      <w:r w:rsidR="00652B48">
        <w:t xml:space="preserve"> Center</w:t>
      </w:r>
      <w:r w:rsidRPr="00A06F1E">
        <w:t>, including reporting to their respective school committees. She and her department, alongside the superintendent, report regularly to the Resources and Capacity subcommittees of the three school committees, which serve as the regional</w:t>
      </w:r>
      <w:r w:rsidR="006C1DC9" w:rsidRPr="00A06F1E">
        <w:t xml:space="preserve"> </w:t>
      </w:r>
      <w:r w:rsidRPr="00A06F1E">
        <w:t xml:space="preserve">finance subcommittees. </w:t>
      </w:r>
      <w:r w:rsidR="000D6A8E">
        <w:t>RCM &amp; SU 73</w:t>
      </w:r>
      <w:r w:rsidR="00040362" w:rsidRPr="00A06F1E">
        <w:t>’</w:t>
      </w:r>
      <w:r w:rsidRPr="00A06F1E">
        <w:t xml:space="preserve">s commitment to transparency and communication is evident in </w:t>
      </w:r>
      <w:r w:rsidR="00132C34">
        <w:t>its</w:t>
      </w:r>
      <w:r w:rsidR="00132C34" w:rsidRPr="00A06F1E">
        <w:t xml:space="preserve"> </w:t>
      </w:r>
      <w:r w:rsidRPr="00A06F1E">
        <w:t>efforts to make budget presentations and reports accessible and clearly communicated to the public and other stakeholders across multiple constituencies, which is a strength.</w:t>
      </w:r>
    </w:p>
    <w:p w14:paraId="59489B74" w14:textId="6D2EE9C4" w:rsidR="00AE6807" w:rsidRPr="00A06F1E" w:rsidRDefault="00AE6807" w:rsidP="00553FA3">
      <w:pPr>
        <w:pStyle w:val="BodyText"/>
      </w:pPr>
      <w:r w:rsidRPr="00A06F1E">
        <w:t xml:space="preserve">Staff at multiple levels consistently reported concerns about tight budgets. Addressing these issues to offer greater certainty to </w:t>
      </w:r>
      <w:r w:rsidR="000D6A8E">
        <w:t>RCM &amp; SU 73</w:t>
      </w:r>
      <w:r w:rsidRPr="00A06F1E">
        <w:t xml:space="preserve"> is an area for growth, particularly in communicating with multiple towns with varying timelines and fiscal capacities. However, </w:t>
      </w:r>
      <w:r w:rsidR="00E13910" w:rsidRPr="00A06F1E">
        <w:t xml:space="preserve">the </w:t>
      </w:r>
      <w:r w:rsidRPr="00A06F1E">
        <w:t xml:space="preserve">financial oversight process includes thorough review processes, which are </w:t>
      </w:r>
      <w:r w:rsidR="00553A25">
        <w:t xml:space="preserve">a </w:t>
      </w:r>
      <w:r w:rsidRPr="00A06F1E">
        <w:t>strength. Grant funding management</w:t>
      </w:r>
      <w:r w:rsidR="18B0B44B">
        <w:t>,</w:t>
      </w:r>
      <w:r>
        <w:t xml:space="preserve"> </w:t>
      </w:r>
      <w:r w:rsidR="204DC5EA">
        <w:t>by strategic use of state and federal grants,</w:t>
      </w:r>
      <w:r w:rsidRPr="00A06F1E">
        <w:t xml:space="preserve"> </w:t>
      </w:r>
      <w:r w:rsidR="00C03455">
        <w:t>in</w:t>
      </w:r>
      <w:r w:rsidRPr="00A06F1E">
        <w:t xml:space="preserve"> </w:t>
      </w:r>
      <w:r w:rsidR="000D6A8E">
        <w:t>RCM &amp; SU 73</w:t>
      </w:r>
      <w:r w:rsidRPr="00A06F1E">
        <w:t xml:space="preserve"> is another strength.</w:t>
      </w:r>
    </w:p>
    <w:p w14:paraId="24E5F434" w14:textId="5CA4D96C" w:rsidR="00F75B10" w:rsidRPr="00A06F1E" w:rsidRDefault="00AE6807" w:rsidP="00553FA3">
      <w:pPr>
        <w:pStyle w:val="BodyText"/>
      </w:pPr>
      <w:r w:rsidRPr="00A06F1E">
        <w:t xml:space="preserve">Capital and facilities management in a superintendency union is a complex task involving multiple constituent communities. </w:t>
      </w:r>
      <w:r w:rsidR="00CF4F71">
        <w:t>Fisher Hill</w:t>
      </w:r>
      <w:r w:rsidRPr="00A06F1E">
        <w:t xml:space="preserve"> recently completed a renovation and construction project for a new, consolidated elementary school. Mahar </w:t>
      </w:r>
      <w:r w:rsidR="00280EC5" w:rsidRPr="00A06F1E">
        <w:t xml:space="preserve">Regional </w:t>
      </w:r>
      <w:r w:rsidRPr="00A06F1E">
        <w:t>has forthcoming needs related to its large roof. To manage these</w:t>
      </w:r>
      <w:r w:rsidR="00891327">
        <w:t xml:space="preserve"> varied and complex</w:t>
      </w:r>
      <w:r w:rsidRPr="00A06F1E">
        <w:t xml:space="preserve"> efforts, </w:t>
      </w:r>
      <w:r w:rsidR="000D6A8E">
        <w:t>RCM &amp; SU 73</w:t>
      </w:r>
      <w:r w:rsidRPr="00A06F1E">
        <w:t xml:space="preserve"> employs a strategic approach to long-term planning and budgeting for facility management, which is a strength. </w:t>
      </w:r>
      <w:r w:rsidRPr="00BD0033">
        <w:t>For example, Mahar</w:t>
      </w:r>
      <w:r w:rsidR="00F93B9F" w:rsidRPr="00BD0033">
        <w:t xml:space="preserve"> </w:t>
      </w:r>
      <w:r w:rsidR="000661A0">
        <w:t>Regional</w:t>
      </w:r>
      <w:r w:rsidRPr="00BD0033">
        <w:t xml:space="preserve"> has established</w:t>
      </w:r>
      <w:r w:rsidRPr="00A06F1E">
        <w:t xml:space="preserve"> a capital stabilization fund, </w:t>
      </w:r>
      <w:r w:rsidR="00B41312" w:rsidRPr="00A06F1E">
        <w:t>al</w:t>
      </w:r>
      <w:r w:rsidRPr="00A06F1E">
        <w:t xml:space="preserve">though </w:t>
      </w:r>
      <w:r w:rsidR="00CF4F71">
        <w:t>Fisher Hill</w:t>
      </w:r>
      <w:r w:rsidRPr="00A06F1E">
        <w:t xml:space="preserve"> and </w:t>
      </w:r>
      <w:proofErr w:type="spellStart"/>
      <w:r w:rsidR="00652B48">
        <w:t>Petersham</w:t>
      </w:r>
      <w:proofErr w:type="spellEnd"/>
      <w:r w:rsidR="00652B48">
        <w:t xml:space="preserve"> Center</w:t>
      </w:r>
      <w:r w:rsidRPr="00A06F1E">
        <w:t xml:space="preserve"> have been thus far unable to </w:t>
      </w:r>
      <w:r w:rsidR="009B6F9C">
        <w:t>establish such funds</w:t>
      </w:r>
      <w:r w:rsidRPr="00A06F1E">
        <w:t xml:space="preserve">. Respondents from </w:t>
      </w:r>
      <w:r w:rsidR="00CF4F71">
        <w:t>Fisher Hill</w:t>
      </w:r>
      <w:r w:rsidRPr="00A06F1E">
        <w:t xml:space="preserve"> and </w:t>
      </w:r>
      <w:proofErr w:type="spellStart"/>
      <w:r w:rsidR="00652B48">
        <w:t>Petersham</w:t>
      </w:r>
      <w:proofErr w:type="spellEnd"/>
      <w:r w:rsidR="00652B48">
        <w:t xml:space="preserve"> Center</w:t>
      </w:r>
      <w:r w:rsidRPr="00A06F1E">
        <w:t xml:space="preserve"> expressed concern about each town</w:t>
      </w:r>
      <w:r w:rsidR="00040362" w:rsidRPr="00A06F1E">
        <w:t>’</w:t>
      </w:r>
      <w:r w:rsidRPr="00A06F1E">
        <w:t xml:space="preserve">s financial constraints, impacting their ability to </w:t>
      </w:r>
      <w:r w:rsidR="001A3F7C">
        <w:t>address all</w:t>
      </w:r>
      <w:r w:rsidRPr="00A06F1E">
        <w:t xml:space="preserve"> capital needs, which is an area for growth</w:t>
      </w:r>
      <w:r w:rsidR="00F75B10" w:rsidRPr="00A06F1E">
        <w:rPr>
          <w:i/>
          <w:iCs/>
        </w:rPr>
        <w:t>.</w:t>
      </w:r>
    </w:p>
    <w:p w14:paraId="7A47C448" w14:textId="7E57DABC" w:rsidR="003D6ECF" w:rsidRPr="00A06F1E" w:rsidRDefault="009572A5" w:rsidP="003D6ECF">
      <w:pPr>
        <w:pStyle w:val="Heading2"/>
        <w:rPr>
          <w:spacing w:val="-2"/>
        </w:rPr>
      </w:pPr>
      <w:bookmarkStart w:id="12" w:name="_Toc170701353"/>
      <w:bookmarkStart w:id="13" w:name="_Toc170896576"/>
      <w:r w:rsidRPr="00A06F1E">
        <w:rPr>
          <w:spacing w:val="-2"/>
        </w:rPr>
        <w:lastRenderedPageBreak/>
        <w:t>Ralph C</w:t>
      </w:r>
      <w:r w:rsidR="0075791D" w:rsidRPr="00A06F1E">
        <w:rPr>
          <w:spacing w:val="-2"/>
        </w:rPr>
        <w:t>.</w:t>
      </w:r>
      <w:r w:rsidRPr="00A06F1E">
        <w:rPr>
          <w:spacing w:val="-2"/>
        </w:rPr>
        <w:t xml:space="preserve"> Mahar </w:t>
      </w:r>
      <w:r w:rsidR="0010545A" w:rsidRPr="00A06F1E">
        <w:rPr>
          <w:spacing w:val="-2"/>
        </w:rPr>
        <w:t xml:space="preserve">and </w:t>
      </w:r>
      <w:r w:rsidRPr="00A06F1E">
        <w:rPr>
          <w:spacing w:val="-2"/>
        </w:rPr>
        <w:t>School Union 73</w:t>
      </w:r>
      <w:r w:rsidR="00D30A74" w:rsidRPr="00A06F1E">
        <w:rPr>
          <w:spacing w:val="-2"/>
        </w:rPr>
        <w:t xml:space="preserve">: </w:t>
      </w:r>
      <w:r w:rsidR="003D6ECF" w:rsidRPr="00A06F1E">
        <w:rPr>
          <w:spacing w:val="-2"/>
        </w:rPr>
        <w:t>District Review Overview</w:t>
      </w:r>
      <w:bookmarkEnd w:id="12"/>
      <w:bookmarkEnd w:id="13"/>
    </w:p>
    <w:p w14:paraId="2E41F691" w14:textId="77777777" w:rsidR="003D6ECF" w:rsidRPr="00A06F1E" w:rsidRDefault="003D6ECF" w:rsidP="003D6ECF">
      <w:pPr>
        <w:pStyle w:val="Heading3"/>
        <w:rPr>
          <w:color w:val="C00000"/>
        </w:rPr>
      </w:pPr>
      <w:bookmarkStart w:id="14" w:name="_Toc273777149"/>
      <w:bookmarkStart w:id="15" w:name="_Toc277066412"/>
      <w:bookmarkStart w:id="16" w:name="_Toc338665638"/>
      <w:r w:rsidRPr="00A06F1E">
        <w:t>Purpose</w:t>
      </w:r>
      <w:bookmarkEnd w:id="14"/>
      <w:bookmarkEnd w:id="15"/>
      <w:bookmarkEnd w:id="16"/>
    </w:p>
    <w:p w14:paraId="74ADAEE3" w14:textId="77777777" w:rsidR="006C1DC9" w:rsidRPr="00A06F1E" w:rsidRDefault="003D6ECF" w:rsidP="00553FA3">
      <w:pPr>
        <w:pStyle w:val="BodyTextposthead"/>
      </w:pPr>
      <w:r w:rsidRPr="00A06F1E">
        <w:t xml:space="preserve">Conducted under Chapter 15, Section 55A of the Massachusetts General Laws, </w:t>
      </w:r>
      <w:r w:rsidR="00D30A74" w:rsidRPr="00A06F1E">
        <w:t xml:space="preserve">comprehensive </w:t>
      </w:r>
      <w:r w:rsidRPr="00A06F1E">
        <w:t xml:space="preserve">district reviews support local school districts in establishing or strengthening a cycle of continuous improvement. Reviews </w:t>
      </w:r>
      <w:r w:rsidR="00D30A74" w:rsidRPr="00A06F1E">
        <w:t xml:space="preserve">carefully </w:t>
      </w:r>
      <w:r w:rsidRPr="00A06F1E">
        <w:t xml:space="preserve">consider the effectiveness of systemwide functions, </w:t>
      </w:r>
      <w:r w:rsidR="00D30A74" w:rsidRPr="00A06F1E">
        <w:t>referring</w:t>
      </w:r>
      <w:r w:rsidRPr="00A06F1E">
        <w:t xml:space="preserve"> to the six district standards used by DESE: Leadership and Governance, Curriculum and Instruction, Assessment, Human Resources and Professional Development, Student Support, and Financial and Asset Management.</w:t>
      </w:r>
      <w:r w:rsidRPr="00A06F1E">
        <w:rPr>
          <w:rStyle w:val="FootnoteReference"/>
        </w:rPr>
        <w:footnoteReference w:id="4"/>
      </w:r>
      <w:r w:rsidRPr="00A06F1E">
        <w:t xml:space="preserve"> Reviews identify systems and practices that may be impeding improvement as well as those most likely to be contributing to positive results. </w:t>
      </w:r>
      <w:r w:rsidR="00786C41" w:rsidRPr="00A06F1E">
        <w:rPr>
          <w:rFonts w:cs="Calibri"/>
          <w:bCs/>
        </w:rPr>
        <w:t>T</w:t>
      </w:r>
      <w:r w:rsidRPr="00A06F1E">
        <w:rPr>
          <w:rFonts w:cs="Calibri"/>
          <w:bCs/>
        </w:rPr>
        <w:t xml:space="preserve">he </w:t>
      </w:r>
      <w:r w:rsidR="00D30A74" w:rsidRPr="00A06F1E">
        <w:rPr>
          <w:rFonts w:cs="Calibri"/>
          <w:bCs/>
        </w:rPr>
        <w:t xml:space="preserve">design of the comprehensive </w:t>
      </w:r>
      <w:r w:rsidRPr="00A06F1E">
        <w:rPr>
          <w:rFonts w:cs="Calibri"/>
          <w:bCs/>
        </w:rPr>
        <w:t>district review promote</w:t>
      </w:r>
      <w:r w:rsidR="00D30A74" w:rsidRPr="00A06F1E">
        <w:rPr>
          <w:rFonts w:cs="Calibri"/>
          <w:bCs/>
        </w:rPr>
        <w:t>s</w:t>
      </w:r>
      <w:r w:rsidRPr="00A06F1E">
        <w:rPr>
          <w:rFonts w:cs="Calibri"/>
          <w:bCs/>
        </w:rPr>
        <w:t xml:space="preserve"> district reflection on its own performance and potential next steps. </w:t>
      </w:r>
      <w:r w:rsidRPr="00A06F1E">
        <w:t>In addition to providing information to each district reviewed, DESE uses review reports to identify resources and/or technical assistance to provide to the district.</w:t>
      </w:r>
    </w:p>
    <w:p w14:paraId="267B0A5A" w14:textId="58594B61" w:rsidR="003D6ECF" w:rsidRPr="00A06F1E" w:rsidRDefault="003D6ECF" w:rsidP="003D6ECF">
      <w:pPr>
        <w:pStyle w:val="Heading3"/>
      </w:pPr>
      <w:bookmarkStart w:id="17" w:name="_Toc273777151"/>
      <w:bookmarkStart w:id="18" w:name="_Toc277066413"/>
      <w:bookmarkStart w:id="19" w:name="_Toc338665639"/>
      <w:r w:rsidRPr="00A06F1E">
        <w:t>Methodology</w:t>
      </w:r>
      <w:bookmarkEnd w:id="17"/>
      <w:bookmarkEnd w:id="18"/>
      <w:bookmarkEnd w:id="19"/>
    </w:p>
    <w:p w14:paraId="4681F304" w14:textId="1A5E666C" w:rsidR="006C1DC9" w:rsidRPr="00A06F1E" w:rsidRDefault="003D6ECF" w:rsidP="003D6ECF">
      <w:pPr>
        <w:pStyle w:val="BodyTextposthead"/>
      </w:pPr>
      <w:r w:rsidRPr="00A06F1E">
        <w:t>A district review team consisting of AIR staff members and subcontractors, with expertise in each district standard, reviews documentation and extant data prior to conducting an on</w:t>
      </w:r>
      <w:r w:rsidR="00D30A74" w:rsidRPr="00A06F1E">
        <w:t>-</w:t>
      </w:r>
      <w:r w:rsidRPr="00A06F1E">
        <w:t>site visit. On</w:t>
      </w:r>
      <w:r w:rsidR="00D30A74" w:rsidRPr="00A06F1E">
        <w:t>-</w:t>
      </w:r>
      <w:r w:rsidRPr="00A06F1E">
        <w:t>site data collection includes team members conducting interviews and focus group sessions with a wide range of stakeholders, including school committee members, teachers association representatives, district and school administrators, teachers, students, and students</w:t>
      </w:r>
      <w:r w:rsidR="00040362" w:rsidRPr="00A06F1E">
        <w:t>’</w:t>
      </w:r>
      <w:r w:rsidRPr="00A06F1E">
        <w:t xml:space="preserve"> families. </w:t>
      </w:r>
      <w:r w:rsidR="005803A6" w:rsidRPr="00A06F1E">
        <w:t xml:space="preserve">Virtual interviews and focus groups also are conducted as needed. </w:t>
      </w:r>
      <w:r w:rsidR="00491ACB" w:rsidRPr="00A06F1E">
        <w:t xml:space="preserve">Information about review activities and the site visit schedule is in Appendix A. </w:t>
      </w:r>
      <w:r w:rsidRPr="00A06F1E">
        <w:t xml:space="preserve">Team members also observe classroom instruction and collect data using the CLASS protocol. </w:t>
      </w:r>
      <w:r w:rsidR="005803A6" w:rsidRPr="00A06F1E">
        <w:t>The Districtwide Instructional Observation Report</w:t>
      </w:r>
      <w:r w:rsidR="00006535" w:rsidRPr="00A06F1E">
        <w:t xml:space="preserve"> resulting from these classroom observations</w:t>
      </w:r>
      <w:r w:rsidR="005803A6" w:rsidRPr="00A06F1E">
        <w:t xml:space="preserve"> is </w:t>
      </w:r>
      <w:r w:rsidR="009D0554" w:rsidRPr="00A06F1E">
        <w:t>i</w:t>
      </w:r>
      <w:r w:rsidR="005803A6" w:rsidRPr="00A06F1E">
        <w:t xml:space="preserve">n Appendix </w:t>
      </w:r>
      <w:r w:rsidR="00006535" w:rsidRPr="00A06F1E">
        <w:t>B</w:t>
      </w:r>
      <w:r w:rsidR="005803A6" w:rsidRPr="00A06F1E">
        <w:t>.</w:t>
      </w:r>
    </w:p>
    <w:p w14:paraId="5948E833" w14:textId="328BF86E" w:rsidR="003D6ECF" w:rsidRPr="00A06F1E" w:rsidRDefault="003D6ECF" w:rsidP="0066116F">
      <w:pPr>
        <w:pStyle w:val="BodyText"/>
        <w:rPr>
          <w:color w:val="000080"/>
        </w:rPr>
      </w:pPr>
      <w:r w:rsidRPr="00A06F1E">
        <w:t xml:space="preserve">Following the site visit, the team members code and analyze the data to develop a set of objective findings. The team lead and multiple quality assurance reviewers, including DESE staff, then review the initial draft of the report. DESE staff provides recommendations for the district, based on the findings of strengths and areas </w:t>
      </w:r>
      <w:r w:rsidR="00F82473" w:rsidRPr="00A06F1E">
        <w:t>for</w:t>
      </w:r>
      <w:r w:rsidRPr="00A06F1E">
        <w:t xml:space="preserve"> growth identified</w:t>
      </w:r>
      <w:r w:rsidR="00D30A74" w:rsidRPr="00A06F1E">
        <w:t>,</w:t>
      </w:r>
      <w:r w:rsidRPr="00A06F1E">
        <w:t xml:space="preserve"> before AIR finalizes and submits the report to DESE</w:t>
      </w:r>
      <w:r w:rsidRPr="00A06F1E">
        <w:rPr>
          <w:color w:val="000080"/>
        </w:rPr>
        <w:t>. D</w:t>
      </w:r>
      <w:r w:rsidRPr="00A06F1E">
        <w:t>ESE previews and then sends the report to the district for factual review before publishing it on the DESE website.</w:t>
      </w:r>
      <w:r w:rsidR="00C268FD" w:rsidRPr="00A06F1E">
        <w:t xml:space="preserve"> </w:t>
      </w:r>
      <w:r w:rsidR="00D3025F" w:rsidRPr="00A06F1E">
        <w:t xml:space="preserve">DESE also provides </w:t>
      </w:r>
      <w:r w:rsidR="00C268FD" w:rsidRPr="00A06F1E">
        <w:t>additional resources to support implementation of DESE</w:t>
      </w:r>
      <w:r w:rsidR="00040362" w:rsidRPr="00A06F1E">
        <w:t>’</w:t>
      </w:r>
      <w:r w:rsidR="00C268FD" w:rsidRPr="00A06F1E">
        <w:t>s District Standards and Indicators</w:t>
      </w:r>
      <w:r w:rsidR="009D0554" w:rsidRPr="00A06F1E">
        <w:t>, summarized</w:t>
      </w:r>
      <w:r w:rsidR="00D3025F" w:rsidRPr="00A06F1E">
        <w:t xml:space="preserve"> in Appendix </w:t>
      </w:r>
      <w:r w:rsidR="00006535" w:rsidRPr="00A06F1E">
        <w:t>C</w:t>
      </w:r>
      <w:r w:rsidR="00C268FD" w:rsidRPr="00A06F1E">
        <w:t>.</w:t>
      </w:r>
    </w:p>
    <w:p w14:paraId="5D00CDA2" w14:textId="77777777" w:rsidR="003D6ECF" w:rsidRPr="00A06F1E" w:rsidRDefault="003D6ECF" w:rsidP="003D6ECF">
      <w:pPr>
        <w:pStyle w:val="Heading3"/>
      </w:pPr>
      <w:r w:rsidRPr="00A06F1E">
        <w:t>Site Visit</w:t>
      </w:r>
    </w:p>
    <w:p w14:paraId="02DDA948" w14:textId="0B3A0EA7" w:rsidR="003D6ECF" w:rsidRPr="00FD22AF" w:rsidRDefault="003D6ECF" w:rsidP="450D0E67">
      <w:pPr>
        <w:pStyle w:val="BodyTextposthead"/>
      </w:pPr>
      <w:r w:rsidRPr="00A06F1E">
        <w:t xml:space="preserve">The site visit to </w:t>
      </w:r>
      <w:r w:rsidR="00BF2FB8">
        <w:t>the districts of</w:t>
      </w:r>
      <w:r w:rsidRPr="00A06F1E">
        <w:t xml:space="preserve"> </w:t>
      </w:r>
      <w:r w:rsidR="000D6A8E">
        <w:t>RCM &amp; SU 73</w:t>
      </w:r>
      <w:r w:rsidR="006831F2" w:rsidRPr="00A06F1E">
        <w:t xml:space="preserve"> </w:t>
      </w:r>
      <w:r w:rsidR="00D12656" w:rsidRPr="00A06F1E">
        <w:t>occurred</w:t>
      </w:r>
      <w:r w:rsidRPr="00A06F1E">
        <w:t xml:space="preserve"> during the week of </w:t>
      </w:r>
      <w:r w:rsidR="00AB782A" w:rsidRPr="00A06F1E">
        <w:t>April 29, 2024</w:t>
      </w:r>
      <w:r w:rsidRPr="00A06F1E">
        <w:t xml:space="preserve">. The visit included </w:t>
      </w:r>
      <w:r w:rsidR="00B4292B" w:rsidRPr="00A06F1E">
        <w:t>26</w:t>
      </w:r>
      <w:r w:rsidRPr="00A06F1E">
        <w:t xml:space="preserve"> hours of interviews and focus groups with approximately </w:t>
      </w:r>
      <w:r w:rsidR="00DB71DE" w:rsidRPr="00A06F1E">
        <w:t>85</w:t>
      </w:r>
      <w:r w:rsidRPr="00A06F1E">
        <w:t xml:space="preserve"> stakeholders, including school committee members, </w:t>
      </w:r>
      <w:r w:rsidR="00117EB4">
        <w:t xml:space="preserve">local government representatives, </w:t>
      </w:r>
      <w:r w:rsidRPr="00A06F1E">
        <w:t>administrators</w:t>
      </w:r>
      <w:r w:rsidR="00122E6A">
        <w:t xml:space="preserve"> from the central office</w:t>
      </w:r>
      <w:r w:rsidRPr="00A06F1E">
        <w:t>, school staff, students, students</w:t>
      </w:r>
      <w:r w:rsidR="00040362" w:rsidRPr="00A06F1E">
        <w:t>’</w:t>
      </w:r>
      <w:r w:rsidRPr="00A06F1E">
        <w:t xml:space="preserve"> families, and teachers</w:t>
      </w:r>
      <w:r w:rsidR="00D23E2B">
        <w:t>’</w:t>
      </w:r>
      <w:r w:rsidRPr="00A06F1E">
        <w:t xml:space="preserve"> association representatives. The review team conducted </w:t>
      </w:r>
      <w:r w:rsidR="00D970DA" w:rsidRPr="00A06F1E">
        <w:t>four</w:t>
      </w:r>
      <w:r w:rsidR="00D30A74" w:rsidRPr="00A06F1E">
        <w:t xml:space="preserve"> </w:t>
      </w:r>
      <w:r w:rsidRPr="00A06F1E">
        <w:t xml:space="preserve">teacher focus groups with </w:t>
      </w:r>
      <w:r w:rsidR="00D970DA" w:rsidRPr="00A06F1E">
        <w:t>nine</w:t>
      </w:r>
      <w:r w:rsidR="00D30A74" w:rsidRPr="00A06F1E">
        <w:t> </w:t>
      </w:r>
      <w:r w:rsidRPr="00A06F1E">
        <w:t>elementary</w:t>
      </w:r>
      <w:r w:rsidR="00D02CA3" w:rsidRPr="00A06F1E">
        <w:t xml:space="preserve"> </w:t>
      </w:r>
      <w:r w:rsidRPr="00A06F1E">
        <w:t xml:space="preserve">school teachers, </w:t>
      </w:r>
      <w:r w:rsidR="5F7D066B" w:rsidRPr="00A06F1E">
        <w:t>12</w:t>
      </w:r>
      <w:r w:rsidR="001E6062">
        <w:t xml:space="preserve"> </w:t>
      </w:r>
      <w:r w:rsidRPr="00A06F1E">
        <w:t>middle</w:t>
      </w:r>
      <w:r w:rsidR="00D02CA3" w:rsidRPr="00A06F1E">
        <w:t xml:space="preserve"> </w:t>
      </w:r>
      <w:r w:rsidRPr="00A06F1E">
        <w:t xml:space="preserve">school teachers, and </w:t>
      </w:r>
      <w:r w:rsidR="00D40874" w:rsidRPr="00A06F1E">
        <w:t>14</w:t>
      </w:r>
      <w:r w:rsidRPr="00A06F1E">
        <w:t xml:space="preserve"> high</w:t>
      </w:r>
      <w:r w:rsidR="00D02CA3" w:rsidRPr="00A06F1E">
        <w:t xml:space="preserve"> </w:t>
      </w:r>
      <w:r w:rsidRPr="00A06F1E">
        <w:t>school teachers</w:t>
      </w:r>
      <w:r w:rsidR="00FC43E8" w:rsidRPr="00A06F1E">
        <w:t xml:space="preserve">; </w:t>
      </w:r>
      <w:r w:rsidR="00D970DA" w:rsidRPr="00A06F1E">
        <w:t>two</w:t>
      </w:r>
      <w:r w:rsidR="00FC43E8" w:rsidRPr="00A06F1E">
        <w:t> </w:t>
      </w:r>
      <w:r w:rsidR="00FC43E8" w:rsidRPr="00A06F1E">
        <w:rPr>
          <w:color w:val="000000"/>
          <w:shd w:val="clear" w:color="auto" w:fill="FFFFFF"/>
        </w:rPr>
        <w:t xml:space="preserve">focus groups with </w:t>
      </w:r>
      <w:r w:rsidR="00D970DA" w:rsidRPr="00A06F1E">
        <w:rPr>
          <w:color w:val="000000"/>
          <w:shd w:val="clear" w:color="auto" w:fill="FFFFFF"/>
        </w:rPr>
        <w:t>five</w:t>
      </w:r>
      <w:r w:rsidR="00FC43E8" w:rsidRPr="00A06F1E">
        <w:t> </w:t>
      </w:r>
      <w:r w:rsidR="00FC43E8" w:rsidRPr="00A06F1E">
        <w:rPr>
          <w:color w:val="000000"/>
          <w:shd w:val="clear" w:color="auto" w:fill="FFFFFF"/>
        </w:rPr>
        <w:t xml:space="preserve">middle </w:t>
      </w:r>
      <w:r w:rsidR="00FC43E8" w:rsidRPr="00FD22AF">
        <w:rPr>
          <w:shd w:val="clear" w:color="auto" w:fill="FFFFFF"/>
        </w:rPr>
        <w:t xml:space="preserve">school and </w:t>
      </w:r>
      <w:r w:rsidR="00D970DA" w:rsidRPr="00FD22AF">
        <w:rPr>
          <w:shd w:val="clear" w:color="auto" w:fill="FFFFFF"/>
        </w:rPr>
        <w:t>six</w:t>
      </w:r>
      <w:r w:rsidR="00FC43E8" w:rsidRPr="00FD22AF">
        <w:t> </w:t>
      </w:r>
      <w:r w:rsidR="00FC43E8" w:rsidRPr="00FD22AF">
        <w:rPr>
          <w:shd w:val="clear" w:color="auto" w:fill="FFFFFF"/>
        </w:rPr>
        <w:t xml:space="preserve">high </w:t>
      </w:r>
      <w:r w:rsidR="00FC43E8" w:rsidRPr="00FD22AF">
        <w:rPr>
          <w:shd w:val="clear" w:color="auto" w:fill="FFFFFF"/>
        </w:rPr>
        <w:lastRenderedPageBreak/>
        <w:t xml:space="preserve">school students; and </w:t>
      </w:r>
      <w:r w:rsidR="00D970DA" w:rsidRPr="00FD22AF">
        <w:rPr>
          <w:shd w:val="clear" w:color="auto" w:fill="FFFFFF"/>
        </w:rPr>
        <w:t>one</w:t>
      </w:r>
      <w:r w:rsidR="00FC43E8" w:rsidRPr="00FD22AF">
        <w:t> </w:t>
      </w:r>
      <w:r w:rsidR="00FC43E8" w:rsidRPr="00FD22AF">
        <w:rPr>
          <w:shd w:val="clear" w:color="auto" w:fill="FFFFFF"/>
        </w:rPr>
        <w:t xml:space="preserve">family focus group with </w:t>
      </w:r>
      <w:r w:rsidR="00D970DA" w:rsidRPr="00FD22AF">
        <w:rPr>
          <w:shd w:val="clear" w:color="auto" w:fill="FFFFFF"/>
        </w:rPr>
        <w:t>two</w:t>
      </w:r>
      <w:r w:rsidR="00FC43E8" w:rsidRPr="00FD22AF">
        <w:t> </w:t>
      </w:r>
      <w:r w:rsidR="00FC43E8" w:rsidRPr="00FD22AF">
        <w:rPr>
          <w:shd w:val="clear" w:color="auto" w:fill="FFFFFF"/>
        </w:rPr>
        <w:t>parents.</w:t>
      </w:r>
      <w:r w:rsidR="2976EE1D" w:rsidRPr="00FD22AF">
        <w:rPr>
          <w:shd w:val="clear" w:color="auto" w:fill="FFFFFF"/>
        </w:rPr>
        <w:t xml:space="preserve"> </w:t>
      </w:r>
      <w:r w:rsidR="2976EE1D" w:rsidRPr="00FD22AF">
        <w:rPr>
          <w:rFonts w:eastAsia="Franklin Gothic Book" w:cs="Franklin Gothic Book"/>
        </w:rPr>
        <w:t>Data collection also included distributing a questionnaire to each principal to gather information on district and school processes and operations.</w:t>
      </w:r>
    </w:p>
    <w:p w14:paraId="596139C8" w14:textId="1C086DE7" w:rsidR="006C1DC9" w:rsidRPr="00A06F1E" w:rsidRDefault="003D6ECF" w:rsidP="00605669">
      <w:pPr>
        <w:pStyle w:val="BodyText"/>
      </w:pPr>
      <w:r w:rsidRPr="00A06F1E">
        <w:t xml:space="preserve">The site team also conducted </w:t>
      </w:r>
      <w:r w:rsidR="00D43674" w:rsidRPr="00A06F1E">
        <w:t>56</w:t>
      </w:r>
      <w:r w:rsidRPr="00A06F1E">
        <w:t xml:space="preserve"> observations of classroom instruction in </w:t>
      </w:r>
      <w:r w:rsidR="00D970DA" w:rsidRPr="00A06F1E">
        <w:t>three</w:t>
      </w:r>
      <w:r w:rsidR="006D04CC" w:rsidRPr="00A06F1E">
        <w:t xml:space="preserve"> </w:t>
      </w:r>
      <w:r w:rsidRPr="00A06F1E">
        <w:t>schools.</w:t>
      </w:r>
      <w:r w:rsidR="00B72349" w:rsidRPr="00A06F1E">
        <w:rPr>
          <w:rStyle w:val="CommentReference"/>
        </w:rPr>
        <w:t xml:space="preserve"> </w:t>
      </w:r>
      <w:r w:rsidR="00D30A74" w:rsidRPr="00A06F1E">
        <w:t>C</w:t>
      </w:r>
      <w:r w:rsidRPr="00A06F1E">
        <w:t>ertified team members conducted instructional observations using the Teachstone CLASS protocol.</w:t>
      </w:r>
    </w:p>
    <w:p w14:paraId="2B77C53A" w14:textId="1957D3B3" w:rsidR="003D6ECF" w:rsidRPr="00A06F1E" w:rsidRDefault="003D6ECF" w:rsidP="003D6ECF">
      <w:pPr>
        <w:pStyle w:val="Heading3"/>
      </w:pPr>
      <w:r w:rsidRPr="00A06F1E">
        <w:t>District Profile</w:t>
      </w:r>
    </w:p>
    <w:p w14:paraId="205C0F96" w14:textId="24735865" w:rsidR="006C1DC9" w:rsidRPr="00741721" w:rsidRDefault="00D12656" w:rsidP="003D6ECF">
      <w:pPr>
        <w:pStyle w:val="BodyTextposthead"/>
      </w:pPr>
      <w:r w:rsidRPr="00A06F1E">
        <w:t xml:space="preserve">Since 2020, Dr. Elizabeth Zielinski is the superintendent of </w:t>
      </w:r>
      <w:r w:rsidR="000D6A8E">
        <w:t>RCM &amp; SU 73</w:t>
      </w:r>
      <w:r w:rsidR="003A2827" w:rsidRPr="00A06F1E">
        <w:t xml:space="preserve">, a superintendency </w:t>
      </w:r>
      <w:r w:rsidR="4661E5BE" w:rsidRPr="00A06F1E">
        <w:t>union</w:t>
      </w:r>
      <w:r w:rsidR="003A2827" w:rsidRPr="00A06F1E">
        <w:t xml:space="preserve"> among four communities and three school committees</w:t>
      </w:r>
      <w:r w:rsidR="2F03F44F" w:rsidRPr="00A06F1E">
        <w:t>.</w:t>
      </w:r>
      <w:r w:rsidR="00695B8C" w:rsidRPr="00A06F1E">
        <w:t xml:space="preserve"> </w:t>
      </w:r>
      <w:r w:rsidR="79205DD5" w:rsidRPr="00A06F1E">
        <w:t xml:space="preserve">The union consists of three districts, </w:t>
      </w:r>
      <w:r w:rsidR="5476D2C0" w:rsidRPr="00A06F1E">
        <w:t>each with one school</w:t>
      </w:r>
      <w:r w:rsidR="5476D2C0" w:rsidRPr="00741721">
        <w:t xml:space="preserve">: </w:t>
      </w:r>
      <w:r w:rsidR="007137F7" w:rsidRPr="00741721">
        <w:t xml:space="preserve">Mahar </w:t>
      </w:r>
      <w:r w:rsidR="000661A0">
        <w:t>Regional</w:t>
      </w:r>
      <w:r w:rsidR="007137F7" w:rsidRPr="00741721">
        <w:t xml:space="preserve">, which serves students in </w:t>
      </w:r>
      <w:r w:rsidR="00123307" w:rsidRPr="00741721">
        <w:t>G</w:t>
      </w:r>
      <w:r w:rsidR="007137F7" w:rsidRPr="00741721">
        <w:t xml:space="preserve">rades 7-12 who come from the towns of Orange, </w:t>
      </w:r>
      <w:proofErr w:type="spellStart"/>
      <w:r w:rsidR="007137F7" w:rsidRPr="00741721">
        <w:t>Petersham</w:t>
      </w:r>
      <w:proofErr w:type="spellEnd"/>
      <w:r w:rsidR="007137F7" w:rsidRPr="00741721">
        <w:t>, New Salem, and Wendell</w:t>
      </w:r>
      <w:r w:rsidR="00D0275B" w:rsidRPr="00741721">
        <w:t xml:space="preserve">; the Orange </w:t>
      </w:r>
      <w:r w:rsidR="00103DF8" w:rsidRPr="00741721">
        <w:t>Public Schools</w:t>
      </w:r>
      <w:r w:rsidR="00D0275B" w:rsidRPr="00741721">
        <w:t>, which</w:t>
      </w:r>
      <w:r w:rsidR="002C2588" w:rsidRPr="00741721">
        <w:t xml:space="preserve"> includes </w:t>
      </w:r>
      <w:r w:rsidR="00CF4F71">
        <w:t>Fisher Hill</w:t>
      </w:r>
      <w:r w:rsidR="00D91BB7" w:rsidRPr="00741721">
        <w:t xml:space="preserve"> and serves students in </w:t>
      </w:r>
      <w:r w:rsidR="006E3EB9" w:rsidRPr="00741721">
        <w:t>G</w:t>
      </w:r>
      <w:r w:rsidR="00D91BB7" w:rsidRPr="00741721">
        <w:t xml:space="preserve">rades </w:t>
      </w:r>
      <w:r w:rsidR="00576599" w:rsidRPr="00741721">
        <w:t>P</w:t>
      </w:r>
      <w:r w:rsidR="00D91BB7" w:rsidRPr="00741721">
        <w:t xml:space="preserve">K-6; and the </w:t>
      </w:r>
      <w:proofErr w:type="spellStart"/>
      <w:r w:rsidR="00D91BB7" w:rsidRPr="00741721">
        <w:t>Petersham</w:t>
      </w:r>
      <w:proofErr w:type="spellEnd"/>
      <w:r w:rsidR="00D91BB7" w:rsidRPr="00741721">
        <w:t xml:space="preserve"> </w:t>
      </w:r>
      <w:r w:rsidR="00103DF8" w:rsidRPr="00741721">
        <w:t>Public Schools</w:t>
      </w:r>
      <w:r w:rsidR="00D91BB7" w:rsidRPr="00741721">
        <w:t xml:space="preserve">, which includes </w:t>
      </w:r>
      <w:proofErr w:type="spellStart"/>
      <w:r w:rsidR="00652B48">
        <w:t>Petersham</w:t>
      </w:r>
      <w:proofErr w:type="spellEnd"/>
      <w:r w:rsidR="00652B48">
        <w:t xml:space="preserve"> Center</w:t>
      </w:r>
      <w:r w:rsidR="00D91BB7" w:rsidRPr="00741721">
        <w:t xml:space="preserve"> and serves students in </w:t>
      </w:r>
      <w:r w:rsidR="006E3EB9" w:rsidRPr="00741721">
        <w:t>G</w:t>
      </w:r>
      <w:r w:rsidR="00D91BB7" w:rsidRPr="00741721">
        <w:t>rades K-6.</w:t>
      </w:r>
    </w:p>
    <w:p w14:paraId="35AC70A6" w14:textId="551A5585" w:rsidR="006C1DC9" w:rsidRPr="00741721" w:rsidRDefault="00A008CA" w:rsidP="00635306">
      <w:pPr>
        <w:pStyle w:val="BodyText"/>
      </w:pPr>
      <w:r w:rsidRPr="00741721">
        <w:t xml:space="preserve">Dr. Zielinski leads the </w:t>
      </w:r>
      <w:r w:rsidR="000D6A8E">
        <w:t>RCM &amp; SU 73</w:t>
      </w:r>
      <w:r w:rsidRPr="00741721">
        <w:t xml:space="preserve"> central office</w:t>
      </w:r>
      <w:r w:rsidR="003D6ECF" w:rsidRPr="00741721">
        <w:t xml:space="preserve">, </w:t>
      </w:r>
      <w:r w:rsidR="008E3174" w:rsidRPr="00741721">
        <w:t>alongside</w:t>
      </w:r>
      <w:r w:rsidR="003D6ECF" w:rsidRPr="00741721">
        <w:t xml:space="preserve"> </w:t>
      </w:r>
      <w:r w:rsidR="00452960" w:rsidRPr="00741721">
        <w:t>a director of curriculum</w:t>
      </w:r>
      <w:r w:rsidR="002D6C19" w:rsidRPr="00741721">
        <w:t xml:space="preserve">, an interim director of student support </w:t>
      </w:r>
      <w:r w:rsidR="00095C72" w:rsidRPr="00741721">
        <w:t xml:space="preserve">services, finance </w:t>
      </w:r>
      <w:r w:rsidR="00282814" w:rsidRPr="00741721">
        <w:t>director</w:t>
      </w:r>
      <w:r w:rsidR="00095C72" w:rsidRPr="00741721">
        <w:t>, dean of students</w:t>
      </w:r>
      <w:r w:rsidR="00687FC1" w:rsidRPr="00741721">
        <w:t>, human resources specialist, and attendant staff</w:t>
      </w:r>
      <w:r w:rsidR="006D7338" w:rsidRPr="00741721">
        <w:t xml:space="preserve">. </w:t>
      </w:r>
      <w:r w:rsidR="009E17E7" w:rsidRPr="00741721">
        <w:t xml:space="preserve">The three school committees </w:t>
      </w:r>
      <w:r w:rsidR="00292346" w:rsidRPr="00741721">
        <w:t>that</w:t>
      </w:r>
      <w:r w:rsidR="009E17E7" w:rsidRPr="00741721">
        <w:t xml:space="preserve"> form the union proportionally support the operational costs of this central office staff.</w:t>
      </w:r>
    </w:p>
    <w:p w14:paraId="2B9F96AD" w14:textId="219CAE31" w:rsidR="006C1DC9" w:rsidRPr="00A06F1E" w:rsidRDefault="001324C0" w:rsidP="00635306">
      <w:pPr>
        <w:pStyle w:val="BodyText"/>
      </w:pPr>
      <w:r w:rsidRPr="00741721">
        <w:t xml:space="preserve">Mahar </w:t>
      </w:r>
      <w:r w:rsidR="000661A0">
        <w:t>Regional</w:t>
      </w:r>
      <w:r w:rsidR="00D12656" w:rsidRPr="00741721">
        <w:t>’s</w:t>
      </w:r>
      <w:r w:rsidR="003D6ECF" w:rsidRPr="00741721">
        <w:t xml:space="preserve"> school committee </w:t>
      </w:r>
      <w:r w:rsidR="00D12656" w:rsidRPr="00741721">
        <w:t>has</w:t>
      </w:r>
      <w:r w:rsidR="003D6ECF" w:rsidRPr="00741721">
        <w:t xml:space="preserve"> </w:t>
      </w:r>
      <w:r w:rsidR="006941F4" w:rsidRPr="00741721">
        <w:t xml:space="preserve">nine </w:t>
      </w:r>
      <w:r w:rsidR="003D6ECF" w:rsidRPr="00741721">
        <w:t>members who are elected for</w:t>
      </w:r>
      <w:r w:rsidRPr="00741721">
        <w:t xml:space="preserve"> three</w:t>
      </w:r>
      <w:r w:rsidR="003D6ECF" w:rsidRPr="00741721">
        <w:t>-year terms</w:t>
      </w:r>
      <w:r w:rsidRPr="00741721">
        <w:t xml:space="preserve">, with </w:t>
      </w:r>
      <w:r w:rsidR="005714CA" w:rsidRPr="00741721">
        <w:t>proportional</w:t>
      </w:r>
      <w:r w:rsidRPr="00741721">
        <w:t xml:space="preserve"> representation from </w:t>
      </w:r>
      <w:r w:rsidR="005714CA" w:rsidRPr="00741721">
        <w:t xml:space="preserve">Orange, </w:t>
      </w:r>
      <w:proofErr w:type="spellStart"/>
      <w:r w:rsidR="005714CA" w:rsidRPr="00741721">
        <w:t>Petersham</w:t>
      </w:r>
      <w:proofErr w:type="spellEnd"/>
      <w:r w:rsidR="005714CA" w:rsidRPr="00741721">
        <w:t>, New Salem, and Wendell</w:t>
      </w:r>
      <w:r w:rsidR="003D6ECF" w:rsidRPr="00741721">
        <w:t>.</w:t>
      </w:r>
      <w:r w:rsidR="005714CA" w:rsidRPr="00741721">
        <w:t xml:space="preserve"> The towns of Orange and </w:t>
      </w:r>
      <w:proofErr w:type="spellStart"/>
      <w:r w:rsidR="005714CA" w:rsidRPr="00741721">
        <w:t>Petersham</w:t>
      </w:r>
      <w:proofErr w:type="spellEnd"/>
      <w:r w:rsidR="005714CA" w:rsidRPr="00741721">
        <w:t xml:space="preserve"> also elect their own </w:t>
      </w:r>
      <w:r w:rsidR="00357157" w:rsidRPr="00741721">
        <w:t>school committees</w:t>
      </w:r>
      <w:r w:rsidR="001B3FBF" w:rsidRPr="00741721">
        <w:t xml:space="preserve"> (with </w:t>
      </w:r>
      <w:r w:rsidR="00832718" w:rsidRPr="00741721">
        <w:t>five</w:t>
      </w:r>
      <w:r w:rsidR="001B3FBF" w:rsidRPr="00741721">
        <w:t xml:space="preserve"> and </w:t>
      </w:r>
      <w:r w:rsidR="00832718" w:rsidRPr="00741721">
        <w:t>three</w:t>
      </w:r>
      <w:r w:rsidR="001B3FBF" w:rsidRPr="00741721">
        <w:t xml:space="preserve"> members, respectively)</w:t>
      </w:r>
      <w:r w:rsidR="006433A2" w:rsidRPr="00741721">
        <w:t xml:space="preserve"> to govern their elementary schools and interact with </w:t>
      </w:r>
      <w:r w:rsidR="000D6A8E">
        <w:t>RCM &amp; SU 73</w:t>
      </w:r>
      <w:r w:rsidR="006433A2" w:rsidRPr="00741721">
        <w:t xml:space="preserve"> leadership</w:t>
      </w:r>
      <w:r w:rsidR="00F524C7" w:rsidRPr="00741721">
        <w:t xml:space="preserve"> </w:t>
      </w:r>
      <w:r w:rsidR="00832718" w:rsidRPr="00741721">
        <w:t>regarding</w:t>
      </w:r>
      <w:r w:rsidR="00F524C7" w:rsidRPr="00741721">
        <w:t xml:space="preserve"> issues of governance and budget</w:t>
      </w:r>
      <w:r w:rsidR="00ED3C8A" w:rsidRPr="00741721">
        <w:t xml:space="preserve">. </w:t>
      </w:r>
      <w:proofErr w:type="spellStart"/>
      <w:r w:rsidR="00ED3C8A" w:rsidRPr="00741721">
        <w:t>Petersham</w:t>
      </w:r>
      <w:r w:rsidR="00040362" w:rsidRPr="00741721">
        <w:t>’</w:t>
      </w:r>
      <w:r w:rsidR="00ED3C8A" w:rsidRPr="00741721">
        <w:t>s</w:t>
      </w:r>
      <w:proofErr w:type="spellEnd"/>
      <w:r w:rsidR="00ED3C8A" w:rsidRPr="00741721">
        <w:t xml:space="preserve"> school committee </w:t>
      </w:r>
      <w:r w:rsidR="00BB35E0">
        <w:t>appoints a</w:t>
      </w:r>
      <w:r w:rsidR="00ED3C8A" w:rsidRPr="00741721">
        <w:t xml:space="preserve"> member to the </w:t>
      </w:r>
      <w:r w:rsidR="00BB35E0">
        <w:t xml:space="preserve">Mahar </w:t>
      </w:r>
      <w:r w:rsidR="00F17597">
        <w:t>Regional</w:t>
      </w:r>
      <w:r w:rsidR="00BB35E0" w:rsidRPr="00741721">
        <w:t xml:space="preserve"> </w:t>
      </w:r>
      <w:r w:rsidR="00ED3C8A" w:rsidRPr="00741721">
        <w:t xml:space="preserve">school committee, and </w:t>
      </w:r>
      <w:r w:rsidR="00E85241" w:rsidRPr="00741721">
        <w:t xml:space="preserve">the towns of </w:t>
      </w:r>
      <w:r w:rsidR="00ED3C8A" w:rsidRPr="00741721">
        <w:t>Orange and</w:t>
      </w:r>
      <w:r w:rsidR="00ED3C8A" w:rsidRPr="00A06F1E">
        <w:t xml:space="preserve"> </w:t>
      </w:r>
      <w:proofErr w:type="spellStart"/>
      <w:r w:rsidR="00ED3C8A" w:rsidRPr="00A06F1E">
        <w:t>Petersham</w:t>
      </w:r>
      <w:proofErr w:type="spellEnd"/>
      <w:r w:rsidR="00ED3C8A" w:rsidRPr="00A06F1E">
        <w:t xml:space="preserve"> </w:t>
      </w:r>
      <w:r w:rsidR="00E85241" w:rsidRPr="00A06F1E">
        <w:t xml:space="preserve">elect </w:t>
      </w:r>
      <w:r w:rsidR="009844B3" w:rsidRPr="00A06F1E">
        <w:t xml:space="preserve">community </w:t>
      </w:r>
      <w:r w:rsidR="00E85241" w:rsidRPr="00A06F1E">
        <w:t xml:space="preserve">members to the </w:t>
      </w:r>
      <w:r w:rsidR="005C44CE">
        <w:t xml:space="preserve">Mahar </w:t>
      </w:r>
      <w:r w:rsidR="00F17597">
        <w:t>Regional</w:t>
      </w:r>
      <w:r w:rsidR="005C44CE" w:rsidRPr="00A06F1E">
        <w:t xml:space="preserve"> </w:t>
      </w:r>
      <w:r w:rsidR="00E85241" w:rsidRPr="00A06F1E">
        <w:t>school committee as well.</w:t>
      </w:r>
    </w:p>
    <w:p w14:paraId="2C6CB1A8" w14:textId="13837AC2" w:rsidR="003D6ECF" w:rsidRPr="00A06F1E" w:rsidRDefault="003D6ECF" w:rsidP="00635306">
      <w:pPr>
        <w:pStyle w:val="BodyText"/>
      </w:pPr>
      <w:r w:rsidRPr="00A06F1E">
        <w:t>In the 202</w:t>
      </w:r>
      <w:r w:rsidR="00CD402B" w:rsidRPr="00A06F1E">
        <w:t>3</w:t>
      </w:r>
      <w:r w:rsidR="000F34B4" w:rsidRPr="00A06F1E">
        <w:t>-</w:t>
      </w:r>
      <w:r w:rsidRPr="00A06F1E">
        <w:t>202</w:t>
      </w:r>
      <w:r w:rsidR="00CD402B" w:rsidRPr="00A06F1E">
        <w:t>4</w:t>
      </w:r>
      <w:r w:rsidRPr="00A06F1E">
        <w:t xml:space="preserve"> school year, there were </w:t>
      </w:r>
      <w:r w:rsidR="00986B41">
        <w:t>60</w:t>
      </w:r>
      <w:r w:rsidRPr="00A06F1E">
        <w:t xml:space="preserve"> teachers </w:t>
      </w:r>
      <w:r w:rsidR="0099016B" w:rsidRPr="00A06F1E">
        <w:t>and 504 students at Mahar</w:t>
      </w:r>
      <w:r w:rsidR="00DF1C38" w:rsidRPr="00A06F1E">
        <w:t xml:space="preserve"> Regional</w:t>
      </w:r>
      <w:r w:rsidR="00F00F24" w:rsidRPr="00A06F1E">
        <w:t xml:space="preserve">, </w:t>
      </w:r>
      <w:r w:rsidR="000865B5">
        <w:t>42</w:t>
      </w:r>
      <w:r w:rsidR="001524B4" w:rsidRPr="00A06F1E">
        <w:t> </w:t>
      </w:r>
      <w:r w:rsidR="00775713" w:rsidRPr="00A06F1E">
        <w:t xml:space="preserve">teachers and 523 students at </w:t>
      </w:r>
      <w:r w:rsidR="00CF4F71">
        <w:t>Fisher Hill</w:t>
      </w:r>
      <w:r w:rsidR="00775713" w:rsidRPr="00A06F1E">
        <w:t xml:space="preserve">, and </w:t>
      </w:r>
      <w:r w:rsidR="00377B90" w:rsidRPr="00A06F1E">
        <w:t xml:space="preserve">11 teachers and 133 students at </w:t>
      </w:r>
      <w:proofErr w:type="spellStart"/>
      <w:r w:rsidR="00652B48">
        <w:t>Petersham</w:t>
      </w:r>
      <w:proofErr w:type="spellEnd"/>
      <w:r w:rsidR="00652B48">
        <w:t xml:space="preserve"> Center</w:t>
      </w:r>
      <w:r w:rsidRPr="00A06F1E">
        <w:t>. Table 1 provides an overview of student enrollment by school</w:t>
      </w:r>
      <w:r w:rsidR="000D5D09" w:rsidRPr="00A06F1E">
        <w:t xml:space="preserve"> and by district</w:t>
      </w:r>
      <w:r w:rsidRPr="00A06F1E">
        <w:t>.</w:t>
      </w:r>
    </w:p>
    <w:p w14:paraId="60E8372C" w14:textId="06C6E139" w:rsidR="003D6ECF" w:rsidRPr="00A06F1E" w:rsidRDefault="003D6ECF" w:rsidP="00635306">
      <w:pPr>
        <w:pStyle w:val="TableTitle0"/>
      </w:pPr>
      <w:bookmarkStart w:id="20" w:name="_Toc170701900"/>
      <w:r w:rsidRPr="00A06F1E">
        <w:t xml:space="preserve">Table 1. Schools, </w:t>
      </w:r>
      <w:r w:rsidR="00F00F24" w:rsidRPr="00A06F1E">
        <w:t>Type</w:t>
      </w:r>
      <w:r w:rsidRPr="00A06F1E">
        <w:t>, Grades Served, and Enrollment, 202</w:t>
      </w:r>
      <w:r w:rsidR="00F61480" w:rsidRPr="00A06F1E">
        <w:t>3</w:t>
      </w:r>
      <w:r w:rsidR="000F34B4" w:rsidRPr="00A06F1E">
        <w:t>-</w:t>
      </w:r>
      <w:r w:rsidRPr="00A06F1E">
        <w:t>202</w:t>
      </w:r>
      <w:r w:rsidR="00F61480" w:rsidRPr="00A06F1E">
        <w:t>4</w:t>
      </w:r>
      <w:bookmarkEnd w:id="20"/>
    </w:p>
    <w:tbl>
      <w:tblPr>
        <w:tblStyle w:val="MSVTable1"/>
        <w:tblW w:w="5000" w:type="pct"/>
        <w:tblLook w:val="06A0" w:firstRow="1" w:lastRow="0" w:firstColumn="1" w:lastColumn="0" w:noHBand="1" w:noVBand="1"/>
        <w:tblCaption w:val="Table 1: Brockton Public Schools  "/>
        <w:tblDescription w:val="Schools, Type, Grades Served, and Enrollment, 2019-2020&#10;"/>
      </w:tblPr>
      <w:tblGrid>
        <w:gridCol w:w="3818"/>
        <w:gridCol w:w="1994"/>
        <w:gridCol w:w="1614"/>
        <w:gridCol w:w="1918"/>
      </w:tblGrid>
      <w:tr w:rsidR="003D6ECF" w:rsidRPr="00A06F1E" w14:paraId="019D454B" w14:textId="77777777" w:rsidTr="00C93239">
        <w:trPr>
          <w:cnfStyle w:val="100000000000" w:firstRow="1" w:lastRow="0" w:firstColumn="0" w:lastColumn="0" w:oddVBand="0" w:evenVBand="0" w:oddHBand="0" w:evenHBand="0" w:firstRowFirstColumn="0" w:firstRowLastColumn="0" w:lastRowFirstColumn="0" w:lastRowLastColumn="0"/>
        </w:trPr>
        <w:tc>
          <w:tcPr>
            <w:tcW w:w="3818" w:type="dxa"/>
            <w:hideMark/>
          </w:tcPr>
          <w:p w14:paraId="47997537" w14:textId="7BEC4858" w:rsidR="003D6ECF" w:rsidRPr="00DF7902" w:rsidRDefault="003D6ECF" w:rsidP="003702D3">
            <w:pPr>
              <w:pStyle w:val="TableColHeadingLeft"/>
              <w:jc w:val="center"/>
            </w:pPr>
            <w:r w:rsidRPr="00DF7902">
              <w:t>School</w:t>
            </w:r>
          </w:p>
        </w:tc>
        <w:tc>
          <w:tcPr>
            <w:tcW w:w="1994" w:type="dxa"/>
            <w:hideMark/>
          </w:tcPr>
          <w:p w14:paraId="65329DD6" w14:textId="558D98F8" w:rsidR="003D6ECF" w:rsidRPr="00A06F1E" w:rsidRDefault="00F00F24" w:rsidP="00635306">
            <w:pPr>
              <w:pStyle w:val="TableColHeadingCtr-rev"/>
            </w:pPr>
            <w:r w:rsidRPr="00A06F1E">
              <w:t>Type</w:t>
            </w:r>
          </w:p>
        </w:tc>
        <w:tc>
          <w:tcPr>
            <w:tcW w:w="1614" w:type="dxa"/>
            <w:hideMark/>
          </w:tcPr>
          <w:p w14:paraId="61DE194B" w14:textId="343257A8" w:rsidR="003D6ECF" w:rsidRPr="00A06F1E" w:rsidRDefault="003D6ECF" w:rsidP="00635306">
            <w:pPr>
              <w:pStyle w:val="TableColHeadingCtr-rev"/>
            </w:pPr>
            <w:r w:rsidRPr="00A06F1E">
              <w:t xml:space="preserve">Grades </w:t>
            </w:r>
            <w:r w:rsidR="00F00F24" w:rsidRPr="00A06F1E">
              <w:t>s</w:t>
            </w:r>
            <w:r w:rsidRPr="00A06F1E">
              <w:t>erved</w:t>
            </w:r>
          </w:p>
        </w:tc>
        <w:tc>
          <w:tcPr>
            <w:tcW w:w="1918" w:type="dxa"/>
          </w:tcPr>
          <w:p w14:paraId="207D4A6F" w14:textId="77777777" w:rsidR="003D6ECF" w:rsidRPr="00A06F1E" w:rsidRDefault="003D6ECF" w:rsidP="00635306">
            <w:pPr>
              <w:pStyle w:val="TableColHeadingCtr-rev"/>
            </w:pPr>
            <w:r w:rsidRPr="00A06F1E">
              <w:t>Enrollment</w:t>
            </w:r>
          </w:p>
        </w:tc>
      </w:tr>
      <w:tr w:rsidR="00236F4A" w:rsidRPr="00A06F1E" w14:paraId="0AC5C59C" w14:textId="77777777">
        <w:tc>
          <w:tcPr>
            <w:tcW w:w="3818" w:type="dxa"/>
          </w:tcPr>
          <w:p w14:paraId="20EC727F" w14:textId="186F8038" w:rsidR="00236F4A" w:rsidRPr="00A06F1E" w:rsidRDefault="00CF4F71">
            <w:pPr>
              <w:pStyle w:val="TableText"/>
            </w:pPr>
            <w:r>
              <w:t>Fisher Hill</w:t>
            </w:r>
            <w:r w:rsidR="00236F4A" w:rsidRPr="00A06F1E">
              <w:t xml:space="preserve"> School</w:t>
            </w:r>
            <w:r w:rsidR="009B6152" w:rsidRPr="00A06F1E">
              <w:t xml:space="preserve"> (Orange)</w:t>
            </w:r>
            <w:r w:rsidR="00236F4A" w:rsidRPr="00A06F1E">
              <w:t xml:space="preserve"> </w:t>
            </w:r>
          </w:p>
        </w:tc>
        <w:tc>
          <w:tcPr>
            <w:tcW w:w="1994" w:type="dxa"/>
          </w:tcPr>
          <w:p w14:paraId="29F12E62" w14:textId="77777777" w:rsidR="00236F4A" w:rsidRPr="00A06F1E" w:rsidRDefault="00236F4A">
            <w:pPr>
              <w:pStyle w:val="TableTextCentered"/>
            </w:pPr>
            <w:r w:rsidRPr="00A06F1E">
              <w:t>Elementary</w:t>
            </w:r>
          </w:p>
        </w:tc>
        <w:tc>
          <w:tcPr>
            <w:tcW w:w="1614" w:type="dxa"/>
          </w:tcPr>
          <w:p w14:paraId="248D2614" w14:textId="3498AD58" w:rsidR="00236F4A" w:rsidRPr="00A06F1E" w:rsidRDefault="00576599">
            <w:pPr>
              <w:pStyle w:val="TableTextCentered"/>
            </w:pPr>
            <w:r w:rsidRPr="00A06F1E">
              <w:t>P</w:t>
            </w:r>
            <w:r w:rsidR="00236F4A" w:rsidRPr="00A06F1E">
              <w:t>K-</w:t>
            </w:r>
            <w:r w:rsidR="00654C97" w:rsidRPr="00A06F1E">
              <w:t>6</w:t>
            </w:r>
          </w:p>
        </w:tc>
        <w:tc>
          <w:tcPr>
            <w:tcW w:w="1918" w:type="dxa"/>
            <w:shd w:val="clear" w:color="auto" w:fill="D9E2F3" w:themeFill="accent5" w:themeFillTint="33"/>
          </w:tcPr>
          <w:p w14:paraId="55FA9F80" w14:textId="6E8B5297" w:rsidR="00236F4A" w:rsidRPr="00A06F1E" w:rsidRDefault="009B6152">
            <w:pPr>
              <w:pStyle w:val="TableTextCentered"/>
            </w:pPr>
            <w:r w:rsidRPr="00A06F1E">
              <w:t>5</w:t>
            </w:r>
            <w:r w:rsidR="00654C97" w:rsidRPr="00A06F1E">
              <w:t>23</w:t>
            </w:r>
          </w:p>
        </w:tc>
      </w:tr>
      <w:tr w:rsidR="00236F4A" w:rsidRPr="00A06F1E" w14:paraId="6243A5D4" w14:textId="77777777">
        <w:tc>
          <w:tcPr>
            <w:tcW w:w="3818" w:type="dxa"/>
          </w:tcPr>
          <w:p w14:paraId="73F45D65" w14:textId="40EBE867" w:rsidR="00236F4A" w:rsidRPr="00A06F1E" w:rsidRDefault="00654C97">
            <w:pPr>
              <w:pStyle w:val="TableText"/>
            </w:pPr>
            <w:proofErr w:type="spellStart"/>
            <w:r w:rsidRPr="00A06F1E">
              <w:t>Petersham</w:t>
            </w:r>
            <w:proofErr w:type="spellEnd"/>
            <w:r w:rsidRPr="00A06F1E">
              <w:t xml:space="preserve"> Center School (</w:t>
            </w:r>
            <w:proofErr w:type="spellStart"/>
            <w:r w:rsidRPr="00A06F1E">
              <w:t>Petersham</w:t>
            </w:r>
            <w:proofErr w:type="spellEnd"/>
            <w:r w:rsidRPr="00A06F1E">
              <w:t>)</w:t>
            </w:r>
          </w:p>
        </w:tc>
        <w:tc>
          <w:tcPr>
            <w:tcW w:w="1994" w:type="dxa"/>
          </w:tcPr>
          <w:p w14:paraId="00AFCED3" w14:textId="2CA07899" w:rsidR="00236F4A" w:rsidRPr="00A06F1E" w:rsidRDefault="009B6152">
            <w:pPr>
              <w:pStyle w:val="TableTextCentered"/>
            </w:pPr>
            <w:r w:rsidRPr="00A06F1E">
              <w:t>Elementary</w:t>
            </w:r>
          </w:p>
        </w:tc>
        <w:tc>
          <w:tcPr>
            <w:tcW w:w="1614" w:type="dxa"/>
          </w:tcPr>
          <w:p w14:paraId="739E341D" w14:textId="19034C09" w:rsidR="00236F4A" w:rsidRPr="00A06F1E" w:rsidRDefault="00654C97">
            <w:pPr>
              <w:pStyle w:val="TableTextCentered"/>
            </w:pPr>
            <w:r w:rsidRPr="00A06F1E">
              <w:t>K-6</w:t>
            </w:r>
          </w:p>
        </w:tc>
        <w:tc>
          <w:tcPr>
            <w:tcW w:w="1918" w:type="dxa"/>
            <w:shd w:val="clear" w:color="auto" w:fill="D9E2F3" w:themeFill="accent5" w:themeFillTint="33"/>
          </w:tcPr>
          <w:p w14:paraId="174236F9" w14:textId="305EA168" w:rsidR="00236F4A" w:rsidRPr="00A06F1E" w:rsidRDefault="00654C97">
            <w:pPr>
              <w:pStyle w:val="TableTextCentered"/>
            </w:pPr>
            <w:r w:rsidRPr="00A06F1E">
              <w:t>133</w:t>
            </w:r>
          </w:p>
        </w:tc>
      </w:tr>
      <w:tr w:rsidR="003D6ECF" w:rsidRPr="00A06F1E" w14:paraId="5257433B" w14:textId="77777777" w:rsidTr="00C93239">
        <w:tc>
          <w:tcPr>
            <w:tcW w:w="3818" w:type="dxa"/>
          </w:tcPr>
          <w:p w14:paraId="0977EDDF" w14:textId="5E790F9C" w:rsidR="003D6ECF" w:rsidRPr="00A06F1E" w:rsidRDefault="006B3338" w:rsidP="003D6ECF">
            <w:pPr>
              <w:pStyle w:val="TableText"/>
            </w:pPr>
            <w:r w:rsidRPr="00A06F1E">
              <w:t>Ral</w:t>
            </w:r>
            <w:r w:rsidR="00723096" w:rsidRPr="00A06F1E">
              <w:t>ph C</w:t>
            </w:r>
            <w:r w:rsidR="006A784F" w:rsidRPr="00A06F1E">
              <w:t>.</w:t>
            </w:r>
            <w:r w:rsidR="00723096" w:rsidRPr="00A06F1E">
              <w:t xml:space="preserve"> Mahar Regional</w:t>
            </w:r>
            <w:r w:rsidR="003D6ECF" w:rsidRPr="00A06F1E">
              <w:t xml:space="preserve"> </w:t>
            </w:r>
            <w:r w:rsidR="00F00F24" w:rsidRPr="00A06F1E">
              <w:t>School</w:t>
            </w:r>
          </w:p>
        </w:tc>
        <w:tc>
          <w:tcPr>
            <w:tcW w:w="1994" w:type="dxa"/>
          </w:tcPr>
          <w:p w14:paraId="58ED2A26" w14:textId="15EF5583" w:rsidR="003D6ECF" w:rsidRPr="00A06F1E" w:rsidRDefault="00F13803" w:rsidP="003D6ECF">
            <w:pPr>
              <w:pStyle w:val="TableTextCentered"/>
            </w:pPr>
            <w:r w:rsidRPr="00A06F1E">
              <w:t>Middle/</w:t>
            </w:r>
            <w:r w:rsidR="001505A0">
              <w:t>H</w:t>
            </w:r>
            <w:r w:rsidR="00F00F24" w:rsidRPr="00A06F1E">
              <w:t>igh</w:t>
            </w:r>
          </w:p>
        </w:tc>
        <w:tc>
          <w:tcPr>
            <w:tcW w:w="1614" w:type="dxa"/>
          </w:tcPr>
          <w:p w14:paraId="1D76EA9B" w14:textId="4C3D5D75" w:rsidR="003D6ECF" w:rsidRPr="00A06F1E" w:rsidRDefault="009B6152" w:rsidP="003D6ECF">
            <w:pPr>
              <w:pStyle w:val="TableTextCentered"/>
            </w:pPr>
            <w:r w:rsidRPr="00A06F1E">
              <w:t>7</w:t>
            </w:r>
            <w:r w:rsidR="003D6ECF" w:rsidRPr="00A06F1E">
              <w:t>-12</w:t>
            </w:r>
          </w:p>
        </w:tc>
        <w:tc>
          <w:tcPr>
            <w:tcW w:w="1918" w:type="dxa"/>
            <w:shd w:val="clear" w:color="auto" w:fill="D9E2F3" w:themeFill="accent5" w:themeFillTint="33"/>
          </w:tcPr>
          <w:p w14:paraId="76130297" w14:textId="2741D0E3" w:rsidR="003D6ECF" w:rsidRPr="00A06F1E" w:rsidRDefault="009B6152" w:rsidP="003D6ECF">
            <w:pPr>
              <w:pStyle w:val="TableTextCentered"/>
            </w:pPr>
            <w:r w:rsidRPr="00A06F1E">
              <w:t>504</w:t>
            </w:r>
          </w:p>
        </w:tc>
      </w:tr>
      <w:tr w:rsidR="003D6ECF" w:rsidRPr="00A06F1E" w14:paraId="05E57864" w14:textId="77777777" w:rsidTr="00C93239">
        <w:tc>
          <w:tcPr>
            <w:tcW w:w="3818" w:type="dxa"/>
            <w:hideMark/>
          </w:tcPr>
          <w:p w14:paraId="4770D96B" w14:textId="315E9E2D" w:rsidR="003D6ECF" w:rsidRPr="00A06F1E" w:rsidRDefault="003D6ECF" w:rsidP="00635306">
            <w:pPr>
              <w:pStyle w:val="TableSubheading"/>
            </w:pPr>
            <w:r w:rsidRPr="00A06F1E">
              <w:t>Total</w:t>
            </w:r>
          </w:p>
        </w:tc>
        <w:tc>
          <w:tcPr>
            <w:tcW w:w="1994" w:type="dxa"/>
          </w:tcPr>
          <w:p w14:paraId="4F51A846" w14:textId="77777777" w:rsidR="003D6ECF" w:rsidRPr="00A06F1E" w:rsidRDefault="003D6ECF" w:rsidP="00635306">
            <w:pPr>
              <w:pStyle w:val="TableSubheadingCentered"/>
            </w:pPr>
          </w:p>
        </w:tc>
        <w:tc>
          <w:tcPr>
            <w:tcW w:w="1614" w:type="dxa"/>
          </w:tcPr>
          <w:p w14:paraId="0AB16D6F" w14:textId="77777777" w:rsidR="003D6ECF" w:rsidRPr="00A06F1E" w:rsidRDefault="003D6ECF" w:rsidP="00635306">
            <w:pPr>
              <w:pStyle w:val="TableSubheadingCentered"/>
            </w:pPr>
          </w:p>
        </w:tc>
        <w:tc>
          <w:tcPr>
            <w:tcW w:w="1918" w:type="dxa"/>
            <w:shd w:val="clear" w:color="auto" w:fill="D9E2F3" w:themeFill="accent5" w:themeFillTint="33"/>
          </w:tcPr>
          <w:p w14:paraId="53BFF34B" w14:textId="11C13028" w:rsidR="003D6ECF" w:rsidRPr="00A06F1E" w:rsidRDefault="006B3338" w:rsidP="00635306">
            <w:pPr>
              <w:pStyle w:val="TableSubheadingCentered"/>
            </w:pPr>
            <w:r w:rsidRPr="00A06F1E">
              <w:t>1,160</w:t>
            </w:r>
          </w:p>
        </w:tc>
      </w:tr>
    </w:tbl>
    <w:p w14:paraId="03D4E0B8" w14:textId="77777777" w:rsidR="006C1DC9" w:rsidRPr="00A06F1E" w:rsidRDefault="00F00F24" w:rsidP="003D6ECF">
      <w:pPr>
        <w:pStyle w:val="TableNote"/>
      </w:pPr>
      <w:r w:rsidRPr="00A06F1E">
        <w:rPr>
          <w:i/>
          <w:iCs/>
        </w:rPr>
        <w:t>Note</w:t>
      </w:r>
      <w:r w:rsidRPr="00A06F1E">
        <w:t>. Enrollment data as</w:t>
      </w:r>
      <w:r w:rsidR="003D6ECF" w:rsidRPr="00A06F1E">
        <w:t xml:space="preserve"> of October 1, 202</w:t>
      </w:r>
      <w:r w:rsidR="00D0783C" w:rsidRPr="00A06F1E">
        <w:t>3</w:t>
      </w:r>
      <w:r w:rsidRPr="00A06F1E">
        <w:t>.</w:t>
      </w:r>
    </w:p>
    <w:p w14:paraId="2DB8432D" w14:textId="3C169746" w:rsidR="003D6ECF" w:rsidRPr="00A06F1E" w:rsidRDefault="003D6ECF" w:rsidP="003D6ECF">
      <w:pPr>
        <w:pStyle w:val="BodyText"/>
      </w:pPr>
      <w:r w:rsidRPr="00A06F1E">
        <w:t>Between 20</w:t>
      </w:r>
      <w:r w:rsidR="00DC0BAC" w:rsidRPr="00A06F1E">
        <w:t>2</w:t>
      </w:r>
      <w:r w:rsidR="00D0783C" w:rsidRPr="00A06F1E">
        <w:t>1</w:t>
      </w:r>
      <w:r w:rsidRPr="00A06F1E">
        <w:t xml:space="preserve"> and 202</w:t>
      </w:r>
      <w:r w:rsidR="00D0783C" w:rsidRPr="00A06F1E">
        <w:t>4</w:t>
      </w:r>
      <w:r w:rsidR="00F00F24" w:rsidRPr="00A06F1E">
        <w:t>,</w:t>
      </w:r>
      <w:r w:rsidRPr="00A06F1E">
        <w:t xml:space="preserve"> overall student enrollment decreased by </w:t>
      </w:r>
      <w:r w:rsidR="0051555D">
        <w:t>47</w:t>
      </w:r>
      <w:r w:rsidR="0051555D" w:rsidRPr="00A06F1E">
        <w:t xml:space="preserve"> </w:t>
      </w:r>
      <w:r w:rsidRPr="00A06F1E">
        <w:t>students. Enrollment figures by race/ethnicity and high</w:t>
      </w:r>
      <w:r w:rsidR="00CC73C0" w:rsidRPr="00A06F1E">
        <w:t xml:space="preserve"> </w:t>
      </w:r>
      <w:r w:rsidRPr="00A06F1E">
        <w:t>need</w:t>
      </w:r>
      <w:r w:rsidR="00CC73C0" w:rsidRPr="00A06F1E">
        <w:t>s</w:t>
      </w:r>
      <w:r w:rsidRPr="00A06F1E">
        <w:t xml:space="preserve"> populations (i.e., students with disabilities, </w:t>
      </w:r>
      <w:r w:rsidR="00F00F24" w:rsidRPr="00A06F1E">
        <w:t xml:space="preserve">students </w:t>
      </w:r>
      <w:r w:rsidR="00CA0BA6" w:rsidRPr="00A06F1E">
        <w:t>from low-income families</w:t>
      </w:r>
      <w:r w:rsidRPr="00A06F1E">
        <w:t xml:space="preserve">, and English learners </w:t>
      </w:r>
      <w:r w:rsidR="000F34B4" w:rsidRPr="00A06F1E">
        <w:t>[</w:t>
      </w:r>
      <w:r w:rsidRPr="00A06F1E">
        <w:t>ELs</w:t>
      </w:r>
      <w:r w:rsidR="000F34B4" w:rsidRPr="00A06F1E">
        <w:t>]</w:t>
      </w:r>
      <w:r w:rsidRPr="00A06F1E">
        <w:t xml:space="preserve"> and former ELs) compared with the state are in </w:t>
      </w:r>
      <w:r w:rsidRPr="00A06F1E">
        <w:lastRenderedPageBreak/>
        <w:t>Tables</w:t>
      </w:r>
      <w:r w:rsidR="001524B4" w:rsidRPr="00A06F1E">
        <w:t> </w:t>
      </w:r>
      <w:r w:rsidR="00605669" w:rsidRPr="00A06F1E">
        <w:t>D</w:t>
      </w:r>
      <w:r w:rsidRPr="00A06F1E">
        <w:t xml:space="preserve">1 and </w:t>
      </w:r>
      <w:r w:rsidR="00605669" w:rsidRPr="00A06F1E">
        <w:t>D</w:t>
      </w:r>
      <w:r w:rsidR="00F00F24" w:rsidRPr="00A06F1E">
        <w:t xml:space="preserve">2 </w:t>
      </w:r>
      <w:r w:rsidRPr="00A06F1E">
        <w:t xml:space="preserve">in Appendix </w:t>
      </w:r>
      <w:r w:rsidR="00605669" w:rsidRPr="00A06F1E">
        <w:t>D</w:t>
      </w:r>
      <w:r w:rsidRPr="00A06F1E">
        <w:t>.</w:t>
      </w:r>
      <w:r w:rsidR="0036224D" w:rsidRPr="00A06F1E">
        <w:t xml:space="preserve"> Appendix </w:t>
      </w:r>
      <w:r w:rsidR="00605669" w:rsidRPr="00A06F1E">
        <w:t>D</w:t>
      </w:r>
      <w:r w:rsidR="0036224D" w:rsidRPr="00A06F1E">
        <w:t xml:space="preserve"> </w:t>
      </w:r>
      <w:r w:rsidR="008A7C28" w:rsidRPr="00A06F1E">
        <w:t xml:space="preserve">also </w:t>
      </w:r>
      <w:r w:rsidR="0036224D" w:rsidRPr="00A06F1E">
        <w:t xml:space="preserve">provides </w:t>
      </w:r>
      <w:r w:rsidR="008A7C28" w:rsidRPr="00A06F1E">
        <w:t xml:space="preserve">additional </w:t>
      </w:r>
      <w:r w:rsidR="0036224D" w:rsidRPr="00A06F1E">
        <w:t>information about district enrollment, attendance, and expenditures.</w:t>
      </w:r>
    </w:p>
    <w:p w14:paraId="12EAD5D0" w14:textId="4C9B7D29" w:rsidR="00F4624B" w:rsidRPr="00A06F1E" w:rsidRDefault="00F4624B" w:rsidP="00F4624B">
      <w:pPr>
        <w:pStyle w:val="BodyText"/>
      </w:pPr>
      <w:r w:rsidRPr="00A06F1E">
        <w:rPr>
          <w:rFonts w:eastAsia="Times New Roman"/>
          <w:color w:val="000000" w:themeColor="text1"/>
        </w:rPr>
        <w:t xml:space="preserve">In Orange, </w:t>
      </w:r>
      <w:r w:rsidRPr="00A06F1E">
        <w:t xml:space="preserve">total in-district per-pupil expenditure was </w:t>
      </w:r>
      <w:r w:rsidR="00F86C88" w:rsidRPr="00A06F1E">
        <w:t>less</w:t>
      </w:r>
      <w:r w:rsidRPr="00A06F1E">
        <w:t xml:space="preserve"> than the median in-district per-pupil expenditure for K-12 districts of similar size in fiscal year 2022—$</w:t>
      </w:r>
      <w:r w:rsidR="00631438" w:rsidRPr="00A06F1E">
        <w:t>17</w:t>
      </w:r>
      <w:r w:rsidR="0040520D" w:rsidRPr="00A06F1E">
        <w:t>,</w:t>
      </w:r>
      <w:r w:rsidR="00631438" w:rsidRPr="00A06F1E">
        <w:t>489</w:t>
      </w:r>
      <w:r w:rsidRPr="00A06F1E">
        <w:t xml:space="preserve"> for </w:t>
      </w:r>
      <w:r w:rsidR="00631438" w:rsidRPr="00A06F1E">
        <w:t>Orange</w:t>
      </w:r>
      <w:r w:rsidRPr="00A06F1E">
        <w:t xml:space="preserve"> compared with $</w:t>
      </w:r>
      <w:r w:rsidR="00F30CF5" w:rsidRPr="00A06F1E">
        <w:t>20</w:t>
      </w:r>
      <w:r w:rsidR="0040520D" w:rsidRPr="00A06F1E">
        <w:t>,</w:t>
      </w:r>
      <w:r w:rsidR="00F30CF5" w:rsidRPr="00A06F1E">
        <w:t>431</w:t>
      </w:r>
      <w:r w:rsidRPr="00A06F1E">
        <w:t xml:space="preserve"> for similar districts and less than average state spending per pupil ($19</w:t>
      </w:r>
      <w:r w:rsidR="00F30CF5" w:rsidRPr="00A06F1E">
        <w:t>,</w:t>
      </w:r>
      <w:r w:rsidRPr="00A06F1E">
        <w:t xml:space="preserve">554). Actual net school spending was </w:t>
      </w:r>
      <w:r w:rsidR="008D2131" w:rsidRPr="00A06F1E">
        <w:t xml:space="preserve">roughly </w:t>
      </w:r>
      <w:r w:rsidR="006D4CB4" w:rsidRPr="00A06F1E">
        <w:t>equi</w:t>
      </w:r>
      <w:r w:rsidR="00A46182" w:rsidRPr="00A06F1E">
        <w:t>valent</w:t>
      </w:r>
      <w:r w:rsidR="006D4CB4" w:rsidRPr="00A06F1E">
        <w:t xml:space="preserve"> </w:t>
      </w:r>
      <w:r w:rsidR="008D2131" w:rsidRPr="00A06F1E">
        <w:t>to</w:t>
      </w:r>
      <w:r w:rsidRPr="00A06F1E">
        <w:t xml:space="preserve"> what is </w:t>
      </w:r>
      <w:r w:rsidRPr="00A06F1E">
        <w:rPr>
          <w:rFonts w:eastAsia="Times New Roman"/>
          <w:color w:val="000000" w:themeColor="text1"/>
        </w:rPr>
        <w:t>required by the Chapter 70 state education aid program, as shown in Table D4 in Appendix D.</w:t>
      </w:r>
    </w:p>
    <w:p w14:paraId="1B7AD1A4" w14:textId="041D72AD" w:rsidR="00786E46" w:rsidRDefault="6AB2D0FF" w:rsidP="003D6ECF">
      <w:pPr>
        <w:pStyle w:val="BodyText"/>
        <w:rPr>
          <w:rFonts w:eastAsia="Times New Roman"/>
          <w:color w:val="000000" w:themeColor="text1"/>
        </w:rPr>
      </w:pPr>
      <w:r w:rsidRPr="00A06F1E">
        <w:rPr>
          <w:rFonts w:eastAsia="Times New Roman"/>
          <w:color w:val="000000" w:themeColor="text1"/>
        </w:rPr>
        <w:t>T</w:t>
      </w:r>
      <w:r w:rsidR="00ED3FD3" w:rsidRPr="00A06F1E">
        <w:t xml:space="preserve">otal in-district per-pupil expenditure was greater </w:t>
      </w:r>
      <w:r w:rsidR="3AF9D23B" w:rsidRPr="00A06F1E">
        <w:t xml:space="preserve">in </w:t>
      </w:r>
      <w:proofErr w:type="spellStart"/>
      <w:r w:rsidR="3AF9D23B" w:rsidRPr="00A06F1E">
        <w:t>Petersham</w:t>
      </w:r>
      <w:proofErr w:type="spellEnd"/>
      <w:r w:rsidR="3AF9D23B" w:rsidRPr="00A06F1E">
        <w:t xml:space="preserve"> </w:t>
      </w:r>
      <w:r w:rsidR="00ED3FD3" w:rsidRPr="00A06F1E">
        <w:t>than the median in-district per-pupil expenditure for K-12 districts of similar size in fiscal year 2022—$19</w:t>
      </w:r>
      <w:r w:rsidR="0040520D" w:rsidRPr="00A06F1E">
        <w:t>,</w:t>
      </w:r>
      <w:r w:rsidR="00ED3FD3" w:rsidRPr="00A06F1E">
        <w:t>811 compared with $</w:t>
      </w:r>
      <w:r w:rsidR="000209C9" w:rsidRPr="00A06F1E">
        <w:t>23</w:t>
      </w:r>
      <w:r w:rsidR="0040520D" w:rsidRPr="00A06F1E">
        <w:t>,</w:t>
      </w:r>
      <w:r w:rsidR="000209C9" w:rsidRPr="00A06F1E">
        <w:t>960</w:t>
      </w:r>
      <w:r w:rsidR="00ED3FD3" w:rsidRPr="00A06F1E">
        <w:t xml:space="preserve"> for similar districts and </w:t>
      </w:r>
      <w:r w:rsidR="0006624F" w:rsidRPr="00A06F1E">
        <w:t>less</w:t>
      </w:r>
      <w:r w:rsidR="00ED3FD3" w:rsidRPr="00A06F1E">
        <w:t xml:space="preserve"> than average state spending per pupil ($</w:t>
      </w:r>
      <w:r w:rsidR="0006624F" w:rsidRPr="00A06F1E">
        <w:t>19</w:t>
      </w:r>
      <w:r w:rsidR="0040520D" w:rsidRPr="00A06F1E">
        <w:t>,</w:t>
      </w:r>
      <w:r w:rsidR="0006624F" w:rsidRPr="00A06F1E">
        <w:t>554</w:t>
      </w:r>
      <w:r w:rsidR="00ED3FD3" w:rsidRPr="00A06F1E">
        <w:t xml:space="preserve">). Actual net school spending was greater than what is </w:t>
      </w:r>
      <w:r w:rsidR="00ED3FD3" w:rsidRPr="00A06F1E">
        <w:rPr>
          <w:rFonts w:eastAsia="Times New Roman"/>
          <w:color w:val="000000" w:themeColor="text1"/>
        </w:rPr>
        <w:t>required by the Chapter 70 state education aid program, as shown in Table D4 in Appendix D.</w:t>
      </w:r>
    </w:p>
    <w:p w14:paraId="7936C3DA" w14:textId="3C7B7E02" w:rsidR="009C7B39" w:rsidRPr="00A06F1E" w:rsidRDefault="009C7B39" w:rsidP="009C7B39">
      <w:pPr>
        <w:pStyle w:val="BodyText"/>
        <w:rPr>
          <w:rFonts w:eastAsia="Times New Roman"/>
          <w:color w:val="000000" w:themeColor="text1"/>
        </w:rPr>
      </w:pPr>
      <w:r w:rsidRPr="00BA5445">
        <w:t xml:space="preserve">The total in-district per-pupil expenditure for Mahar </w:t>
      </w:r>
      <w:r w:rsidR="00F17597">
        <w:t>Regional</w:t>
      </w:r>
      <w:r w:rsidRPr="00BA5445">
        <w:t xml:space="preserve"> was greater than the median in-district per-pupil expenditure for K-12 districts of similar size in fiscal year 2022—$21,906 for Mahar Regional compared with $18,126 for similar districts and greater than average state spending per pupil ($20,134). Actual net school spending was greater than what is </w:t>
      </w:r>
      <w:r w:rsidRPr="00BA5445">
        <w:rPr>
          <w:rFonts w:eastAsia="Times New Roman"/>
          <w:color w:val="000000" w:themeColor="text1"/>
        </w:rPr>
        <w:t>required by the Chapter 70 state education aid program, as shown in Table D4 in Appendix D.</w:t>
      </w:r>
    </w:p>
    <w:p w14:paraId="468C8E9C" w14:textId="77777777" w:rsidR="003D6ECF" w:rsidRPr="00A06F1E" w:rsidRDefault="003D6ECF" w:rsidP="003D6ECF">
      <w:pPr>
        <w:pStyle w:val="Heading3"/>
      </w:pPr>
      <w:r w:rsidRPr="00A06F1E">
        <w:t>School and Student Performance</w:t>
      </w:r>
    </w:p>
    <w:p w14:paraId="029BB40D" w14:textId="39D73BEE" w:rsidR="003C2CF9" w:rsidRPr="00D33328" w:rsidRDefault="003C2CF9" w:rsidP="003C2CF9">
      <w:pPr>
        <w:pStyle w:val="BodyTextposthead"/>
      </w:pPr>
      <w:r w:rsidRPr="66852790">
        <w:rPr>
          <w:rFonts w:ascii="Franklin Gothic Book" w:eastAsia="Franklin Gothic Book" w:hAnsi="Franklin Gothic Book" w:cs="Franklin Gothic Book"/>
          <w:color w:val="000000" w:themeColor="text1"/>
        </w:rPr>
        <w:t xml:space="preserve">The following section includes selected highlights regarding student performance in </w:t>
      </w:r>
      <w:r w:rsidR="000D6A8E">
        <w:rPr>
          <w:rFonts w:ascii="Franklin Gothic Book" w:eastAsia="Franklin Gothic Book" w:hAnsi="Franklin Gothic Book" w:cs="Franklin Gothic Book"/>
          <w:color w:val="000000" w:themeColor="text1"/>
        </w:rPr>
        <w:t>RCM &amp; SU 73</w:t>
      </w:r>
      <w:r w:rsidRPr="66852790">
        <w:rPr>
          <w:rFonts w:ascii="Franklin Gothic Book" w:eastAsia="Franklin Gothic Book" w:hAnsi="Franklin Gothic Book" w:cs="Franklin Gothic Book"/>
          <w:color w:val="000000" w:themeColor="text1"/>
        </w:rPr>
        <w:t xml:space="preserve">. This section is meant to provide a brief synopsis of data, not a comprehensive analysis of district performance data. For additional details and data on district performance, please see Appendix E and </w:t>
      </w:r>
      <w:hyperlink r:id="rId21" w:history="1">
        <w:r w:rsidR="00D33328" w:rsidRPr="00DC1C19">
          <w:rPr>
            <w:rStyle w:val="Hyperlink"/>
            <w:rFonts w:ascii="Franklin Gothic Book" w:eastAsia="Franklin Gothic Book" w:hAnsi="Franklin Gothic Book" w:cs="Franklin Gothic Book"/>
          </w:rPr>
          <w:t>School and District Profiles (mass.edu)</w:t>
        </w:r>
      </w:hyperlink>
      <w:r w:rsidR="00E42DC1" w:rsidRPr="00D33328">
        <w:rPr>
          <w:rStyle w:val="Hyperlink"/>
          <w:rFonts w:ascii="Franklin Gothic Book" w:eastAsia="Franklin Gothic Book" w:hAnsi="Franklin Gothic Book" w:cs="Franklin Gothic Book"/>
          <w:color w:val="auto"/>
          <w:u w:val="none"/>
        </w:rPr>
        <w:t xml:space="preserve"> for </w:t>
      </w:r>
      <w:hyperlink r:id="rId22" w:history="1">
        <w:r w:rsidR="00E42DC1" w:rsidRPr="00EC1488">
          <w:rPr>
            <w:rStyle w:val="Hyperlink"/>
            <w:rFonts w:ascii="Franklin Gothic Book" w:eastAsia="Franklin Gothic Book" w:hAnsi="Franklin Gothic Book" w:cs="Franklin Gothic Book"/>
          </w:rPr>
          <w:t>Orange</w:t>
        </w:r>
      </w:hyperlink>
      <w:r w:rsidR="00E42DC1" w:rsidRPr="00D33328">
        <w:rPr>
          <w:rStyle w:val="Hyperlink"/>
          <w:rFonts w:ascii="Franklin Gothic Book" w:eastAsia="Franklin Gothic Book" w:hAnsi="Franklin Gothic Book" w:cs="Franklin Gothic Book"/>
          <w:color w:val="auto"/>
          <w:u w:val="none"/>
        </w:rPr>
        <w:t xml:space="preserve">, </w:t>
      </w:r>
      <w:hyperlink r:id="rId23" w:history="1">
        <w:proofErr w:type="spellStart"/>
        <w:r w:rsidR="00E42DC1" w:rsidRPr="003F7DD5">
          <w:rPr>
            <w:rStyle w:val="Hyperlink"/>
            <w:rFonts w:ascii="Franklin Gothic Book" w:eastAsia="Franklin Gothic Book" w:hAnsi="Franklin Gothic Book" w:cs="Franklin Gothic Book"/>
          </w:rPr>
          <w:t>Petersham</w:t>
        </w:r>
        <w:proofErr w:type="spellEnd"/>
      </w:hyperlink>
      <w:r w:rsidR="00E42DC1" w:rsidRPr="00D33328">
        <w:rPr>
          <w:rStyle w:val="Hyperlink"/>
          <w:rFonts w:ascii="Franklin Gothic Book" w:eastAsia="Franklin Gothic Book" w:hAnsi="Franklin Gothic Book" w:cs="Franklin Gothic Book"/>
          <w:color w:val="auto"/>
          <w:u w:val="none"/>
        </w:rPr>
        <w:t xml:space="preserve">, and </w:t>
      </w:r>
      <w:hyperlink r:id="rId24" w:history="1">
        <w:r w:rsidR="00E42DC1" w:rsidRPr="00125095">
          <w:rPr>
            <w:rStyle w:val="Hyperlink"/>
            <w:rFonts w:ascii="Franklin Gothic Book" w:eastAsia="Franklin Gothic Book" w:hAnsi="Franklin Gothic Book" w:cs="Franklin Gothic Book"/>
          </w:rPr>
          <w:t>Ralph C. Mahar</w:t>
        </w:r>
      </w:hyperlink>
      <w:r w:rsidRPr="00D33328">
        <w:rPr>
          <w:rStyle w:val="normaltextrun"/>
          <w:rFonts w:ascii="Franklin Gothic Book" w:eastAsia="Franklin Gothic Book" w:hAnsi="Franklin Gothic Book" w:cs="Franklin Gothic Book"/>
          <w:u w:val="single"/>
        </w:rPr>
        <w:t>.</w:t>
      </w:r>
    </w:p>
    <w:p w14:paraId="5C44F193" w14:textId="3BED2F85" w:rsidR="00E1387B" w:rsidRPr="00A06F1E" w:rsidRDefault="00E1387B" w:rsidP="00635306">
      <w:pPr>
        <w:pStyle w:val="Heading4"/>
        <w:rPr>
          <w:bCs/>
        </w:rPr>
      </w:pPr>
      <w:r w:rsidRPr="00A06F1E">
        <w:t>Achievement</w:t>
      </w:r>
    </w:p>
    <w:p w14:paraId="154FC35B" w14:textId="1DDA6C46" w:rsidR="00E711E0" w:rsidRPr="00F056D1" w:rsidRDefault="00E711E0" w:rsidP="00E711E0">
      <w:pPr>
        <w:pStyle w:val="Bullet1"/>
      </w:pPr>
      <w:r w:rsidRPr="00F056D1">
        <w:t xml:space="preserve">In ELA, the percentage of </w:t>
      </w:r>
      <w:r w:rsidR="007D1DA8" w:rsidDel="00325F4B">
        <w:t xml:space="preserve">the </w:t>
      </w:r>
      <w:r w:rsidR="00595E30">
        <w:t>A</w:t>
      </w:r>
      <w:r w:rsidRPr="00F056D1">
        <w:t xml:space="preserve">ll </w:t>
      </w:r>
      <w:r w:rsidR="00595E30">
        <w:t>S</w:t>
      </w:r>
      <w:r w:rsidRPr="00F056D1">
        <w:t>tudent</w:t>
      </w:r>
      <w:r w:rsidR="00325F4B">
        <w:t>s</w:t>
      </w:r>
      <w:r w:rsidR="007D1DA8">
        <w:t xml:space="preserve"> </w:t>
      </w:r>
      <w:r w:rsidR="00595E30">
        <w:t>group</w:t>
      </w:r>
      <w:r w:rsidR="007D1DA8">
        <w:t xml:space="preserve"> </w:t>
      </w:r>
      <w:r w:rsidRPr="00F056D1">
        <w:t xml:space="preserve">meeting or exceeding expectations on the Next-Generation Massachusetts Comprehensive Assessment System (MCAS) was below that of their statewide peers in Grades 3-8 and Grade 10 in </w:t>
      </w:r>
      <w:r w:rsidR="00F52719">
        <w:t>Fisher Hill</w:t>
      </w:r>
      <w:r w:rsidRPr="00F056D1">
        <w:t xml:space="preserve"> and Mahar Regional.</w:t>
      </w:r>
    </w:p>
    <w:p w14:paraId="300630C2" w14:textId="25EF29E8" w:rsidR="00E711E0" w:rsidRPr="00BB7763" w:rsidRDefault="009F473A" w:rsidP="00E711E0">
      <w:pPr>
        <w:pStyle w:val="Bullet2"/>
      </w:pPr>
      <w:r>
        <w:t>In grades 3-6 a</w:t>
      </w:r>
      <w:r w:rsidR="00E711E0" w:rsidRPr="00BB7763">
        <w:t xml:space="preserve">t </w:t>
      </w:r>
      <w:r w:rsidR="00CF4F71">
        <w:t>Fisher Hill</w:t>
      </w:r>
      <w:r w:rsidR="00E711E0" w:rsidRPr="00BB7763">
        <w:t xml:space="preserve">, 16 percent of </w:t>
      </w:r>
      <w:r w:rsidR="00671AC5">
        <w:t>students</w:t>
      </w:r>
      <w:r w:rsidR="00E711E0" w:rsidRPr="00BB7763">
        <w:t xml:space="preserve"> met or exceeded expectations</w:t>
      </w:r>
      <w:r w:rsidR="00FA007E">
        <w:t>, which is</w:t>
      </w:r>
      <w:r w:rsidR="00E711E0" w:rsidRPr="00BB7763">
        <w:t xml:space="preserve"> 26 percentage points below the state rate of 42 percent.</w:t>
      </w:r>
    </w:p>
    <w:p w14:paraId="78894CE1" w14:textId="1F17D59F" w:rsidR="00E711E0" w:rsidRPr="00F056D1" w:rsidRDefault="009F473A" w:rsidP="00E711E0">
      <w:pPr>
        <w:pStyle w:val="Bullet2"/>
      </w:pPr>
      <w:r>
        <w:t>In grades 3-6 a</w:t>
      </w:r>
      <w:r w:rsidR="00E711E0" w:rsidRPr="00F056D1">
        <w:t xml:space="preserve">t </w:t>
      </w:r>
      <w:proofErr w:type="spellStart"/>
      <w:r w:rsidR="00652B48">
        <w:t>Petersham</w:t>
      </w:r>
      <w:proofErr w:type="spellEnd"/>
      <w:r w:rsidR="00652B48">
        <w:t xml:space="preserve"> Center</w:t>
      </w:r>
      <w:r w:rsidR="00E711E0" w:rsidRPr="00F056D1">
        <w:t>, 45 percent of</w:t>
      </w:r>
      <w:r w:rsidR="00072BEC">
        <w:t xml:space="preserve"> </w:t>
      </w:r>
      <w:r w:rsidR="00616D17">
        <w:t>s</w:t>
      </w:r>
      <w:r w:rsidR="00E711E0" w:rsidRPr="00F056D1">
        <w:t>tudent</w:t>
      </w:r>
      <w:r w:rsidR="00671AC5">
        <w:t>s</w:t>
      </w:r>
      <w:r w:rsidR="00072BEC">
        <w:t xml:space="preserve"> </w:t>
      </w:r>
      <w:r w:rsidR="00E711E0" w:rsidRPr="00F056D1">
        <w:t>met or exceeded expectations</w:t>
      </w:r>
      <w:r w:rsidR="00FA007E">
        <w:t>, which is</w:t>
      </w:r>
      <w:r w:rsidR="00E711E0" w:rsidRPr="00F056D1">
        <w:t xml:space="preserve"> 3 percentage points above the state rate of 42 percent.</w:t>
      </w:r>
    </w:p>
    <w:p w14:paraId="46573BBD" w14:textId="4DA790AD" w:rsidR="00E711E0" w:rsidRPr="00F056D1" w:rsidRDefault="001039DE" w:rsidP="00E711E0">
      <w:pPr>
        <w:pStyle w:val="Bullet2"/>
      </w:pPr>
      <w:r>
        <w:t>In grades 7</w:t>
      </w:r>
      <w:r w:rsidR="009B1C17">
        <w:t>-</w:t>
      </w:r>
      <w:r>
        <w:t>8 a</w:t>
      </w:r>
      <w:r w:rsidR="00E711E0" w:rsidRPr="00F056D1">
        <w:t>t Mahar Regional, 29 percent of</w:t>
      </w:r>
      <w:r w:rsidR="00072BEC">
        <w:t xml:space="preserve"> </w:t>
      </w:r>
      <w:r w:rsidR="00E711E0" w:rsidRPr="00F056D1">
        <w:t>student</w:t>
      </w:r>
      <w:r w:rsidR="00671AC5">
        <w:t>s</w:t>
      </w:r>
      <w:r w:rsidR="00072BEC">
        <w:t xml:space="preserve"> </w:t>
      </w:r>
      <w:r w:rsidR="00E711E0" w:rsidRPr="00F056D1">
        <w:t xml:space="preserve">met or exceeded expectations 13 percentage points lower than </w:t>
      </w:r>
      <w:r w:rsidR="00E711E0">
        <w:t>the state rate of 42 percent</w:t>
      </w:r>
      <w:r w:rsidR="00E711E0" w:rsidRPr="00F056D1">
        <w:t xml:space="preserve"> in Grades </w:t>
      </w:r>
      <w:r w:rsidR="00E711E0">
        <w:t>3</w:t>
      </w:r>
      <w:r w:rsidR="00E711E0" w:rsidRPr="00F056D1">
        <w:t xml:space="preserve">-8, and </w:t>
      </w:r>
      <w:r w:rsidR="007A487D">
        <w:t xml:space="preserve">in grade 10, </w:t>
      </w:r>
      <w:r w:rsidR="00E711E0" w:rsidRPr="00F056D1">
        <w:t xml:space="preserve">51 percent </w:t>
      </w:r>
      <w:r w:rsidR="00671AC5">
        <w:t>met</w:t>
      </w:r>
      <w:r w:rsidR="00E711E0" w:rsidRPr="00F056D1">
        <w:t xml:space="preserve"> or exceeded expectations</w:t>
      </w:r>
      <w:r w:rsidR="00883A58">
        <w:t>, which is</w:t>
      </w:r>
      <w:r w:rsidR="00E711E0" w:rsidRPr="00F056D1">
        <w:t xml:space="preserve"> 7 percentage points lower than the state rate of 58 percent.</w:t>
      </w:r>
    </w:p>
    <w:p w14:paraId="1B9B9FFF" w14:textId="3171651F" w:rsidR="00E711E0" w:rsidRPr="004D27ED" w:rsidRDefault="00E711E0" w:rsidP="00E711E0">
      <w:pPr>
        <w:pStyle w:val="Bullet1"/>
        <w:keepNext/>
      </w:pPr>
      <w:r w:rsidRPr="004D27ED">
        <w:lastRenderedPageBreak/>
        <w:t>In mathematics, the percentage of</w:t>
      </w:r>
      <w:r w:rsidR="00C848FB">
        <w:t xml:space="preserve"> </w:t>
      </w:r>
      <w:r w:rsidR="00C848FB" w:rsidDel="00E37977">
        <w:t>the</w:t>
      </w:r>
      <w:r w:rsidRPr="004D27ED" w:rsidDel="00E37977">
        <w:t xml:space="preserve"> </w:t>
      </w:r>
      <w:r w:rsidR="00A50BDF">
        <w:t>A</w:t>
      </w:r>
      <w:r w:rsidR="00E37977">
        <w:t xml:space="preserve">ll </w:t>
      </w:r>
      <w:r w:rsidR="00A50BDF">
        <w:t>S</w:t>
      </w:r>
      <w:r w:rsidR="00E37977">
        <w:t>tudents</w:t>
      </w:r>
      <w:r w:rsidRPr="004D27ED">
        <w:t xml:space="preserve"> </w:t>
      </w:r>
      <w:r w:rsidR="00A50BDF">
        <w:t>group</w:t>
      </w:r>
      <w:r w:rsidRPr="004D27ED">
        <w:t xml:space="preserve"> meeting or exceeding expectations on the Next-Generation MCAS was below that of their statewide peers in Grades 3-8 and Grade 10.</w:t>
      </w:r>
    </w:p>
    <w:p w14:paraId="3C55C76A" w14:textId="272D81AE" w:rsidR="00E711E0" w:rsidRPr="00CF6B95" w:rsidRDefault="00805BBC" w:rsidP="00E711E0">
      <w:pPr>
        <w:pStyle w:val="Bullet2"/>
      </w:pPr>
      <w:r>
        <w:t>In grades 3-6 at</w:t>
      </w:r>
      <w:r w:rsidR="00E711E0" w:rsidRPr="00CF6B95">
        <w:t xml:space="preserve"> </w:t>
      </w:r>
      <w:r w:rsidR="00CF4F71">
        <w:t>Fisher Hill</w:t>
      </w:r>
      <w:r w:rsidR="00E711E0" w:rsidRPr="00CF6B95">
        <w:t>, 15 percent of</w:t>
      </w:r>
      <w:r w:rsidR="00286015">
        <w:t xml:space="preserve"> </w:t>
      </w:r>
      <w:r w:rsidR="00E37977">
        <w:t>students</w:t>
      </w:r>
      <w:r>
        <w:t xml:space="preserve"> </w:t>
      </w:r>
      <w:r w:rsidR="00E711E0" w:rsidRPr="00CF6B95">
        <w:t>met or exceeded expectations</w:t>
      </w:r>
      <w:r w:rsidR="00B32714">
        <w:t>, which is</w:t>
      </w:r>
      <w:r w:rsidR="00E711E0" w:rsidRPr="00CF6B95">
        <w:t xml:space="preserve"> 26 percentage points below the state rate of 41 percent.</w:t>
      </w:r>
    </w:p>
    <w:p w14:paraId="41CFF5D0" w14:textId="0693CFD0" w:rsidR="00E711E0" w:rsidRPr="00CF6B95" w:rsidRDefault="009D6DBF" w:rsidP="00E711E0">
      <w:pPr>
        <w:pStyle w:val="Bullet2"/>
      </w:pPr>
      <w:r>
        <w:t>In grades 3-6 a</w:t>
      </w:r>
      <w:r w:rsidR="00E711E0" w:rsidRPr="00CF6B95">
        <w:t xml:space="preserve">t </w:t>
      </w:r>
      <w:proofErr w:type="spellStart"/>
      <w:r w:rsidR="00652B48">
        <w:t>Petersham</w:t>
      </w:r>
      <w:proofErr w:type="spellEnd"/>
      <w:r w:rsidR="00652B48">
        <w:t xml:space="preserve"> Center</w:t>
      </w:r>
      <w:r w:rsidR="00E711E0" w:rsidRPr="00CF6B95">
        <w:t>, 31 percent of</w:t>
      </w:r>
      <w:r w:rsidR="00F22496">
        <w:t xml:space="preserve"> </w:t>
      </w:r>
      <w:r w:rsidR="00E37977">
        <w:t>students</w:t>
      </w:r>
      <w:r w:rsidR="00E711E0" w:rsidRPr="00CF6B95">
        <w:t xml:space="preserve"> met or exceeded expectations</w:t>
      </w:r>
      <w:r w:rsidR="00B32714">
        <w:t>, which is</w:t>
      </w:r>
      <w:r w:rsidR="00E711E0" w:rsidRPr="00CF6B95">
        <w:t xml:space="preserve"> 10 percentage points </w:t>
      </w:r>
      <w:r w:rsidR="007C1AF7">
        <w:t>below</w:t>
      </w:r>
      <w:r w:rsidR="00E711E0" w:rsidRPr="00CF6B95">
        <w:t xml:space="preserve"> the state rate of 41 percent.</w:t>
      </w:r>
    </w:p>
    <w:p w14:paraId="62161144" w14:textId="086AFA97" w:rsidR="00E711E0" w:rsidRPr="004D27ED" w:rsidRDefault="009F473A" w:rsidP="00E711E0">
      <w:pPr>
        <w:pStyle w:val="Bullet2"/>
      </w:pPr>
      <w:r>
        <w:t>In grades 7</w:t>
      </w:r>
      <w:r w:rsidR="009B1C17">
        <w:t>-</w:t>
      </w:r>
      <w:r>
        <w:t>8 a</w:t>
      </w:r>
      <w:r w:rsidR="00E711E0" w:rsidRPr="004D27ED">
        <w:t>t Mahar Regional, 32 percent of</w:t>
      </w:r>
      <w:r w:rsidR="00F22496">
        <w:t xml:space="preserve"> </w:t>
      </w:r>
      <w:r w:rsidR="00E37977">
        <w:t>students</w:t>
      </w:r>
      <w:r w:rsidR="00E711E0" w:rsidRPr="004D27ED">
        <w:t xml:space="preserve"> met or exceeded expectations 9 percentage points lower than the state rate of 41 percent, and </w:t>
      </w:r>
      <w:r w:rsidR="007A487D">
        <w:t xml:space="preserve">in grade 10, </w:t>
      </w:r>
      <w:r w:rsidR="00E711E0" w:rsidRPr="004D27ED">
        <w:t>35 percent met or exceeded expectations</w:t>
      </w:r>
      <w:r w:rsidR="00D36F92">
        <w:t>, which is</w:t>
      </w:r>
      <w:r w:rsidR="00E711E0" w:rsidRPr="004D27ED">
        <w:t xml:space="preserve"> 15 percentage points lower than the state rate of 50 percent.</w:t>
      </w:r>
    </w:p>
    <w:p w14:paraId="731C4419" w14:textId="660FC6F4" w:rsidR="003B280D" w:rsidRPr="00A06F1E" w:rsidRDefault="003B280D" w:rsidP="003B280D">
      <w:pPr>
        <w:pStyle w:val="Bullet1"/>
      </w:pPr>
      <w:r w:rsidRPr="00A06F1E">
        <w:t xml:space="preserve">In science, the percentage of </w:t>
      </w:r>
      <w:r w:rsidR="00EB59B9">
        <w:t xml:space="preserve">the </w:t>
      </w:r>
      <w:r w:rsidR="003141B0">
        <w:t>A</w:t>
      </w:r>
      <w:r w:rsidR="00E37977">
        <w:t xml:space="preserve">ll </w:t>
      </w:r>
      <w:r w:rsidR="003141B0">
        <w:t>S</w:t>
      </w:r>
      <w:r w:rsidR="00E37977">
        <w:t>tudent</w:t>
      </w:r>
      <w:r w:rsidR="003141B0">
        <w:t>s</w:t>
      </w:r>
      <w:r w:rsidRPr="00A06F1E">
        <w:t xml:space="preserve"> </w:t>
      </w:r>
      <w:r w:rsidR="00F24F58">
        <w:t xml:space="preserve">group </w:t>
      </w:r>
      <w:r w:rsidRPr="00A06F1E">
        <w:t xml:space="preserve">meeting or exceeding expectations on the Next-Generation MCAS was below that of their statewide peers in Grades 5 and 8 at </w:t>
      </w:r>
      <w:r w:rsidR="00CF4F71">
        <w:t>Fisher Hill</w:t>
      </w:r>
      <w:r w:rsidRPr="00A06F1E">
        <w:t xml:space="preserve"> and </w:t>
      </w:r>
      <w:proofErr w:type="spellStart"/>
      <w:r w:rsidR="00652B48">
        <w:t>Petersham</w:t>
      </w:r>
      <w:proofErr w:type="spellEnd"/>
      <w:r w:rsidR="00652B48">
        <w:t xml:space="preserve"> Center</w:t>
      </w:r>
      <w:r w:rsidRPr="00A06F1E">
        <w:t>, and in Grade 10 at Mahar Regional.</w:t>
      </w:r>
    </w:p>
    <w:p w14:paraId="1E6D6D38" w14:textId="25F83A0C" w:rsidR="003B280D" w:rsidRPr="00A06F1E" w:rsidRDefault="009B1C17" w:rsidP="003B280D">
      <w:pPr>
        <w:pStyle w:val="Bullet2"/>
      </w:pPr>
      <w:r>
        <w:t>In grades 3-6 a</w:t>
      </w:r>
      <w:r w:rsidRPr="00BB7763">
        <w:t xml:space="preserve">t </w:t>
      </w:r>
      <w:r w:rsidR="00CF4F71">
        <w:t>Fisher Hill</w:t>
      </w:r>
      <w:r w:rsidR="003B280D" w:rsidRPr="00A06F1E">
        <w:t>, 20 percent of</w:t>
      </w:r>
      <w:r w:rsidR="00B41E3A">
        <w:t xml:space="preserve"> </w:t>
      </w:r>
      <w:r w:rsidR="003141B0">
        <w:t xml:space="preserve">students </w:t>
      </w:r>
      <w:r w:rsidR="003B280D" w:rsidRPr="00A06F1E">
        <w:t>met or exceeded expectations, which was 21 percentage points below the state rate</w:t>
      </w:r>
      <w:r w:rsidR="00563F2E">
        <w:t xml:space="preserve"> of 41 percent</w:t>
      </w:r>
      <w:r w:rsidR="003B280D" w:rsidRPr="00A06F1E">
        <w:t>.</w:t>
      </w:r>
    </w:p>
    <w:p w14:paraId="6703B3D1" w14:textId="76DF9246" w:rsidR="003B280D" w:rsidRPr="00A06F1E" w:rsidRDefault="009B1C17" w:rsidP="003B280D">
      <w:pPr>
        <w:pStyle w:val="Bullet2"/>
      </w:pPr>
      <w:r>
        <w:t>In grades 3-6 at</w:t>
      </w:r>
      <w:r w:rsidR="003B280D">
        <w:t xml:space="preserve"> </w:t>
      </w:r>
      <w:proofErr w:type="spellStart"/>
      <w:r w:rsidR="00652B48">
        <w:t>Petersham</w:t>
      </w:r>
      <w:proofErr w:type="spellEnd"/>
      <w:r w:rsidR="00652B48">
        <w:t xml:space="preserve"> Center</w:t>
      </w:r>
      <w:r w:rsidR="003B280D">
        <w:t>,</w:t>
      </w:r>
      <w:r w:rsidR="00B90FC6">
        <w:t xml:space="preserve"> 33 percent of </w:t>
      </w:r>
      <w:r w:rsidR="003B280D">
        <w:t>student</w:t>
      </w:r>
      <w:r w:rsidR="003141B0">
        <w:t xml:space="preserve">s </w:t>
      </w:r>
      <w:r w:rsidR="00230E77">
        <w:t xml:space="preserve">met or exceeded expectations, which was </w:t>
      </w:r>
      <w:r w:rsidR="003B280D">
        <w:t>8 percentage points</w:t>
      </w:r>
      <w:r w:rsidR="00230E77">
        <w:t xml:space="preserve"> lower</w:t>
      </w:r>
      <w:r w:rsidR="00563F2E">
        <w:t xml:space="preserve"> th</w:t>
      </w:r>
      <w:r w:rsidR="005D74DC">
        <w:t>a</w:t>
      </w:r>
      <w:r w:rsidR="00563F2E">
        <w:t>n the state rate of 41 percent</w:t>
      </w:r>
      <w:r w:rsidR="003B280D">
        <w:t>.</w:t>
      </w:r>
    </w:p>
    <w:p w14:paraId="141634CA" w14:textId="67F96F7E" w:rsidR="003B280D" w:rsidRPr="00A06F1E" w:rsidRDefault="009B1C17" w:rsidP="003B280D">
      <w:pPr>
        <w:pStyle w:val="Bullet2"/>
      </w:pPr>
      <w:r>
        <w:t>In grade 8 a</w:t>
      </w:r>
      <w:r w:rsidR="003B280D" w:rsidRPr="00A06F1E">
        <w:t>t Mahar Regional,</w:t>
      </w:r>
      <w:r w:rsidR="004E346B">
        <w:t xml:space="preserve"> </w:t>
      </w:r>
      <w:r w:rsidR="00D62CEC">
        <w:t>45</w:t>
      </w:r>
      <w:r w:rsidR="00601629">
        <w:t xml:space="preserve"> percent of student</w:t>
      </w:r>
      <w:r w:rsidR="003141B0">
        <w:t xml:space="preserve">s </w:t>
      </w:r>
      <w:r w:rsidR="00601629">
        <w:t>met or exceeded expectation</w:t>
      </w:r>
      <w:r w:rsidR="005C60DA">
        <w:t>s</w:t>
      </w:r>
      <w:r w:rsidR="00DB6D46">
        <w:t xml:space="preserve"> 4 </w:t>
      </w:r>
      <w:r w:rsidR="00BB4AA9">
        <w:t xml:space="preserve">percentage points higher than the state rate of </w:t>
      </w:r>
      <w:r w:rsidR="00633C43">
        <w:t>41</w:t>
      </w:r>
      <w:r w:rsidR="00B1546F">
        <w:t xml:space="preserve"> percent</w:t>
      </w:r>
      <w:r w:rsidR="00327C8D">
        <w:t xml:space="preserve"> in Grades 5 and 8, and </w:t>
      </w:r>
      <w:r w:rsidR="00DC3AEC">
        <w:t xml:space="preserve">in grade 10, </w:t>
      </w:r>
      <w:r w:rsidR="004E346B">
        <w:t>23 percent of</w:t>
      </w:r>
      <w:r w:rsidR="00563F2E">
        <w:t xml:space="preserve"> </w:t>
      </w:r>
      <w:r w:rsidR="003B280D" w:rsidRPr="00A06F1E">
        <w:t>student</w:t>
      </w:r>
      <w:r w:rsidR="003141B0">
        <w:t>s</w:t>
      </w:r>
      <w:r w:rsidR="002B5F46">
        <w:t xml:space="preserve"> </w:t>
      </w:r>
      <w:r w:rsidR="003B280D" w:rsidRPr="00A06F1E">
        <w:t>met or exceeded expectations</w:t>
      </w:r>
      <w:r w:rsidR="00FA5000">
        <w:t xml:space="preserve">, which was </w:t>
      </w:r>
      <w:r w:rsidR="003B280D" w:rsidRPr="00A06F1E">
        <w:t xml:space="preserve">24 percentage points lower than </w:t>
      </w:r>
      <w:r w:rsidR="00FA5000">
        <w:t>the state rate of 47 percent</w:t>
      </w:r>
      <w:r w:rsidR="003B280D" w:rsidRPr="00A06F1E">
        <w:t xml:space="preserve"> </w:t>
      </w:r>
      <w:r w:rsidR="0027574C">
        <w:t xml:space="preserve">in </w:t>
      </w:r>
      <w:r w:rsidR="003B280D" w:rsidRPr="00A06F1E">
        <w:t>Grade 10.</w:t>
      </w:r>
    </w:p>
    <w:p w14:paraId="5BF47F66" w14:textId="229B50C9" w:rsidR="00E1387B" w:rsidRPr="00A06F1E" w:rsidRDefault="00E1387B" w:rsidP="00635306">
      <w:pPr>
        <w:pStyle w:val="Bullet1"/>
      </w:pPr>
      <w:r w:rsidRPr="00A06F1E">
        <w:t>In ELA, the percent</w:t>
      </w:r>
      <w:r w:rsidR="00527B04" w:rsidRPr="00A06F1E">
        <w:t>age</w:t>
      </w:r>
      <w:r w:rsidRPr="00A06F1E">
        <w:t xml:space="preserve"> of White students meeting or exceeding expectations on the Next</w:t>
      </w:r>
      <w:r w:rsidR="009061D7" w:rsidRPr="00A06F1E">
        <w:t>-</w:t>
      </w:r>
      <w:r w:rsidRPr="00A06F1E">
        <w:t>Generation MCAS was below</w:t>
      </w:r>
      <w:r w:rsidR="00A3531F" w:rsidRPr="00A06F1E">
        <w:t xml:space="preserve"> that of</w:t>
      </w:r>
      <w:r w:rsidRPr="00A06F1E">
        <w:t xml:space="preserve"> their statewide peers in </w:t>
      </w:r>
      <w:r w:rsidR="00A3531F" w:rsidRPr="00A06F1E">
        <w:t>G</w:t>
      </w:r>
      <w:r w:rsidRPr="00A06F1E">
        <w:t>rades 3</w:t>
      </w:r>
      <w:r w:rsidR="000A7F25" w:rsidRPr="00A06F1E">
        <w:t>-</w:t>
      </w:r>
      <w:r w:rsidRPr="00A06F1E">
        <w:t xml:space="preserve">8 and </w:t>
      </w:r>
      <w:r w:rsidR="00A3531F" w:rsidRPr="00A06F1E">
        <w:t>G</w:t>
      </w:r>
      <w:r w:rsidRPr="00A06F1E">
        <w:t>rade 10.</w:t>
      </w:r>
    </w:p>
    <w:p w14:paraId="1060BA21" w14:textId="15BE7591" w:rsidR="006C1DC9" w:rsidRPr="00A06F1E" w:rsidRDefault="009B1C17" w:rsidP="00635306">
      <w:pPr>
        <w:pStyle w:val="Bullet2"/>
      </w:pPr>
      <w:r>
        <w:t xml:space="preserve">In grades 3-6 at </w:t>
      </w:r>
      <w:r w:rsidR="00CF4F71">
        <w:t>Fisher Hill</w:t>
      </w:r>
      <w:r w:rsidR="00E1387B" w:rsidRPr="00A06F1E">
        <w:t>,</w:t>
      </w:r>
      <w:r w:rsidR="009061D7" w:rsidRPr="00A06F1E">
        <w:t xml:space="preserve"> </w:t>
      </w:r>
      <w:r w:rsidR="00031E27">
        <w:t xml:space="preserve">16 percent of </w:t>
      </w:r>
      <w:r w:rsidR="00E1387B" w:rsidRPr="00A06F1E">
        <w:t xml:space="preserve">White students </w:t>
      </w:r>
      <w:r w:rsidR="00031E27">
        <w:t xml:space="preserve">met or exceeded expectations, which was </w:t>
      </w:r>
      <w:r w:rsidR="00E1387B" w:rsidRPr="00A06F1E">
        <w:t>34 percentage points</w:t>
      </w:r>
      <w:r w:rsidR="00031E27">
        <w:t xml:space="preserve"> </w:t>
      </w:r>
      <w:r w:rsidR="002E6BA0">
        <w:t>lower than the state rate of 50 percent</w:t>
      </w:r>
      <w:r w:rsidR="00E1387B" w:rsidRPr="00A06F1E">
        <w:t>.</w:t>
      </w:r>
    </w:p>
    <w:p w14:paraId="19619A85" w14:textId="59C66AC3" w:rsidR="00E1387B" w:rsidRPr="00A06F1E" w:rsidRDefault="009B1C17" w:rsidP="00635306">
      <w:pPr>
        <w:pStyle w:val="Bullet2"/>
      </w:pPr>
      <w:r>
        <w:t>In grades 3-6 a</w:t>
      </w:r>
      <w:r w:rsidR="00B5322A" w:rsidRPr="00A06F1E">
        <w:t xml:space="preserve">t </w:t>
      </w:r>
      <w:proofErr w:type="spellStart"/>
      <w:r w:rsidR="00652B48">
        <w:t>Petersham</w:t>
      </w:r>
      <w:proofErr w:type="spellEnd"/>
      <w:r w:rsidR="00652B48">
        <w:t xml:space="preserve"> Center</w:t>
      </w:r>
      <w:r w:rsidR="00E1387B" w:rsidRPr="00A06F1E">
        <w:t>, 40 percent of White students met or exceeded expectations, which was 10 percentage points below the state rate</w:t>
      </w:r>
      <w:r w:rsidR="00F337EF">
        <w:t xml:space="preserve"> of 50 percent</w:t>
      </w:r>
      <w:r w:rsidR="00E1387B" w:rsidRPr="00A06F1E">
        <w:t>.</w:t>
      </w:r>
    </w:p>
    <w:p w14:paraId="5071913E" w14:textId="1F5AB047" w:rsidR="00E1387B" w:rsidRPr="00A06F1E" w:rsidRDefault="009B1C17" w:rsidP="00635306">
      <w:pPr>
        <w:pStyle w:val="Bullet2"/>
      </w:pPr>
      <w:r>
        <w:t>In grades 7-8 a</w:t>
      </w:r>
      <w:r w:rsidR="00E1387B" w:rsidRPr="00A06F1E">
        <w:t xml:space="preserve">t Mahar </w:t>
      </w:r>
      <w:r w:rsidR="00DF1C38" w:rsidRPr="00A06F1E">
        <w:t>Regional</w:t>
      </w:r>
      <w:r w:rsidR="00E1387B" w:rsidRPr="00A06F1E">
        <w:t xml:space="preserve">, White students met or exceeded expectations at rates 18 percentage points lower than their statewide peers, and </w:t>
      </w:r>
      <w:r w:rsidR="00DC3AEC">
        <w:t xml:space="preserve">in grade 10 </w:t>
      </w:r>
      <w:r w:rsidR="00E1387B" w:rsidRPr="00A06F1E">
        <w:t>by 15</w:t>
      </w:r>
      <w:r w:rsidR="001524B4" w:rsidRPr="00A06F1E">
        <w:t> </w:t>
      </w:r>
      <w:r w:rsidR="00E1387B" w:rsidRPr="00A06F1E">
        <w:t>percentage points.</w:t>
      </w:r>
    </w:p>
    <w:p w14:paraId="2FDDE8D1" w14:textId="0B6C8652" w:rsidR="00E1387B" w:rsidRPr="00A06F1E" w:rsidRDefault="00E1387B" w:rsidP="00635306">
      <w:pPr>
        <w:pStyle w:val="Bullet1"/>
        <w:keepNext/>
      </w:pPr>
      <w:r w:rsidRPr="00A06F1E">
        <w:t>In math</w:t>
      </w:r>
      <w:r w:rsidR="000A7F25" w:rsidRPr="00A06F1E">
        <w:t>ematics</w:t>
      </w:r>
      <w:r w:rsidRPr="00A06F1E">
        <w:t>, the percent</w:t>
      </w:r>
      <w:r w:rsidR="000A7F25" w:rsidRPr="00A06F1E">
        <w:t>age</w:t>
      </w:r>
      <w:r w:rsidRPr="00A06F1E">
        <w:t xml:space="preserve"> of White students meeting or exceeding expectations on the Next</w:t>
      </w:r>
      <w:r w:rsidR="009061D7" w:rsidRPr="00A06F1E">
        <w:t>-</w:t>
      </w:r>
      <w:r w:rsidRPr="00A06F1E">
        <w:t xml:space="preserve">Generation MCAS was below </w:t>
      </w:r>
      <w:r w:rsidR="00A24FA8" w:rsidRPr="00A06F1E">
        <w:t xml:space="preserve">that of </w:t>
      </w:r>
      <w:r w:rsidRPr="00A06F1E">
        <w:t xml:space="preserve">their statewide peers in </w:t>
      </w:r>
      <w:r w:rsidR="000A7F25" w:rsidRPr="00A06F1E">
        <w:t>G</w:t>
      </w:r>
      <w:r w:rsidRPr="00A06F1E">
        <w:t>rades 3</w:t>
      </w:r>
      <w:r w:rsidR="000A7F25" w:rsidRPr="00A06F1E">
        <w:t>-</w:t>
      </w:r>
      <w:r w:rsidRPr="00A06F1E">
        <w:t xml:space="preserve">8 and </w:t>
      </w:r>
      <w:r w:rsidR="000A7F25" w:rsidRPr="00A06F1E">
        <w:t>G</w:t>
      </w:r>
      <w:r w:rsidRPr="00A06F1E">
        <w:t>rade 10.</w:t>
      </w:r>
    </w:p>
    <w:p w14:paraId="6F3965FA" w14:textId="5D766039" w:rsidR="00E1387B" w:rsidRPr="00A06F1E" w:rsidRDefault="009B1C17" w:rsidP="00635306">
      <w:pPr>
        <w:pStyle w:val="Bullet2"/>
      </w:pPr>
      <w:r>
        <w:t xml:space="preserve">In grades 3-6 at </w:t>
      </w:r>
      <w:r w:rsidR="00CF4F71">
        <w:t>Fisher Hill</w:t>
      </w:r>
      <w:r w:rsidR="00E1387B" w:rsidRPr="00A06F1E">
        <w:t>, 15 percent of White students met or exceeded expectations, which was 34 percentage points below the state rate</w:t>
      </w:r>
      <w:r w:rsidR="00CD13E9">
        <w:t xml:space="preserve"> of 49 percent</w:t>
      </w:r>
      <w:r w:rsidR="00E1387B" w:rsidRPr="00A06F1E">
        <w:t>.</w:t>
      </w:r>
    </w:p>
    <w:p w14:paraId="20805100" w14:textId="713D5736" w:rsidR="006C1DC9" w:rsidRPr="00A06F1E" w:rsidRDefault="009B1C17" w:rsidP="00635306">
      <w:pPr>
        <w:pStyle w:val="Bullet2"/>
      </w:pPr>
      <w:r>
        <w:t xml:space="preserve">In grades 3-6 at </w:t>
      </w:r>
      <w:proofErr w:type="spellStart"/>
      <w:r w:rsidR="00652B48">
        <w:t>Petersham</w:t>
      </w:r>
      <w:proofErr w:type="spellEnd"/>
      <w:r w:rsidR="00652B48">
        <w:t xml:space="preserve"> Center</w:t>
      </w:r>
      <w:r w:rsidR="00E1387B" w:rsidRPr="00A06F1E">
        <w:t xml:space="preserve">, </w:t>
      </w:r>
      <w:r w:rsidR="00F00E9F">
        <w:t xml:space="preserve">35 percent of </w:t>
      </w:r>
      <w:r w:rsidR="00E1387B" w:rsidRPr="00A06F1E">
        <w:t xml:space="preserve">White students </w:t>
      </w:r>
      <w:r w:rsidR="00F00E9F">
        <w:t xml:space="preserve">met or exceeded expectations, which was </w:t>
      </w:r>
      <w:r w:rsidR="00E1387B" w:rsidRPr="00A06F1E">
        <w:t>14 percentage points</w:t>
      </w:r>
      <w:r w:rsidR="00F00E9F">
        <w:t xml:space="preserve"> lower than the state rate </w:t>
      </w:r>
      <w:r w:rsidR="00706686">
        <w:t>of 49 percent</w:t>
      </w:r>
      <w:r w:rsidR="00E1387B" w:rsidRPr="00A06F1E">
        <w:t>.</w:t>
      </w:r>
    </w:p>
    <w:p w14:paraId="05080A09" w14:textId="5B8258AC" w:rsidR="00E1387B" w:rsidRPr="00A06F1E" w:rsidRDefault="009B1C17" w:rsidP="00635306">
      <w:pPr>
        <w:pStyle w:val="Bullet2"/>
      </w:pPr>
      <w:r>
        <w:t>In grades 7-8 at Mahar Regional,</w:t>
      </w:r>
      <w:r w:rsidR="00E1387B" w:rsidRPr="00A06F1E">
        <w:t xml:space="preserve"> White students met or exceeded expectations at rates 14 percentage points lower than their statewide peers, and 22</w:t>
      </w:r>
      <w:r w:rsidR="001524B4" w:rsidRPr="00A06F1E">
        <w:t> </w:t>
      </w:r>
      <w:r w:rsidR="00E1387B" w:rsidRPr="00A06F1E">
        <w:t>percentage points</w:t>
      </w:r>
      <w:r w:rsidR="009E5E2B">
        <w:t xml:space="preserve"> lower</w:t>
      </w:r>
      <w:r w:rsidR="00E1387B" w:rsidRPr="00A06F1E">
        <w:t xml:space="preserve"> in </w:t>
      </w:r>
      <w:r w:rsidR="007F66CE" w:rsidRPr="00A06F1E">
        <w:t>G</w:t>
      </w:r>
      <w:r w:rsidR="00E1387B" w:rsidRPr="00A06F1E">
        <w:t>rade 10.</w:t>
      </w:r>
    </w:p>
    <w:p w14:paraId="17E86486" w14:textId="2E2E744E" w:rsidR="00E1387B" w:rsidRPr="00A06F1E" w:rsidRDefault="00E1387B" w:rsidP="00635306">
      <w:pPr>
        <w:pStyle w:val="Heading4"/>
        <w:rPr>
          <w:bCs/>
        </w:rPr>
      </w:pPr>
      <w:r w:rsidRPr="00A06F1E">
        <w:lastRenderedPageBreak/>
        <w:t>Growth</w:t>
      </w:r>
      <w:r w:rsidRPr="00A06F1E">
        <w:rPr>
          <w:rStyle w:val="FootnoteReference"/>
          <w:b/>
        </w:rPr>
        <w:footnoteReference w:id="5"/>
      </w:r>
    </w:p>
    <w:p w14:paraId="49652812" w14:textId="48C7A35E" w:rsidR="00E1387B" w:rsidRPr="00A06F1E" w:rsidRDefault="00E1387B" w:rsidP="00635306">
      <w:pPr>
        <w:pStyle w:val="Bullet1"/>
        <w:rPr>
          <w:spacing w:val="-2"/>
        </w:rPr>
      </w:pPr>
      <w:r w:rsidRPr="00A06F1E">
        <w:rPr>
          <w:spacing w:val="-2"/>
        </w:rPr>
        <w:t>ELA student growth percentiles (SGP</w:t>
      </w:r>
      <w:r w:rsidR="009061D7" w:rsidRPr="00A06F1E">
        <w:rPr>
          <w:spacing w:val="-2"/>
        </w:rPr>
        <w:t>s</w:t>
      </w:r>
      <w:r w:rsidRPr="00A06F1E">
        <w:rPr>
          <w:spacing w:val="-2"/>
        </w:rPr>
        <w:t xml:space="preserve">) were typical in 2023 </w:t>
      </w:r>
      <w:r w:rsidR="00CC50FA" w:rsidRPr="00A06F1E">
        <w:rPr>
          <w:spacing w:val="-2"/>
        </w:rPr>
        <w:t xml:space="preserve">at </w:t>
      </w:r>
      <w:r w:rsidR="00CF4F71">
        <w:rPr>
          <w:spacing w:val="-2"/>
        </w:rPr>
        <w:t>Fisher Hill</w:t>
      </w:r>
      <w:r w:rsidR="00540F8A" w:rsidRPr="00A06F1E">
        <w:rPr>
          <w:spacing w:val="-2"/>
        </w:rPr>
        <w:t xml:space="preserve">, </w:t>
      </w:r>
      <w:proofErr w:type="spellStart"/>
      <w:r w:rsidR="00652B48">
        <w:rPr>
          <w:spacing w:val="-2"/>
        </w:rPr>
        <w:t>Petersham</w:t>
      </w:r>
      <w:proofErr w:type="spellEnd"/>
      <w:r w:rsidR="00652B48">
        <w:rPr>
          <w:spacing w:val="-2"/>
        </w:rPr>
        <w:t xml:space="preserve"> Center</w:t>
      </w:r>
      <w:r w:rsidRPr="00A06F1E">
        <w:rPr>
          <w:spacing w:val="-2"/>
        </w:rPr>
        <w:t xml:space="preserve">, and </w:t>
      </w:r>
      <w:r w:rsidR="00DF1C38" w:rsidRPr="00A06F1E">
        <w:rPr>
          <w:spacing w:val="-2"/>
        </w:rPr>
        <w:t>Mahar Regional</w:t>
      </w:r>
      <w:r w:rsidRPr="00A06F1E">
        <w:rPr>
          <w:spacing w:val="-2"/>
        </w:rPr>
        <w:t xml:space="preserve"> for each student group with reportable data in </w:t>
      </w:r>
      <w:r w:rsidR="00540F8A" w:rsidRPr="00A06F1E">
        <w:rPr>
          <w:spacing w:val="-2"/>
        </w:rPr>
        <w:t>G</w:t>
      </w:r>
      <w:r w:rsidRPr="00A06F1E">
        <w:rPr>
          <w:spacing w:val="-2"/>
        </w:rPr>
        <w:t xml:space="preserve">rades </w:t>
      </w:r>
      <w:r w:rsidR="00097439">
        <w:rPr>
          <w:spacing w:val="-2"/>
        </w:rPr>
        <w:t>4</w:t>
      </w:r>
      <w:r w:rsidR="00540F8A" w:rsidRPr="00A06F1E">
        <w:rPr>
          <w:spacing w:val="-2"/>
        </w:rPr>
        <w:t>-</w:t>
      </w:r>
      <w:r w:rsidRPr="00A06F1E">
        <w:rPr>
          <w:spacing w:val="-2"/>
        </w:rPr>
        <w:t xml:space="preserve">8, except for </w:t>
      </w:r>
      <w:r w:rsidR="00DF1C38" w:rsidRPr="00A06F1E">
        <w:rPr>
          <w:spacing w:val="-2"/>
        </w:rPr>
        <w:t>Mahar Regional</w:t>
      </w:r>
      <w:r w:rsidRPr="00A06F1E">
        <w:rPr>
          <w:spacing w:val="-2"/>
        </w:rPr>
        <w:t xml:space="preserve"> </w:t>
      </w:r>
      <w:r w:rsidR="00540F8A" w:rsidRPr="00A06F1E">
        <w:rPr>
          <w:spacing w:val="-2"/>
        </w:rPr>
        <w:t>s</w:t>
      </w:r>
      <w:r w:rsidRPr="00A06F1E">
        <w:rPr>
          <w:spacing w:val="-2"/>
        </w:rPr>
        <w:t xml:space="preserve">tudents with </w:t>
      </w:r>
      <w:r w:rsidR="00540F8A" w:rsidRPr="00A06F1E">
        <w:rPr>
          <w:spacing w:val="-2"/>
        </w:rPr>
        <w:t>d</w:t>
      </w:r>
      <w:r w:rsidRPr="00A06F1E">
        <w:rPr>
          <w:spacing w:val="-2"/>
        </w:rPr>
        <w:t>isabilities, who had low growth.</w:t>
      </w:r>
    </w:p>
    <w:p w14:paraId="48BF07A4" w14:textId="2DD319BA" w:rsidR="00E1387B" w:rsidRPr="00A06F1E" w:rsidRDefault="00D93A42" w:rsidP="00635306">
      <w:pPr>
        <w:pStyle w:val="Bullet1"/>
      </w:pPr>
      <w:r w:rsidRPr="00A06F1E">
        <w:t>At</w:t>
      </w:r>
      <w:r w:rsidR="00E1387B" w:rsidRPr="00A06F1E">
        <w:t xml:space="preserve"> </w:t>
      </w:r>
      <w:r w:rsidR="00DF1C38" w:rsidRPr="00A06F1E">
        <w:t>Mahar Regional</w:t>
      </w:r>
      <w:r w:rsidR="00E1387B" w:rsidRPr="00A06F1E">
        <w:t xml:space="preserve">, in </w:t>
      </w:r>
      <w:r w:rsidRPr="00A06F1E">
        <w:t>Grade</w:t>
      </w:r>
      <w:r w:rsidR="00E1387B" w:rsidRPr="00A06F1E">
        <w:t xml:space="preserve"> 10, ELA SGPs were low for </w:t>
      </w:r>
      <w:r w:rsidR="00805B44">
        <w:t xml:space="preserve">the following student groups: </w:t>
      </w:r>
      <w:r w:rsidR="003141B0">
        <w:t>A</w:t>
      </w:r>
      <w:r w:rsidR="00E1387B" w:rsidRPr="00A06F1E">
        <w:t xml:space="preserve">ll students, White students, </w:t>
      </w:r>
      <w:r w:rsidRPr="00A06F1E">
        <w:t>h</w:t>
      </w:r>
      <w:r w:rsidR="00E1387B" w:rsidRPr="00A06F1E">
        <w:t xml:space="preserve">igh </w:t>
      </w:r>
      <w:r w:rsidRPr="00A06F1E">
        <w:t>n</w:t>
      </w:r>
      <w:r w:rsidR="00E1387B" w:rsidRPr="00A06F1E">
        <w:t xml:space="preserve">eeds students, and </w:t>
      </w:r>
      <w:r w:rsidRPr="00A06F1E">
        <w:t>s</w:t>
      </w:r>
      <w:r w:rsidR="00E1387B" w:rsidRPr="00A06F1E">
        <w:t xml:space="preserve">tudents with </w:t>
      </w:r>
      <w:r w:rsidRPr="00A06F1E">
        <w:t>d</w:t>
      </w:r>
      <w:r w:rsidR="00E1387B" w:rsidRPr="00A06F1E">
        <w:t>isabilities.</w:t>
      </w:r>
    </w:p>
    <w:p w14:paraId="6AFB411C" w14:textId="688632A6" w:rsidR="006C1DC9" w:rsidRPr="00A06F1E" w:rsidRDefault="00E1387B" w:rsidP="00635306">
      <w:pPr>
        <w:pStyle w:val="Bullet1"/>
      </w:pPr>
      <w:r w:rsidRPr="00A06F1E">
        <w:t xml:space="preserve">Math SGPs in </w:t>
      </w:r>
      <w:r w:rsidR="00D43535" w:rsidRPr="00A06F1E">
        <w:t>G</w:t>
      </w:r>
      <w:r w:rsidRPr="00A06F1E">
        <w:t xml:space="preserve">rades </w:t>
      </w:r>
      <w:r w:rsidR="00097439">
        <w:t>4</w:t>
      </w:r>
      <w:r w:rsidR="00D43535" w:rsidRPr="00A06F1E">
        <w:t>-</w:t>
      </w:r>
      <w:r w:rsidRPr="00A06F1E">
        <w:t xml:space="preserve">8 were high </w:t>
      </w:r>
      <w:r w:rsidR="00D43535" w:rsidRPr="00A06F1E">
        <w:t xml:space="preserve">at </w:t>
      </w:r>
      <w:proofErr w:type="spellStart"/>
      <w:r w:rsidR="00652B48">
        <w:t>Petersham</w:t>
      </w:r>
      <w:proofErr w:type="spellEnd"/>
      <w:r w:rsidR="00652B48">
        <w:t xml:space="preserve"> Center</w:t>
      </w:r>
      <w:r w:rsidRPr="00A06F1E">
        <w:t xml:space="preserve"> for </w:t>
      </w:r>
      <w:r w:rsidR="00DA074F">
        <w:t>a</w:t>
      </w:r>
      <w:r w:rsidRPr="00A06F1E">
        <w:t>ll students and White students</w:t>
      </w:r>
      <w:r w:rsidR="00D43535" w:rsidRPr="00A06F1E">
        <w:t>.</w:t>
      </w:r>
    </w:p>
    <w:p w14:paraId="6483D89F" w14:textId="7F520602" w:rsidR="00E1387B" w:rsidRPr="00A06F1E" w:rsidRDefault="00E1387B" w:rsidP="00635306">
      <w:pPr>
        <w:pStyle w:val="Bullet1"/>
      </w:pPr>
      <w:r w:rsidRPr="00A06F1E">
        <w:t xml:space="preserve">Math SGPs in </w:t>
      </w:r>
      <w:r w:rsidR="00D43535" w:rsidRPr="00A06F1E">
        <w:t>G</w:t>
      </w:r>
      <w:r w:rsidRPr="00A06F1E">
        <w:t xml:space="preserve">rades </w:t>
      </w:r>
      <w:r w:rsidR="00097439">
        <w:t>4</w:t>
      </w:r>
      <w:r w:rsidR="00D43535" w:rsidRPr="00A06F1E">
        <w:t>-</w:t>
      </w:r>
      <w:r w:rsidRPr="00A06F1E">
        <w:t xml:space="preserve">8 were high </w:t>
      </w:r>
      <w:r w:rsidR="00D43535" w:rsidRPr="00A06F1E">
        <w:t xml:space="preserve">at </w:t>
      </w:r>
      <w:r w:rsidR="00DF1C38" w:rsidRPr="00A06F1E">
        <w:t>Mahar Regional</w:t>
      </w:r>
      <w:r w:rsidRPr="00A06F1E">
        <w:t xml:space="preserve"> for </w:t>
      </w:r>
      <w:r w:rsidR="00D43535" w:rsidRPr="00A06F1E">
        <w:t>h</w:t>
      </w:r>
      <w:r w:rsidRPr="00A06F1E">
        <w:t xml:space="preserve">igh </w:t>
      </w:r>
      <w:r w:rsidR="00D43535" w:rsidRPr="00A06F1E">
        <w:t>n</w:t>
      </w:r>
      <w:r w:rsidRPr="00A06F1E">
        <w:t xml:space="preserve">eeds students and </w:t>
      </w:r>
      <w:r w:rsidR="00D43535" w:rsidRPr="00A06F1E">
        <w:t>l</w:t>
      </w:r>
      <w:r w:rsidRPr="00A06F1E">
        <w:t>ow</w:t>
      </w:r>
      <w:r w:rsidR="00354FD6" w:rsidRPr="00A06F1E">
        <w:t>-i</w:t>
      </w:r>
      <w:r w:rsidRPr="00A06F1E">
        <w:t>ncome students.</w:t>
      </w:r>
    </w:p>
    <w:p w14:paraId="311A2707" w14:textId="77777777" w:rsidR="00E1387B" w:rsidRPr="00A06F1E" w:rsidRDefault="00E1387B" w:rsidP="00635306">
      <w:pPr>
        <w:pStyle w:val="Heading4"/>
      </w:pPr>
      <w:r w:rsidRPr="00A06F1E">
        <w:t>Other Indicators</w:t>
      </w:r>
    </w:p>
    <w:p w14:paraId="5357F429" w14:textId="3F769634" w:rsidR="00E1387B" w:rsidRPr="00A06F1E" w:rsidRDefault="00DF1C38" w:rsidP="00635306">
      <w:pPr>
        <w:pStyle w:val="Bullet1"/>
      </w:pPr>
      <w:r w:rsidRPr="00A06F1E">
        <w:t>Mahar Regional</w:t>
      </w:r>
      <w:r w:rsidR="00040362" w:rsidRPr="00A06F1E">
        <w:t>’</w:t>
      </w:r>
      <w:r w:rsidR="00E1387B" w:rsidRPr="00A06F1E">
        <w:t xml:space="preserve">s four-year graduation rates in 2022 </w:t>
      </w:r>
      <w:r w:rsidR="00C21735">
        <w:t xml:space="preserve">ranged from 52.6 to 85.4 percent and </w:t>
      </w:r>
      <w:r w:rsidR="00E1387B" w:rsidRPr="00A06F1E">
        <w:t xml:space="preserve">were below the state rate for each student group with reportable data by 7.8 </w:t>
      </w:r>
      <w:r w:rsidR="001524B4" w:rsidRPr="00A06F1E">
        <w:t xml:space="preserve">percentage points </w:t>
      </w:r>
      <w:r w:rsidR="00E1387B" w:rsidRPr="00A06F1E">
        <w:t>to 26.2 percentage points.</w:t>
      </w:r>
    </w:p>
    <w:p w14:paraId="703EA0B5" w14:textId="44B1A738" w:rsidR="00E1387B" w:rsidRPr="00A06F1E" w:rsidRDefault="00E1387B" w:rsidP="00635306">
      <w:pPr>
        <w:pStyle w:val="Bullet1"/>
      </w:pPr>
      <w:r w:rsidRPr="00A06F1E">
        <w:t xml:space="preserve">The </w:t>
      </w:r>
      <w:r w:rsidR="00924138">
        <w:t xml:space="preserve">annual </w:t>
      </w:r>
      <w:r w:rsidRPr="00A06F1E">
        <w:t xml:space="preserve">dropout rate </w:t>
      </w:r>
      <w:r w:rsidR="00354FD6" w:rsidRPr="00A06F1E">
        <w:t>at</w:t>
      </w:r>
      <w:r w:rsidRPr="00A06F1E">
        <w:t xml:space="preserve"> </w:t>
      </w:r>
      <w:r w:rsidR="00DF1C38" w:rsidRPr="00A06F1E">
        <w:t>Mahar Regional</w:t>
      </w:r>
      <w:r w:rsidRPr="00A06F1E">
        <w:t xml:space="preserve"> in 2022 for </w:t>
      </w:r>
      <w:r w:rsidR="00494F51">
        <w:t>a</w:t>
      </w:r>
      <w:r w:rsidRPr="00A06F1E">
        <w:t xml:space="preserve">ll students was </w:t>
      </w:r>
      <w:r w:rsidR="00292E46">
        <w:t>5.6 percent more than twice</w:t>
      </w:r>
      <w:r w:rsidRPr="00A06F1E">
        <w:t xml:space="preserve"> the state rate</w:t>
      </w:r>
      <w:r w:rsidR="00292E46">
        <w:t xml:space="preserve"> of 2.1 percent</w:t>
      </w:r>
      <w:r w:rsidRPr="00A06F1E">
        <w:t>.</w:t>
      </w:r>
      <w:r w:rsidR="006C1DC9" w:rsidRPr="00A06F1E">
        <w:t xml:space="preserve"> </w:t>
      </w:r>
      <w:r w:rsidRPr="00A06F1E">
        <w:t xml:space="preserve">The dropout rates for every student group </w:t>
      </w:r>
      <w:r w:rsidR="00354FD6" w:rsidRPr="00A06F1E">
        <w:t>at</w:t>
      </w:r>
      <w:r w:rsidRPr="00A06F1E">
        <w:t xml:space="preserve"> </w:t>
      </w:r>
      <w:r w:rsidR="00DF1C38" w:rsidRPr="00A06F1E">
        <w:t>Mahar Regional</w:t>
      </w:r>
      <w:r w:rsidRPr="00A06F1E">
        <w:t xml:space="preserve"> with reportable data were </w:t>
      </w:r>
      <w:r w:rsidR="001524B4" w:rsidRPr="00A06F1E">
        <w:t>two</w:t>
      </w:r>
      <w:r w:rsidRPr="00A06F1E">
        <w:t xml:space="preserve"> to </w:t>
      </w:r>
      <w:r w:rsidR="001524B4" w:rsidRPr="00A06F1E">
        <w:t>six</w:t>
      </w:r>
      <w:r w:rsidRPr="00A06F1E">
        <w:t xml:space="preserve"> times the rate of their statewide peers.</w:t>
      </w:r>
    </w:p>
    <w:p w14:paraId="2DA83B76" w14:textId="5804002F" w:rsidR="00E1387B" w:rsidRPr="00A06F1E" w:rsidRDefault="00E1387B" w:rsidP="00635306">
      <w:pPr>
        <w:pStyle w:val="Bullet1"/>
      </w:pPr>
      <w:r w:rsidRPr="00A06F1E">
        <w:t>In 2023, the out-of</w:t>
      </w:r>
      <w:r w:rsidR="00354FD6" w:rsidRPr="00A06F1E">
        <w:t>-</w:t>
      </w:r>
      <w:r w:rsidRPr="00A06F1E">
        <w:t xml:space="preserve">school suspension rates </w:t>
      </w:r>
      <w:r w:rsidR="00354FD6" w:rsidRPr="00A06F1E">
        <w:t>at</w:t>
      </w:r>
      <w:r w:rsidRPr="00A06F1E">
        <w:t xml:space="preserve"> </w:t>
      </w:r>
      <w:r w:rsidR="00DF1C38" w:rsidRPr="00A06F1E">
        <w:t>Mahar Regional</w:t>
      </w:r>
      <w:r w:rsidRPr="00A06F1E">
        <w:t xml:space="preserve"> were three or more times the state rate for every student group with reportable data. White students </w:t>
      </w:r>
      <w:r w:rsidR="00354FD6" w:rsidRPr="00A06F1E">
        <w:t>at</w:t>
      </w:r>
      <w:r w:rsidRPr="00A06F1E">
        <w:t xml:space="preserve"> </w:t>
      </w:r>
      <w:r w:rsidR="00DF1C38" w:rsidRPr="00A06F1E">
        <w:t>Mahar Regional</w:t>
      </w:r>
      <w:r w:rsidRPr="00A06F1E">
        <w:t xml:space="preserve"> had an out-of-school suspension rate of 9.9 percent, which is six times the state rate of 1.6</w:t>
      </w:r>
      <w:r w:rsidR="001524B4" w:rsidRPr="00A06F1E">
        <w:t> </w:t>
      </w:r>
      <w:r w:rsidRPr="00A06F1E">
        <w:t>percent.</w:t>
      </w:r>
    </w:p>
    <w:p w14:paraId="29FDF383" w14:textId="08BD76A9" w:rsidR="00E1387B" w:rsidRPr="00A06F1E" w:rsidRDefault="00B80114" w:rsidP="00635306">
      <w:pPr>
        <w:pStyle w:val="Bullet1"/>
      </w:pPr>
      <w:r>
        <w:t>Advanced coursework completion</w:t>
      </w:r>
      <w:r w:rsidR="00E1387B" w:rsidRPr="00A06F1E">
        <w:t xml:space="preserve"> </w:t>
      </w:r>
      <w:r w:rsidR="00924138">
        <w:t xml:space="preserve">rates </w:t>
      </w:r>
      <w:r w:rsidR="005B2015">
        <w:t>for each student group</w:t>
      </w:r>
      <w:r w:rsidR="00E1387B" w:rsidRPr="00A06F1E">
        <w:t xml:space="preserve"> </w:t>
      </w:r>
      <w:r w:rsidR="00BC3244" w:rsidRPr="00A06F1E">
        <w:t>at</w:t>
      </w:r>
      <w:r w:rsidR="00E1387B" w:rsidRPr="00A06F1E">
        <w:t xml:space="preserve"> </w:t>
      </w:r>
      <w:r w:rsidR="00DF1C38" w:rsidRPr="00A06F1E">
        <w:t>Mahar Regional</w:t>
      </w:r>
      <w:r w:rsidR="00E1387B" w:rsidRPr="00A06F1E">
        <w:t xml:space="preserve"> in 2023 </w:t>
      </w:r>
      <w:r>
        <w:t>ranged from 11.1 to 44.3</w:t>
      </w:r>
      <w:r w:rsidR="00E1387B" w:rsidRPr="00A06F1E">
        <w:t xml:space="preserve"> </w:t>
      </w:r>
      <w:r>
        <w:t>percent</w:t>
      </w:r>
      <w:r w:rsidR="005B2015">
        <w:t>,</w:t>
      </w:r>
      <w:r w:rsidR="00E1387B" w:rsidRPr="00A06F1E">
        <w:t xml:space="preserve"> 20.8 </w:t>
      </w:r>
      <w:r w:rsidR="001524B4" w:rsidRPr="00A06F1E">
        <w:t xml:space="preserve">percentage points </w:t>
      </w:r>
      <w:r w:rsidR="00E1387B" w:rsidRPr="00A06F1E">
        <w:t>to 40.1 percentage points lower than their statewide peers.</w:t>
      </w:r>
    </w:p>
    <w:p w14:paraId="46E7CBBB" w14:textId="7264224E" w:rsidR="00080B40" w:rsidRPr="00A06F1E" w:rsidRDefault="00080B40" w:rsidP="00635306">
      <w:pPr>
        <w:pStyle w:val="Bullet1"/>
      </w:pPr>
      <w:r w:rsidRPr="00080B40">
        <w:t>In 2023, the Orange Public Schools district was identified as</w:t>
      </w:r>
      <w:r w:rsidRPr="00080B40">
        <w:rPr>
          <w:i/>
          <w:iCs/>
        </w:rPr>
        <w:t xml:space="preserve"> requiring assistance or intervention</w:t>
      </w:r>
      <w:r w:rsidRPr="00080B40">
        <w:t xml:space="preserve"> via the state’s accountability system due to low MCAS participation of its Hispanic students</w:t>
      </w:r>
      <w:r>
        <w:t>.</w:t>
      </w:r>
    </w:p>
    <w:p w14:paraId="07687663" w14:textId="38EF4216" w:rsidR="006C1DC9" w:rsidRPr="00A06F1E" w:rsidRDefault="00E1387B" w:rsidP="00635306">
      <w:pPr>
        <w:pStyle w:val="Bullet1"/>
      </w:pPr>
      <w:r w:rsidRPr="00A06F1E">
        <w:t xml:space="preserve">In 2023, </w:t>
      </w:r>
      <w:proofErr w:type="spellStart"/>
      <w:r w:rsidR="00652B48">
        <w:t>Petersham</w:t>
      </w:r>
      <w:proofErr w:type="spellEnd"/>
      <w:r w:rsidR="00652B48">
        <w:t xml:space="preserve"> Center</w:t>
      </w:r>
      <w:r w:rsidRPr="00A06F1E">
        <w:t xml:space="preserve"> was a School of Recognition.</w:t>
      </w:r>
    </w:p>
    <w:p w14:paraId="5562590C" w14:textId="77777777" w:rsidR="006C1DC9" w:rsidRPr="00A06F1E" w:rsidRDefault="00A942D3" w:rsidP="00A942D3">
      <w:pPr>
        <w:pStyle w:val="Heading3"/>
      </w:pPr>
      <w:r w:rsidRPr="00A06F1E">
        <w:t>Classroom Observations</w:t>
      </w:r>
    </w:p>
    <w:p w14:paraId="2160887D" w14:textId="7BBAD791" w:rsidR="00A942D3" w:rsidRPr="00A06F1E" w:rsidRDefault="00656509" w:rsidP="00635306">
      <w:pPr>
        <w:pStyle w:val="BodyTextposthead"/>
      </w:pPr>
      <w:r w:rsidRPr="00A06F1E">
        <w:t>Four</w:t>
      </w:r>
      <w:r w:rsidR="00A942D3" w:rsidRPr="00A06F1E">
        <w:t xml:space="preserve"> observers, who focused primarily on instruction in the classroom, visited </w:t>
      </w:r>
      <w:r w:rsidRPr="00A06F1E">
        <w:t xml:space="preserve">three schools in </w:t>
      </w:r>
      <w:r w:rsidR="000D6A8E">
        <w:t>RCM &amp; SU 73</w:t>
      </w:r>
      <w:r w:rsidR="00A942D3" w:rsidRPr="00A06F1E">
        <w:t xml:space="preserve"> </w:t>
      </w:r>
      <w:r w:rsidR="00E41D4B" w:rsidRPr="00A06F1E">
        <w:t>(</w:t>
      </w:r>
      <w:r w:rsidR="00DF1C38" w:rsidRPr="00A06F1E">
        <w:t>Mahar Regional</w:t>
      </w:r>
      <w:r w:rsidR="00E41D4B" w:rsidRPr="00A06F1E">
        <w:t xml:space="preserve">, </w:t>
      </w:r>
      <w:r w:rsidR="00CF4F71">
        <w:t>Fisher Hill</w:t>
      </w:r>
      <w:r w:rsidR="00E41D4B" w:rsidRPr="00A06F1E">
        <w:t xml:space="preserve">, and </w:t>
      </w:r>
      <w:proofErr w:type="spellStart"/>
      <w:r w:rsidR="00652B48">
        <w:t>Petersham</w:t>
      </w:r>
      <w:proofErr w:type="spellEnd"/>
      <w:r w:rsidR="00652B48">
        <w:t xml:space="preserve"> Center</w:t>
      </w:r>
      <w:r w:rsidR="00E41D4B" w:rsidRPr="00A06F1E">
        <w:t>)</w:t>
      </w:r>
      <w:r w:rsidR="00A942D3" w:rsidRPr="00A06F1E">
        <w:t xml:space="preserve"> during the week of </w:t>
      </w:r>
      <w:r w:rsidR="00E41D4B" w:rsidRPr="00A06F1E">
        <w:t>April 29, 2024</w:t>
      </w:r>
      <w:r w:rsidR="00A942D3" w:rsidRPr="00A06F1E">
        <w:t xml:space="preserve">. The observers conducted </w:t>
      </w:r>
      <w:r w:rsidR="00243FA6" w:rsidRPr="00A06F1E">
        <w:t>5</w:t>
      </w:r>
      <w:r w:rsidR="00FE4274" w:rsidRPr="00A06F1E">
        <w:t>6</w:t>
      </w:r>
      <w:r w:rsidR="00A942D3" w:rsidRPr="00A06F1E">
        <w:t xml:space="preserve"> observations in a sample of classrooms across grade levels, focused on literacy, ELA, and mathematics. The CLASS protocol guided all classroom observations in the district. These observations used the three grade-band levels of CLASS protocols: K-3, Upper Elementary (4</w:t>
      </w:r>
      <w:r w:rsidR="001524B4" w:rsidRPr="00A06F1E">
        <w:noBreakHyphen/>
      </w:r>
      <w:r w:rsidR="00A942D3" w:rsidRPr="00A06F1E">
        <w:t>5), and Secondary (6-12).</w:t>
      </w:r>
    </w:p>
    <w:p w14:paraId="0F60E460" w14:textId="2F766808" w:rsidR="00A942D3" w:rsidRPr="00A06F1E" w:rsidRDefault="00A942D3" w:rsidP="00635306">
      <w:pPr>
        <w:pStyle w:val="BodyText"/>
      </w:pPr>
      <w:r w:rsidRPr="00A06F1E">
        <w:t xml:space="preserve">The K-3 protocol includes 10 classroom dimensions related to three domains: Emotional Support, Classroom Organization, and Instructional Support. The Upper Elementary and Secondary protocols </w:t>
      </w:r>
      <w:r w:rsidRPr="00A06F1E">
        <w:lastRenderedPageBreak/>
        <w:t>include 11 classroom dimensions related to three domains</w:t>
      </w:r>
      <w:r w:rsidR="00BD00E1" w:rsidRPr="00A06F1E">
        <w:t>—</w:t>
      </w:r>
      <w:r w:rsidRPr="00A06F1E">
        <w:t>Emotional Support, Classroom Organization, and Instructional Support</w:t>
      </w:r>
      <w:r w:rsidR="00BD00E1" w:rsidRPr="00A06F1E">
        <w:t>—</w:t>
      </w:r>
      <w:r w:rsidRPr="00A06F1E">
        <w:t xml:space="preserve">in addition to Student Engagement. The three domains observed at all levels are </w:t>
      </w:r>
      <w:r w:rsidR="00DE5680" w:rsidRPr="00A06F1E">
        <w:t xml:space="preserve">broadly </w:t>
      </w:r>
      <w:r w:rsidRPr="00A06F1E">
        <w:t>defined as follows:</w:t>
      </w:r>
    </w:p>
    <w:p w14:paraId="1325FCDC" w14:textId="77777777" w:rsidR="00A942D3" w:rsidRPr="00A06F1E" w:rsidRDefault="00A942D3" w:rsidP="00A942D3">
      <w:pPr>
        <w:pStyle w:val="Bullet1"/>
      </w:pPr>
      <w:r w:rsidRPr="00A06F1E">
        <w:rPr>
          <w:rStyle w:val="Bodytextdemi0"/>
        </w:rPr>
        <w:t>Emotional Support</w:t>
      </w:r>
      <w:r w:rsidRPr="00A06F1E">
        <w:rPr>
          <w:rFonts w:ascii="Franklin Gothic Demi" w:hAnsi="Franklin Gothic Demi"/>
        </w:rPr>
        <w:t>.</w:t>
      </w:r>
      <w:r w:rsidRPr="00A06F1E">
        <w:t xml:space="preserve"> Describes the social-emotional functioning of the classroom, including teacher-student relationships and responsiveness to social-emotional needs.</w:t>
      </w:r>
    </w:p>
    <w:p w14:paraId="3362506D" w14:textId="4A405B39" w:rsidR="00A942D3" w:rsidRPr="00A06F1E" w:rsidRDefault="00A942D3" w:rsidP="00A942D3">
      <w:pPr>
        <w:pStyle w:val="Bullet1"/>
      </w:pPr>
      <w:r w:rsidRPr="00A06F1E">
        <w:rPr>
          <w:rStyle w:val="Bodytextdemi0"/>
        </w:rPr>
        <w:t>Classroom Organization</w:t>
      </w:r>
      <w:r w:rsidRPr="00A06F1E">
        <w:rPr>
          <w:rFonts w:ascii="Franklin Gothic Demi" w:hAnsi="Franklin Gothic Demi"/>
        </w:rPr>
        <w:t>.</w:t>
      </w:r>
      <w:r w:rsidRPr="00A06F1E">
        <w:t xml:space="preserve"> Describes the management of students</w:t>
      </w:r>
      <w:r w:rsidR="00040362" w:rsidRPr="00A06F1E">
        <w:t>’</w:t>
      </w:r>
      <w:r w:rsidRPr="00A06F1E">
        <w:t xml:space="preserve"> behavior, time, and attention in the classroom.</w:t>
      </w:r>
    </w:p>
    <w:p w14:paraId="5DB42A88" w14:textId="77777777" w:rsidR="00A942D3" w:rsidRPr="00A06F1E" w:rsidRDefault="00A942D3" w:rsidP="00A942D3">
      <w:pPr>
        <w:pStyle w:val="Bullet1"/>
      </w:pPr>
      <w:r w:rsidRPr="00A06F1E">
        <w:rPr>
          <w:rStyle w:val="Bodytextdemi0"/>
        </w:rPr>
        <w:t>Instructional Support</w:t>
      </w:r>
      <w:r w:rsidRPr="00A06F1E">
        <w:rPr>
          <w:rFonts w:ascii="Franklin Gothic Demi" w:hAnsi="Franklin Gothic Demi"/>
        </w:rPr>
        <w:t>.</w:t>
      </w:r>
      <w:r w:rsidRPr="00A06F1E">
        <w:t xml:space="preserve"> Describes the efforts to support cognitive and language development, including cognitive demand of the assigned tasks, the focus on higher order thinking skills, and the use of process-oriented feedback.</w:t>
      </w:r>
    </w:p>
    <w:p w14:paraId="63D08170" w14:textId="6C81D9FD" w:rsidR="00A942D3" w:rsidRPr="00A06F1E" w:rsidRDefault="00A942D3" w:rsidP="00A942D3">
      <w:pPr>
        <w:pStyle w:val="BodyText"/>
      </w:pPr>
      <w:r w:rsidRPr="00A06F1E">
        <w:t xml:space="preserve">When conducting a classroom visit, the observer rates each dimension (including Student Engagement) on a scale </w:t>
      </w:r>
      <w:r w:rsidR="00D36044" w:rsidRPr="00A06F1E">
        <w:t>from</w:t>
      </w:r>
      <w:r w:rsidRPr="00A06F1E">
        <w:t xml:space="preserve"> 1 to 7. A rating of 1 or 2 (low range) indicates that the dimension 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551AEF73" w14:textId="47A40DF2" w:rsidR="006C1DC9" w:rsidRPr="00A06F1E" w:rsidRDefault="00A942D3" w:rsidP="00A942D3">
      <w:pPr>
        <w:pStyle w:val="BodyText"/>
      </w:pPr>
      <w:r w:rsidRPr="00A06F1E">
        <w:t xml:space="preserve">In </w:t>
      </w:r>
      <w:r w:rsidR="000D6A8E">
        <w:t>RCM &amp; SU 73</w:t>
      </w:r>
      <w:r w:rsidRPr="00A06F1E">
        <w:t xml:space="preserve">, ratings are provided across three grade bands: K-5, 6-8, and 9-12. For each grade band, ratings are provided across the overarching domains as well as at individual dimensions within those domains. The full report of findings from observations conducted in </w:t>
      </w:r>
      <w:r w:rsidR="000D6A8E">
        <w:t>RCM &amp; SU 73</w:t>
      </w:r>
      <w:r w:rsidRPr="00A06F1E">
        <w:t xml:space="preserve"> is in Appendix</w:t>
      </w:r>
      <w:r w:rsidRPr="00A06F1E">
        <w:rPr>
          <w:rFonts w:ascii="Arial" w:hAnsi="Arial" w:cs="Arial"/>
        </w:rPr>
        <w:t> </w:t>
      </w:r>
      <w:r w:rsidRPr="00A06F1E">
        <w:t>B, and summary results are in Tables 17, 18, and 19 in this appendix.</w:t>
      </w:r>
    </w:p>
    <w:p w14:paraId="6D669037" w14:textId="56CA9AE1" w:rsidR="00A942D3" w:rsidRPr="00A06F1E" w:rsidRDefault="00A942D3" w:rsidP="00A942D3">
      <w:pPr>
        <w:pStyle w:val="BodyText"/>
      </w:pPr>
      <w:r w:rsidRPr="00A06F1E">
        <w:t xml:space="preserve">In summary, findings from </w:t>
      </w:r>
      <w:r w:rsidR="000D6A8E">
        <w:t>RCM &amp; SU 73</w:t>
      </w:r>
      <w:r w:rsidRPr="00A06F1E">
        <w:t xml:space="preserve"> observations were as follows:</w:t>
      </w:r>
    </w:p>
    <w:p w14:paraId="1055AB69" w14:textId="17368987" w:rsidR="006C1DC9" w:rsidRPr="00A06F1E" w:rsidRDefault="00A942D3" w:rsidP="00A942D3">
      <w:pPr>
        <w:pStyle w:val="Bullet1"/>
      </w:pPr>
      <w:r w:rsidRPr="00A06F1E">
        <w:rPr>
          <w:rStyle w:val="Bodytextdemi0"/>
        </w:rPr>
        <w:t>Emotional Support</w:t>
      </w:r>
      <w:r w:rsidRPr="00A06F1E">
        <w:rPr>
          <w:rFonts w:ascii="Franklin Gothic Demi" w:hAnsi="Franklin Gothic Demi"/>
        </w:rPr>
        <w:t>.</w:t>
      </w:r>
      <w:r w:rsidRPr="00A06F1E">
        <w:t xml:space="preserve"> Ratings were in the middle range for the K-5 and 6-8 grade bands (</w:t>
      </w:r>
      <w:r w:rsidR="00405EDA" w:rsidRPr="00A06F1E">
        <w:t>5.5</w:t>
      </w:r>
      <w:r w:rsidRPr="00A06F1E">
        <w:t xml:space="preserve"> and </w:t>
      </w:r>
      <w:r w:rsidR="00405EDA" w:rsidRPr="00A06F1E">
        <w:t>4.4</w:t>
      </w:r>
      <w:r w:rsidRPr="00A06F1E">
        <w:t>, respectively) and in the low</w:t>
      </w:r>
      <w:r w:rsidR="00405EDA" w:rsidRPr="00A06F1E">
        <w:t xml:space="preserve">er </w:t>
      </w:r>
      <w:r w:rsidRPr="00A06F1E">
        <w:t>middle range for the 9-12 grade band (</w:t>
      </w:r>
      <w:r w:rsidR="0050162C" w:rsidRPr="00A06F1E">
        <w:t>3.7</w:t>
      </w:r>
      <w:r w:rsidRPr="00A06F1E">
        <w:t>).</w:t>
      </w:r>
    </w:p>
    <w:p w14:paraId="227E04CC" w14:textId="1F22AD0E" w:rsidR="00A942D3" w:rsidRPr="00A06F1E" w:rsidRDefault="00A942D3" w:rsidP="00635306">
      <w:pPr>
        <w:pStyle w:val="Bullet1"/>
      </w:pPr>
      <w:r w:rsidRPr="00A06F1E">
        <w:rPr>
          <w:rStyle w:val="Bodytextdemi0"/>
        </w:rPr>
        <w:t>Classroom Organization</w:t>
      </w:r>
      <w:r w:rsidRPr="00A06F1E">
        <w:rPr>
          <w:rFonts w:ascii="Franklin Gothic Demi" w:hAnsi="Franklin Gothic Demi"/>
        </w:rPr>
        <w:t>.</w:t>
      </w:r>
      <w:r w:rsidRPr="00A06F1E">
        <w:t xml:space="preserve"> Ratings were in the high range (</w:t>
      </w:r>
      <w:r w:rsidR="00DA1B94" w:rsidRPr="00A06F1E">
        <w:t xml:space="preserve">6.0, 6.7, and 6.3, respectively, for </w:t>
      </w:r>
      <w:r w:rsidR="00AE19F6" w:rsidRPr="00A06F1E">
        <w:t>elementary, middle, and high</w:t>
      </w:r>
      <w:r w:rsidRPr="00A06F1E">
        <w:t>) for all grade bands.</w:t>
      </w:r>
    </w:p>
    <w:p w14:paraId="578ACF17" w14:textId="1C587131" w:rsidR="00A942D3" w:rsidRPr="00D66024" w:rsidRDefault="00A942D3" w:rsidP="00635306">
      <w:pPr>
        <w:pStyle w:val="Bullet1"/>
      </w:pPr>
      <w:r w:rsidRPr="00A06F1E">
        <w:rPr>
          <w:rStyle w:val="Bodytextdemi0"/>
        </w:rPr>
        <w:t>Instructional Support</w:t>
      </w:r>
      <w:r w:rsidRPr="00A06F1E">
        <w:rPr>
          <w:rFonts w:ascii="Franklin Gothic Demi" w:hAnsi="Franklin Gothic Demi"/>
        </w:rPr>
        <w:t>.</w:t>
      </w:r>
      <w:r w:rsidRPr="00A06F1E">
        <w:t xml:space="preserve"> Ratings </w:t>
      </w:r>
      <w:r w:rsidRPr="00D66024">
        <w:t xml:space="preserve">were in the low range for </w:t>
      </w:r>
      <w:r w:rsidR="009D5564" w:rsidRPr="00D66024">
        <w:t>the</w:t>
      </w:r>
      <w:r w:rsidRPr="00D66024">
        <w:t xml:space="preserve"> K-5 </w:t>
      </w:r>
      <w:r w:rsidR="00413837" w:rsidRPr="00D66024">
        <w:t>grade band (</w:t>
      </w:r>
      <w:r w:rsidR="00B43D0F" w:rsidRPr="00D66024">
        <w:t>2.9)</w:t>
      </w:r>
      <w:r w:rsidR="004C4218" w:rsidRPr="00D66024">
        <w:t xml:space="preserve"> </w:t>
      </w:r>
      <w:r w:rsidR="00EA0FDC" w:rsidRPr="00D66024">
        <w:t xml:space="preserve">and </w:t>
      </w:r>
      <w:r w:rsidR="004C4218" w:rsidRPr="00D66024">
        <w:t xml:space="preserve">the </w:t>
      </w:r>
      <w:r w:rsidR="006C72AD">
        <w:t>lower middle range</w:t>
      </w:r>
      <w:r w:rsidRPr="00D66024">
        <w:t xml:space="preserve"> for the 6-8 </w:t>
      </w:r>
      <w:r w:rsidR="00EA0FDC" w:rsidRPr="00D66024">
        <w:t xml:space="preserve">and </w:t>
      </w:r>
      <w:r w:rsidRPr="00D66024">
        <w:t>9-12 grade bands (</w:t>
      </w:r>
      <w:r w:rsidR="00D338C5" w:rsidRPr="00D66024">
        <w:t>3.5</w:t>
      </w:r>
      <w:r w:rsidRPr="00D66024">
        <w:t xml:space="preserve"> and </w:t>
      </w:r>
      <w:r w:rsidR="00D338C5" w:rsidRPr="00D66024">
        <w:t>3.0</w:t>
      </w:r>
      <w:r w:rsidRPr="00D66024">
        <w:t>, respectively</w:t>
      </w:r>
      <w:r w:rsidR="00D21179" w:rsidRPr="00D66024">
        <w:t>)</w:t>
      </w:r>
      <w:r w:rsidR="00D338C5" w:rsidRPr="00D66024">
        <w:t>.</w:t>
      </w:r>
    </w:p>
    <w:p w14:paraId="6ADF080A" w14:textId="0E983906" w:rsidR="006C1DC9" w:rsidRPr="00D66024" w:rsidRDefault="00A942D3" w:rsidP="00635306">
      <w:pPr>
        <w:pStyle w:val="Bullet1"/>
      </w:pPr>
      <w:r w:rsidRPr="00D66024">
        <w:rPr>
          <w:rStyle w:val="Bodytextdemi0"/>
        </w:rPr>
        <w:t>Student Engagement</w:t>
      </w:r>
      <w:r w:rsidRPr="00D66024">
        <w:rPr>
          <w:rFonts w:ascii="Franklin Gothic Demi" w:hAnsi="Franklin Gothic Demi"/>
        </w:rPr>
        <w:t>.</w:t>
      </w:r>
      <w:r w:rsidRPr="00D66024">
        <w:t xml:space="preserve"> For Grades 4 and up, </w:t>
      </w:r>
      <w:r w:rsidR="00256CCA" w:rsidRPr="00D66024">
        <w:t>in which</w:t>
      </w:r>
      <w:r w:rsidRPr="00D66024">
        <w:t xml:space="preserve"> student engagement was measured as an independent domain, ratings were in the middle range </w:t>
      </w:r>
      <w:r w:rsidR="00172083" w:rsidRPr="00D66024">
        <w:t xml:space="preserve">(5.2, 5.2, and </w:t>
      </w:r>
      <w:r w:rsidR="00E0704C" w:rsidRPr="00D66024">
        <w:t>3.8</w:t>
      </w:r>
      <w:r w:rsidR="00172083" w:rsidRPr="00D66024">
        <w:t xml:space="preserve">, respectively, </w:t>
      </w:r>
      <w:r w:rsidRPr="00D66024">
        <w:t xml:space="preserve">for </w:t>
      </w:r>
      <w:r w:rsidR="00172083" w:rsidRPr="00D66024">
        <w:t xml:space="preserve">elementary, </w:t>
      </w:r>
      <w:r w:rsidRPr="00D66024">
        <w:t>middle</w:t>
      </w:r>
      <w:r w:rsidR="00172083" w:rsidRPr="00D66024">
        <w:t xml:space="preserve">, and </w:t>
      </w:r>
      <w:r w:rsidRPr="00D66024">
        <w:t>high</w:t>
      </w:r>
      <w:r w:rsidR="00172083" w:rsidRPr="00D66024">
        <w:t>)</w:t>
      </w:r>
      <w:r w:rsidRPr="00D66024">
        <w:t xml:space="preserve"> for </w:t>
      </w:r>
      <w:r w:rsidR="00172083" w:rsidRPr="00D66024">
        <w:t>all</w:t>
      </w:r>
      <w:r w:rsidRPr="00D66024">
        <w:t xml:space="preserve"> grade </w:t>
      </w:r>
      <w:r w:rsidR="00172083" w:rsidRPr="00D66024">
        <w:t>bands.</w:t>
      </w:r>
    </w:p>
    <w:p w14:paraId="7C3892B1" w14:textId="49F50128" w:rsidR="00A942D3" w:rsidRPr="00A06F1E" w:rsidRDefault="00A942D3" w:rsidP="008D6102">
      <w:pPr>
        <w:pStyle w:val="BodyText"/>
      </w:pPr>
      <w:r w:rsidRPr="00D66024">
        <w:t xml:space="preserve">Overall, in the K-5 grade band, instructional observations suggest generally </w:t>
      </w:r>
      <w:r w:rsidR="00E0704C" w:rsidRPr="00D66024">
        <w:t>moderate</w:t>
      </w:r>
      <w:r w:rsidRPr="00D66024">
        <w:t xml:space="preserve"> emotional support and student engagement (Grades 4-5</w:t>
      </w:r>
      <w:r w:rsidR="004C07A6" w:rsidRPr="00D66024">
        <w:t>)</w:t>
      </w:r>
      <w:r w:rsidRPr="00D66024">
        <w:t>, high classroom organization</w:t>
      </w:r>
      <w:r w:rsidR="0051099A" w:rsidRPr="00D66024">
        <w:t>,</w:t>
      </w:r>
      <w:r w:rsidRPr="00D66024">
        <w:t xml:space="preserve"> and mixed evidence of consistently rigorous instructional support. In the 6-8 grade band, instructional observations provide evidence of </w:t>
      </w:r>
      <w:r w:rsidR="00C50583" w:rsidRPr="00D66024">
        <w:t>generally moderate</w:t>
      </w:r>
      <w:r w:rsidRPr="00D66024">
        <w:t xml:space="preserve"> emotional support and student engagement</w:t>
      </w:r>
      <w:r w:rsidR="00F05A8D" w:rsidRPr="00D66024">
        <w:t xml:space="preserve"> and</w:t>
      </w:r>
      <w:r w:rsidRPr="00D66024">
        <w:t xml:space="preserve"> </w:t>
      </w:r>
      <w:r w:rsidR="00C50583" w:rsidRPr="00D66024">
        <w:t xml:space="preserve">high classroom organization </w:t>
      </w:r>
      <w:r w:rsidRPr="00D66024">
        <w:t xml:space="preserve">and evidence of </w:t>
      </w:r>
      <w:r w:rsidR="0052738C" w:rsidRPr="00D66024">
        <w:t>moderately</w:t>
      </w:r>
      <w:r w:rsidRPr="00D66024">
        <w:t xml:space="preserve"> rigorous instructional support. In the 9-12 grade band, instructional observations </w:t>
      </w:r>
      <w:r w:rsidR="00AC798C" w:rsidRPr="00D66024">
        <w:t xml:space="preserve">similarly </w:t>
      </w:r>
      <w:r w:rsidRPr="00D66024">
        <w:t xml:space="preserve">provide evidence of </w:t>
      </w:r>
      <w:r w:rsidR="0052738C" w:rsidRPr="00D66024">
        <w:t>generally moderate</w:t>
      </w:r>
      <w:r w:rsidRPr="00D66024">
        <w:t xml:space="preserve"> emotional support</w:t>
      </w:r>
      <w:r w:rsidR="0052738C" w:rsidRPr="00D66024">
        <w:t xml:space="preserve"> and student engagement</w:t>
      </w:r>
      <w:r w:rsidR="00557360" w:rsidRPr="00D66024">
        <w:t xml:space="preserve"> and</w:t>
      </w:r>
      <w:r w:rsidR="0052738C" w:rsidRPr="00D66024">
        <w:t xml:space="preserve"> high </w:t>
      </w:r>
      <w:r w:rsidRPr="00D66024">
        <w:t xml:space="preserve">classroom organization and </w:t>
      </w:r>
      <w:r w:rsidR="00AC798C" w:rsidRPr="00D66024">
        <w:t xml:space="preserve">some </w:t>
      </w:r>
      <w:r w:rsidR="0052738C" w:rsidRPr="00D66024">
        <w:t>evidence of moderately</w:t>
      </w:r>
      <w:r w:rsidRPr="00D66024">
        <w:t xml:space="preserve"> rigorous instructional support.</w:t>
      </w:r>
    </w:p>
    <w:p w14:paraId="5A4DB43F" w14:textId="77777777" w:rsidR="008D6102" w:rsidRPr="00A06F1E" w:rsidRDefault="008D6102" w:rsidP="00D84912">
      <w:pPr>
        <w:pStyle w:val="Heading2"/>
      </w:pPr>
      <w:bookmarkStart w:id="21" w:name="_Leadership_and_Governance"/>
      <w:bookmarkStart w:id="22" w:name="_Toc101446227"/>
      <w:bookmarkStart w:id="23" w:name="_Toc170701354"/>
      <w:bookmarkStart w:id="24" w:name="_Toc170896577"/>
      <w:bookmarkStart w:id="25" w:name="_Toc350870261"/>
      <w:bookmarkEnd w:id="21"/>
      <w:r w:rsidRPr="00A06F1E">
        <w:lastRenderedPageBreak/>
        <w:t>Leadership and Governance</w:t>
      </w:r>
      <w:bookmarkEnd w:id="22"/>
      <w:bookmarkEnd w:id="23"/>
      <w:bookmarkEnd w:id="24"/>
    </w:p>
    <w:p w14:paraId="626089B8" w14:textId="576D3EF1" w:rsidR="00CD4322" w:rsidRPr="00A06F1E" w:rsidRDefault="001B4380" w:rsidP="00635306">
      <w:pPr>
        <w:pStyle w:val="BodyTextposthead"/>
      </w:pPr>
      <w:r w:rsidRPr="00A06F1E">
        <w:t xml:space="preserve">Dr. Elizabeth Zielinski has been the </w:t>
      </w:r>
      <w:r w:rsidR="00557360" w:rsidRPr="00A06F1E">
        <w:t>s</w:t>
      </w:r>
      <w:r w:rsidRPr="00A06F1E">
        <w:t xml:space="preserve">uperintendent </w:t>
      </w:r>
      <w:r w:rsidR="00FF276E">
        <w:t xml:space="preserve">for </w:t>
      </w:r>
      <w:r w:rsidR="000D6A8E">
        <w:t>RCM &amp; SU 73</w:t>
      </w:r>
      <w:r w:rsidRPr="00A06F1E">
        <w:t xml:space="preserve"> since 2020. The </w:t>
      </w:r>
      <w:r w:rsidR="004B3FAC" w:rsidRPr="00A06F1E">
        <w:t xml:space="preserve">central office </w:t>
      </w:r>
      <w:r w:rsidRPr="00A06F1E">
        <w:t xml:space="preserve">leadership team </w:t>
      </w:r>
      <w:r w:rsidR="02EB2B8F" w:rsidRPr="00A06F1E">
        <w:t>consists of</w:t>
      </w:r>
      <w:r w:rsidRPr="00A06F1E">
        <w:t xml:space="preserve"> key roles supporting the </w:t>
      </w:r>
      <w:r w:rsidR="00334F19" w:rsidRPr="00A06F1E">
        <w:t xml:space="preserve">superintendent, including the director of curriculum, dean of students, interim director of student support services, and </w:t>
      </w:r>
      <w:r w:rsidR="00B434B8">
        <w:t>director</w:t>
      </w:r>
      <w:r w:rsidR="00B434B8" w:rsidRPr="00A06F1E">
        <w:t xml:space="preserve"> </w:t>
      </w:r>
      <w:r w:rsidR="00334F19" w:rsidRPr="00A06F1E">
        <w:t>of finance</w:t>
      </w:r>
      <w:r w:rsidRPr="00A06F1E">
        <w:t xml:space="preserve">. </w:t>
      </w:r>
      <w:r w:rsidR="009F6E6B" w:rsidRPr="00A06F1E">
        <w:t>Central office</w:t>
      </w:r>
      <w:r w:rsidRPr="00A06F1E">
        <w:t xml:space="preserve"> leaders work </w:t>
      </w:r>
      <w:r w:rsidR="004C73D3" w:rsidRPr="00A06F1E">
        <w:t>in collaboration with</w:t>
      </w:r>
      <w:r w:rsidRPr="00A06F1E">
        <w:t xml:space="preserve"> three school committees—R</w:t>
      </w:r>
      <w:r w:rsidR="00756D05" w:rsidRPr="00A06F1E">
        <w:t>alph</w:t>
      </w:r>
      <w:r w:rsidR="004C73D3" w:rsidRPr="00A06F1E">
        <w:t xml:space="preserve"> </w:t>
      </w:r>
      <w:r w:rsidRPr="00A06F1E">
        <w:t>C. Mahar Regional School</w:t>
      </w:r>
      <w:r w:rsidR="006F450E" w:rsidRPr="00A06F1E">
        <w:t xml:space="preserve"> Committee</w:t>
      </w:r>
      <w:r w:rsidRPr="00A06F1E">
        <w:t>, Orange School</w:t>
      </w:r>
      <w:r w:rsidR="00756D05" w:rsidRPr="00A06F1E">
        <w:t xml:space="preserve"> Committee</w:t>
      </w:r>
      <w:r w:rsidRPr="00A06F1E">
        <w:t xml:space="preserve">, and </w:t>
      </w:r>
      <w:proofErr w:type="spellStart"/>
      <w:r w:rsidRPr="00A06F1E">
        <w:t>Petersham</w:t>
      </w:r>
      <w:proofErr w:type="spellEnd"/>
      <w:r w:rsidRPr="00A06F1E">
        <w:t xml:space="preserve"> School</w:t>
      </w:r>
      <w:r w:rsidR="00756D05" w:rsidRPr="00A06F1E">
        <w:t xml:space="preserve"> Committee</w:t>
      </w:r>
      <w:r w:rsidR="004C73D3" w:rsidRPr="00A06F1E">
        <w:t xml:space="preserve">—as well as local government officials from </w:t>
      </w:r>
      <w:r w:rsidR="005D17A3" w:rsidRPr="00A06F1E">
        <w:t xml:space="preserve">New Salem, Orange, </w:t>
      </w:r>
      <w:proofErr w:type="spellStart"/>
      <w:r w:rsidR="005D17A3" w:rsidRPr="00A06F1E">
        <w:t>Petersham</w:t>
      </w:r>
      <w:proofErr w:type="spellEnd"/>
      <w:r w:rsidR="005D17A3" w:rsidRPr="00A06F1E">
        <w:t>, and Wend</w:t>
      </w:r>
      <w:r w:rsidR="005037F9">
        <w:t>e</w:t>
      </w:r>
      <w:r w:rsidR="005D17A3" w:rsidRPr="00A06F1E">
        <w:t>ll</w:t>
      </w:r>
      <w:r w:rsidRPr="00A06F1E">
        <w:t xml:space="preserve">. </w:t>
      </w:r>
      <w:r w:rsidR="000D5D5A" w:rsidRPr="00A06F1E">
        <w:t xml:space="preserve">The three school committees </w:t>
      </w:r>
      <w:r w:rsidR="0000245B" w:rsidRPr="00A06F1E">
        <w:t>that</w:t>
      </w:r>
      <w:r w:rsidR="000D5D5A" w:rsidRPr="00A06F1E">
        <w:t xml:space="preserve"> form the union proportionally </w:t>
      </w:r>
      <w:r w:rsidR="00855ED7" w:rsidRPr="00A06F1E">
        <w:t xml:space="preserve">manage </w:t>
      </w:r>
      <w:r w:rsidR="000D5D5A" w:rsidRPr="00A06F1E">
        <w:t>the operational costs of this central office staff.</w:t>
      </w:r>
    </w:p>
    <w:p w14:paraId="62F76837" w14:textId="5E89A63A" w:rsidR="006C1DC9" w:rsidRPr="00A06F1E" w:rsidRDefault="000D6A8E" w:rsidP="00635306">
      <w:pPr>
        <w:pStyle w:val="BodyText"/>
      </w:pPr>
      <w:r>
        <w:t>RCM &amp; SU 73</w:t>
      </w:r>
      <w:r w:rsidR="00F52A21" w:rsidRPr="00A06F1E">
        <w:t xml:space="preserve"> comprises a superintendency </w:t>
      </w:r>
      <w:r w:rsidR="1A042DB3" w:rsidRPr="00A06F1E">
        <w:t>union</w:t>
      </w:r>
      <w:r w:rsidR="00F52A21" w:rsidRPr="00A06F1E">
        <w:t xml:space="preserve"> among four communities and three school committees, including </w:t>
      </w:r>
      <w:r w:rsidR="00DF1C38" w:rsidRPr="00A06F1E">
        <w:t>Mahar Regional</w:t>
      </w:r>
      <w:r w:rsidR="00F52A21" w:rsidRPr="00A06F1E">
        <w:t xml:space="preserve">, which enrolls </w:t>
      </w:r>
      <w:r w:rsidR="0000245B" w:rsidRPr="00A06F1E">
        <w:t>G</w:t>
      </w:r>
      <w:r w:rsidR="00F52A21" w:rsidRPr="00A06F1E">
        <w:t xml:space="preserve">rades 7-12 and is governed by a </w:t>
      </w:r>
      <w:r w:rsidR="00576C1E" w:rsidRPr="00A06F1E">
        <w:t>nine</w:t>
      </w:r>
      <w:r w:rsidR="00F52A21" w:rsidRPr="00A06F1E">
        <w:t xml:space="preserve">-member committee representing four towns. The </w:t>
      </w:r>
      <w:r w:rsidR="003B66CA" w:rsidRPr="00A06F1E">
        <w:t xml:space="preserve">superintendency </w:t>
      </w:r>
      <w:r w:rsidR="7B3E23B1" w:rsidRPr="00A06F1E">
        <w:t>union</w:t>
      </w:r>
      <w:r w:rsidR="00F52A21" w:rsidRPr="00A06F1E">
        <w:t xml:space="preserve"> also includes </w:t>
      </w:r>
      <w:r w:rsidR="00C65FDB" w:rsidRPr="00A06F1E">
        <w:t xml:space="preserve">two </w:t>
      </w:r>
      <w:r w:rsidR="3360581F" w:rsidRPr="00A06F1E">
        <w:t>single</w:t>
      </w:r>
      <w:r w:rsidR="7C217E23" w:rsidRPr="00A06F1E">
        <w:t>-</w:t>
      </w:r>
      <w:r w:rsidR="3360581F" w:rsidRPr="00A06F1E">
        <w:t xml:space="preserve">building </w:t>
      </w:r>
      <w:r w:rsidR="00C65FDB" w:rsidRPr="00A06F1E">
        <w:t xml:space="preserve">elementary </w:t>
      </w:r>
      <w:r w:rsidR="3D279B9A" w:rsidRPr="00A06F1E">
        <w:t>school</w:t>
      </w:r>
      <w:r w:rsidR="441EC41C" w:rsidRPr="00A06F1E">
        <w:t xml:space="preserve"> districts</w:t>
      </w:r>
      <w:r w:rsidR="0000245B" w:rsidRPr="00A06F1E">
        <w:t>—</w:t>
      </w:r>
      <w:r w:rsidR="00CF4F71">
        <w:t>Fisher Hill</w:t>
      </w:r>
      <w:r w:rsidR="00F52A21" w:rsidRPr="00A06F1E">
        <w:t xml:space="preserve"> and </w:t>
      </w:r>
      <w:proofErr w:type="spellStart"/>
      <w:r w:rsidR="00652B48">
        <w:t>Petersham</w:t>
      </w:r>
      <w:proofErr w:type="spellEnd"/>
      <w:r w:rsidR="00652B48">
        <w:t xml:space="preserve"> Center</w:t>
      </w:r>
      <w:r w:rsidR="00C65FDB" w:rsidRPr="00A06F1E">
        <w:t xml:space="preserve">—which </w:t>
      </w:r>
      <w:r w:rsidR="04849D85" w:rsidRPr="00A06F1E">
        <w:t xml:space="preserve">serve </w:t>
      </w:r>
      <w:r w:rsidR="0000245B" w:rsidRPr="00A06F1E">
        <w:t>G</w:t>
      </w:r>
      <w:r w:rsidR="04849D85" w:rsidRPr="00A06F1E">
        <w:t xml:space="preserve">rades </w:t>
      </w:r>
      <w:r w:rsidR="00FA5D18" w:rsidRPr="00A06F1E">
        <w:t>P</w:t>
      </w:r>
      <w:r w:rsidR="04849D85" w:rsidRPr="00A06F1E">
        <w:t>K-6</w:t>
      </w:r>
      <w:r w:rsidR="00FA5D18" w:rsidRPr="00A06F1E">
        <w:t xml:space="preserve"> and K-6, respectively,</w:t>
      </w:r>
      <w:r w:rsidR="04849D85" w:rsidRPr="00A06F1E">
        <w:t xml:space="preserve"> and </w:t>
      </w:r>
      <w:r w:rsidR="00C65FDB" w:rsidRPr="00A06F1E">
        <w:t>are</w:t>
      </w:r>
      <w:r w:rsidR="00F52A21" w:rsidRPr="00A06F1E">
        <w:t xml:space="preserve"> overseen by </w:t>
      </w:r>
      <w:r w:rsidR="00F761D8" w:rsidRPr="00A06F1E">
        <w:t>each town</w:t>
      </w:r>
      <w:r w:rsidR="00040362" w:rsidRPr="00A06F1E">
        <w:t>’</w:t>
      </w:r>
      <w:r w:rsidR="00F761D8" w:rsidRPr="00A06F1E">
        <w:t>s</w:t>
      </w:r>
      <w:r w:rsidR="00F52A21" w:rsidRPr="00A06F1E">
        <w:t xml:space="preserve"> respective school committee. The superintendent collaborates with these </w:t>
      </w:r>
      <w:r w:rsidR="00AE3B4D" w:rsidRPr="00A06F1E">
        <w:t>three</w:t>
      </w:r>
      <w:r w:rsidR="00F52A21" w:rsidRPr="00A06F1E">
        <w:t xml:space="preserve"> committees to manage budgets, operations, and policies. Subcommittees play a crucial role in governance, handling financial matters, policy reviews, and superintendent evaluations.</w:t>
      </w:r>
    </w:p>
    <w:p w14:paraId="44F2C06B" w14:textId="69F54907" w:rsidR="00740D18" w:rsidRDefault="002F5D0B" w:rsidP="00635306">
      <w:pPr>
        <w:pStyle w:val="BodyText"/>
      </w:pPr>
      <w:r>
        <w:t xml:space="preserve">Ralph C. </w:t>
      </w:r>
      <w:r w:rsidR="00FA5D18" w:rsidRPr="00103DF8">
        <w:t>Mah</w:t>
      </w:r>
      <w:r>
        <w:t>ar’s</w:t>
      </w:r>
      <w:r w:rsidR="00FA5D18" w:rsidRPr="00103DF8">
        <w:t xml:space="preserve"> school committee </w:t>
      </w:r>
      <w:r w:rsidR="00D12656" w:rsidRPr="00103DF8">
        <w:t>has</w:t>
      </w:r>
      <w:r w:rsidR="00FA5D18" w:rsidRPr="00103DF8" w:rsidDel="002F5D0B">
        <w:t xml:space="preserve"> </w:t>
      </w:r>
      <w:r>
        <w:t>ten</w:t>
      </w:r>
      <w:r w:rsidRPr="00103DF8">
        <w:t xml:space="preserve"> </w:t>
      </w:r>
      <w:r w:rsidR="00FA5D18" w:rsidRPr="00103DF8">
        <w:t xml:space="preserve">members who are elected for three-year terms, with proportional representation from Orange, </w:t>
      </w:r>
      <w:proofErr w:type="spellStart"/>
      <w:r w:rsidR="00FA5D18" w:rsidRPr="00103DF8">
        <w:t>Petersham</w:t>
      </w:r>
      <w:proofErr w:type="spellEnd"/>
      <w:r w:rsidR="00FA5D18" w:rsidRPr="00103DF8">
        <w:t>, New Salem, and Wendell.</w:t>
      </w:r>
      <w:r w:rsidR="00FA5D18" w:rsidRPr="00A06F1E">
        <w:t xml:space="preserve"> The towns of Orange and </w:t>
      </w:r>
      <w:proofErr w:type="spellStart"/>
      <w:r w:rsidR="00FA5D18" w:rsidRPr="00A06F1E">
        <w:t>Petersham</w:t>
      </w:r>
      <w:proofErr w:type="spellEnd"/>
      <w:r w:rsidR="00FA5D18" w:rsidRPr="00A06F1E">
        <w:t xml:space="preserve"> also elect their own school committees (with </w:t>
      </w:r>
      <w:r w:rsidR="00BE3B42" w:rsidRPr="00A06F1E">
        <w:t>five</w:t>
      </w:r>
      <w:r w:rsidR="00FA5D18" w:rsidRPr="00A06F1E">
        <w:t xml:space="preserve"> and </w:t>
      </w:r>
      <w:r w:rsidR="00BE3B42" w:rsidRPr="00A06F1E">
        <w:t>three</w:t>
      </w:r>
      <w:r w:rsidR="00FA5D18" w:rsidRPr="00A06F1E">
        <w:t xml:space="preserve"> members, respectively) to govern their elementary schools and interact with </w:t>
      </w:r>
      <w:r w:rsidR="000D6A8E">
        <w:t>RCM &amp; SU 73</w:t>
      </w:r>
      <w:r w:rsidR="00FA5D18" w:rsidRPr="00A06F1E">
        <w:t xml:space="preserve"> leadership </w:t>
      </w:r>
      <w:r w:rsidR="00BE3B42" w:rsidRPr="00A06F1E">
        <w:t>regarding</w:t>
      </w:r>
      <w:r w:rsidR="00FA5D18" w:rsidRPr="00A06F1E">
        <w:t xml:space="preserve"> issues of governance and budget. </w:t>
      </w:r>
      <w:r w:rsidR="005668B7" w:rsidRPr="00A06F1E">
        <w:t xml:space="preserve">The </w:t>
      </w:r>
      <w:proofErr w:type="spellStart"/>
      <w:r w:rsidR="005668B7" w:rsidRPr="00A06F1E">
        <w:t>Petersh</w:t>
      </w:r>
      <w:r w:rsidR="0014139E" w:rsidRPr="00A06F1E">
        <w:t>a</w:t>
      </w:r>
      <w:r w:rsidR="005668B7" w:rsidRPr="00A06F1E">
        <w:t>m</w:t>
      </w:r>
      <w:proofErr w:type="spellEnd"/>
      <w:r w:rsidR="005668B7" w:rsidRPr="00A06F1E">
        <w:t xml:space="preserve"> school committee elects one of its members to serve on </w:t>
      </w:r>
      <w:r w:rsidR="00BB1E68" w:rsidRPr="00A06F1E">
        <w:t xml:space="preserve">the </w:t>
      </w:r>
      <w:r w:rsidR="005668B7" w:rsidRPr="00A06F1E">
        <w:t xml:space="preserve">regional school committee. In addition, the towns of Orange and </w:t>
      </w:r>
      <w:proofErr w:type="spellStart"/>
      <w:r w:rsidR="005668B7" w:rsidRPr="00A06F1E">
        <w:t>Petersham</w:t>
      </w:r>
      <w:proofErr w:type="spellEnd"/>
      <w:r w:rsidR="005668B7" w:rsidRPr="00A06F1E">
        <w:t xml:space="preserve"> elect a member to serve on the regional school committee.</w:t>
      </w:r>
    </w:p>
    <w:p w14:paraId="00923F0A" w14:textId="48820D2A" w:rsidR="006C1DC9" w:rsidRPr="00A06F1E" w:rsidRDefault="00740D18" w:rsidP="00635306">
      <w:pPr>
        <w:pStyle w:val="BodyText"/>
      </w:pPr>
      <w:r>
        <w:t xml:space="preserve">The </w:t>
      </w:r>
      <w:r w:rsidR="000D6A8E">
        <w:t>RCM &amp; SU 73</w:t>
      </w:r>
      <w:r w:rsidR="003227E9" w:rsidRPr="00A06F1E">
        <w:t xml:space="preserve"> District Improvement Plan outlines a comprehensive vision and strategic objectives to support academic</w:t>
      </w:r>
      <w:r w:rsidR="00587398" w:rsidRPr="00A06F1E">
        <w:t xml:space="preserve"> as well as</w:t>
      </w:r>
      <w:r w:rsidR="003227E9" w:rsidRPr="00A06F1E">
        <w:t xml:space="preserve"> social</w:t>
      </w:r>
      <w:r w:rsidR="00587398" w:rsidRPr="00A06F1E">
        <w:t>-</w:t>
      </w:r>
      <w:r w:rsidR="003227E9" w:rsidRPr="00A06F1E">
        <w:t xml:space="preserve">emotional development. The plan emphasizes high-quality instruction, parent and community engagement, professional culture, and efficient management and operations. Strategic initiatives include </w:t>
      </w:r>
      <w:r w:rsidR="00F06302" w:rsidRPr="00A06F1E">
        <w:t>improving instruction</w:t>
      </w:r>
      <w:r w:rsidR="003227E9" w:rsidRPr="00A06F1E">
        <w:t xml:space="preserve"> in literacy and mathematics</w:t>
      </w:r>
      <w:r w:rsidR="00CD7898" w:rsidRPr="00A06F1E">
        <w:t xml:space="preserve"> through professional development</w:t>
      </w:r>
      <w:r w:rsidR="003227E9" w:rsidRPr="00A06F1E">
        <w:t xml:space="preserve">, enhancing communication with families, and maintaining a fiscally sound budget. The development process </w:t>
      </w:r>
      <w:r w:rsidR="00964FD6" w:rsidRPr="00A06F1E">
        <w:t>for the improvement plan</w:t>
      </w:r>
      <w:r w:rsidR="003227E9" w:rsidRPr="00A06F1E">
        <w:t xml:space="preserve"> involved extensive collaboration with stakeholders, including school committees, parents, families, and students, to update the mission, vision, and core values. The SIPs for </w:t>
      </w:r>
      <w:r w:rsidR="00CF4F71">
        <w:t>Fisher Hill</w:t>
      </w:r>
      <w:r w:rsidR="003227E9" w:rsidRPr="00A06F1E">
        <w:t xml:space="preserve">, </w:t>
      </w:r>
      <w:proofErr w:type="spellStart"/>
      <w:r w:rsidR="00652B48">
        <w:t>Petersham</w:t>
      </w:r>
      <w:proofErr w:type="spellEnd"/>
      <w:r w:rsidR="00652B48">
        <w:t xml:space="preserve"> Center</w:t>
      </w:r>
      <w:r w:rsidR="003227E9" w:rsidRPr="00A06F1E">
        <w:t xml:space="preserve">, and </w:t>
      </w:r>
      <w:r w:rsidR="00DF1C38" w:rsidRPr="00A06F1E">
        <w:t>Mahar Regional</w:t>
      </w:r>
      <w:r w:rsidR="003227E9" w:rsidRPr="00A06F1E">
        <w:t xml:space="preserve"> align with the district plan by focusing on professional development, community engagement, and data-driven outcomes to prepare students for a democratic and technological global society.</w:t>
      </w:r>
    </w:p>
    <w:p w14:paraId="6CCEFE2D" w14:textId="266EB7E9" w:rsidR="00B72349" w:rsidRPr="00A06F1E" w:rsidRDefault="00944D9E" w:rsidP="00635306">
      <w:pPr>
        <w:pStyle w:val="BodyText"/>
        <w:rPr>
          <w:rFonts w:ascii="Franklin Gothic Demi" w:hAnsi="Franklin Gothic Demi"/>
        </w:rPr>
      </w:pPr>
      <w:r w:rsidRPr="00A06F1E">
        <w:t xml:space="preserve">Table </w:t>
      </w:r>
      <w:r w:rsidR="000F34B4" w:rsidRPr="00A06F1E">
        <w:t xml:space="preserve">2 </w:t>
      </w:r>
      <w:r w:rsidRPr="00A06F1E">
        <w:t>summarizes key strengths and areas for growth in leadership and governance.</w:t>
      </w:r>
    </w:p>
    <w:p w14:paraId="2E5F65C5" w14:textId="77777777" w:rsidR="00635306" w:rsidRPr="00A06F1E" w:rsidRDefault="00635306">
      <w:pPr>
        <w:spacing w:line="240" w:lineRule="auto"/>
        <w:rPr>
          <w:rFonts w:ascii="Franklin Gothic Demi" w:hAnsi="Franklin Gothic Demi"/>
        </w:rPr>
      </w:pPr>
      <w:r w:rsidRPr="00A06F1E">
        <w:br w:type="page"/>
      </w:r>
    </w:p>
    <w:p w14:paraId="5317D7CB" w14:textId="674071EC" w:rsidR="003D6ECF" w:rsidRPr="00A06F1E" w:rsidRDefault="003D6ECF" w:rsidP="00635306">
      <w:pPr>
        <w:pStyle w:val="TableTitle0"/>
      </w:pPr>
      <w:bookmarkStart w:id="26" w:name="_Toc170701901"/>
      <w:r w:rsidRPr="00A06F1E">
        <w:lastRenderedPageBreak/>
        <w:t xml:space="preserve">Table </w:t>
      </w:r>
      <w:r w:rsidR="00BD049B" w:rsidRPr="00A06F1E">
        <w:t>2</w:t>
      </w:r>
      <w:r w:rsidRPr="00A06F1E">
        <w:t xml:space="preserve">. Summary of </w:t>
      </w:r>
      <w:r w:rsidR="00944D9E" w:rsidRPr="00A06F1E">
        <w:t xml:space="preserve">Key Strengths </w:t>
      </w:r>
      <w:r w:rsidRPr="00A06F1E">
        <w:t xml:space="preserve">and </w:t>
      </w:r>
      <w:r w:rsidR="00944D9E" w:rsidRPr="00A06F1E">
        <w:t xml:space="preserve">Areas </w:t>
      </w:r>
      <w:r w:rsidRPr="00A06F1E">
        <w:t xml:space="preserve">for </w:t>
      </w:r>
      <w:r w:rsidR="00944D9E" w:rsidRPr="00A06F1E">
        <w:t>Growth:</w:t>
      </w:r>
      <w:r w:rsidRPr="00A06F1E">
        <w:t xml:space="preserve"> Leadership and Governance</w:t>
      </w:r>
      <w:r w:rsidR="00C0766E" w:rsidRPr="00A06F1E">
        <w:t xml:space="preserve"> Standard</w:t>
      </w:r>
      <w:bookmarkEnd w:id="26"/>
    </w:p>
    <w:tbl>
      <w:tblPr>
        <w:tblStyle w:val="MSVTable1"/>
        <w:tblW w:w="5000" w:type="pct"/>
        <w:tblLayout w:type="fixed"/>
        <w:tblLook w:val="04A0" w:firstRow="1" w:lastRow="0" w:firstColumn="1" w:lastColumn="0" w:noHBand="0" w:noVBand="1"/>
      </w:tblPr>
      <w:tblGrid>
        <w:gridCol w:w="1505"/>
        <w:gridCol w:w="4276"/>
        <w:gridCol w:w="3563"/>
      </w:tblGrid>
      <w:tr w:rsidR="003D6ECF" w:rsidRPr="00A06F1E" w14:paraId="1BA64263" w14:textId="77777777" w:rsidTr="00944D9E">
        <w:trPr>
          <w:cnfStyle w:val="100000000000" w:firstRow="1" w:lastRow="0" w:firstColumn="0" w:lastColumn="0" w:oddVBand="0" w:evenVBand="0" w:oddHBand="0" w:evenHBand="0" w:firstRowFirstColumn="0" w:firstRowLastColumn="0" w:lastRowFirstColumn="0" w:lastRowLastColumn="0"/>
          <w:tblHeader/>
        </w:trPr>
        <w:tc>
          <w:tcPr>
            <w:tcW w:w="1520" w:type="dxa"/>
          </w:tcPr>
          <w:p w14:paraId="54BE6202" w14:textId="77777777" w:rsidR="003D6ECF" w:rsidRPr="00DF7902" w:rsidRDefault="003D6ECF" w:rsidP="00473308">
            <w:pPr>
              <w:pStyle w:val="TableColHeadingCenter"/>
            </w:pPr>
            <w:r w:rsidRPr="00DF7902">
              <w:t>Indicator</w:t>
            </w:r>
          </w:p>
        </w:tc>
        <w:tc>
          <w:tcPr>
            <w:tcW w:w="4320" w:type="dxa"/>
          </w:tcPr>
          <w:p w14:paraId="26C2C9B5" w14:textId="77777777" w:rsidR="003D6ECF" w:rsidRPr="00A06F1E" w:rsidRDefault="003D6ECF" w:rsidP="00473308">
            <w:pPr>
              <w:pStyle w:val="TableColHeadingCenter"/>
            </w:pPr>
            <w:r w:rsidRPr="00A06F1E">
              <w:t>Strengths</w:t>
            </w:r>
          </w:p>
        </w:tc>
        <w:tc>
          <w:tcPr>
            <w:tcW w:w="3600" w:type="dxa"/>
          </w:tcPr>
          <w:p w14:paraId="19C0FC93" w14:textId="398D47A8" w:rsidR="003D6ECF" w:rsidRPr="00A06F1E" w:rsidRDefault="003D6ECF" w:rsidP="00473308">
            <w:pPr>
              <w:pStyle w:val="TableColHeadingCenter"/>
            </w:pPr>
            <w:r w:rsidRPr="00A06F1E">
              <w:t xml:space="preserve">Areas for </w:t>
            </w:r>
            <w:r w:rsidR="00944D9E" w:rsidRPr="00A06F1E">
              <w:t>growth</w:t>
            </w:r>
          </w:p>
        </w:tc>
      </w:tr>
      <w:tr w:rsidR="003D6ECF" w:rsidRPr="00A06F1E" w14:paraId="684F20FE" w14:textId="77777777" w:rsidTr="00473308">
        <w:trPr>
          <w:cnfStyle w:val="000000100000" w:firstRow="0" w:lastRow="0" w:firstColumn="0" w:lastColumn="0" w:oddVBand="0" w:evenVBand="0" w:oddHBand="1" w:evenHBand="0" w:firstRowFirstColumn="0" w:firstRowLastColumn="0" w:lastRowFirstColumn="0" w:lastRowLastColumn="0"/>
        </w:trPr>
        <w:tc>
          <w:tcPr>
            <w:tcW w:w="1520" w:type="dxa"/>
          </w:tcPr>
          <w:p w14:paraId="544D7F2B" w14:textId="678DDF2A" w:rsidR="003D6ECF" w:rsidRPr="00A06F1E" w:rsidRDefault="00000000" w:rsidP="00473308">
            <w:pPr>
              <w:pStyle w:val="TableSubheading"/>
            </w:pPr>
            <w:hyperlink w:anchor="_School_Committee_Governance" w:history="1">
              <w:r w:rsidR="003D6ECF" w:rsidRPr="00A06F1E">
                <w:rPr>
                  <w:rStyle w:val="Hyperlink"/>
                </w:rPr>
                <w:t xml:space="preserve">School </w:t>
              </w:r>
              <w:r w:rsidR="00944D9E" w:rsidRPr="00A06F1E">
                <w:rPr>
                  <w:rStyle w:val="Hyperlink"/>
                </w:rPr>
                <w:t>committee governance</w:t>
              </w:r>
            </w:hyperlink>
          </w:p>
        </w:tc>
        <w:tc>
          <w:tcPr>
            <w:tcW w:w="4320" w:type="dxa"/>
          </w:tcPr>
          <w:p w14:paraId="795C99D3" w14:textId="7A513A14" w:rsidR="003D6ECF" w:rsidRPr="00A06F1E" w:rsidRDefault="003D6ECF" w:rsidP="00635306">
            <w:pPr>
              <w:pStyle w:val="TableText"/>
            </w:pPr>
          </w:p>
        </w:tc>
        <w:tc>
          <w:tcPr>
            <w:tcW w:w="3600" w:type="dxa"/>
          </w:tcPr>
          <w:p w14:paraId="2663CB3F" w14:textId="0EDE692A" w:rsidR="003D6ECF" w:rsidRPr="00F674D2" w:rsidRDefault="00EF55D7" w:rsidP="007D69BA">
            <w:pPr>
              <w:pStyle w:val="TableBullet1"/>
            </w:pPr>
            <w:r w:rsidRPr="00F674D2">
              <w:t>Evaluating</w:t>
            </w:r>
            <w:r w:rsidR="003227E9" w:rsidRPr="00F674D2">
              <w:t xml:space="preserve"> the superintendent </w:t>
            </w:r>
            <w:r w:rsidRPr="00F674D2">
              <w:t>on a regular basis</w:t>
            </w:r>
          </w:p>
          <w:p w14:paraId="7086393F" w14:textId="73E8CE76" w:rsidR="003227E9" w:rsidRPr="00F674D2" w:rsidRDefault="003227E9" w:rsidP="007D69BA">
            <w:pPr>
              <w:pStyle w:val="TableBullet1"/>
            </w:pPr>
            <w:r w:rsidRPr="00F674D2">
              <w:t xml:space="preserve">Navigating relationships </w:t>
            </w:r>
            <w:r w:rsidR="00CF0A93" w:rsidRPr="00F674D2">
              <w:t>among</w:t>
            </w:r>
            <w:r w:rsidRPr="00F674D2">
              <w:t xml:space="preserve"> three separate school committees</w:t>
            </w:r>
            <w:r w:rsidR="00216B98" w:rsidRPr="00F674D2">
              <w:t>, including challenges</w:t>
            </w:r>
            <w:r w:rsidRPr="00F674D2">
              <w:t xml:space="preserve"> in </w:t>
            </w:r>
            <w:r w:rsidR="00BF397A" w:rsidRPr="00F674D2">
              <w:t>communication</w:t>
            </w:r>
            <w:r w:rsidRPr="00F674D2">
              <w:t xml:space="preserve"> and </w:t>
            </w:r>
            <w:r w:rsidR="00BF397A" w:rsidRPr="00F674D2">
              <w:t>collaboration</w:t>
            </w:r>
          </w:p>
        </w:tc>
      </w:tr>
      <w:tr w:rsidR="003D6ECF" w:rsidRPr="00A06F1E" w14:paraId="14B42E08" w14:textId="77777777" w:rsidTr="00473308">
        <w:tc>
          <w:tcPr>
            <w:tcW w:w="1520" w:type="dxa"/>
          </w:tcPr>
          <w:p w14:paraId="3EB19AE6" w14:textId="2B3B40EE" w:rsidR="003D6ECF" w:rsidRPr="00A06F1E" w:rsidRDefault="00000000" w:rsidP="00473308">
            <w:pPr>
              <w:pStyle w:val="TableSubheading"/>
            </w:pPr>
            <w:hyperlink w:anchor="_District_and_School" w:history="1">
              <w:r w:rsidR="003D6ECF" w:rsidRPr="00A06F1E">
                <w:rPr>
                  <w:rStyle w:val="Hyperlink"/>
                </w:rPr>
                <w:t xml:space="preserve">District and </w:t>
              </w:r>
              <w:r w:rsidR="00944D9E" w:rsidRPr="00A06F1E">
                <w:rPr>
                  <w:rStyle w:val="Hyperlink"/>
                </w:rPr>
                <w:t>school leadership</w:t>
              </w:r>
            </w:hyperlink>
          </w:p>
        </w:tc>
        <w:tc>
          <w:tcPr>
            <w:tcW w:w="4320" w:type="dxa"/>
          </w:tcPr>
          <w:p w14:paraId="3C710E27" w14:textId="13D3D237" w:rsidR="003D6ECF" w:rsidRPr="00A06F1E" w:rsidRDefault="001821AD" w:rsidP="007D69BA">
            <w:pPr>
              <w:pStyle w:val="TableBullet1"/>
              <w:rPr>
                <w:szCs w:val="20"/>
              </w:rPr>
            </w:pPr>
            <w:r>
              <w:t>T</w:t>
            </w:r>
            <w:r w:rsidR="00143618" w:rsidRPr="00A06F1E">
              <w:t xml:space="preserve">he </w:t>
            </w:r>
            <w:r w:rsidR="00813719" w:rsidRPr="00A06F1E">
              <w:t>superintendent</w:t>
            </w:r>
            <w:r w:rsidR="00143618" w:rsidRPr="00A06F1E">
              <w:t xml:space="preserve"> </w:t>
            </w:r>
            <w:r w:rsidR="00813719" w:rsidRPr="00A06F1E">
              <w:t>maintain</w:t>
            </w:r>
            <w:r w:rsidR="00143618" w:rsidRPr="00A06F1E">
              <w:t>s</w:t>
            </w:r>
            <w:r w:rsidR="00813719" w:rsidRPr="00A06F1E">
              <w:t xml:space="preserve"> open and collaborative relationships with school leaders.</w:t>
            </w:r>
          </w:p>
        </w:tc>
        <w:tc>
          <w:tcPr>
            <w:tcW w:w="3600" w:type="dxa"/>
          </w:tcPr>
          <w:p w14:paraId="5838C396" w14:textId="01A7C2AE" w:rsidR="00813719" w:rsidRPr="00F674D2" w:rsidRDefault="00B96CD3" w:rsidP="007D69BA">
            <w:pPr>
              <w:pStyle w:val="TableBullet1"/>
              <w:rPr>
                <w:szCs w:val="20"/>
              </w:rPr>
            </w:pPr>
            <w:r w:rsidRPr="00F674D2">
              <w:t>Supporting the election of school council members and fostering an open and inclusive environment within school council meetings</w:t>
            </w:r>
          </w:p>
        </w:tc>
      </w:tr>
      <w:tr w:rsidR="003D6ECF" w:rsidRPr="00A06F1E" w14:paraId="22B4591C" w14:textId="77777777" w:rsidTr="00473308">
        <w:trPr>
          <w:cnfStyle w:val="000000100000" w:firstRow="0" w:lastRow="0" w:firstColumn="0" w:lastColumn="0" w:oddVBand="0" w:evenVBand="0" w:oddHBand="1" w:evenHBand="0" w:firstRowFirstColumn="0" w:firstRowLastColumn="0" w:lastRowFirstColumn="0" w:lastRowLastColumn="0"/>
        </w:trPr>
        <w:tc>
          <w:tcPr>
            <w:tcW w:w="1520" w:type="dxa"/>
          </w:tcPr>
          <w:p w14:paraId="5F56A8E5" w14:textId="396D1A15" w:rsidR="003D6ECF" w:rsidRPr="00A06F1E" w:rsidRDefault="00000000" w:rsidP="00473308">
            <w:pPr>
              <w:pStyle w:val="TableSubheading"/>
            </w:pPr>
            <w:hyperlink w:anchor="_District_and_School_1" w:history="1">
              <w:r w:rsidR="003D6ECF" w:rsidRPr="00A06F1E">
                <w:rPr>
                  <w:rStyle w:val="Hyperlink"/>
                </w:rPr>
                <w:t xml:space="preserve">District and </w:t>
              </w:r>
              <w:r w:rsidR="00944D9E" w:rsidRPr="00A06F1E">
                <w:rPr>
                  <w:rStyle w:val="Hyperlink"/>
                </w:rPr>
                <w:t>school improvement planning</w:t>
              </w:r>
            </w:hyperlink>
          </w:p>
        </w:tc>
        <w:tc>
          <w:tcPr>
            <w:tcW w:w="4320" w:type="dxa"/>
          </w:tcPr>
          <w:p w14:paraId="67FB99AE" w14:textId="00F0AA07" w:rsidR="003D6ECF" w:rsidRPr="00A06F1E" w:rsidRDefault="00DA24CF" w:rsidP="59BBA27E">
            <w:pPr>
              <w:pStyle w:val="TableBullet1"/>
              <w:rPr>
                <w:szCs w:val="20"/>
              </w:rPr>
            </w:pPr>
            <w:r w:rsidRPr="00A06F1E">
              <w:rPr>
                <w:szCs w:val="20"/>
              </w:rPr>
              <w:t>T</w:t>
            </w:r>
            <w:r w:rsidR="00813719" w:rsidRPr="00A06F1E">
              <w:rPr>
                <w:szCs w:val="20"/>
              </w:rPr>
              <w:t xml:space="preserve">he </w:t>
            </w:r>
            <w:r w:rsidR="00D77F27" w:rsidRPr="00A06F1E">
              <w:rPr>
                <w:szCs w:val="20"/>
              </w:rPr>
              <w:t xml:space="preserve">district has a </w:t>
            </w:r>
            <w:r w:rsidR="00813719" w:rsidRPr="00A06F1E">
              <w:rPr>
                <w:szCs w:val="20"/>
              </w:rPr>
              <w:t xml:space="preserve">process for developing its strategic improvement plan </w:t>
            </w:r>
            <w:r w:rsidR="00D77F27" w:rsidRPr="00A06F1E">
              <w:rPr>
                <w:szCs w:val="20"/>
              </w:rPr>
              <w:t xml:space="preserve">that </w:t>
            </w:r>
            <w:r w:rsidR="00813719" w:rsidRPr="00A06F1E">
              <w:rPr>
                <w:szCs w:val="20"/>
              </w:rPr>
              <w:t xml:space="preserve">is </w:t>
            </w:r>
            <w:r w:rsidR="5D1253B7" w:rsidRPr="00A06F1E">
              <w:rPr>
                <w:szCs w:val="20"/>
              </w:rPr>
              <w:t>a</w:t>
            </w:r>
            <w:r w:rsidR="00813719" w:rsidRPr="00A06F1E">
              <w:rPr>
                <w:szCs w:val="20"/>
              </w:rPr>
              <w:t xml:space="preserve"> collaborative effort involving various stakeholders</w:t>
            </w:r>
            <w:r w:rsidR="00143618" w:rsidRPr="00A06F1E">
              <w:rPr>
                <w:szCs w:val="20"/>
              </w:rPr>
              <w:t>.</w:t>
            </w:r>
          </w:p>
          <w:p w14:paraId="2956C390" w14:textId="24B1A767" w:rsidR="003D6ECF" w:rsidRPr="00A06F1E" w:rsidRDefault="6E888D1E" w:rsidP="007D69BA">
            <w:pPr>
              <w:pStyle w:val="TableBullet1"/>
              <w:rPr>
                <w:szCs w:val="20"/>
              </w:rPr>
            </w:pPr>
            <w:r w:rsidRPr="00A06F1E">
              <w:rPr>
                <w:szCs w:val="20"/>
              </w:rPr>
              <w:t xml:space="preserve">The respective </w:t>
            </w:r>
            <w:r w:rsidR="00C27E38" w:rsidRPr="00A06F1E">
              <w:rPr>
                <w:szCs w:val="20"/>
              </w:rPr>
              <w:t>SIPs</w:t>
            </w:r>
            <w:r w:rsidRPr="00A06F1E">
              <w:rPr>
                <w:szCs w:val="20"/>
              </w:rPr>
              <w:t xml:space="preserve"> align with the district strategic plan. </w:t>
            </w:r>
          </w:p>
        </w:tc>
        <w:tc>
          <w:tcPr>
            <w:tcW w:w="3600" w:type="dxa"/>
          </w:tcPr>
          <w:p w14:paraId="0F21E755" w14:textId="4E6FEEC9" w:rsidR="003D6ECF" w:rsidRPr="00F674D2" w:rsidRDefault="00DA24CF" w:rsidP="007D69BA">
            <w:pPr>
              <w:pStyle w:val="TableBullet1"/>
              <w:rPr>
                <w:szCs w:val="20"/>
              </w:rPr>
            </w:pPr>
            <w:r w:rsidRPr="00F674D2">
              <w:t>E</w:t>
            </w:r>
            <w:r w:rsidR="00813719" w:rsidRPr="00F674D2">
              <w:t xml:space="preserve">nsuring effective follow-up on the district strategic improvement plan, as </w:t>
            </w:r>
            <w:r w:rsidR="005C22F9" w:rsidRPr="00F674D2">
              <w:t xml:space="preserve">there are </w:t>
            </w:r>
            <w:r w:rsidR="00813719" w:rsidRPr="00F674D2">
              <w:t>gaps in action on feedback, infrequent updates on goals, and limited practical utilization of the plan</w:t>
            </w:r>
          </w:p>
        </w:tc>
      </w:tr>
      <w:tr w:rsidR="003D6ECF" w:rsidRPr="00A06F1E" w14:paraId="1AA1AADB" w14:textId="77777777" w:rsidTr="00473308">
        <w:tc>
          <w:tcPr>
            <w:tcW w:w="1520" w:type="dxa"/>
          </w:tcPr>
          <w:p w14:paraId="7BCB531C" w14:textId="6250B80C" w:rsidR="003D6ECF" w:rsidRPr="00A06F1E" w:rsidRDefault="00000000" w:rsidP="00473308">
            <w:pPr>
              <w:pStyle w:val="TableSubheading"/>
            </w:pPr>
            <w:hyperlink w:anchor="_Budget_Development" w:history="1">
              <w:r w:rsidR="003D6ECF" w:rsidRPr="00A06F1E">
                <w:rPr>
                  <w:rStyle w:val="Hyperlink"/>
                </w:rPr>
                <w:t xml:space="preserve">Budget </w:t>
              </w:r>
              <w:r w:rsidR="00944D9E" w:rsidRPr="00A06F1E">
                <w:rPr>
                  <w:rStyle w:val="Hyperlink"/>
                </w:rPr>
                <w:t>development</w:t>
              </w:r>
            </w:hyperlink>
          </w:p>
        </w:tc>
        <w:tc>
          <w:tcPr>
            <w:tcW w:w="4320" w:type="dxa"/>
          </w:tcPr>
          <w:p w14:paraId="639FDEDF" w14:textId="1FFDF9E0" w:rsidR="003D6ECF" w:rsidRPr="00A06F1E" w:rsidRDefault="6C1A37A6" w:rsidP="007D69BA">
            <w:pPr>
              <w:pStyle w:val="TableBullet1"/>
            </w:pPr>
            <w:r w:rsidRPr="00A06F1E">
              <w:t>The budget development process is highly structured, involving several steps and including input from all levels from teachers up through administrators</w:t>
            </w:r>
            <w:r w:rsidR="3C120554" w:rsidRPr="00A06F1E">
              <w:t xml:space="preserve"> and including feedback from stakeholders</w:t>
            </w:r>
            <w:r w:rsidR="4D9B3A4D" w:rsidRPr="00A06F1E">
              <w:t>.</w:t>
            </w:r>
          </w:p>
          <w:p w14:paraId="424049C0" w14:textId="6A6B530B" w:rsidR="003D6ECF" w:rsidRPr="00A06F1E" w:rsidRDefault="4D9B3A4D" w:rsidP="007D69BA">
            <w:pPr>
              <w:pStyle w:val="TableBullet1"/>
            </w:pPr>
            <w:r w:rsidRPr="00A06F1E">
              <w:t>The comprehensive approach aims to ensure that all relevant parties, including the towns within the district, understand and can support the budget</w:t>
            </w:r>
            <w:r w:rsidR="004106A7" w:rsidRPr="00A06F1E">
              <w:t>.</w:t>
            </w:r>
          </w:p>
        </w:tc>
        <w:tc>
          <w:tcPr>
            <w:tcW w:w="3600" w:type="dxa"/>
          </w:tcPr>
          <w:p w14:paraId="375A34A0" w14:textId="48033AB8" w:rsidR="003E6A89" w:rsidRPr="00A06F1E" w:rsidRDefault="003E6A89" w:rsidP="007D69BA">
            <w:pPr>
              <w:pStyle w:val="TableBullet1"/>
            </w:pPr>
            <w:r>
              <w:t>Improving</w:t>
            </w:r>
            <w:r w:rsidRPr="00E45CA4">
              <w:t xml:space="preserve"> the timeliness in which the budget is approved</w:t>
            </w:r>
            <w:r w:rsidR="00292228">
              <w:t xml:space="preserve"> and creating greater consistency</w:t>
            </w:r>
            <w:r>
              <w:t xml:space="preserve"> around the </w:t>
            </w:r>
            <w:r w:rsidR="00292228">
              <w:t xml:space="preserve">annual budget </w:t>
            </w:r>
            <w:r>
              <w:t>approval process</w:t>
            </w:r>
          </w:p>
        </w:tc>
      </w:tr>
    </w:tbl>
    <w:p w14:paraId="47244709" w14:textId="137AD256" w:rsidR="003D6ECF" w:rsidRPr="00A06F1E" w:rsidRDefault="003D6ECF" w:rsidP="003D6ECF">
      <w:pPr>
        <w:pStyle w:val="Heading3"/>
      </w:pPr>
      <w:bookmarkStart w:id="27" w:name="_School_Committee_Governance"/>
      <w:bookmarkEnd w:id="27"/>
      <w:r w:rsidRPr="00A06F1E">
        <w:t>School Committee Governance</w:t>
      </w:r>
    </w:p>
    <w:p w14:paraId="16B908E7" w14:textId="644BD485" w:rsidR="006C1DC9" w:rsidRPr="00A06F1E" w:rsidRDefault="000D6A8E" w:rsidP="00635306">
      <w:pPr>
        <w:pStyle w:val="BodyTextposthead"/>
      </w:pPr>
      <w:r>
        <w:t>RCM &amp; SU 73</w:t>
      </w:r>
      <w:r w:rsidR="00CD3425" w:rsidRPr="00A06F1E">
        <w:t xml:space="preserve"> </w:t>
      </w:r>
      <w:r w:rsidR="00825FD3" w:rsidRPr="00A06F1E">
        <w:t>is a</w:t>
      </w:r>
      <w:r w:rsidR="00EB2F3B" w:rsidRPr="00A06F1E">
        <w:t xml:space="preserve"> superintendency</w:t>
      </w:r>
      <w:r w:rsidR="00825FD3" w:rsidRPr="00A06F1E">
        <w:t xml:space="preserve"> </w:t>
      </w:r>
      <w:r w:rsidR="7AA20052" w:rsidRPr="00A06F1E">
        <w:t>union</w:t>
      </w:r>
      <w:r w:rsidR="00825FD3" w:rsidRPr="00A06F1E">
        <w:t xml:space="preserve"> among </w:t>
      </w:r>
      <w:r w:rsidR="00EB2F3B" w:rsidRPr="00A06F1E">
        <w:t>four communities and three school committees</w:t>
      </w:r>
      <w:r w:rsidR="00CF7A4E" w:rsidRPr="00A06F1E">
        <w:t xml:space="preserve">. </w:t>
      </w:r>
      <w:r w:rsidR="00DF1C38" w:rsidRPr="00A06F1E">
        <w:t>Mahar Regional</w:t>
      </w:r>
      <w:r w:rsidR="00CF7A4E" w:rsidRPr="00A06F1E">
        <w:t xml:space="preserve"> enrolls students in </w:t>
      </w:r>
      <w:r w:rsidR="005505A5" w:rsidRPr="00A06F1E">
        <w:t>G</w:t>
      </w:r>
      <w:r w:rsidR="00CF7A4E" w:rsidRPr="00A06F1E">
        <w:t xml:space="preserve">rades 7-12 and is governed by its own </w:t>
      </w:r>
      <w:r w:rsidR="00397677" w:rsidRPr="00A06F1E">
        <w:t xml:space="preserve">regional </w:t>
      </w:r>
      <w:r w:rsidR="00CF7A4E" w:rsidRPr="00A06F1E">
        <w:t xml:space="preserve">school committee; </w:t>
      </w:r>
      <w:r w:rsidR="00DF1C38" w:rsidRPr="00A06F1E">
        <w:t>Mahar Regional</w:t>
      </w:r>
      <w:r w:rsidR="00CF7A4E" w:rsidRPr="00A06F1E">
        <w:t xml:space="preserve"> enrolls students from four communities: New Salem, Orange, </w:t>
      </w:r>
      <w:proofErr w:type="spellStart"/>
      <w:r w:rsidR="00CF7A4E" w:rsidRPr="00A06F1E">
        <w:t>Petersham</w:t>
      </w:r>
      <w:proofErr w:type="spellEnd"/>
      <w:r w:rsidR="00CF7A4E" w:rsidRPr="00A06F1E">
        <w:t>, and Wend</w:t>
      </w:r>
      <w:r w:rsidR="00CE66C9">
        <w:t>e</w:t>
      </w:r>
      <w:r w:rsidR="00CF7A4E" w:rsidRPr="00A06F1E">
        <w:t>ll.</w:t>
      </w:r>
      <w:r w:rsidR="00FA48D4" w:rsidRPr="00A06F1E">
        <w:t xml:space="preserve"> </w:t>
      </w:r>
      <w:r>
        <w:t>RCM &amp; SU 73</w:t>
      </w:r>
      <w:r w:rsidR="00FA48D4" w:rsidRPr="00A06F1E">
        <w:t xml:space="preserve"> also includes the elementary schools in Orange and </w:t>
      </w:r>
      <w:proofErr w:type="spellStart"/>
      <w:r w:rsidR="00FA48D4" w:rsidRPr="00A06F1E">
        <w:t>Petersham</w:t>
      </w:r>
      <w:proofErr w:type="spellEnd"/>
      <w:r w:rsidR="00FA48D4" w:rsidRPr="00A06F1E">
        <w:t xml:space="preserve">, and the superintendent </w:t>
      </w:r>
      <w:r w:rsidR="005D046C" w:rsidRPr="00A06F1E">
        <w:t xml:space="preserve">similarly oversees those schools and collaborates with those two </w:t>
      </w:r>
      <w:r w:rsidR="000F608D" w:rsidRPr="00A06F1E">
        <w:t>communities</w:t>
      </w:r>
      <w:r w:rsidR="00040362" w:rsidRPr="00A06F1E">
        <w:t>’</w:t>
      </w:r>
      <w:r w:rsidR="000F608D" w:rsidRPr="00A06F1E">
        <w:t xml:space="preserve"> respective </w:t>
      </w:r>
      <w:r w:rsidR="005D046C" w:rsidRPr="00A06F1E">
        <w:t>school committees.</w:t>
      </w:r>
    </w:p>
    <w:p w14:paraId="3A60EBE2" w14:textId="3FC951E1" w:rsidR="006C1DC9" w:rsidRPr="00A06F1E" w:rsidRDefault="005D046C" w:rsidP="00635306">
      <w:pPr>
        <w:pStyle w:val="BodyText"/>
      </w:pPr>
      <w:r w:rsidRPr="00A06F1E">
        <w:t xml:space="preserve">The </w:t>
      </w:r>
      <w:r w:rsidR="00DF1C38" w:rsidRPr="00A06F1E">
        <w:t>Mahar Regional</w:t>
      </w:r>
      <w:r w:rsidRPr="00A06F1E">
        <w:t xml:space="preserve"> </w:t>
      </w:r>
      <w:r w:rsidR="005505A5" w:rsidRPr="00A06F1E">
        <w:t>s</w:t>
      </w:r>
      <w:r w:rsidRPr="00A06F1E">
        <w:t xml:space="preserve">chool </w:t>
      </w:r>
      <w:r w:rsidR="005505A5" w:rsidRPr="00A06F1E">
        <w:t>c</w:t>
      </w:r>
      <w:r w:rsidRPr="00A06F1E">
        <w:t xml:space="preserve">ommittee consists of </w:t>
      </w:r>
      <w:r w:rsidR="009844B3" w:rsidRPr="00A06F1E">
        <w:t xml:space="preserve">nine </w:t>
      </w:r>
      <w:r w:rsidRPr="00A06F1E">
        <w:t xml:space="preserve">members representing </w:t>
      </w:r>
      <w:r w:rsidR="007672C9" w:rsidRPr="00A06F1E">
        <w:t xml:space="preserve">the </w:t>
      </w:r>
      <w:r w:rsidRPr="00A06F1E">
        <w:t xml:space="preserve">four towns through a combination of members who are directly elected to the regional committee to serve three-year terms and members who are elected to a town school committee, and appointed by their colleagues to represent their town committee on the regional school committee. All three school committees have a role in overseeing the budget, operations, and policies of the schools within their respective towns and contribute to discussions of </w:t>
      </w:r>
      <w:r w:rsidR="00743912" w:rsidRPr="00A06F1E">
        <w:t xml:space="preserve">these same issues in </w:t>
      </w:r>
      <w:r w:rsidR="000D6A8E">
        <w:t>RCM &amp; SU 73</w:t>
      </w:r>
      <w:r w:rsidR="00743912" w:rsidRPr="00A06F1E">
        <w:t>.</w:t>
      </w:r>
    </w:p>
    <w:p w14:paraId="6ED2C320" w14:textId="313787C9" w:rsidR="005D046C" w:rsidRPr="00A06F1E" w:rsidRDefault="005D046C" w:rsidP="00CD3425"/>
    <w:p w14:paraId="7663BF7E" w14:textId="7FC495DB" w:rsidR="00CD3425" w:rsidRPr="00A06F1E" w:rsidRDefault="00CD3425" w:rsidP="00635306">
      <w:pPr>
        <w:pStyle w:val="BodyText"/>
      </w:pPr>
      <w:r w:rsidRPr="00F674D2">
        <w:lastRenderedPageBreak/>
        <w:t xml:space="preserve">The </w:t>
      </w:r>
      <w:r w:rsidR="00DF1C38" w:rsidRPr="00F674D2">
        <w:t>Mahar Regional</w:t>
      </w:r>
      <w:r w:rsidRPr="00F674D2">
        <w:t xml:space="preserve"> </w:t>
      </w:r>
      <w:r w:rsidR="00F7064A" w:rsidRPr="00F674D2">
        <w:t>s</w:t>
      </w:r>
      <w:r w:rsidRPr="00F674D2">
        <w:t xml:space="preserve">chool </w:t>
      </w:r>
      <w:r w:rsidR="00F7064A" w:rsidRPr="00F674D2">
        <w:t>c</w:t>
      </w:r>
      <w:r w:rsidRPr="00F674D2">
        <w:t>ommittee ha</w:t>
      </w:r>
      <w:r w:rsidRPr="00A06F1E">
        <w:t xml:space="preserve">s </w:t>
      </w:r>
      <w:r w:rsidR="009844B3" w:rsidRPr="00A06F1E">
        <w:t xml:space="preserve">nine </w:t>
      </w:r>
      <w:r w:rsidRPr="00A06F1E">
        <w:t xml:space="preserve">members from four towns: </w:t>
      </w:r>
      <w:r w:rsidR="00396D1B" w:rsidRPr="00A06F1E">
        <w:t xml:space="preserve">five </w:t>
      </w:r>
      <w:r w:rsidRPr="00A06F1E">
        <w:t xml:space="preserve">from Orange, two from </w:t>
      </w:r>
      <w:proofErr w:type="spellStart"/>
      <w:r w:rsidRPr="00A06F1E">
        <w:t>Petersham</w:t>
      </w:r>
      <w:proofErr w:type="spellEnd"/>
      <w:r w:rsidRPr="00A06F1E">
        <w:t xml:space="preserve">, one from New Salem, and one from Wendell. Orange and </w:t>
      </w:r>
      <w:proofErr w:type="spellStart"/>
      <w:r w:rsidRPr="00A06F1E">
        <w:t>Petersham</w:t>
      </w:r>
      <w:proofErr w:type="spellEnd"/>
      <w:r w:rsidRPr="00A06F1E">
        <w:t xml:space="preserve"> each have a local school committee overseeing the operations and policies of the elementary schools within their respective towns; </w:t>
      </w:r>
      <w:r w:rsidR="008C3740" w:rsidRPr="00A06F1E">
        <w:t xml:space="preserve">the </w:t>
      </w:r>
      <w:r w:rsidRPr="00A06F1E">
        <w:t xml:space="preserve">Orange </w:t>
      </w:r>
      <w:r w:rsidR="008C3740" w:rsidRPr="00A06F1E">
        <w:t xml:space="preserve">school committee </w:t>
      </w:r>
      <w:r w:rsidRPr="00A06F1E">
        <w:t xml:space="preserve">has five members, and </w:t>
      </w:r>
      <w:r w:rsidR="008C3740" w:rsidRPr="00A06F1E">
        <w:t>the</w:t>
      </w:r>
      <w:r w:rsidRPr="00A06F1E">
        <w:t xml:space="preserve"> </w:t>
      </w:r>
      <w:proofErr w:type="spellStart"/>
      <w:r w:rsidRPr="00A06F1E">
        <w:t>Petersham</w:t>
      </w:r>
      <w:proofErr w:type="spellEnd"/>
      <w:r w:rsidRPr="00A06F1E">
        <w:t xml:space="preserve"> </w:t>
      </w:r>
      <w:r w:rsidR="008C3740" w:rsidRPr="00A06F1E">
        <w:t xml:space="preserve">school committee </w:t>
      </w:r>
      <w:r w:rsidRPr="00A06F1E">
        <w:t xml:space="preserve">has three. </w:t>
      </w:r>
      <w:proofErr w:type="spellStart"/>
      <w:r w:rsidR="00A62774" w:rsidRPr="00A06F1E">
        <w:t>Petersham</w:t>
      </w:r>
      <w:r w:rsidR="00040362" w:rsidRPr="00A06F1E">
        <w:t>’</w:t>
      </w:r>
      <w:r w:rsidR="00A62774" w:rsidRPr="00A06F1E">
        <w:t>s</w:t>
      </w:r>
      <w:proofErr w:type="spellEnd"/>
      <w:r w:rsidR="00A62774" w:rsidRPr="00A06F1E">
        <w:t xml:space="preserve"> committee</w:t>
      </w:r>
      <w:r w:rsidRPr="00A06F1E">
        <w:t xml:space="preserve"> appoint</w:t>
      </w:r>
      <w:r w:rsidR="00A62774" w:rsidRPr="00A06F1E">
        <w:t>s</w:t>
      </w:r>
      <w:r w:rsidRPr="00A06F1E">
        <w:t xml:space="preserve"> one member to the regional school committee, </w:t>
      </w:r>
      <w:r w:rsidR="00B14ECB" w:rsidRPr="00A06F1E">
        <w:t>whereas</w:t>
      </w:r>
      <w:r w:rsidR="000F30BF" w:rsidRPr="00A06F1E">
        <w:t xml:space="preserve"> both </w:t>
      </w:r>
      <w:r w:rsidR="00BE318B" w:rsidRPr="00A06F1E">
        <w:t xml:space="preserve">the greater </w:t>
      </w:r>
      <w:r w:rsidR="000F30BF" w:rsidRPr="00A06F1E">
        <w:t xml:space="preserve">Orange and </w:t>
      </w:r>
      <w:proofErr w:type="spellStart"/>
      <w:r w:rsidR="000F30BF" w:rsidRPr="00A06F1E">
        <w:t>Petersham</w:t>
      </w:r>
      <w:proofErr w:type="spellEnd"/>
      <w:r w:rsidR="000F30BF" w:rsidRPr="00A06F1E">
        <w:t xml:space="preserve"> communities elect representatives to the regional committee, </w:t>
      </w:r>
      <w:r w:rsidRPr="00A06F1E">
        <w:t>providing local representation in the governance of the regional district. Elected members serve three-year terms, and appointed members serve one-year terms or until a successor is appointed. Vacancies are filled by the town moderator from a list of nominees for elected members and by the local school committee for appointed members.</w:t>
      </w:r>
    </w:p>
    <w:p w14:paraId="6BB6413A" w14:textId="33B5FCF4" w:rsidR="00CD3425" w:rsidRPr="00A06F1E" w:rsidRDefault="00CD3425" w:rsidP="00635306">
      <w:pPr>
        <w:pStyle w:val="BodyText"/>
      </w:pPr>
      <w:r w:rsidRPr="00A06F1E">
        <w:t xml:space="preserve">During focus groups, the superintendent and school committee members </w:t>
      </w:r>
      <w:r w:rsidR="00D75BE3" w:rsidRPr="00A06F1E">
        <w:t xml:space="preserve">consistently </w:t>
      </w:r>
      <w:r w:rsidRPr="00A06F1E">
        <w:t xml:space="preserve">cited the Massachusetts Association of School Committees to clarify the roles and responsibilities of a school committee. One </w:t>
      </w:r>
      <w:proofErr w:type="spellStart"/>
      <w:r w:rsidR="00F371C8" w:rsidRPr="00A06F1E">
        <w:t>Petersham</w:t>
      </w:r>
      <w:proofErr w:type="spellEnd"/>
      <w:r w:rsidRPr="00A06F1E">
        <w:t xml:space="preserve"> school committee member stated, </w:t>
      </w:r>
      <w:r w:rsidR="00040362" w:rsidRPr="00A06F1E">
        <w:t>“</w:t>
      </w:r>
      <w:r w:rsidRPr="00A06F1E">
        <w:t>[Our role] is to set policy, establish the budget, and then hire and evaluate the superintendent,</w:t>
      </w:r>
      <w:r w:rsidR="00040362" w:rsidRPr="00A06F1E">
        <w:t>”</w:t>
      </w:r>
      <w:r w:rsidRPr="00A06F1E">
        <w:t xml:space="preserve"> with which others concurred. To fulfill these roles, </w:t>
      </w:r>
      <w:r w:rsidR="00584742" w:rsidRPr="00A06F1E">
        <w:t>each</w:t>
      </w:r>
      <w:r w:rsidRPr="00A06F1E">
        <w:t xml:space="preserve"> committee has several subcommittees.</w:t>
      </w:r>
    </w:p>
    <w:p w14:paraId="49F14308" w14:textId="47D23FFB" w:rsidR="00CD3425" w:rsidRPr="00A06F1E" w:rsidRDefault="00CD3425" w:rsidP="00635306">
      <w:pPr>
        <w:pStyle w:val="BodyText"/>
      </w:pPr>
      <w:r w:rsidRPr="00A06F1E">
        <w:t xml:space="preserve">The superintendent </w:t>
      </w:r>
      <w:r w:rsidR="00E30C10" w:rsidRPr="00A06F1E">
        <w:t xml:space="preserve">discussed </w:t>
      </w:r>
      <w:r w:rsidRPr="00A06F1E">
        <w:t xml:space="preserve">the role of subcommittees in the governance process, stating, </w:t>
      </w:r>
      <w:r w:rsidR="00040362" w:rsidRPr="00A06F1E">
        <w:t>“</w:t>
      </w:r>
      <w:r w:rsidRPr="00A06F1E">
        <w:t>The real work is done in the subcommittees.</w:t>
      </w:r>
      <w:r w:rsidR="00040362" w:rsidRPr="00A06F1E">
        <w:t>”</w:t>
      </w:r>
      <w:r w:rsidRPr="00A06F1E">
        <w:t xml:space="preserve"> Each subcommittee has a specific focus: </w:t>
      </w:r>
      <w:r w:rsidR="005B5898" w:rsidRPr="00A06F1E">
        <w:t>T</w:t>
      </w:r>
      <w:r w:rsidRPr="00A06F1E">
        <w:t>he Resources and Capacity subcommittee handles financial matters and oversees budget development and resource allocation; the Communications and Policy subcommittee is responsible for reviewing and updating school policies as well as managing communication and outreach efforts; and the Leadership, Accountability, and Measurement (LAM) subcommittee, which includes members from all three districts, is responsible for evaluating the superintendent.</w:t>
      </w:r>
    </w:p>
    <w:p w14:paraId="47A57893" w14:textId="06CDC3D5" w:rsidR="00CD3425" w:rsidRPr="00F674D2" w:rsidRDefault="00CB0A4E" w:rsidP="00635306">
      <w:pPr>
        <w:pStyle w:val="BodyText"/>
      </w:pPr>
      <w:r w:rsidRPr="00A06F1E">
        <w:t xml:space="preserve">As designed, the evaluation process </w:t>
      </w:r>
      <w:r w:rsidR="00873C9A" w:rsidRPr="00A06F1E">
        <w:t>gather</w:t>
      </w:r>
      <w:r w:rsidR="00D12656" w:rsidRPr="00A06F1E">
        <w:t>s</w:t>
      </w:r>
      <w:r w:rsidR="00873C9A" w:rsidRPr="00A06F1E">
        <w:t xml:space="preserve"> input from</w:t>
      </w:r>
      <w:r w:rsidR="008D66A2" w:rsidRPr="00A06F1E">
        <w:t xml:space="preserve"> all relevant stakeholders across multiple communities in </w:t>
      </w:r>
      <w:r w:rsidR="000D6A8E">
        <w:t>RCM &amp; SU 73</w:t>
      </w:r>
      <w:r w:rsidR="008D66A2" w:rsidRPr="00A06F1E">
        <w:t xml:space="preserve">. </w:t>
      </w:r>
      <w:r w:rsidR="005523FD" w:rsidRPr="00A06F1E">
        <w:t xml:space="preserve">All school committee members from </w:t>
      </w:r>
      <w:r w:rsidR="00DF1C38" w:rsidRPr="00A06F1E">
        <w:t>Mahar Regional</w:t>
      </w:r>
      <w:r w:rsidR="005523FD" w:rsidRPr="00A06F1E">
        <w:t xml:space="preserve">, </w:t>
      </w:r>
      <w:r w:rsidR="00CF4F71">
        <w:t>Fisher Hill</w:t>
      </w:r>
      <w:r w:rsidR="005523FD" w:rsidRPr="00A06F1E">
        <w:t xml:space="preserve">, and </w:t>
      </w:r>
      <w:proofErr w:type="spellStart"/>
      <w:r w:rsidR="00652B48">
        <w:t>Petersham</w:t>
      </w:r>
      <w:proofErr w:type="spellEnd"/>
      <w:r w:rsidR="00652B48">
        <w:t xml:space="preserve"> Center</w:t>
      </w:r>
      <w:r w:rsidR="005523FD" w:rsidRPr="00A06F1E">
        <w:t xml:space="preserve"> participate in the evaluation process by completing </w:t>
      </w:r>
      <w:r w:rsidR="008C141E">
        <w:t xml:space="preserve">a </w:t>
      </w:r>
      <w:r w:rsidR="005523FD" w:rsidRPr="00A06F1E">
        <w:t>survey designed to gather detailed input on the superintendent</w:t>
      </w:r>
      <w:r w:rsidR="00040362" w:rsidRPr="00A06F1E">
        <w:t>’</w:t>
      </w:r>
      <w:r w:rsidR="005523FD" w:rsidRPr="00A06F1E">
        <w:t>s performance</w:t>
      </w:r>
      <w:r w:rsidR="00A17097" w:rsidRPr="00A06F1E">
        <w:t>, in addition to information gathered by the LAM</w:t>
      </w:r>
      <w:r w:rsidR="003B034F">
        <w:t xml:space="preserve"> subcommittee</w:t>
      </w:r>
      <w:r w:rsidR="005523FD" w:rsidRPr="00A06F1E">
        <w:t xml:space="preserve">. </w:t>
      </w:r>
      <w:r w:rsidR="00CD3425" w:rsidRPr="00A06F1E">
        <w:t xml:space="preserve">The LAM subcommittee administers </w:t>
      </w:r>
      <w:r w:rsidR="00261205" w:rsidRPr="00A06F1E">
        <w:t>the survey</w:t>
      </w:r>
      <w:r w:rsidR="00342FE7">
        <w:t>, which</w:t>
      </w:r>
      <w:r w:rsidR="00261205" w:rsidRPr="00A06F1E">
        <w:t xml:space="preserve"> </w:t>
      </w:r>
      <w:r w:rsidR="00342FE7" w:rsidRPr="00A06F1E">
        <w:t>that focuses on the superintendent’s goals and relevant indicators</w:t>
      </w:r>
      <w:r w:rsidR="00A14CB6">
        <w:t xml:space="preserve">, </w:t>
      </w:r>
      <w:r w:rsidR="00CD3425" w:rsidRPr="00A06F1E">
        <w:t>and compiles the results from all school committee members</w:t>
      </w:r>
      <w:r w:rsidR="00A14CB6">
        <w:t xml:space="preserve"> within two weeks</w:t>
      </w:r>
      <w:r w:rsidR="00CD3425" w:rsidRPr="00A06F1E">
        <w:t xml:space="preserve">. The report is then presented to the school committee members for review and </w:t>
      </w:r>
      <w:r w:rsidR="00E570FE" w:rsidRPr="00A06F1E">
        <w:t xml:space="preserve">a </w:t>
      </w:r>
      <w:r w:rsidR="00CD3425" w:rsidRPr="00A06F1E">
        <w:t>vote</w:t>
      </w:r>
      <w:r w:rsidR="00E635DD" w:rsidRPr="00A06F1E">
        <w:t xml:space="preserve"> and </w:t>
      </w:r>
      <w:r w:rsidR="00E570FE" w:rsidRPr="00A06F1E">
        <w:t xml:space="preserve">is </w:t>
      </w:r>
      <w:r w:rsidR="00E635DD" w:rsidRPr="00A06F1E">
        <w:t>sent to DESE after approval</w:t>
      </w:r>
      <w:r w:rsidR="00CD3425" w:rsidRPr="00A06F1E">
        <w:t xml:space="preserve">. </w:t>
      </w:r>
    </w:p>
    <w:p w14:paraId="320F841B" w14:textId="58B234D7" w:rsidR="00CD3425" w:rsidRPr="00A06F1E" w:rsidRDefault="00CD3425" w:rsidP="00635306">
      <w:pPr>
        <w:pStyle w:val="BodyText"/>
        <w:rPr>
          <w:spacing w:val="-4"/>
        </w:rPr>
      </w:pPr>
      <w:r w:rsidRPr="00F674D2">
        <w:rPr>
          <w:spacing w:val="-4"/>
        </w:rPr>
        <w:t xml:space="preserve">However, </w:t>
      </w:r>
      <w:r w:rsidR="000D6A8E">
        <w:rPr>
          <w:spacing w:val="-4"/>
        </w:rPr>
        <w:t>RCM &amp; SU 73</w:t>
      </w:r>
      <w:r w:rsidR="00040362" w:rsidRPr="00F674D2">
        <w:rPr>
          <w:spacing w:val="-4"/>
        </w:rPr>
        <w:t>’</w:t>
      </w:r>
      <w:r w:rsidRPr="00F674D2">
        <w:rPr>
          <w:spacing w:val="-4"/>
        </w:rPr>
        <w:t>s evaluation process for the superintendent has faced several administrative challenges</w:t>
      </w:r>
      <w:r w:rsidR="00FF11A2" w:rsidRPr="00F674D2">
        <w:rPr>
          <w:spacing w:val="-4"/>
        </w:rPr>
        <w:t xml:space="preserve"> and low </w:t>
      </w:r>
      <w:r w:rsidR="001E4046" w:rsidRPr="00F674D2">
        <w:rPr>
          <w:spacing w:val="-4"/>
        </w:rPr>
        <w:t>engagement</w:t>
      </w:r>
      <w:r w:rsidRPr="00F674D2">
        <w:rPr>
          <w:spacing w:val="-4"/>
        </w:rPr>
        <w:t xml:space="preserve">. </w:t>
      </w:r>
      <w:r w:rsidR="00023465" w:rsidRPr="00F674D2">
        <w:rPr>
          <w:spacing w:val="-4"/>
        </w:rPr>
        <w:t>T</w:t>
      </w:r>
      <w:r w:rsidRPr="00F674D2">
        <w:rPr>
          <w:spacing w:val="-4"/>
        </w:rPr>
        <w:t xml:space="preserve">he </w:t>
      </w:r>
      <w:r w:rsidR="00A14CB6">
        <w:rPr>
          <w:spacing w:val="-4"/>
        </w:rPr>
        <w:t>LAM</w:t>
      </w:r>
      <w:r w:rsidR="00A14CB6" w:rsidRPr="00F674D2">
        <w:rPr>
          <w:spacing w:val="-4"/>
        </w:rPr>
        <w:t xml:space="preserve"> </w:t>
      </w:r>
      <w:r w:rsidRPr="00F674D2">
        <w:rPr>
          <w:spacing w:val="-4"/>
        </w:rPr>
        <w:t xml:space="preserve">subcommittee </w:t>
      </w:r>
      <w:r w:rsidR="00AF2E7A" w:rsidRPr="00F674D2">
        <w:rPr>
          <w:spacing w:val="-4"/>
        </w:rPr>
        <w:t>had difficulty</w:t>
      </w:r>
      <w:r w:rsidRPr="00F674D2">
        <w:rPr>
          <w:spacing w:val="-4"/>
        </w:rPr>
        <w:t xml:space="preserve"> schedul</w:t>
      </w:r>
      <w:r w:rsidR="00AF2E7A" w:rsidRPr="00F674D2">
        <w:rPr>
          <w:spacing w:val="-4"/>
        </w:rPr>
        <w:t>ing</w:t>
      </w:r>
      <w:r w:rsidRPr="00F674D2">
        <w:rPr>
          <w:spacing w:val="-4"/>
        </w:rPr>
        <w:t xml:space="preserve"> meetings because </w:t>
      </w:r>
      <w:r w:rsidR="00E635DD" w:rsidRPr="00F674D2">
        <w:rPr>
          <w:spacing w:val="-4"/>
        </w:rPr>
        <w:t xml:space="preserve">the </w:t>
      </w:r>
      <w:r w:rsidRPr="00F674D2">
        <w:rPr>
          <w:spacing w:val="-4"/>
        </w:rPr>
        <w:t>committee</w:t>
      </w:r>
      <w:r w:rsidR="00E635DD" w:rsidRPr="00F674D2">
        <w:rPr>
          <w:spacing w:val="-4"/>
        </w:rPr>
        <w:t>s struggled to a</w:t>
      </w:r>
      <w:r w:rsidR="00F33759" w:rsidRPr="00F674D2">
        <w:rPr>
          <w:spacing w:val="-4"/>
        </w:rPr>
        <w:t>ssemble enough</w:t>
      </w:r>
      <w:r w:rsidRPr="00F674D2">
        <w:rPr>
          <w:spacing w:val="-4"/>
        </w:rPr>
        <w:t xml:space="preserve"> members to form a</w:t>
      </w:r>
      <w:r w:rsidRPr="00A06F1E">
        <w:rPr>
          <w:spacing w:val="-4"/>
        </w:rPr>
        <w:t xml:space="preserve"> quorum. This resulted in no meetings for about a year and a half</w:t>
      </w:r>
      <w:r w:rsidR="00722145" w:rsidRPr="00A06F1E">
        <w:rPr>
          <w:spacing w:val="-4"/>
        </w:rPr>
        <w:t xml:space="preserve">, according to </w:t>
      </w:r>
      <w:r w:rsidR="00636837" w:rsidRPr="00A06F1E">
        <w:rPr>
          <w:spacing w:val="-4"/>
        </w:rPr>
        <w:t>interview participants</w:t>
      </w:r>
      <w:r w:rsidRPr="00A06F1E">
        <w:rPr>
          <w:spacing w:val="-4"/>
        </w:rPr>
        <w:t xml:space="preserve">. As one </w:t>
      </w:r>
      <w:r w:rsidR="00DF1C38" w:rsidRPr="00A06F1E">
        <w:rPr>
          <w:spacing w:val="-4"/>
        </w:rPr>
        <w:t>Mahar Regional</w:t>
      </w:r>
      <w:r w:rsidRPr="00A06F1E">
        <w:rPr>
          <w:spacing w:val="-4"/>
        </w:rPr>
        <w:t xml:space="preserve"> school committee member noted, </w:t>
      </w:r>
      <w:r w:rsidR="00040362" w:rsidRPr="00A06F1E">
        <w:rPr>
          <w:spacing w:val="-4"/>
        </w:rPr>
        <w:t>“</w:t>
      </w:r>
      <w:r w:rsidRPr="00A06F1E">
        <w:rPr>
          <w:spacing w:val="-4"/>
        </w:rPr>
        <w:t>We had a number of years where, given the committee</w:t>
      </w:r>
      <w:r w:rsidR="00040362" w:rsidRPr="00A06F1E">
        <w:rPr>
          <w:spacing w:val="-4"/>
        </w:rPr>
        <w:t>’</w:t>
      </w:r>
      <w:r w:rsidRPr="00A06F1E">
        <w:rPr>
          <w:spacing w:val="-4"/>
        </w:rPr>
        <w:t>s makeup, everybody had to be there for it to be a quorum. And we could never get everybody to agree even to a date.</w:t>
      </w:r>
      <w:r w:rsidR="00040362" w:rsidRPr="00A06F1E">
        <w:rPr>
          <w:spacing w:val="-4"/>
        </w:rPr>
        <w:t>”</w:t>
      </w:r>
      <w:r w:rsidRPr="00A06F1E">
        <w:rPr>
          <w:spacing w:val="-4"/>
        </w:rPr>
        <w:t xml:space="preserve"> </w:t>
      </w:r>
      <w:r w:rsidR="00BC34E0" w:rsidRPr="00A06F1E">
        <w:rPr>
          <w:spacing w:val="-4"/>
        </w:rPr>
        <w:t>In addition</w:t>
      </w:r>
      <w:r w:rsidRPr="00A06F1E">
        <w:rPr>
          <w:spacing w:val="-4"/>
        </w:rPr>
        <w:t>, the survey conducted as part of the evaluation faced issues such as a lack of oversight by the school committee</w:t>
      </w:r>
      <w:r w:rsidR="00B6308F" w:rsidRPr="00A06F1E">
        <w:rPr>
          <w:spacing w:val="-4"/>
        </w:rPr>
        <w:t>, insufficient responses,</w:t>
      </w:r>
      <w:r w:rsidRPr="00A06F1E">
        <w:rPr>
          <w:spacing w:val="-4"/>
        </w:rPr>
        <w:t xml:space="preserve"> and failure to identify respondents, resulting in insufficient and unusable data. One school committee member </w:t>
      </w:r>
      <w:r w:rsidR="00F371C8" w:rsidRPr="00A06F1E">
        <w:rPr>
          <w:spacing w:val="-4"/>
        </w:rPr>
        <w:t xml:space="preserve">from </w:t>
      </w:r>
      <w:r w:rsidR="00DF1C38" w:rsidRPr="00A06F1E">
        <w:rPr>
          <w:spacing w:val="-4"/>
        </w:rPr>
        <w:t>Mahar Regional</w:t>
      </w:r>
      <w:r w:rsidRPr="00A06F1E">
        <w:rPr>
          <w:spacing w:val="-4"/>
        </w:rPr>
        <w:t xml:space="preserve"> said,</w:t>
      </w:r>
    </w:p>
    <w:p w14:paraId="184BDE72" w14:textId="4CDBD475" w:rsidR="00CD3425" w:rsidRPr="00A06F1E" w:rsidRDefault="00CD3425" w:rsidP="00635306">
      <w:pPr>
        <w:pStyle w:val="BlockQuote"/>
      </w:pPr>
      <w:r w:rsidRPr="00A06F1E">
        <w:t>The problem was that [the survey] did not identify the person filling it out</w:t>
      </w:r>
      <w:r w:rsidR="00BC34E0" w:rsidRPr="00A06F1E">
        <w:t>. . . .</w:t>
      </w:r>
      <w:r w:rsidRPr="00A06F1E">
        <w:t xml:space="preserve"> And then we only got the numbers that we got returned were less than half of the numbers of people. In </w:t>
      </w:r>
      <w:r w:rsidRPr="00A06F1E">
        <w:lastRenderedPageBreak/>
        <w:t>the past, just that [LAM] subcommittee had done the evaluation, but we decided it was time to expand it</w:t>
      </w:r>
      <w:r w:rsidR="00BC34E0" w:rsidRPr="00A06F1E">
        <w:t>. . . .</w:t>
      </w:r>
      <w:r w:rsidRPr="00A06F1E">
        <w:t xml:space="preserve"> We thought it was necessary for everybody to get involved with that. But we didn</w:t>
      </w:r>
      <w:r w:rsidR="00040362" w:rsidRPr="00A06F1E">
        <w:t>’</w:t>
      </w:r>
      <w:r w:rsidRPr="00A06F1E">
        <w:t xml:space="preserve">t get even half of the people to respond. </w:t>
      </w:r>
      <w:r w:rsidR="00602B38" w:rsidRPr="00A06F1E">
        <w:t>[And]</w:t>
      </w:r>
      <w:r w:rsidRPr="00A06F1E">
        <w:t xml:space="preserve"> </w:t>
      </w:r>
      <w:r w:rsidR="00BC34E0" w:rsidRPr="00A06F1E">
        <w:t>w</w:t>
      </w:r>
      <w:r w:rsidRPr="00A06F1E">
        <w:t>e didn</w:t>
      </w:r>
      <w:r w:rsidR="00040362" w:rsidRPr="00A06F1E">
        <w:t>’</w:t>
      </w:r>
      <w:r w:rsidRPr="00A06F1E">
        <w:t>t know who they were.</w:t>
      </w:r>
    </w:p>
    <w:p w14:paraId="488A7F44" w14:textId="28727328" w:rsidR="00B352B1" w:rsidRPr="00A06F1E" w:rsidRDefault="00BA567D" w:rsidP="00635306">
      <w:pPr>
        <w:pStyle w:val="BodyText"/>
      </w:pPr>
      <w:r w:rsidRPr="00A06F1E">
        <w:t xml:space="preserve">Describing </w:t>
      </w:r>
      <w:r w:rsidR="52CFC2E4" w:rsidRPr="00A06F1E">
        <w:t xml:space="preserve">the </w:t>
      </w:r>
      <w:r w:rsidR="00B44F9B" w:rsidRPr="00A06F1E">
        <w:t>insufficient survey response</w:t>
      </w:r>
      <w:r w:rsidR="375BBCEE" w:rsidRPr="00A06F1E">
        <w:t xml:space="preserve"> rate</w:t>
      </w:r>
      <w:r w:rsidR="00B44F9B" w:rsidRPr="00A06F1E">
        <w:t>, t</w:t>
      </w:r>
      <w:r w:rsidR="00B352B1" w:rsidRPr="00A06F1E">
        <w:t xml:space="preserve">he superintendent added, </w:t>
      </w:r>
      <w:r w:rsidR="00040362" w:rsidRPr="00A06F1E">
        <w:t>“</w:t>
      </w:r>
      <w:r w:rsidR="00B352B1" w:rsidRPr="00A06F1E">
        <w:t>The survey went out, and out of 17 school committee members</w:t>
      </w:r>
      <w:r w:rsidR="0099285E" w:rsidRPr="00A06F1E">
        <w:t xml:space="preserve"> [across three committees </w:t>
      </w:r>
      <w:r w:rsidR="00F16A6C" w:rsidRPr="00A06F1E">
        <w:t>that</w:t>
      </w:r>
      <w:r w:rsidR="0099285E" w:rsidRPr="00A06F1E">
        <w:t xml:space="preserve"> were eligible to respond]</w:t>
      </w:r>
      <w:r w:rsidR="00B352B1" w:rsidRPr="00A06F1E">
        <w:t>, four evaluated me. They sent the survey out again, and now you had six people</w:t>
      </w:r>
      <w:r w:rsidR="005B6116" w:rsidRPr="00A06F1E">
        <w:t>—the same four plus two more.</w:t>
      </w:r>
      <w:r w:rsidR="00040362" w:rsidRPr="00A06F1E">
        <w:t>”</w:t>
      </w:r>
    </w:p>
    <w:p w14:paraId="1288C33B" w14:textId="05B08B37" w:rsidR="006C1DC9" w:rsidRPr="00A06F1E" w:rsidRDefault="00CD3425" w:rsidP="00635306">
      <w:pPr>
        <w:pStyle w:val="BodyText"/>
      </w:pPr>
      <w:r w:rsidRPr="00A06F1E">
        <w:t xml:space="preserve">Furthermore, </w:t>
      </w:r>
      <w:r w:rsidR="007411E4">
        <w:t xml:space="preserve">most </w:t>
      </w:r>
      <w:r w:rsidRPr="00A06F1E">
        <w:t xml:space="preserve">members across </w:t>
      </w:r>
      <w:r w:rsidR="000E3689" w:rsidRPr="00A06F1E">
        <w:t>committees agree</w:t>
      </w:r>
      <w:r w:rsidR="007411E4">
        <w:t>d</w:t>
      </w:r>
      <w:r w:rsidR="000E3689" w:rsidRPr="00A06F1E">
        <w:t xml:space="preserve"> </w:t>
      </w:r>
      <w:r w:rsidR="006C031F" w:rsidRPr="00A06F1E">
        <w:t xml:space="preserve">that </w:t>
      </w:r>
      <w:r w:rsidR="000E3689" w:rsidRPr="00A06F1E">
        <w:t xml:space="preserve">they </w:t>
      </w:r>
      <w:r w:rsidR="007411E4">
        <w:t>did not have</w:t>
      </w:r>
      <w:r w:rsidRPr="00A06F1E">
        <w:t xml:space="preserve"> much input on the criteria used to evaluate the superintendent. One </w:t>
      </w:r>
      <w:r w:rsidR="00CF4F71">
        <w:t>Fisher Hill</w:t>
      </w:r>
      <w:r w:rsidR="00382875" w:rsidRPr="00A06F1E">
        <w:t xml:space="preserve"> </w:t>
      </w:r>
      <w:r w:rsidRPr="00A06F1E">
        <w:t>school committee member shared,</w:t>
      </w:r>
    </w:p>
    <w:p w14:paraId="1B867737" w14:textId="7066B752" w:rsidR="00CD3425" w:rsidRDefault="00CD3425" w:rsidP="00635306">
      <w:pPr>
        <w:pStyle w:val="BlockQuote"/>
      </w:pPr>
      <w:r w:rsidRPr="00A06F1E">
        <w:t xml:space="preserve">My understanding of the process is that the superintendent proposed which measures and indicators she would </w:t>
      </w:r>
      <w:bookmarkStart w:id="28" w:name="_Int_ObiItWje"/>
      <w:r w:rsidRPr="00A06F1E">
        <w:t>be evaluated</w:t>
      </w:r>
      <w:bookmarkEnd w:id="28"/>
      <w:r w:rsidRPr="00A06F1E">
        <w:t xml:space="preserve"> on to the [LAM] subcommittee. Then they can make a counter proposal</w:t>
      </w:r>
      <w:r w:rsidR="00C11C3A" w:rsidRPr="00A06F1E">
        <w:t>. . . .</w:t>
      </w:r>
      <w:r w:rsidRPr="00A06F1E">
        <w:t xml:space="preserve"> Right now, most of the people evaluating the superintendent don</w:t>
      </w:r>
      <w:r w:rsidR="00040362" w:rsidRPr="00A06F1E">
        <w:t>’</w:t>
      </w:r>
      <w:r w:rsidRPr="00A06F1E">
        <w:t xml:space="preserve">t </w:t>
      </w:r>
      <w:r w:rsidRPr="00F674D2">
        <w:t>have much input on what she is being evaluated on.</w:t>
      </w:r>
    </w:p>
    <w:p w14:paraId="628AC1F7" w14:textId="77777777" w:rsidR="00035B48" w:rsidRDefault="00035B48" w:rsidP="00035B48">
      <w:pPr>
        <w:pStyle w:val="BlockQuote"/>
        <w:ind w:left="0"/>
      </w:pPr>
    </w:p>
    <w:p w14:paraId="64B33E13" w14:textId="2C92E902" w:rsidR="00035B48" w:rsidRPr="00F674D2" w:rsidRDefault="007E445E" w:rsidP="00035B48">
      <w:pPr>
        <w:pStyle w:val="BlockQuote"/>
        <w:ind w:left="0"/>
      </w:pPr>
      <w:r>
        <w:t xml:space="preserve">Taken together, these factors related to </w:t>
      </w:r>
      <w:r w:rsidR="00A05A8B">
        <w:t xml:space="preserve">participation, timeline, and stakeholder involvement impact the district’s ability to conduct a regular, </w:t>
      </w:r>
      <w:r w:rsidR="0026147D">
        <w:t>thorough evaluation of the superintendent, making this</w:t>
      </w:r>
      <w:r>
        <w:t xml:space="preserve"> </w:t>
      </w:r>
      <w:r w:rsidR="00035B48">
        <w:t>an area for growth</w:t>
      </w:r>
      <w:r w:rsidR="00092D6C">
        <w:t xml:space="preserve"> for </w:t>
      </w:r>
      <w:r w:rsidR="000D6A8E">
        <w:t>RCM &amp; SU 73</w:t>
      </w:r>
      <w:r w:rsidR="00035B48">
        <w:t>.</w:t>
      </w:r>
    </w:p>
    <w:p w14:paraId="3066B39A" w14:textId="20F73E6C" w:rsidR="00931F42" w:rsidRDefault="009A7891" w:rsidP="00635306">
      <w:pPr>
        <w:pStyle w:val="BodyText"/>
      </w:pPr>
      <w:r w:rsidRPr="00F674D2">
        <w:t xml:space="preserve">In separate focus groups, central office staff and representatives from the three school committees described </w:t>
      </w:r>
      <w:r w:rsidR="008D2A48" w:rsidRPr="00F674D2">
        <w:t>the</w:t>
      </w:r>
      <w:r w:rsidR="008D2A48">
        <w:t>ir</w:t>
      </w:r>
      <w:r w:rsidRPr="00F674D2">
        <w:t xml:space="preserve"> governance relationship </w:t>
      </w:r>
      <w:r w:rsidR="00B3721D">
        <w:t xml:space="preserve">with </w:t>
      </w:r>
      <w:r w:rsidRPr="00F674D2">
        <w:t>the superintendent</w:t>
      </w:r>
      <w:r w:rsidRPr="00A06F1E">
        <w:t xml:space="preserve"> as </w:t>
      </w:r>
      <w:r w:rsidR="0009158E" w:rsidRPr="00A06F1E">
        <w:t xml:space="preserve">often productive but also sometimes challenging and complex. </w:t>
      </w:r>
      <w:r w:rsidR="00B51C19" w:rsidRPr="00A06F1E">
        <w:t>P</w:t>
      </w:r>
      <w:r w:rsidR="00CD3425" w:rsidRPr="00A06F1E">
        <w:t xml:space="preserve">articipants </w:t>
      </w:r>
      <w:r w:rsidR="00D819FD">
        <w:t>from</w:t>
      </w:r>
      <w:r w:rsidR="00D819FD" w:rsidRPr="00A06F1E">
        <w:t xml:space="preserve"> </w:t>
      </w:r>
      <w:r w:rsidR="00CD3425" w:rsidRPr="00A06F1E">
        <w:t>one school committee described their relationship with the superintendent as collaborative and transparent. They appreciate</w:t>
      </w:r>
      <w:r w:rsidR="6B820C5A" w:rsidRPr="00A06F1E">
        <w:t>d</w:t>
      </w:r>
      <w:r w:rsidR="00CD3425" w:rsidRPr="00A06F1E">
        <w:t xml:space="preserve"> the superintendent</w:t>
      </w:r>
      <w:r w:rsidR="00040362" w:rsidRPr="00A06F1E">
        <w:t>’</w:t>
      </w:r>
      <w:r w:rsidR="00CD3425" w:rsidRPr="00A06F1E">
        <w:t xml:space="preserve">s </w:t>
      </w:r>
      <w:r w:rsidR="003874D2">
        <w:t xml:space="preserve">efforts </w:t>
      </w:r>
      <w:r w:rsidR="00CD3425" w:rsidRPr="00A06F1E">
        <w:t>in setting meeting agenda</w:t>
      </w:r>
      <w:r w:rsidR="00790C47">
        <w:t>s</w:t>
      </w:r>
      <w:r w:rsidR="00CD3425" w:rsidRPr="00A06F1E">
        <w:t xml:space="preserve"> and provid</w:t>
      </w:r>
      <w:r w:rsidR="00B31D81">
        <w:t>ing</w:t>
      </w:r>
      <w:r w:rsidR="006C1DC9" w:rsidRPr="00A06F1E">
        <w:t xml:space="preserve"> </w:t>
      </w:r>
      <w:r w:rsidR="00CD3425" w:rsidRPr="00A06F1E">
        <w:t xml:space="preserve">detailed </w:t>
      </w:r>
      <w:r w:rsidR="00040362" w:rsidRPr="00A06F1E">
        <w:t>“</w:t>
      </w:r>
      <w:r w:rsidR="00CD3425" w:rsidRPr="00A06F1E">
        <w:t>cliff notes</w:t>
      </w:r>
      <w:r w:rsidR="00040362" w:rsidRPr="00A06F1E">
        <w:t>”</w:t>
      </w:r>
      <w:r w:rsidR="00CD3425" w:rsidRPr="00A06F1E">
        <w:t xml:space="preserve"> that </w:t>
      </w:r>
      <w:r w:rsidR="00B31D81">
        <w:t xml:space="preserve">guided </w:t>
      </w:r>
      <w:r w:rsidR="000940F5">
        <w:t xml:space="preserve">discussions and </w:t>
      </w:r>
      <w:r w:rsidR="00247EDE">
        <w:t>reduced</w:t>
      </w:r>
      <w:r w:rsidR="00247EDE" w:rsidRPr="00A06F1E">
        <w:t xml:space="preserve"> </w:t>
      </w:r>
      <w:r w:rsidR="00CD3425" w:rsidRPr="00A06F1E">
        <w:t xml:space="preserve">unexpected issues. </w:t>
      </w:r>
      <w:r w:rsidR="00040362" w:rsidRPr="00A06F1E">
        <w:t>“</w:t>
      </w:r>
      <w:r w:rsidR="00CD3425" w:rsidRPr="00A06F1E">
        <w:t>I found that to be very helpful,</w:t>
      </w:r>
      <w:r w:rsidR="00040362" w:rsidRPr="00A06F1E">
        <w:t>”</w:t>
      </w:r>
      <w:r w:rsidR="00CD3425" w:rsidRPr="00A06F1E">
        <w:t xml:space="preserve"> said one participant. Another participant added, </w:t>
      </w:r>
      <w:r w:rsidR="00040362" w:rsidRPr="00A06F1E">
        <w:t>“</w:t>
      </w:r>
      <w:r w:rsidR="00CD3425" w:rsidRPr="00A06F1E">
        <w:t>She</w:t>
      </w:r>
      <w:r w:rsidR="00040362" w:rsidRPr="00A06F1E">
        <w:t>’</w:t>
      </w:r>
      <w:r w:rsidR="00CD3425" w:rsidRPr="00A06F1E">
        <w:t>ll also call us</w:t>
      </w:r>
      <w:r w:rsidR="002D1E1E" w:rsidRPr="00A06F1E">
        <w:t>. . . .</w:t>
      </w:r>
      <w:r w:rsidR="00CD3425" w:rsidRPr="00A06F1E">
        <w:t xml:space="preserve"> I will get calls sometimes if an issue has come up,</w:t>
      </w:r>
      <w:r w:rsidR="00040362" w:rsidRPr="00A06F1E">
        <w:t>”</w:t>
      </w:r>
      <w:r w:rsidR="00CD3425" w:rsidRPr="00A06F1E">
        <w:t xml:space="preserve"> suggesting that the superintendent maintains proactive communication and makes an effort to keep the school committee well</w:t>
      </w:r>
      <w:r w:rsidR="002D1E1E" w:rsidRPr="00A06F1E">
        <w:t xml:space="preserve"> </w:t>
      </w:r>
      <w:r w:rsidR="00CD3425" w:rsidRPr="00A06F1E">
        <w:t xml:space="preserve">informed. </w:t>
      </w:r>
    </w:p>
    <w:p w14:paraId="59BE58DB" w14:textId="2D3EFE9E" w:rsidR="00CD3425" w:rsidRPr="00F674D2" w:rsidRDefault="00CD3425" w:rsidP="00635306">
      <w:pPr>
        <w:pStyle w:val="BodyText"/>
      </w:pPr>
      <w:r w:rsidRPr="00A06F1E">
        <w:t xml:space="preserve">During another focus group, </w:t>
      </w:r>
      <w:r w:rsidR="00F371C8" w:rsidRPr="00A06F1E">
        <w:t>a</w:t>
      </w:r>
      <w:r w:rsidR="00690577">
        <w:t>nother</w:t>
      </w:r>
      <w:r w:rsidR="00F371C8" w:rsidRPr="00A06F1E">
        <w:t xml:space="preserve"> </w:t>
      </w:r>
      <w:r w:rsidRPr="00A06F1E">
        <w:t xml:space="preserve">school committee </w:t>
      </w:r>
      <w:r w:rsidR="00DA57DD" w:rsidRPr="00A06F1E">
        <w:t>member</w:t>
      </w:r>
      <w:r w:rsidRPr="00A06F1E">
        <w:t xml:space="preserve"> reported an improved relationship with the superintendent, citing increased trust despite initial challenges. As one member noted</w:t>
      </w:r>
      <w:r w:rsidR="001338A6" w:rsidRPr="00A06F1E">
        <w:t>,</w:t>
      </w:r>
      <w:r w:rsidRPr="00A06F1E">
        <w:t xml:space="preserve"> </w:t>
      </w:r>
      <w:r w:rsidR="000D6A8E">
        <w:t>RCM &amp; SU 73</w:t>
      </w:r>
      <w:r w:rsidR="00040362" w:rsidRPr="00A06F1E">
        <w:t>’</w:t>
      </w:r>
      <w:r w:rsidRPr="00A06F1E">
        <w:t xml:space="preserve">s change in superintendent </w:t>
      </w:r>
      <w:r w:rsidR="00040362" w:rsidRPr="00A06F1E">
        <w:t>“</w:t>
      </w:r>
      <w:r w:rsidRPr="00A06F1E">
        <w:t>coincided with an unsettling chapter that lasted for a couple of years.</w:t>
      </w:r>
      <w:r w:rsidR="00040362" w:rsidRPr="00A06F1E">
        <w:t>”</w:t>
      </w:r>
      <w:r w:rsidRPr="00A06F1E">
        <w:t xml:space="preserve"> They added, </w:t>
      </w:r>
      <w:r w:rsidR="00040362" w:rsidRPr="00A06F1E">
        <w:t>“</w:t>
      </w:r>
      <w:r w:rsidRPr="00A06F1E">
        <w:t>There may have been a level of mistrust there.</w:t>
      </w:r>
      <w:r w:rsidR="00040362" w:rsidRPr="00A06F1E">
        <w:t>”</w:t>
      </w:r>
      <w:r w:rsidRPr="00A06F1E">
        <w:t xml:space="preserve"> In another focus group, committee members mentioned that there are limited opportunities for providing input </w:t>
      </w:r>
      <w:r w:rsidR="1AEB4CCD" w:rsidRPr="00A06F1E">
        <w:t>to</w:t>
      </w:r>
      <w:r w:rsidRPr="00A06F1E">
        <w:t xml:space="preserve"> the superintendent. One participant stated, </w:t>
      </w:r>
      <w:r w:rsidR="00040362" w:rsidRPr="00A06F1E">
        <w:t>“</w:t>
      </w:r>
      <w:r w:rsidRPr="00A06F1E">
        <w:t>There</w:t>
      </w:r>
      <w:r w:rsidR="00040362" w:rsidRPr="00A06F1E">
        <w:t>’</w:t>
      </w:r>
      <w:r w:rsidRPr="00A06F1E">
        <w:t>s free-flowing information back and forth, but I would not describe it as being in an advisory role in one direction or the other.</w:t>
      </w:r>
      <w:r w:rsidR="00040362" w:rsidRPr="00A06F1E">
        <w:t>”</w:t>
      </w:r>
      <w:r w:rsidR="005F6550" w:rsidRPr="00A06F1E">
        <w:t xml:space="preserve"> </w:t>
      </w:r>
      <w:r w:rsidR="00F51906">
        <w:t>Navigating relationships with three separate school committees presents a challenge in maintaining consistent communication and collaboration, which is an area for growth</w:t>
      </w:r>
    </w:p>
    <w:p w14:paraId="5755C838" w14:textId="4168250E" w:rsidR="003D6ECF" w:rsidRPr="00F674D2" w:rsidRDefault="003D6ECF" w:rsidP="003D6ECF">
      <w:pPr>
        <w:pStyle w:val="Heading3"/>
      </w:pPr>
      <w:bookmarkStart w:id="29" w:name="_District_and_School"/>
      <w:bookmarkEnd w:id="29"/>
      <w:r w:rsidRPr="00F674D2">
        <w:t>District and School Leadership</w:t>
      </w:r>
    </w:p>
    <w:p w14:paraId="7F141D2F" w14:textId="6D57CF38" w:rsidR="0025552A" w:rsidRPr="00F674D2" w:rsidRDefault="0025552A" w:rsidP="00635306">
      <w:pPr>
        <w:pStyle w:val="BodyTextposthead"/>
      </w:pPr>
      <w:r w:rsidRPr="00F674D2">
        <w:t xml:space="preserve">The leadership team of </w:t>
      </w:r>
      <w:r w:rsidR="000D6A8E">
        <w:t>RCM &amp; SU 73</w:t>
      </w:r>
      <w:r w:rsidRPr="00F674D2">
        <w:t xml:space="preserve"> includes the superintendent, the director of curriculum, the dean of students, the interim director of student support services, and the </w:t>
      </w:r>
      <w:r w:rsidR="009019FE">
        <w:t xml:space="preserve">director </w:t>
      </w:r>
      <w:r w:rsidRPr="00F674D2">
        <w:t xml:space="preserve">of finance. Supporting the central office are the accountant and grants manager, the accounts payable coordinator, and the executive administrative assistant to the superintendent. Over her four years in </w:t>
      </w:r>
      <w:r w:rsidRPr="00F674D2">
        <w:lastRenderedPageBreak/>
        <w:t>the position, the superintendent has overseen central office operations and human resources, including hiring and evaluation processes. She collaborates closely with the district</w:t>
      </w:r>
      <w:r w:rsidR="00040362" w:rsidRPr="00F674D2">
        <w:t>’</w:t>
      </w:r>
      <w:r w:rsidRPr="00F674D2">
        <w:t>s leadership team to set policies, manage budgets, and implement strategic plans.</w:t>
      </w:r>
    </w:p>
    <w:p w14:paraId="41B0A18A" w14:textId="3C689962" w:rsidR="0025552A" w:rsidRPr="00A06F1E" w:rsidRDefault="0025552A" w:rsidP="00635306">
      <w:pPr>
        <w:pStyle w:val="BodyText"/>
      </w:pPr>
      <w:r w:rsidRPr="00F674D2">
        <w:t>One of the district</w:t>
      </w:r>
      <w:r w:rsidR="00040362" w:rsidRPr="00F674D2">
        <w:t>’</w:t>
      </w:r>
      <w:r w:rsidRPr="00F674D2">
        <w:t>s strengths is the superintendent</w:t>
      </w:r>
      <w:r w:rsidR="00040362" w:rsidRPr="00F674D2">
        <w:t>’</w:t>
      </w:r>
      <w:r w:rsidRPr="00F674D2">
        <w:t>s ability to maintain open and collaborative relationships with school leaders. Focus group responses suggest that school leaders have varying degrees of autonomy in making decisions</w:t>
      </w:r>
      <w:r w:rsidR="00B27B12">
        <w:t>. S</w:t>
      </w:r>
      <w:r w:rsidRPr="00F674D2">
        <w:t>ome</w:t>
      </w:r>
      <w:r w:rsidRPr="00A06F1E">
        <w:t xml:space="preserve"> </w:t>
      </w:r>
      <w:r w:rsidR="00B27B12">
        <w:t>leaders</w:t>
      </w:r>
      <w:r w:rsidRPr="00A06F1E">
        <w:t xml:space="preserve"> </w:t>
      </w:r>
      <w:r w:rsidR="00693A8E">
        <w:t>said</w:t>
      </w:r>
      <w:r w:rsidRPr="00A06F1E">
        <w:t xml:space="preserve"> </w:t>
      </w:r>
      <w:r w:rsidR="00C66433">
        <w:t>they are</w:t>
      </w:r>
      <w:r w:rsidRPr="00A06F1E">
        <w:t xml:space="preserve"> fully involved in </w:t>
      </w:r>
      <w:r w:rsidR="00C66433">
        <w:t xml:space="preserve">all aspects of </w:t>
      </w:r>
      <w:r w:rsidRPr="00A06F1E">
        <w:t>decision</w:t>
      </w:r>
      <w:r w:rsidR="000E1EB6">
        <w:t>-making</w:t>
      </w:r>
      <w:r w:rsidR="00DD09CF">
        <w:t>, and have autonomy to make decisions,</w:t>
      </w:r>
      <w:r w:rsidR="000E1EB6">
        <w:t xml:space="preserve"> due to </w:t>
      </w:r>
      <w:r w:rsidRPr="00A06F1E">
        <w:t>the smaller size of their schools</w:t>
      </w:r>
      <w:r w:rsidR="00F16A89">
        <w:t>, which allows them to participate closely in each step</w:t>
      </w:r>
      <w:r w:rsidRPr="00A06F1E">
        <w:t xml:space="preserve">. </w:t>
      </w:r>
      <w:r w:rsidR="00DD09CF">
        <w:t>O</w:t>
      </w:r>
      <w:r w:rsidR="00F16A89" w:rsidRPr="00A06F1E">
        <w:t xml:space="preserve">ther </w:t>
      </w:r>
      <w:r w:rsidR="00AE7EDA" w:rsidRPr="00A06F1E">
        <w:t>respondent</w:t>
      </w:r>
      <w:r w:rsidRPr="00A06F1E">
        <w:t>s describe</w:t>
      </w:r>
      <w:r w:rsidR="00AE7EDA" w:rsidRPr="00A06F1E">
        <w:t>d</w:t>
      </w:r>
      <w:r w:rsidRPr="00A06F1E">
        <w:t xml:space="preserve"> a more collaborative </w:t>
      </w:r>
      <w:r w:rsidR="0030275D">
        <w:t>approach</w:t>
      </w:r>
      <w:r w:rsidR="0030275D" w:rsidRPr="00A06F1E">
        <w:t xml:space="preserve"> </w:t>
      </w:r>
      <w:r w:rsidRPr="00A06F1E">
        <w:t xml:space="preserve">with the superintendent, particularly in budget and hiring decisions, </w:t>
      </w:r>
      <w:r w:rsidR="009C4DBD">
        <w:t xml:space="preserve">where they contribute </w:t>
      </w:r>
      <w:r w:rsidRPr="00A06F1E">
        <w:t>input</w:t>
      </w:r>
      <w:r w:rsidR="009C4DBD">
        <w:t xml:space="preserve"> rather than making final decisions </w:t>
      </w:r>
      <w:r w:rsidR="00F45D87">
        <w:t>totally independently</w:t>
      </w:r>
      <w:r w:rsidRPr="00A06F1E">
        <w:t xml:space="preserve">. One school leader said, </w:t>
      </w:r>
      <w:r w:rsidR="00040362" w:rsidRPr="00A06F1E">
        <w:t>“</w:t>
      </w:r>
      <w:r w:rsidRPr="00A06F1E">
        <w:t>We have very informal conversations, I guess, between me and [the superintendent]</w:t>
      </w:r>
      <w:r w:rsidR="00350DB5" w:rsidRPr="00A06F1E">
        <w:t>. . . .</w:t>
      </w:r>
      <w:r w:rsidRPr="00A06F1E">
        <w:t xml:space="preserve"> Whenever a position needs to be filled, there</w:t>
      </w:r>
      <w:r w:rsidR="00040362" w:rsidRPr="00A06F1E">
        <w:t>’</w:t>
      </w:r>
      <w:r w:rsidRPr="00A06F1E">
        <w:t>s a certain process put in place for advertising, interviewing, checking references, and so forth.</w:t>
      </w:r>
      <w:r w:rsidR="00040362" w:rsidRPr="00A06F1E">
        <w:t>”</w:t>
      </w:r>
      <w:r w:rsidRPr="00A06F1E">
        <w:t xml:space="preserve"> Another leader emphasized the superintendent</w:t>
      </w:r>
      <w:r w:rsidR="00040362" w:rsidRPr="00A06F1E">
        <w:t>’</w:t>
      </w:r>
      <w:r w:rsidRPr="00A06F1E">
        <w:t xml:space="preserve">s role in budget-related decisions: </w:t>
      </w:r>
      <w:r w:rsidR="00040362" w:rsidRPr="00A06F1E">
        <w:t>“</w:t>
      </w:r>
      <w:r w:rsidRPr="00A06F1E">
        <w:t>When I have questions about that, I go directly to the superintendent because I know that, you know, I have to stay within the budget.</w:t>
      </w:r>
      <w:r w:rsidR="00040362" w:rsidRPr="00A06F1E">
        <w:t>”</w:t>
      </w:r>
      <w:r w:rsidRPr="00A06F1E">
        <w:t xml:space="preserve"> This demonstrates that the superintendent maintains regular communication with school leaders so that their input is considered in decision-making processes.</w:t>
      </w:r>
    </w:p>
    <w:p w14:paraId="30320293" w14:textId="2D14EFF1" w:rsidR="0025552A" w:rsidRPr="00980A59" w:rsidRDefault="008528A8" w:rsidP="00635306">
      <w:pPr>
        <w:pStyle w:val="BodyText"/>
      </w:pPr>
      <w:r w:rsidRPr="00A06F1E">
        <w:t>According to</w:t>
      </w:r>
      <w:r w:rsidR="0025552A" w:rsidRPr="00A06F1E">
        <w:t xml:space="preserve"> responses to principal questionnaires, the frequency with which school leaders meet with district leaders varies </w:t>
      </w:r>
      <w:r w:rsidR="0025552A" w:rsidRPr="00980A59">
        <w:t xml:space="preserve">among schools. </w:t>
      </w:r>
      <w:r w:rsidR="00CF4F71">
        <w:t>Fisher Hill</w:t>
      </w:r>
      <w:r w:rsidR="00AB08AC" w:rsidRPr="00980A59">
        <w:t xml:space="preserve"> </w:t>
      </w:r>
      <w:r w:rsidR="00BE3C09" w:rsidRPr="00980A59">
        <w:t xml:space="preserve">school leaders </w:t>
      </w:r>
      <w:r w:rsidR="0025552A" w:rsidRPr="00980A59">
        <w:t xml:space="preserve">hold meetings </w:t>
      </w:r>
      <w:r w:rsidR="00BB1547" w:rsidRPr="00980A59">
        <w:t xml:space="preserve">with district leaders </w:t>
      </w:r>
      <w:r w:rsidR="0025552A" w:rsidRPr="00980A59">
        <w:t>only when necessary</w:t>
      </w:r>
      <w:r w:rsidR="00533152" w:rsidRPr="00980A59">
        <w:t xml:space="preserve">. </w:t>
      </w:r>
      <w:proofErr w:type="spellStart"/>
      <w:r w:rsidR="00652B48">
        <w:t>Petersham</w:t>
      </w:r>
      <w:proofErr w:type="spellEnd"/>
      <w:r w:rsidR="00652B48">
        <w:t xml:space="preserve"> Center</w:t>
      </w:r>
      <w:r w:rsidR="001A0BEB" w:rsidRPr="00980A59">
        <w:t xml:space="preserve"> </w:t>
      </w:r>
      <w:r w:rsidR="0025552A" w:rsidRPr="00980A59">
        <w:t xml:space="preserve">conducts these meetings quarterly. In contrast, </w:t>
      </w:r>
      <w:r w:rsidR="00DF1C38" w:rsidRPr="00980A59">
        <w:t>Mahar Regional</w:t>
      </w:r>
      <w:r w:rsidR="0025552A" w:rsidRPr="00980A59">
        <w:t xml:space="preserve"> holds monthly meetings. The common themes across these meetings include updates related to the </w:t>
      </w:r>
      <w:r w:rsidR="00E42778" w:rsidRPr="00980A59">
        <w:t>D</w:t>
      </w:r>
      <w:r w:rsidR="0025552A" w:rsidRPr="00980A59">
        <w:t xml:space="preserve">istrict </w:t>
      </w:r>
      <w:r w:rsidR="00E42778" w:rsidRPr="00980A59">
        <w:t>I</w:t>
      </w:r>
      <w:r w:rsidR="0025552A" w:rsidRPr="00980A59">
        <w:t xml:space="preserve">mprovement </w:t>
      </w:r>
      <w:r w:rsidR="00E42778" w:rsidRPr="00980A59">
        <w:t>P</w:t>
      </w:r>
      <w:r w:rsidR="0025552A" w:rsidRPr="00980A59">
        <w:t xml:space="preserve">lan and other districtwide matters, planning activities, and the exchange of feedback with the district. </w:t>
      </w:r>
      <w:r w:rsidR="00BC64C4" w:rsidRPr="00980A59">
        <w:t>In addition</w:t>
      </w:r>
      <w:r w:rsidR="0025552A" w:rsidRPr="00980A59">
        <w:t xml:space="preserve">, </w:t>
      </w:r>
      <w:proofErr w:type="spellStart"/>
      <w:r w:rsidR="00652B48">
        <w:t>Petersham</w:t>
      </w:r>
      <w:proofErr w:type="spellEnd"/>
      <w:r w:rsidR="00652B48">
        <w:t xml:space="preserve"> Center</w:t>
      </w:r>
      <w:r w:rsidR="0008319C" w:rsidRPr="00980A59">
        <w:t>’s</w:t>
      </w:r>
      <w:r w:rsidR="0025552A" w:rsidRPr="00980A59">
        <w:t xml:space="preserve"> and </w:t>
      </w:r>
      <w:r w:rsidR="00DF1C38" w:rsidRPr="00980A59">
        <w:t>Mahar Regional</w:t>
      </w:r>
      <w:r w:rsidR="0008319C" w:rsidRPr="00980A59">
        <w:t>’s</w:t>
      </w:r>
      <w:r w:rsidR="001A3A59" w:rsidRPr="00980A59">
        <w:t xml:space="preserve"> </w:t>
      </w:r>
      <w:r w:rsidR="0025552A" w:rsidRPr="00980A59">
        <w:t xml:space="preserve">meetings </w:t>
      </w:r>
      <w:r w:rsidR="00DA64E4" w:rsidRPr="00980A59">
        <w:t xml:space="preserve">with the </w:t>
      </w:r>
      <w:r w:rsidR="0025552A" w:rsidRPr="00980A59">
        <w:t>district focus on reviewing student data</w:t>
      </w:r>
      <w:r w:rsidR="00ED72EE" w:rsidRPr="00980A59">
        <w:t>, according to interview respondents</w:t>
      </w:r>
      <w:r w:rsidR="0025552A" w:rsidRPr="00980A59">
        <w:t>.</w:t>
      </w:r>
    </w:p>
    <w:p w14:paraId="09999A45" w14:textId="12867D42" w:rsidR="0025552A" w:rsidRPr="00980A59" w:rsidRDefault="0025552A" w:rsidP="00635306">
      <w:pPr>
        <w:pStyle w:val="BodyText"/>
      </w:pPr>
      <w:r w:rsidRPr="00980A59">
        <w:t>The administrative leadership teams at all three schools consist of a diverse blend of administrators and instructional leaders. Each school</w:t>
      </w:r>
      <w:r w:rsidR="00040362" w:rsidRPr="00980A59">
        <w:t>’</w:t>
      </w:r>
      <w:r w:rsidRPr="00980A59">
        <w:t xml:space="preserve">s administrative team </w:t>
      </w:r>
      <w:r w:rsidR="001524B4" w:rsidRPr="00980A59">
        <w:t xml:space="preserve">has the </w:t>
      </w:r>
      <w:r w:rsidRPr="00980A59">
        <w:t>essential roles</w:t>
      </w:r>
      <w:r w:rsidR="001524B4" w:rsidRPr="00980A59">
        <w:t>:</w:t>
      </w:r>
      <w:r w:rsidRPr="00980A59">
        <w:t xml:space="preserve"> principal, assistant principal, and other administrators. Notably, </w:t>
      </w:r>
      <w:r w:rsidR="1206C174" w:rsidRPr="00980A59">
        <w:t xml:space="preserve">according to </w:t>
      </w:r>
      <w:r w:rsidR="00D43CC8" w:rsidRPr="00980A59">
        <w:t>pri</w:t>
      </w:r>
      <w:r w:rsidR="00A364AA" w:rsidRPr="00980A59">
        <w:t xml:space="preserve">ncipal </w:t>
      </w:r>
      <w:r w:rsidR="1206C174" w:rsidRPr="00980A59">
        <w:t>questionnaire data</w:t>
      </w:r>
      <w:r w:rsidRPr="00980A59">
        <w:t xml:space="preserve">, </w:t>
      </w:r>
      <w:r w:rsidR="00F01E87" w:rsidRPr="00980A59">
        <w:t>b</w:t>
      </w:r>
      <w:r w:rsidR="001A3A59" w:rsidRPr="00980A59">
        <w:t xml:space="preserve">oth </w:t>
      </w:r>
      <w:r w:rsidR="00CF4F71">
        <w:t>Fisher Hill</w:t>
      </w:r>
      <w:r w:rsidR="00036CCF" w:rsidRPr="00980A59">
        <w:t xml:space="preserve"> </w:t>
      </w:r>
      <w:r w:rsidR="001A3A59" w:rsidRPr="00980A59">
        <w:t xml:space="preserve">and </w:t>
      </w:r>
      <w:proofErr w:type="spellStart"/>
      <w:r w:rsidR="00652B48">
        <w:t>Petersham</w:t>
      </w:r>
      <w:proofErr w:type="spellEnd"/>
      <w:r w:rsidR="00652B48">
        <w:t xml:space="preserve"> Center</w:t>
      </w:r>
      <w:r w:rsidR="00036CCF" w:rsidRPr="00980A59">
        <w:t xml:space="preserve"> </w:t>
      </w:r>
      <w:r w:rsidR="001A3A59" w:rsidRPr="00980A59">
        <w:t xml:space="preserve">have teachers on </w:t>
      </w:r>
      <w:r w:rsidR="00036CCF" w:rsidRPr="00980A59">
        <w:t>their</w:t>
      </w:r>
      <w:r w:rsidR="00B80259" w:rsidRPr="00980A59">
        <w:t xml:space="preserve"> respective leadership</w:t>
      </w:r>
      <w:r w:rsidR="001A3A59" w:rsidRPr="00980A59">
        <w:t xml:space="preserve"> teams, with </w:t>
      </w:r>
      <w:proofErr w:type="spellStart"/>
      <w:r w:rsidR="00652B48">
        <w:t>Petersham</w:t>
      </w:r>
      <w:proofErr w:type="spellEnd"/>
      <w:r w:rsidR="00652B48">
        <w:t xml:space="preserve"> Center</w:t>
      </w:r>
      <w:r w:rsidR="007B6269" w:rsidRPr="00980A59">
        <w:t xml:space="preserve"> </w:t>
      </w:r>
      <w:r w:rsidR="001A3A59" w:rsidRPr="00980A59">
        <w:t xml:space="preserve">having a focus on special education teacher representation. </w:t>
      </w:r>
      <w:r w:rsidRPr="00980A59">
        <w:t xml:space="preserve">Both </w:t>
      </w:r>
      <w:proofErr w:type="spellStart"/>
      <w:r w:rsidR="00652B48">
        <w:t>Petersham</w:t>
      </w:r>
      <w:proofErr w:type="spellEnd"/>
      <w:r w:rsidR="00652B48">
        <w:t xml:space="preserve"> Center</w:t>
      </w:r>
      <w:r w:rsidRPr="00980A59">
        <w:t xml:space="preserve"> and </w:t>
      </w:r>
      <w:r w:rsidR="00CF4F71">
        <w:t>Fisher Hill</w:t>
      </w:r>
      <w:r w:rsidR="00B80259" w:rsidRPr="00980A59">
        <w:t xml:space="preserve"> schools </w:t>
      </w:r>
      <w:r w:rsidRPr="00980A59">
        <w:t xml:space="preserve">convene their team meetings on a monthly basis. In contrast, </w:t>
      </w:r>
      <w:r w:rsidR="00DF1C38" w:rsidRPr="00980A59">
        <w:t>Mahar Regional</w:t>
      </w:r>
      <w:r w:rsidRPr="00980A59">
        <w:t>, which also includes an instructional coach on its team, holds weekly meetings.</w:t>
      </w:r>
    </w:p>
    <w:p w14:paraId="49C365B8" w14:textId="4CD4CD8A" w:rsidR="00D65A64" w:rsidRPr="00A06F1E" w:rsidRDefault="00B93089" w:rsidP="00635306">
      <w:pPr>
        <w:pStyle w:val="BodyText"/>
      </w:pPr>
      <w:r>
        <w:t xml:space="preserve">The three schools in the districts of </w:t>
      </w:r>
      <w:r w:rsidR="000D6A8E">
        <w:t>RCM &amp; SU 73</w:t>
      </w:r>
      <w:r>
        <w:t xml:space="preserve"> have school councils as part of their governance structures. </w:t>
      </w:r>
      <w:r w:rsidR="00B00268" w:rsidRPr="00980A59">
        <w:t xml:space="preserve">An area for growth is </w:t>
      </w:r>
      <w:r w:rsidR="008326C3" w:rsidRPr="00980A59">
        <w:t>supporting</w:t>
      </w:r>
      <w:r w:rsidR="00B00268" w:rsidRPr="00980A59">
        <w:t xml:space="preserve"> the </w:t>
      </w:r>
      <w:r w:rsidR="008326C3" w:rsidRPr="00980A59">
        <w:t xml:space="preserve">election of </w:t>
      </w:r>
      <w:r w:rsidR="002D52B2" w:rsidRPr="00980A59">
        <w:t>school council members</w:t>
      </w:r>
      <w:r w:rsidR="00B00268" w:rsidRPr="00980A59">
        <w:t xml:space="preserve"> and fostering </w:t>
      </w:r>
      <w:r w:rsidR="002D52B2" w:rsidRPr="00980A59">
        <w:t>an</w:t>
      </w:r>
      <w:r w:rsidR="00B00268" w:rsidRPr="00980A59">
        <w:t xml:space="preserve"> open </w:t>
      </w:r>
      <w:r w:rsidR="002D52B2" w:rsidRPr="00980A59">
        <w:t>and inclusive environment</w:t>
      </w:r>
      <w:r w:rsidR="00B00268" w:rsidRPr="00980A59">
        <w:t xml:space="preserve"> within school council</w:t>
      </w:r>
      <w:r w:rsidR="00854DBD" w:rsidRPr="00980A59">
        <w:t xml:space="preserve"> meeting</w:t>
      </w:r>
      <w:r w:rsidR="00B00268" w:rsidRPr="00980A59">
        <w:t>s</w:t>
      </w:r>
      <w:r w:rsidR="00D76526">
        <w:t xml:space="preserve"> at all schools in </w:t>
      </w:r>
      <w:r w:rsidR="000D6A8E">
        <w:t>RCM &amp; SU 73</w:t>
      </w:r>
      <w:r w:rsidR="00B00268" w:rsidRPr="00980A59">
        <w:t xml:space="preserve">. </w:t>
      </w:r>
      <w:r w:rsidR="00D12656" w:rsidRPr="00980A59">
        <w:t>The</w:t>
      </w:r>
      <w:r w:rsidR="0025552A" w:rsidRPr="00980A59">
        <w:t xml:space="preserve"> three schools—</w:t>
      </w:r>
      <w:r w:rsidR="00CF4F71">
        <w:t>Fisher Hill</w:t>
      </w:r>
      <w:r w:rsidR="0025552A" w:rsidRPr="00980A59">
        <w:t xml:space="preserve">, </w:t>
      </w:r>
      <w:proofErr w:type="spellStart"/>
      <w:r w:rsidR="00652B48">
        <w:t>Petersham</w:t>
      </w:r>
      <w:proofErr w:type="spellEnd"/>
      <w:r w:rsidR="00652B48">
        <w:t xml:space="preserve"> Center</w:t>
      </w:r>
      <w:r w:rsidR="0025552A" w:rsidRPr="00980A59">
        <w:t xml:space="preserve">, and </w:t>
      </w:r>
      <w:r w:rsidR="00DF1C38" w:rsidRPr="00980A59">
        <w:t>Mahar Regional</w:t>
      </w:r>
      <w:r w:rsidR="0025552A" w:rsidRPr="00A06F1E">
        <w:t>—</w:t>
      </w:r>
      <w:r w:rsidR="004B36EA">
        <w:t xml:space="preserve"> </w:t>
      </w:r>
      <w:r w:rsidR="00A02EE5">
        <w:t>each have</w:t>
      </w:r>
      <w:r w:rsidR="00534F2F" w:rsidRPr="00A06F1E">
        <w:t xml:space="preserve"> </w:t>
      </w:r>
      <w:r w:rsidR="0025552A" w:rsidRPr="00A06F1E">
        <w:t>a school council comp</w:t>
      </w:r>
      <w:r w:rsidR="004769EB" w:rsidRPr="00A06F1E">
        <w:t>o</w:t>
      </w:r>
      <w:r w:rsidR="0025552A" w:rsidRPr="00A06F1E">
        <w:t xml:space="preserve">sed of school leaders, teachers, parents and caregivers, community members, and student support staff. The school councils for </w:t>
      </w:r>
      <w:r w:rsidR="00CF4F71">
        <w:t>Fisher Hill</w:t>
      </w:r>
      <w:r w:rsidR="001A0BEB" w:rsidRPr="00A06F1E">
        <w:t xml:space="preserve"> </w:t>
      </w:r>
      <w:r w:rsidR="0025552A" w:rsidRPr="00A06F1E">
        <w:t xml:space="preserve">and </w:t>
      </w:r>
      <w:proofErr w:type="spellStart"/>
      <w:r w:rsidR="00652B48">
        <w:t>Petersham</w:t>
      </w:r>
      <w:proofErr w:type="spellEnd"/>
      <w:r w:rsidR="00652B48">
        <w:t xml:space="preserve"> Center</w:t>
      </w:r>
      <w:r w:rsidR="0025552A" w:rsidRPr="00A06F1E">
        <w:t xml:space="preserve"> meet monthly, </w:t>
      </w:r>
      <w:r w:rsidR="004769EB" w:rsidRPr="00A06F1E">
        <w:t>whereas</w:t>
      </w:r>
      <w:r w:rsidR="0025552A" w:rsidRPr="00A06F1E">
        <w:t xml:space="preserve"> the council for </w:t>
      </w:r>
      <w:r w:rsidR="00DF1C38" w:rsidRPr="00A06F1E">
        <w:t>Mahar Regional</w:t>
      </w:r>
      <w:r w:rsidR="0025552A" w:rsidRPr="00A06F1E">
        <w:t xml:space="preserve"> meets quarterly. A review of district documents indicates that a typical school council meeting agenda includes reviewing and discussing the district</w:t>
      </w:r>
      <w:r w:rsidR="00040362" w:rsidRPr="00A06F1E">
        <w:t>’</w:t>
      </w:r>
      <w:r w:rsidR="0025552A" w:rsidRPr="00A06F1E">
        <w:t xml:space="preserve">s prioritization plan and conducting walkthroughs and observations to assess culturally responsive and inclusive classroom </w:t>
      </w:r>
      <w:r w:rsidR="0025552A" w:rsidRPr="00A06F1E">
        <w:lastRenderedPageBreak/>
        <w:t>practices.</w:t>
      </w:r>
      <w:r w:rsidR="003A3E81" w:rsidRPr="00A06F1E">
        <w:t xml:space="preserve"> </w:t>
      </w:r>
      <w:r w:rsidR="008436E1" w:rsidRPr="00A06F1E">
        <w:t xml:space="preserve">During focus groups, </w:t>
      </w:r>
      <w:r w:rsidR="00120496">
        <w:t>multiple</w:t>
      </w:r>
      <w:r w:rsidR="008436E1" w:rsidRPr="00A06F1E">
        <w:t xml:space="preserve"> respondents </w:t>
      </w:r>
      <w:r w:rsidR="006C6BD5">
        <w:t xml:space="preserve">from one school </w:t>
      </w:r>
      <w:r w:rsidR="008436E1" w:rsidRPr="00A06F1E">
        <w:t>explained that the principal primarily selected their school council, including a few parents, community members, and selected teachers, even though council members are supposed to be elected. The respondent said,</w:t>
      </w:r>
    </w:p>
    <w:p w14:paraId="7DF470FB" w14:textId="606D00AF" w:rsidR="00D65A64" w:rsidRPr="00A06F1E" w:rsidRDefault="008436E1" w:rsidP="00D65A64">
      <w:pPr>
        <w:pStyle w:val="BlockQuote"/>
      </w:pPr>
      <w:r w:rsidRPr="00A06F1E">
        <w:t>According to the regulations, school council members are supposed to be elected</w:t>
      </w:r>
      <w:r w:rsidR="002A0C9B" w:rsidRPr="00A06F1E">
        <w:t xml:space="preserve"> to represent their respective constituencies</w:t>
      </w:r>
      <w:r w:rsidRPr="00A06F1E">
        <w:t xml:space="preserve">. </w:t>
      </w:r>
      <w:r w:rsidR="00A9046C" w:rsidRPr="00A06F1E">
        <w:t>The</w:t>
      </w:r>
      <w:r w:rsidRPr="00A06F1E">
        <w:t xml:space="preserve"> principal acknowledged this and mentioned that next year, [they] would try to ensure members are elected. However, it appears that [they] continue to select individuals who [they] feel are more supportive of </w:t>
      </w:r>
      <w:r w:rsidR="00405624" w:rsidRPr="00A06F1E">
        <w:t>[their]</w:t>
      </w:r>
      <w:r w:rsidRPr="00A06F1E">
        <w:t xml:space="preserve"> system.</w:t>
      </w:r>
    </w:p>
    <w:p w14:paraId="07AC927B" w14:textId="543BD7E9" w:rsidR="006C1DC9" w:rsidRPr="00980A59" w:rsidRDefault="008436E1" w:rsidP="00635306">
      <w:pPr>
        <w:pStyle w:val="BodyText"/>
        <w:rPr>
          <w:spacing w:val="-2"/>
        </w:rPr>
      </w:pPr>
      <w:r w:rsidRPr="00A06F1E">
        <w:rPr>
          <w:spacing w:val="-2"/>
        </w:rPr>
        <w:t xml:space="preserve">Moreover, a teacher </w:t>
      </w:r>
      <w:r w:rsidR="00BD4096">
        <w:rPr>
          <w:spacing w:val="-2"/>
        </w:rPr>
        <w:t>from one focus group</w:t>
      </w:r>
      <w:r w:rsidRPr="00A06F1E">
        <w:rPr>
          <w:spacing w:val="-2"/>
        </w:rPr>
        <w:t xml:space="preserve"> described school council meetings as </w:t>
      </w:r>
      <w:r w:rsidR="00040362" w:rsidRPr="00A06F1E">
        <w:rPr>
          <w:spacing w:val="-2"/>
        </w:rPr>
        <w:t>“</w:t>
      </w:r>
      <w:r w:rsidRPr="00A06F1E">
        <w:rPr>
          <w:spacing w:val="-2"/>
        </w:rPr>
        <w:t>very prescriptive</w:t>
      </w:r>
      <w:r w:rsidR="00D12656" w:rsidRPr="00A06F1E">
        <w:rPr>
          <w:spacing w:val="-2"/>
        </w:rPr>
        <w:t>,</w:t>
      </w:r>
      <w:r w:rsidR="00040362" w:rsidRPr="00A06F1E">
        <w:rPr>
          <w:spacing w:val="-2"/>
        </w:rPr>
        <w:t>”</w:t>
      </w:r>
      <w:r w:rsidRPr="00A06F1E">
        <w:rPr>
          <w:spacing w:val="-2"/>
        </w:rPr>
        <w:t xml:space="preserve"> </w:t>
      </w:r>
      <w:r w:rsidR="006C21A4" w:rsidRPr="00A06F1E">
        <w:rPr>
          <w:spacing w:val="-2"/>
        </w:rPr>
        <w:t>impl</w:t>
      </w:r>
      <w:r w:rsidR="00D12656" w:rsidRPr="00A06F1E">
        <w:rPr>
          <w:spacing w:val="-2"/>
        </w:rPr>
        <w:t>ying</w:t>
      </w:r>
      <w:r w:rsidRPr="00A06F1E">
        <w:rPr>
          <w:spacing w:val="-2"/>
        </w:rPr>
        <w:t xml:space="preserve"> that school council members are limited from asking questions or providing input during meetings: </w:t>
      </w:r>
      <w:r w:rsidR="00040362" w:rsidRPr="00A06F1E">
        <w:rPr>
          <w:spacing w:val="-2"/>
        </w:rPr>
        <w:t>“</w:t>
      </w:r>
      <w:r w:rsidRPr="00A06F1E">
        <w:rPr>
          <w:spacing w:val="-2"/>
        </w:rPr>
        <w:t xml:space="preserve">[The </w:t>
      </w:r>
      <w:r w:rsidRPr="00980A59">
        <w:rPr>
          <w:spacing w:val="-2"/>
        </w:rPr>
        <w:t>principal] would come in with the agenda</w:t>
      </w:r>
      <w:r w:rsidR="00835CB5" w:rsidRPr="00980A59">
        <w:rPr>
          <w:spacing w:val="-2"/>
        </w:rPr>
        <w:t> . . .</w:t>
      </w:r>
      <w:r w:rsidRPr="00980A59">
        <w:rPr>
          <w:spacing w:val="-2"/>
        </w:rPr>
        <w:t xml:space="preserve"> and you could not ask questions.</w:t>
      </w:r>
      <w:r w:rsidR="00040362" w:rsidRPr="00980A59">
        <w:rPr>
          <w:spacing w:val="-2"/>
        </w:rPr>
        <w:t>”</w:t>
      </w:r>
      <w:r w:rsidR="006C1DC9" w:rsidRPr="00980A59">
        <w:rPr>
          <w:spacing w:val="-2"/>
        </w:rPr>
        <w:t xml:space="preserve"> </w:t>
      </w:r>
      <w:r w:rsidR="0045338F">
        <w:rPr>
          <w:spacing w:val="-2"/>
        </w:rPr>
        <w:t>Staff in these focus groups described a sense of limited opportunities for shared</w:t>
      </w:r>
      <w:r w:rsidR="00854AF0">
        <w:rPr>
          <w:spacing w:val="-2"/>
        </w:rPr>
        <w:t xml:space="preserve"> or distributed leadership (see also </w:t>
      </w:r>
      <w:r w:rsidR="001B7F92">
        <w:rPr>
          <w:spacing w:val="-2"/>
        </w:rPr>
        <w:t>Human Resources and Professional Development:</w:t>
      </w:r>
      <w:r w:rsidR="00854AF0">
        <w:rPr>
          <w:spacing w:val="-2"/>
        </w:rPr>
        <w:t xml:space="preserve"> Recognition, Leadership Development, and Advancement)</w:t>
      </w:r>
      <w:r w:rsidR="7AD474F7" w:rsidRPr="00980A59">
        <w:rPr>
          <w:spacing w:val="-2"/>
        </w:rPr>
        <w:t>.</w:t>
      </w:r>
    </w:p>
    <w:p w14:paraId="4C9A44B9" w14:textId="6A7E3B0F" w:rsidR="003D6ECF" w:rsidRPr="00980A59" w:rsidRDefault="003D6ECF" w:rsidP="003D6ECF">
      <w:pPr>
        <w:pStyle w:val="Heading3"/>
      </w:pPr>
      <w:bookmarkStart w:id="30" w:name="_District_and_School_1"/>
      <w:bookmarkEnd w:id="30"/>
      <w:r w:rsidRPr="00980A59">
        <w:t>District and School Improvement</w:t>
      </w:r>
      <w:r w:rsidR="00944D9E" w:rsidRPr="00980A59">
        <w:t xml:space="preserve"> Planning</w:t>
      </w:r>
    </w:p>
    <w:p w14:paraId="06A3D962" w14:textId="23D38EB8" w:rsidR="001F7D13" w:rsidRPr="00A06F1E" w:rsidRDefault="000D6A8E" w:rsidP="00F05D1C">
      <w:pPr>
        <w:pStyle w:val="BodyTextposthead"/>
      </w:pPr>
      <w:r>
        <w:t>RCM &amp; SU 73</w:t>
      </w:r>
      <w:r w:rsidR="00040362" w:rsidRPr="00980A59">
        <w:t>’</w:t>
      </w:r>
      <w:r w:rsidR="00E12DB4" w:rsidRPr="00980A59">
        <w:t xml:space="preserve">s </w:t>
      </w:r>
      <w:r w:rsidR="001F7D13" w:rsidRPr="00980A59">
        <w:t xml:space="preserve">District Improvement Plan outlines a vision and strategic objectives to foster academic, social, and emotional development. </w:t>
      </w:r>
      <w:r>
        <w:t>RCM &amp; SU 73</w:t>
      </w:r>
      <w:r w:rsidR="00040362" w:rsidRPr="00980A59">
        <w:t>’</w:t>
      </w:r>
      <w:r w:rsidR="001F7D13" w:rsidRPr="00980A59">
        <w:t xml:space="preserve">s vision is </w:t>
      </w:r>
      <w:r w:rsidR="00040362" w:rsidRPr="00980A59">
        <w:t>“</w:t>
      </w:r>
      <w:r w:rsidR="001F7D13" w:rsidRPr="00980A59">
        <w:t>to provide all students a challenging, comprehensive learning experience through high-quality instruction that supports each student</w:t>
      </w:r>
      <w:r w:rsidR="00040362" w:rsidRPr="00980A59">
        <w:t>’</w:t>
      </w:r>
      <w:r w:rsidR="001F7D13" w:rsidRPr="00980A59">
        <w:t>s academic, social, and emotional development to prepare students to thrive in a democratic and technological global society for all of their future</w:t>
      </w:r>
      <w:r w:rsidR="001F7D13" w:rsidRPr="00A06F1E">
        <w:t xml:space="preserve"> endeavors.</w:t>
      </w:r>
      <w:r w:rsidR="00040362" w:rsidRPr="00A06F1E">
        <w:t>”</w:t>
      </w:r>
      <w:r w:rsidR="001F7D13" w:rsidRPr="00A06F1E">
        <w:t xml:space="preserve"> The plan sets four strategic objectives: Curriculum, Assessment &amp; Instruction; Parent and Community Engagement; Professional Culture; and Management and Operations</w:t>
      </w:r>
      <w:r w:rsidR="00DD0174">
        <w:t>, and these objectives are the organizing principles behind the plans for all three schools in the superintendency union</w:t>
      </w:r>
      <w:r w:rsidR="001F7D13" w:rsidRPr="00A06F1E">
        <w:t xml:space="preserve">. </w:t>
      </w:r>
      <w:r>
        <w:t>RCM &amp; SU 73</w:t>
      </w:r>
      <w:r w:rsidR="001F7D13" w:rsidRPr="00A06F1E">
        <w:t xml:space="preserve"> proposes the following strategic initiatives under each objective:</w:t>
      </w:r>
    </w:p>
    <w:p w14:paraId="56D74411" w14:textId="38552818" w:rsidR="001F7D13" w:rsidRPr="00A06F1E" w:rsidRDefault="001F7D13" w:rsidP="00F05D1C">
      <w:pPr>
        <w:pStyle w:val="Bullet1"/>
      </w:pPr>
      <w:r w:rsidRPr="00A06F1E">
        <w:rPr>
          <w:rStyle w:val="Bodytextdemi0"/>
        </w:rPr>
        <w:t>Curriculum, Assessment</w:t>
      </w:r>
      <w:r w:rsidR="00D12656" w:rsidRPr="00A06F1E">
        <w:rPr>
          <w:rStyle w:val="Bodytextdemi0"/>
        </w:rPr>
        <w:t>,</w:t>
      </w:r>
      <w:r w:rsidRPr="00A06F1E">
        <w:rPr>
          <w:rStyle w:val="Bodytextdemi0"/>
        </w:rPr>
        <w:t xml:space="preserve"> &amp; Instruction</w:t>
      </w:r>
      <w:r w:rsidRPr="00A06F1E">
        <w:rPr>
          <w:b/>
          <w:bCs/>
        </w:rPr>
        <w:t>:</w:t>
      </w:r>
      <w:r w:rsidRPr="00A06F1E">
        <w:t xml:space="preserve"> Initiatives include supporting teachers through coaching in literacy and mathematics, utilizing student data to improve outcomes, and providing curriculum and teaching strategies that ensure equity and nonbias</w:t>
      </w:r>
      <w:r w:rsidR="00C94197" w:rsidRPr="00A06F1E">
        <w:t>ed instruction</w:t>
      </w:r>
      <w:r w:rsidR="00BB19AE" w:rsidRPr="00A06F1E">
        <w:t xml:space="preserve"> and learning opportunities for all students</w:t>
      </w:r>
      <w:r w:rsidRPr="00A06F1E">
        <w:t>.</w:t>
      </w:r>
    </w:p>
    <w:p w14:paraId="1B5B143F" w14:textId="51581E09" w:rsidR="001F7D13" w:rsidRPr="00A06F1E" w:rsidRDefault="001F7D13" w:rsidP="00F05D1C">
      <w:pPr>
        <w:pStyle w:val="Bullet1"/>
      </w:pPr>
      <w:r w:rsidRPr="00A06F1E">
        <w:rPr>
          <w:rStyle w:val="Bodytextdemi0"/>
        </w:rPr>
        <w:t>Parent and Community Engagement</w:t>
      </w:r>
      <w:r w:rsidRPr="00A06F1E">
        <w:rPr>
          <w:b/>
          <w:bCs/>
        </w:rPr>
        <w:t>:</w:t>
      </w:r>
      <w:r w:rsidRPr="00A06F1E">
        <w:t xml:space="preserve"> Efforts focus on enhancing communication with families about student progress and engaging the community in school activities, aiming to build support through collaborative involvement.</w:t>
      </w:r>
    </w:p>
    <w:p w14:paraId="10248716" w14:textId="3C1EA305" w:rsidR="001F7D13" w:rsidRPr="00A06F1E" w:rsidRDefault="001F7D13" w:rsidP="00F05D1C">
      <w:pPr>
        <w:pStyle w:val="Bullet1"/>
      </w:pPr>
      <w:r w:rsidRPr="00A06F1E">
        <w:rPr>
          <w:rStyle w:val="Bodytextdemi0"/>
        </w:rPr>
        <w:t>Professional Culture</w:t>
      </w:r>
      <w:r w:rsidRPr="00A06F1E">
        <w:rPr>
          <w:b/>
          <w:bCs/>
        </w:rPr>
        <w:t>:</w:t>
      </w:r>
      <w:r w:rsidRPr="00A06F1E">
        <w:t xml:space="preserve"> The district plans to offer high-quality professional development that reflect</w:t>
      </w:r>
      <w:r w:rsidR="00D12656" w:rsidRPr="00A06F1E">
        <w:t>s</w:t>
      </w:r>
      <w:r w:rsidRPr="00A06F1E">
        <w:t xml:space="preserve"> staff and program needs, promote collegiality among faculty, and </w:t>
      </w:r>
      <w:r w:rsidR="00D12656" w:rsidRPr="00A06F1E">
        <w:t xml:space="preserve">use </w:t>
      </w:r>
      <w:r w:rsidRPr="00A06F1E">
        <w:t>in-house expertise for leadership opportunities.</w:t>
      </w:r>
    </w:p>
    <w:p w14:paraId="645F146E" w14:textId="77777777" w:rsidR="001F7D13" w:rsidRPr="00980A59" w:rsidRDefault="001F7D13" w:rsidP="00F05D1C">
      <w:pPr>
        <w:pStyle w:val="Bullet1"/>
      </w:pPr>
      <w:r w:rsidRPr="00A06F1E">
        <w:rPr>
          <w:rStyle w:val="Bodytextdemi0"/>
        </w:rPr>
        <w:t>Management and Operations</w:t>
      </w:r>
      <w:r w:rsidRPr="00A06F1E">
        <w:rPr>
          <w:b/>
          <w:bCs/>
        </w:rPr>
        <w:t>:</w:t>
      </w:r>
      <w:r w:rsidRPr="00A06F1E">
        <w:t xml:space="preserve"> This includes establishing a school facility improvement plan, ensuring safety protocols are up-to-date, and maintaining a fiscally sound budget that meets </w:t>
      </w:r>
      <w:r w:rsidRPr="00980A59">
        <w:t>student needs.</w:t>
      </w:r>
    </w:p>
    <w:p w14:paraId="2E9FBE11" w14:textId="39C95C87" w:rsidR="001F7D13" w:rsidRPr="00A06F1E" w:rsidRDefault="000D6A8E" w:rsidP="00F05D1C">
      <w:pPr>
        <w:pStyle w:val="BodyText"/>
      </w:pPr>
      <w:r>
        <w:t>RCM &amp; SU 73</w:t>
      </w:r>
      <w:r w:rsidR="005434F7">
        <w:t>’s</w:t>
      </w:r>
      <w:r w:rsidR="001F7D13" w:rsidRPr="00980A59">
        <w:t xml:space="preserve"> process for developing its strategic improvement plan is </w:t>
      </w:r>
      <w:r w:rsidR="006F58F9">
        <w:t>a</w:t>
      </w:r>
      <w:r w:rsidR="006F58F9" w:rsidRPr="00980A59">
        <w:t xml:space="preserve"> </w:t>
      </w:r>
      <w:r w:rsidR="001F7D13" w:rsidRPr="00980A59">
        <w:t xml:space="preserve">collaborative effort involving various stakeholders, including school committee members, administrators, </w:t>
      </w:r>
      <w:r w:rsidR="000E2C1C" w:rsidRPr="00980A59">
        <w:t>families</w:t>
      </w:r>
      <w:r w:rsidR="001F7D13" w:rsidRPr="00980A59">
        <w:t>, and students</w:t>
      </w:r>
      <w:r w:rsidR="00511F61" w:rsidRPr="00980A59">
        <w:t>,</w:t>
      </w:r>
      <w:r w:rsidR="00670476" w:rsidRPr="00980A59">
        <w:t xml:space="preserve"> and</w:t>
      </w:r>
      <w:r w:rsidR="00FC5A00" w:rsidRPr="00980A59">
        <w:t xml:space="preserve"> is a strength</w:t>
      </w:r>
      <w:r w:rsidR="001F7D13" w:rsidRPr="00980A59">
        <w:t xml:space="preserve">. </w:t>
      </w:r>
      <w:r w:rsidR="0014139E" w:rsidRPr="00980A59">
        <w:t>Upon her hire</w:t>
      </w:r>
      <w:r w:rsidR="001F7D13" w:rsidRPr="00980A59">
        <w:t>, the superintendent reviewed the existing strategic framework, highlighting the necessity of updating the school</w:t>
      </w:r>
      <w:r w:rsidR="00040362" w:rsidRPr="00980A59">
        <w:t>’</w:t>
      </w:r>
      <w:r w:rsidR="001F7D13" w:rsidRPr="00980A59">
        <w:t xml:space="preserve">s mission, vision, and core values, </w:t>
      </w:r>
      <w:r w:rsidR="001F7D13" w:rsidRPr="00980A59">
        <w:lastRenderedPageBreak/>
        <w:t>which had remained unchanged for 15 to 20 years</w:t>
      </w:r>
      <w:r w:rsidR="00363CBB" w:rsidRPr="00980A59">
        <w:t>, according to</w:t>
      </w:r>
      <w:r w:rsidR="00363CBB" w:rsidRPr="00A06F1E">
        <w:t xml:space="preserve"> interview respondents</w:t>
      </w:r>
      <w:r w:rsidR="001F7D13" w:rsidRPr="00A06F1E">
        <w:t xml:space="preserve">. This </w:t>
      </w:r>
      <w:r w:rsidR="00EC5C37" w:rsidRPr="00A06F1E">
        <w:t xml:space="preserve">review was followed by the </w:t>
      </w:r>
      <w:r w:rsidR="001F7D13" w:rsidRPr="00A06F1E">
        <w:t>foundational work</w:t>
      </w:r>
      <w:r w:rsidR="006D0904" w:rsidRPr="00A06F1E">
        <w:t>,</w:t>
      </w:r>
      <w:r w:rsidR="001F7D13" w:rsidRPr="00A06F1E">
        <w:t xml:space="preserve"> </w:t>
      </w:r>
      <w:r w:rsidR="00EC5C37" w:rsidRPr="00A06F1E">
        <w:t xml:space="preserve">which </w:t>
      </w:r>
      <w:r w:rsidR="001F7D13" w:rsidRPr="00A06F1E">
        <w:t>involve</w:t>
      </w:r>
      <w:r w:rsidR="00EC5C37" w:rsidRPr="00A06F1E">
        <w:t>d</w:t>
      </w:r>
      <w:r w:rsidR="001F7D13" w:rsidRPr="00A06F1E">
        <w:t xml:space="preserve"> arranging virtual meetings with school committees to review and improve these elements.</w:t>
      </w:r>
    </w:p>
    <w:p w14:paraId="72B7DA5F" w14:textId="77777777" w:rsidR="006C1DC9" w:rsidRPr="00A06F1E" w:rsidRDefault="001F7D13" w:rsidP="00F05D1C">
      <w:pPr>
        <w:pStyle w:val="BodyText"/>
      </w:pPr>
      <w:r w:rsidRPr="00A06F1E">
        <w:t>The superintendent described how they engaged with parents, families, and the community</w:t>
      </w:r>
      <w:r w:rsidR="002079C3" w:rsidRPr="00A06F1E">
        <w:t xml:space="preserve"> in the earliest stages of the process</w:t>
      </w:r>
      <w:r w:rsidRPr="00A06F1E">
        <w:t>:</w:t>
      </w:r>
    </w:p>
    <w:p w14:paraId="03C3DAEA" w14:textId="4FFA102D" w:rsidR="001F7D13" w:rsidRPr="00A06F1E" w:rsidRDefault="001F7D13" w:rsidP="00F05D1C">
      <w:pPr>
        <w:pStyle w:val="BlockQuote"/>
        <w:rPr>
          <w:kern w:val="2"/>
        </w:rPr>
      </w:pPr>
      <w:r w:rsidRPr="00A06F1E">
        <w:rPr>
          <w:kern w:val="2"/>
        </w:rPr>
        <w:t>We started doing parent groups and community groups from each of the towns</w:t>
      </w:r>
      <w:r w:rsidR="00FA1C50" w:rsidRPr="00A06F1E">
        <w:rPr>
          <w:kern w:val="2"/>
        </w:rPr>
        <w:t>. . . .</w:t>
      </w:r>
      <w:r w:rsidRPr="00A06F1E">
        <w:rPr>
          <w:kern w:val="2"/>
        </w:rPr>
        <w:t xml:space="preserve"> [We] wanted their input. Every time we had a meeting, I would have the notes about what was said, present it in a PowerPoint, and then we would add those. So, we would change it each iteration. Then, we sent it out to everybody via a survey </w:t>
      </w:r>
      <w:r w:rsidRPr="00A06F1E">
        <w:t xml:space="preserve">that </w:t>
      </w:r>
      <w:r w:rsidRPr="00A06F1E">
        <w:rPr>
          <w:kern w:val="2"/>
        </w:rPr>
        <w:t xml:space="preserve">said, </w:t>
      </w:r>
      <w:r w:rsidR="006E1EB9" w:rsidRPr="00A06F1E">
        <w:rPr>
          <w:kern w:val="2"/>
        </w:rPr>
        <w:t>“</w:t>
      </w:r>
      <w:r w:rsidRPr="00A06F1E">
        <w:rPr>
          <w:kern w:val="2"/>
        </w:rPr>
        <w:t>Take a look at this</w:t>
      </w:r>
      <w:r w:rsidR="006E1EB9" w:rsidRPr="00A06F1E">
        <w:rPr>
          <w:kern w:val="2"/>
        </w:rPr>
        <w:t>;</w:t>
      </w:r>
      <w:r w:rsidRPr="00A06F1E">
        <w:rPr>
          <w:kern w:val="2"/>
        </w:rPr>
        <w:t xml:space="preserve"> give us some more feedback on this.</w:t>
      </w:r>
      <w:r w:rsidR="006E1EB9" w:rsidRPr="00A06F1E">
        <w:rPr>
          <w:kern w:val="2"/>
        </w:rPr>
        <w:t>”</w:t>
      </w:r>
    </w:p>
    <w:p w14:paraId="154A6001" w14:textId="77777777" w:rsidR="006E1EB9" w:rsidRPr="00A06F1E" w:rsidRDefault="001F7D13" w:rsidP="00F05D1C">
      <w:pPr>
        <w:pStyle w:val="BodyText"/>
      </w:pPr>
      <w:r w:rsidRPr="00A06F1E">
        <w:t>This effort extended to student focus groups. The superintendent shared,</w:t>
      </w:r>
    </w:p>
    <w:p w14:paraId="0BB206BF" w14:textId="406E0F34" w:rsidR="001F7D13" w:rsidRPr="00A06F1E" w:rsidRDefault="001F7D13" w:rsidP="00D6106E">
      <w:pPr>
        <w:pStyle w:val="BlockQuote"/>
      </w:pPr>
      <w:r w:rsidRPr="00A06F1E">
        <w:t>[The students] looked at</w:t>
      </w:r>
      <w:r w:rsidR="006E1EB9" w:rsidRPr="00A06F1E">
        <w:t> . . .</w:t>
      </w:r>
      <w:r w:rsidRPr="00A06F1E">
        <w:t xml:space="preserve"> the mission and the vision</w:t>
      </w:r>
      <w:r w:rsidR="006E1EB9" w:rsidRPr="00A06F1E">
        <w:t>. . . .</w:t>
      </w:r>
      <w:r w:rsidRPr="00A06F1E">
        <w:t xml:space="preserve"> [They said], </w:t>
      </w:r>
      <w:r w:rsidR="006E1EB9" w:rsidRPr="00A06F1E">
        <w:t>“</w:t>
      </w:r>
      <w:r w:rsidRPr="00A06F1E">
        <w:t>It</w:t>
      </w:r>
      <w:r w:rsidR="00040362" w:rsidRPr="00A06F1E">
        <w:t>’</w:t>
      </w:r>
      <w:r w:rsidRPr="00A06F1E">
        <w:t>s missing social justice.</w:t>
      </w:r>
      <w:r w:rsidR="006E1EB9" w:rsidRPr="00A06F1E">
        <w:t>”</w:t>
      </w:r>
      <w:r w:rsidRPr="00A06F1E">
        <w:t xml:space="preserve"> It really was the kids that drove that. So, we tweaked that again till the end result was we had a solid mission [and] vision that everyone</w:t>
      </w:r>
      <w:r w:rsidR="00040362" w:rsidRPr="00A06F1E">
        <w:t>’</w:t>
      </w:r>
      <w:r w:rsidRPr="00A06F1E">
        <w:t>s agreed upon as best you can.</w:t>
      </w:r>
    </w:p>
    <w:p w14:paraId="33BC6282" w14:textId="4342EB1D" w:rsidR="001F7D13" w:rsidRPr="00A06F1E" w:rsidRDefault="001F7D13" w:rsidP="00F05D1C">
      <w:pPr>
        <w:pStyle w:val="BodyText"/>
      </w:pPr>
      <w:r w:rsidRPr="00A06F1E">
        <w:t>The updated mission and vision informed the development of the strategic improvement plan, a process led by the superintendent and the administrative team.</w:t>
      </w:r>
      <w:r w:rsidR="006C1DC9" w:rsidRPr="00A06F1E">
        <w:t xml:space="preserve"> </w:t>
      </w:r>
      <w:r w:rsidR="43ABFAF5" w:rsidRPr="00A06F1E">
        <w:t xml:space="preserve">A </w:t>
      </w:r>
      <w:r w:rsidR="00DF1C38" w:rsidRPr="00A06F1E">
        <w:t>Mahar Regional</w:t>
      </w:r>
      <w:r w:rsidR="17079BE1" w:rsidRPr="00A06F1E">
        <w:t xml:space="preserve"> </w:t>
      </w:r>
      <w:r w:rsidR="1C38035D" w:rsidRPr="00A06F1E">
        <w:t>s</w:t>
      </w:r>
      <w:r w:rsidR="0FB1729C" w:rsidRPr="00A06F1E">
        <w:t>chool</w:t>
      </w:r>
      <w:r w:rsidRPr="00A06F1E">
        <w:t xml:space="preserve"> committee member remarked, </w:t>
      </w:r>
      <w:r w:rsidR="00040362" w:rsidRPr="00A06F1E">
        <w:t>“</w:t>
      </w:r>
      <w:r w:rsidRPr="00A06F1E">
        <w:rPr>
          <w:kern w:val="2"/>
        </w:rPr>
        <w:t>There was a lot of input from many different areas on [the strategic plan]. [The superintendent] met with students, parents, [and] with school comm</w:t>
      </w:r>
      <w:r w:rsidRPr="00A06F1E">
        <w:t>i</w:t>
      </w:r>
      <w:r w:rsidRPr="00A06F1E">
        <w:rPr>
          <w:kern w:val="2"/>
        </w:rPr>
        <w:t>ttees</w:t>
      </w:r>
      <w:r w:rsidR="00095326" w:rsidRPr="00A06F1E">
        <w:rPr>
          <w:kern w:val="2"/>
        </w:rPr>
        <w:t>. . . .</w:t>
      </w:r>
      <w:r w:rsidRPr="00A06F1E">
        <w:rPr>
          <w:kern w:val="2"/>
        </w:rPr>
        <w:t xml:space="preserve"> That was an extensive process that was a year-plus process.</w:t>
      </w:r>
      <w:r w:rsidR="00040362" w:rsidRPr="00A06F1E">
        <w:rPr>
          <w:kern w:val="2"/>
        </w:rPr>
        <w:t>”</w:t>
      </w:r>
      <w:r w:rsidRPr="00A06F1E">
        <w:rPr>
          <w:rFonts w:cs="Roboto-Regular"/>
        </w:rPr>
        <w:t xml:space="preserve"> </w:t>
      </w:r>
      <w:r w:rsidRPr="00A06F1E">
        <w:t>The school committee members explained that after the strategic improvement plan is drafted, it is presented to them for review. This process aims to verify that the final plan is in harmony with the community</w:t>
      </w:r>
      <w:r w:rsidR="00040362" w:rsidRPr="00A06F1E">
        <w:t>’</w:t>
      </w:r>
      <w:r w:rsidRPr="00A06F1E">
        <w:t>s needs and aspirations, demonstrating a collaborative and transparent approach to districtwide improvement.</w:t>
      </w:r>
    </w:p>
    <w:p w14:paraId="73AEF10C" w14:textId="074D9C86" w:rsidR="006C1DC9" w:rsidRPr="00A06F1E" w:rsidRDefault="001F7D13" w:rsidP="00F05D1C">
      <w:pPr>
        <w:pStyle w:val="BodyText"/>
      </w:pPr>
      <w:r w:rsidRPr="00A06F1E">
        <w:t xml:space="preserve">The </w:t>
      </w:r>
      <w:r w:rsidR="00AB5297">
        <w:t>strategic</w:t>
      </w:r>
      <w:r w:rsidR="00AB5297" w:rsidRPr="00A06F1E">
        <w:t xml:space="preserve"> </w:t>
      </w:r>
      <w:r w:rsidRPr="00A06F1E">
        <w:t xml:space="preserve">plan </w:t>
      </w:r>
      <w:r w:rsidR="008472A9" w:rsidRPr="00A06F1E">
        <w:t xml:space="preserve">for </w:t>
      </w:r>
      <w:r w:rsidR="000D6A8E">
        <w:t>RCM &amp; SU 73</w:t>
      </w:r>
      <w:r w:rsidRPr="00A06F1E">
        <w:t xml:space="preserve"> fosters cohesion by unifying the focus on the use of evidence-based curricul</w:t>
      </w:r>
      <w:r w:rsidR="00095326" w:rsidRPr="00A06F1E">
        <w:t>a</w:t>
      </w:r>
      <w:r w:rsidRPr="00A06F1E">
        <w:t xml:space="preserve"> across all schools. This cohesive approach is evident</w:t>
      </w:r>
      <w:r w:rsidR="00095326" w:rsidRPr="00A06F1E">
        <w:t>,</w:t>
      </w:r>
      <w:r w:rsidRPr="00A06F1E">
        <w:t xml:space="preserve"> as a principal noted, </w:t>
      </w:r>
      <w:r w:rsidR="00040362" w:rsidRPr="00A06F1E">
        <w:t>“</w:t>
      </w:r>
      <w:r w:rsidRPr="00A06F1E">
        <w:t>We</w:t>
      </w:r>
      <w:r w:rsidR="00040362" w:rsidRPr="00A06F1E">
        <w:t>’</w:t>
      </w:r>
      <w:r w:rsidRPr="00A06F1E">
        <w:t>re kind of all on the same page, even though we</w:t>
      </w:r>
      <w:r w:rsidR="00040362" w:rsidRPr="00A06F1E">
        <w:t>’</w:t>
      </w:r>
      <w:r w:rsidRPr="00A06F1E">
        <w:t>re separate.</w:t>
      </w:r>
      <w:r w:rsidR="00040362" w:rsidRPr="00A06F1E">
        <w:t>”</w:t>
      </w:r>
      <w:r w:rsidRPr="00A06F1E">
        <w:t xml:space="preserve"> By emphasizing the use of research-based curricul</w:t>
      </w:r>
      <w:r w:rsidR="00095326" w:rsidRPr="00A06F1E">
        <w:t>a</w:t>
      </w:r>
      <w:r w:rsidRPr="00A06F1E">
        <w:t>, the district plan promotes consistency in instructional quality.</w:t>
      </w:r>
    </w:p>
    <w:p w14:paraId="2E6555AA" w14:textId="40ACE9DB" w:rsidR="001F7841" w:rsidRPr="00997267" w:rsidRDefault="00131141" w:rsidP="00F05D1C">
      <w:pPr>
        <w:pStyle w:val="BodyText"/>
      </w:pPr>
      <w:r w:rsidRPr="00997267">
        <w:t>Another strength is t</w:t>
      </w:r>
      <w:r w:rsidR="001F7841" w:rsidRPr="00997267">
        <w:t xml:space="preserve">he </w:t>
      </w:r>
      <w:r w:rsidR="00977503" w:rsidRPr="00997267">
        <w:t>alignment of</w:t>
      </w:r>
      <w:r w:rsidR="001F7841" w:rsidRPr="00997267">
        <w:t xml:space="preserve"> SIPs for </w:t>
      </w:r>
      <w:r w:rsidR="00CF4F71">
        <w:t>Fisher Hill</w:t>
      </w:r>
      <w:r w:rsidR="00E0360F" w:rsidRPr="00997267">
        <w:t xml:space="preserve">, </w:t>
      </w:r>
      <w:proofErr w:type="spellStart"/>
      <w:r w:rsidR="00652B48">
        <w:t>Petersham</w:t>
      </w:r>
      <w:proofErr w:type="spellEnd"/>
      <w:r w:rsidR="00652B48">
        <w:t xml:space="preserve"> Center</w:t>
      </w:r>
      <w:r w:rsidR="00E0360F" w:rsidRPr="00997267">
        <w:t>, and Mahar Regional</w:t>
      </w:r>
      <w:r w:rsidR="00E0360F" w:rsidRPr="00997267" w:rsidDel="00E0360F">
        <w:t xml:space="preserve"> </w:t>
      </w:r>
      <w:r w:rsidR="001F7841" w:rsidRPr="00997267">
        <w:t xml:space="preserve">with the </w:t>
      </w:r>
      <w:r w:rsidR="000D6A8E">
        <w:t>RCM &amp; SU 73</w:t>
      </w:r>
      <w:r w:rsidR="001F7841" w:rsidRPr="00997267">
        <w:t xml:space="preserve"> District Strategic Plan</w:t>
      </w:r>
      <w:r w:rsidR="008472A9" w:rsidRPr="00997267">
        <w:t>, all of which</w:t>
      </w:r>
      <w:r w:rsidR="001F7841" w:rsidRPr="00997267">
        <w:t xml:space="preserve"> emphasiz</w:t>
      </w:r>
      <w:r w:rsidR="008472A9" w:rsidRPr="00997267">
        <w:t>e</w:t>
      </w:r>
      <w:r w:rsidR="001F7841" w:rsidRPr="00997267">
        <w:t xml:space="preserve"> high-quality instruction through professional development and coaching in literacy and mathematics, fostering parent and community engagement, and ensuring effective use of data to drive student outcomes. Both the SIPs and the </w:t>
      </w:r>
      <w:r w:rsidR="000F489F" w:rsidRPr="00997267">
        <w:t>D</w:t>
      </w:r>
      <w:r w:rsidR="001F7841" w:rsidRPr="00997267">
        <w:t xml:space="preserve">istrict </w:t>
      </w:r>
      <w:r w:rsidR="000F489F" w:rsidRPr="00997267">
        <w:t>Improvement P</w:t>
      </w:r>
      <w:r w:rsidR="001F7841" w:rsidRPr="00997267">
        <w:t xml:space="preserve">lan prioritize creating supportive, inclusive environments that promote academic, social, and emotional development. </w:t>
      </w:r>
      <w:r w:rsidR="000F489F" w:rsidRPr="00997267">
        <w:t>In addition</w:t>
      </w:r>
      <w:r w:rsidR="001F7841" w:rsidRPr="00997267">
        <w:t xml:space="preserve">, they share a vision of preparing students for a rapidly changing world by instilling critical thinking skills, social justice awareness, and a global perspective, ensuring </w:t>
      </w:r>
      <w:r w:rsidR="000F489F" w:rsidRPr="00997267">
        <w:t xml:space="preserve">that </w:t>
      </w:r>
      <w:r w:rsidR="001F7841" w:rsidRPr="00997267">
        <w:t>students are ready for future success in a democratic and technological society.</w:t>
      </w:r>
    </w:p>
    <w:p w14:paraId="12A0FD02" w14:textId="0B21D09B" w:rsidR="001F7D13" w:rsidRPr="00997267" w:rsidRDefault="001F7D13" w:rsidP="00F05D1C">
      <w:pPr>
        <w:pStyle w:val="BodyText"/>
      </w:pPr>
      <w:r w:rsidRPr="00997267">
        <w:t>School leaders and teachers emphasize</w:t>
      </w:r>
      <w:r w:rsidR="00613663" w:rsidRPr="00997267">
        <w:t>d</w:t>
      </w:r>
      <w:r w:rsidRPr="00997267">
        <w:t xml:space="preserve"> that developing a </w:t>
      </w:r>
      <w:r w:rsidR="00C278EF" w:rsidRPr="00997267">
        <w:t>SIP</w:t>
      </w:r>
      <w:r w:rsidRPr="00997267">
        <w:t xml:space="preserve"> is a</w:t>
      </w:r>
      <w:r w:rsidR="00D756C2" w:rsidRPr="00997267">
        <w:t xml:space="preserve"> consistent,</w:t>
      </w:r>
      <w:r w:rsidRPr="00997267">
        <w:t xml:space="preserve"> collaborative</w:t>
      </w:r>
      <w:r w:rsidR="00D756C2" w:rsidRPr="00997267">
        <w:t>,</w:t>
      </w:r>
      <w:r w:rsidRPr="00997267">
        <w:t xml:space="preserve"> and inclusive process</w:t>
      </w:r>
      <w:r w:rsidR="002079C3" w:rsidRPr="00997267">
        <w:t xml:space="preserve"> in </w:t>
      </w:r>
      <w:r w:rsidR="000D6A8E">
        <w:t>RCM &amp; SU 73</w:t>
      </w:r>
      <w:r w:rsidRPr="00997267">
        <w:t>. As one teacher mentioned,</w:t>
      </w:r>
    </w:p>
    <w:p w14:paraId="716E82D2" w14:textId="0914AE8F" w:rsidR="00C527BD" w:rsidRPr="00997267" w:rsidRDefault="001F7D13" w:rsidP="00F05D1C">
      <w:pPr>
        <w:pStyle w:val="BlockQuote"/>
      </w:pPr>
      <w:r w:rsidRPr="00997267">
        <w:t xml:space="preserve">So everybody in the building is offered an opportunity if you want to lead the </w:t>
      </w:r>
      <w:r w:rsidR="009E5EE1" w:rsidRPr="00997267">
        <w:t>S</w:t>
      </w:r>
      <w:r w:rsidRPr="00997267">
        <w:t xml:space="preserve">chool </w:t>
      </w:r>
      <w:r w:rsidR="009E5EE1" w:rsidRPr="00997267">
        <w:t>I</w:t>
      </w:r>
      <w:r w:rsidRPr="00997267">
        <w:t xml:space="preserve">mprovement </w:t>
      </w:r>
      <w:r w:rsidR="009E5EE1" w:rsidRPr="00997267">
        <w:t>P</w:t>
      </w:r>
      <w:r w:rsidRPr="00997267">
        <w:t>lan group</w:t>
      </w:r>
      <w:r w:rsidR="00CA7A04" w:rsidRPr="00997267">
        <w:t>. . . .</w:t>
      </w:r>
      <w:r w:rsidRPr="00997267">
        <w:t xml:space="preserve"> So actually, I guess we do have a lot of those things</w:t>
      </w:r>
      <w:r w:rsidR="00CA7A04" w:rsidRPr="00997267">
        <w:t>. . . .</w:t>
      </w:r>
      <w:r w:rsidRPr="00997267">
        <w:t xml:space="preserve"> Is there </w:t>
      </w:r>
      <w:r w:rsidRPr="00997267">
        <w:lastRenderedPageBreak/>
        <w:t>anybody that would like to be part of maybe this implementation and be part of this committee, this group</w:t>
      </w:r>
      <w:r w:rsidR="0095453F" w:rsidRPr="00997267">
        <w:t> . . . ?</w:t>
      </w:r>
      <w:r w:rsidRPr="00997267">
        <w:t xml:space="preserve"> So teachers are involved in those decisions.</w:t>
      </w:r>
    </w:p>
    <w:p w14:paraId="07A25C09" w14:textId="06E05AAD" w:rsidR="002D66F9" w:rsidRPr="00A06F1E" w:rsidRDefault="006648EF" w:rsidP="00F05D1C">
      <w:pPr>
        <w:pStyle w:val="BodyText"/>
      </w:pPr>
      <w:r>
        <w:t xml:space="preserve">While several staff described a collaborative process for developing plans, </w:t>
      </w:r>
      <w:r w:rsidR="00C169FC">
        <w:t xml:space="preserve">multiple staff also reported that follow-up and implementation were not always thorough and effective. </w:t>
      </w:r>
      <w:r w:rsidR="005C07B2" w:rsidRPr="00997267">
        <w:t>An area for growth is ensuring effective follow-up on the strategic improvement plan, as respondents highlighted gaps in action on feedback, infrequent updates on goals, and limited practical utilization of the plan.</w:t>
      </w:r>
      <w:r w:rsidR="001F7D13" w:rsidRPr="00997267">
        <w:t xml:space="preserve"> A participant pointed</w:t>
      </w:r>
      <w:r w:rsidR="001F7D13" w:rsidRPr="00A06F1E">
        <w:t xml:space="preserve"> out, </w:t>
      </w:r>
      <w:r w:rsidR="00040362" w:rsidRPr="00A06F1E">
        <w:t>“</w:t>
      </w:r>
      <w:r w:rsidR="001F7D13" w:rsidRPr="00A06F1E">
        <w:t>We had a strategic plan, and we were asked to review it</w:t>
      </w:r>
      <w:r w:rsidR="00A5632E" w:rsidRPr="00A06F1E">
        <w:t>. . . .</w:t>
      </w:r>
      <w:r w:rsidR="001F7D13" w:rsidRPr="00A06F1E">
        <w:t xml:space="preserve"> </w:t>
      </w:r>
      <w:r w:rsidR="00A5632E" w:rsidRPr="00A06F1E">
        <w:t>T</w:t>
      </w:r>
      <w:r w:rsidR="001F7D13" w:rsidRPr="00A06F1E">
        <w:t>here were some things on there that some of us questioned</w:t>
      </w:r>
      <w:r w:rsidR="00A5632E" w:rsidRPr="00A06F1E">
        <w:t> . . .</w:t>
      </w:r>
      <w:r w:rsidR="001F7D13" w:rsidRPr="00A06F1E">
        <w:t xml:space="preserve"> but nothing I know of ever came of it.</w:t>
      </w:r>
      <w:r w:rsidR="00040362" w:rsidRPr="00A06F1E">
        <w:t>”</w:t>
      </w:r>
      <w:r w:rsidR="001F7D13" w:rsidRPr="00A06F1E">
        <w:t xml:space="preserve"> This statement highlights a gap in effective communication and follow-up. Specifically, it suggests that </w:t>
      </w:r>
      <w:r w:rsidR="00A5632E" w:rsidRPr="00A06F1E">
        <w:t>although</w:t>
      </w:r>
      <w:r w:rsidR="001F7D13" w:rsidRPr="00A06F1E">
        <w:t xml:space="preserve"> feedback was solicited from stakeholders, there was a lack of subsequent action or response to that feedback.</w:t>
      </w:r>
      <w:r w:rsidR="00B77237" w:rsidRPr="00A06F1E">
        <w:t xml:space="preserve"> When asked if they </w:t>
      </w:r>
      <w:r w:rsidR="00A87942">
        <w:t>we</w:t>
      </w:r>
      <w:r w:rsidR="00B77237" w:rsidRPr="00A06F1E">
        <w:t xml:space="preserve">re familiar with the district strategic improvement plan, a school respondent said, </w:t>
      </w:r>
      <w:r w:rsidR="00040362" w:rsidRPr="00A06F1E">
        <w:t>“</w:t>
      </w:r>
      <w:r w:rsidR="00B77237" w:rsidRPr="00A06F1E">
        <w:t>We get a copy of it at the beginning of the year.</w:t>
      </w:r>
      <w:r w:rsidR="00040362" w:rsidRPr="00A06F1E">
        <w:t>”</w:t>
      </w:r>
      <w:r w:rsidR="00B77237" w:rsidRPr="00A06F1E">
        <w:t xml:space="preserve"> However, when inquired about receiving updates on the goals set in the plan, they replied, </w:t>
      </w:r>
      <w:r w:rsidR="00040362" w:rsidRPr="00A06F1E">
        <w:t>“</w:t>
      </w:r>
      <w:r w:rsidR="00B77237" w:rsidRPr="00A06F1E">
        <w:t>No. Not really.</w:t>
      </w:r>
      <w:r w:rsidR="00040362" w:rsidRPr="00A06F1E">
        <w:t>”</w:t>
      </w:r>
      <w:r w:rsidR="00B77237" w:rsidRPr="00A06F1E">
        <w:t xml:space="preserve"> A district respondent added, </w:t>
      </w:r>
      <w:r w:rsidR="00040362" w:rsidRPr="00A06F1E">
        <w:t>“</w:t>
      </w:r>
      <w:r w:rsidR="00B77237" w:rsidRPr="00A06F1E">
        <w:t>I think it was just developed as sort of a broad range of topics to keep on the radar, so to speak. I</w:t>
      </w:r>
      <w:r w:rsidR="00040362" w:rsidRPr="00A06F1E">
        <w:t>’</w:t>
      </w:r>
      <w:r w:rsidR="00B77237" w:rsidRPr="00A06F1E">
        <w:t>ll be honest</w:t>
      </w:r>
      <w:r w:rsidR="004323F6" w:rsidRPr="00A06F1E">
        <w:t>—</w:t>
      </w:r>
      <w:r w:rsidR="00B77237" w:rsidRPr="00A06F1E">
        <w:t>it</w:t>
      </w:r>
      <w:r w:rsidR="00040362" w:rsidRPr="00A06F1E">
        <w:t>’</w:t>
      </w:r>
      <w:r w:rsidR="00B77237" w:rsidRPr="00A06F1E">
        <w:t>s not something we refer back to often.</w:t>
      </w:r>
      <w:r w:rsidR="00040362" w:rsidRPr="00A06F1E">
        <w:t>”</w:t>
      </w:r>
    </w:p>
    <w:p w14:paraId="176DA79F" w14:textId="77777777" w:rsidR="006C1DC9" w:rsidRPr="00A06F1E" w:rsidRDefault="003D6ECF" w:rsidP="003D6ECF">
      <w:pPr>
        <w:pStyle w:val="Heading3"/>
      </w:pPr>
      <w:bookmarkStart w:id="31" w:name="_Budget_Development"/>
      <w:bookmarkEnd w:id="31"/>
      <w:r w:rsidRPr="00A06F1E">
        <w:t>Budget Development</w:t>
      </w:r>
    </w:p>
    <w:p w14:paraId="55E61D43" w14:textId="322BC68D" w:rsidR="006C1DC9" w:rsidRPr="00A06F1E" w:rsidRDefault="005B0D63" w:rsidP="00F05D1C">
      <w:pPr>
        <w:pStyle w:val="BodyTextposthead"/>
      </w:pPr>
      <w:r w:rsidRPr="00F54E1D">
        <w:t xml:space="preserve">The process for developing the budget in the </w:t>
      </w:r>
      <w:r w:rsidR="00E20B50" w:rsidRPr="00F54E1D">
        <w:t xml:space="preserve">superintendency </w:t>
      </w:r>
      <w:r w:rsidR="006206B9" w:rsidRPr="00F54E1D">
        <w:t xml:space="preserve">union as a whole </w:t>
      </w:r>
      <w:r w:rsidRPr="00F54E1D">
        <w:t xml:space="preserve">involves several steps, starting early in the academic year, </w:t>
      </w:r>
      <w:r w:rsidR="00F639BA">
        <w:t>and</w:t>
      </w:r>
      <w:r w:rsidR="00F639BA" w:rsidRPr="00F54E1D">
        <w:t xml:space="preserve"> </w:t>
      </w:r>
      <w:r w:rsidRPr="00F54E1D">
        <w:t>is a strength</w:t>
      </w:r>
      <w:r w:rsidR="007B70D9">
        <w:t xml:space="preserve"> of the superintendency union</w:t>
      </w:r>
      <w:r w:rsidRPr="00F54E1D">
        <w:t xml:space="preserve">. According to the superintendent, the process begins with distributing budget </w:t>
      </w:r>
      <w:r w:rsidR="002079C3" w:rsidRPr="00F54E1D">
        <w:t xml:space="preserve">planning and request </w:t>
      </w:r>
      <w:r w:rsidRPr="00F54E1D">
        <w:t>sheets to</w:t>
      </w:r>
      <w:r w:rsidRPr="00A06F1E">
        <w:t xml:space="preserve"> principals in October. These sheets must be returned by November. The principals</w:t>
      </w:r>
      <w:r w:rsidR="00040362" w:rsidRPr="00A06F1E">
        <w:t>’</w:t>
      </w:r>
      <w:r w:rsidRPr="00A06F1E">
        <w:t xml:space="preserve"> initial budget requests are scrutinized, and adjustments are made to ensure feasibility. In December, </w:t>
      </w:r>
      <w:r w:rsidR="000D6A8E">
        <w:t>RCM &amp; SU 73</w:t>
      </w:r>
      <w:r w:rsidR="000170C1" w:rsidRPr="00A06F1E">
        <w:t xml:space="preserve"> central office</w:t>
      </w:r>
      <w:r w:rsidR="000D1FA0" w:rsidRPr="00A06F1E">
        <w:t xml:space="preserve"> and building</w:t>
      </w:r>
      <w:r w:rsidR="002525E7" w:rsidRPr="00A06F1E">
        <w:t xml:space="preserve"> leaders</w:t>
      </w:r>
      <w:r w:rsidRPr="00A06F1E">
        <w:t>, which include the superintendent, the</w:t>
      </w:r>
      <w:r w:rsidR="006175FF">
        <w:t xml:space="preserve"> finance </w:t>
      </w:r>
      <w:r w:rsidR="00573A9B">
        <w:t>director</w:t>
      </w:r>
      <w:r w:rsidRPr="00A06F1E">
        <w:t>, and other key administrators</w:t>
      </w:r>
      <w:r w:rsidR="002525E7" w:rsidRPr="00A06F1E">
        <w:t>, hold staffing meetings</w:t>
      </w:r>
      <w:r w:rsidRPr="00A06F1E">
        <w:t xml:space="preserve">. The superintendent noted, </w:t>
      </w:r>
      <w:r w:rsidR="00040362" w:rsidRPr="00A06F1E">
        <w:t>“</w:t>
      </w:r>
      <w:r w:rsidRPr="00A06F1E">
        <w:t>We use data for everything with the budget,</w:t>
      </w:r>
      <w:r w:rsidR="00040362" w:rsidRPr="00A06F1E">
        <w:t>”</w:t>
      </w:r>
      <w:r w:rsidRPr="00A06F1E">
        <w:t xml:space="preserve"> highlighting the importance of data-driven </w:t>
      </w:r>
      <w:r w:rsidR="00C83998">
        <w:t>decision-making</w:t>
      </w:r>
      <w:r w:rsidRPr="00A06F1E">
        <w:t xml:space="preserve">. </w:t>
      </w:r>
      <w:r w:rsidR="006E1BBE" w:rsidRPr="00A06F1E">
        <w:t>Furthermore, the</w:t>
      </w:r>
      <w:r w:rsidR="00E45CA4">
        <w:t xml:space="preserve"> finance</w:t>
      </w:r>
      <w:r w:rsidR="006E1BBE" w:rsidRPr="00A06F1E">
        <w:t xml:space="preserve"> </w:t>
      </w:r>
      <w:r w:rsidR="0052712A" w:rsidRPr="00A06F1E">
        <w:t>d</w:t>
      </w:r>
      <w:r w:rsidR="006E1BBE" w:rsidRPr="00A06F1E">
        <w:t>irector</w:t>
      </w:r>
      <w:r w:rsidR="005102A6" w:rsidRPr="00A06F1E">
        <w:t xml:space="preserve"> </w:t>
      </w:r>
      <w:r w:rsidR="006E1BBE" w:rsidRPr="00A06F1E">
        <w:t xml:space="preserve">develops the budget using a bottom-up approach. A district respondent stated, </w:t>
      </w:r>
      <w:r w:rsidR="00040362" w:rsidRPr="00A06F1E">
        <w:t>“</w:t>
      </w:r>
      <w:r w:rsidR="006E1BBE" w:rsidRPr="00A06F1E">
        <w:t xml:space="preserve">[The </w:t>
      </w:r>
      <w:r w:rsidR="00FE6F76" w:rsidRPr="00A06F1E">
        <w:t>f</w:t>
      </w:r>
      <w:r w:rsidR="006E1BBE" w:rsidRPr="00A06F1E">
        <w:t xml:space="preserve">inance </w:t>
      </w:r>
      <w:r w:rsidR="0052712A" w:rsidRPr="00A06F1E">
        <w:t>d</w:t>
      </w:r>
      <w:r w:rsidR="006E1BBE" w:rsidRPr="00A06F1E">
        <w:t>irector] develops the budget using all input, so it</w:t>
      </w:r>
      <w:r w:rsidR="00040362" w:rsidRPr="00A06F1E">
        <w:t>’</w:t>
      </w:r>
      <w:r w:rsidR="006E1BBE" w:rsidRPr="00A06F1E">
        <w:t>s from bottom up. [She] gives it to the school administrators who bring it to their coordinators and their teachers to see what they need and what they want for the following year.</w:t>
      </w:r>
      <w:r w:rsidR="00040362" w:rsidRPr="00A06F1E">
        <w:t>”</w:t>
      </w:r>
      <w:r w:rsidR="000D1FA0" w:rsidRPr="00A06F1E">
        <w:t xml:space="preserve"> </w:t>
      </w:r>
      <w:r w:rsidRPr="00A06F1E">
        <w:t xml:space="preserve">The draft budget is then </w:t>
      </w:r>
      <w:r w:rsidR="00A17934" w:rsidRPr="00A06F1E">
        <w:t xml:space="preserve">reviewed and refined and subsequently </w:t>
      </w:r>
      <w:r w:rsidRPr="00A06F1E">
        <w:t xml:space="preserve">presented to </w:t>
      </w:r>
      <w:r w:rsidR="006441F8" w:rsidRPr="00A06F1E">
        <w:t xml:space="preserve">all three </w:t>
      </w:r>
      <w:r w:rsidRPr="00A06F1E">
        <w:t>school committee</w:t>
      </w:r>
      <w:r w:rsidR="006441F8" w:rsidRPr="00A06F1E">
        <w:t>s</w:t>
      </w:r>
      <w:r w:rsidRPr="00A06F1E">
        <w:t xml:space="preserve"> in February, followed by multiple presentations to various stakeholders, including faculty, school councils, and representatives</w:t>
      </w:r>
      <w:r w:rsidR="00AE4379" w:rsidRPr="00A06F1E">
        <w:t xml:space="preserve"> from all four</w:t>
      </w:r>
      <w:r w:rsidR="0063795B" w:rsidRPr="00A06F1E">
        <w:t xml:space="preserve"> town governments</w:t>
      </w:r>
      <w:r w:rsidRPr="00A06F1E">
        <w:t>. The feedback from these presentations is incorporated into the final budget, which is typically voted on by the school committee in April</w:t>
      </w:r>
      <w:r w:rsidR="0063795B" w:rsidRPr="00A06F1E">
        <w:t>,</w:t>
      </w:r>
      <w:r w:rsidR="004868A3" w:rsidRPr="00A06F1E">
        <w:t xml:space="preserve"> or </w:t>
      </w:r>
      <w:r w:rsidR="00252128" w:rsidRPr="00A06F1E">
        <w:t xml:space="preserve">later in </w:t>
      </w:r>
      <w:r w:rsidR="004868A3" w:rsidRPr="00A06F1E">
        <w:t>May</w:t>
      </w:r>
      <w:r w:rsidR="00252128" w:rsidRPr="00A06F1E">
        <w:t xml:space="preserve"> if initial budgets need to be revisited</w:t>
      </w:r>
      <w:r w:rsidRPr="00A06F1E">
        <w:t>.</w:t>
      </w:r>
    </w:p>
    <w:p w14:paraId="05BE6886" w14:textId="2D9004EB" w:rsidR="006C1DC9" w:rsidRPr="00E45CA4" w:rsidRDefault="005B0D63" w:rsidP="00F05D1C">
      <w:pPr>
        <w:pStyle w:val="BodyText"/>
      </w:pPr>
      <w:r w:rsidRPr="00A06F1E">
        <w:t xml:space="preserve">The superintendent highlights the importance of transparency and communication throughout this process. </w:t>
      </w:r>
      <w:r w:rsidR="00A87DE5" w:rsidRPr="00A06F1E">
        <w:t xml:space="preserve">The superintendent and finance manager </w:t>
      </w:r>
      <w:r w:rsidR="000515C7" w:rsidRPr="00A06F1E">
        <w:t xml:space="preserve">use </w:t>
      </w:r>
      <w:r w:rsidRPr="00A06F1E">
        <w:t>PowerPoint presentation</w:t>
      </w:r>
      <w:r w:rsidR="000515C7" w:rsidRPr="00A06F1E">
        <w:t>s</w:t>
      </w:r>
      <w:r w:rsidRPr="00A06F1E">
        <w:t xml:space="preserve"> to convey the budget</w:t>
      </w:r>
      <w:r w:rsidR="00040362" w:rsidRPr="00A06F1E">
        <w:t>’</w:t>
      </w:r>
      <w:r w:rsidRPr="00A06F1E">
        <w:t>s story to stakeholders</w:t>
      </w:r>
      <w:r w:rsidR="004868A3" w:rsidRPr="00A06F1E">
        <w:t xml:space="preserve"> in all of the constituent communities</w:t>
      </w:r>
      <w:r w:rsidRPr="00A06F1E">
        <w:t xml:space="preserve">, including academic performance data, special education needs, and other critical factors. This comprehensive approach aims to ensure that all relevant parties, including the towns </w:t>
      </w:r>
      <w:r w:rsidR="000179B1" w:rsidRPr="00A06F1E">
        <w:t xml:space="preserve">and school committees </w:t>
      </w:r>
      <w:r w:rsidRPr="00A06F1E">
        <w:t xml:space="preserve">within the </w:t>
      </w:r>
      <w:r w:rsidR="000179B1" w:rsidRPr="00A06F1E">
        <w:t>superintendency union</w:t>
      </w:r>
      <w:r w:rsidRPr="00A06F1E">
        <w:t xml:space="preserve">, understand and </w:t>
      </w:r>
      <w:r w:rsidR="007A134C" w:rsidRPr="00A06F1E">
        <w:t xml:space="preserve">can </w:t>
      </w:r>
      <w:r w:rsidRPr="00A06F1E">
        <w:t xml:space="preserve">support the budget. The process concludes with public hearings and final adjustments based on town feedback, ensuring that the budget aligns with both educational goals and available resources. </w:t>
      </w:r>
      <w:r w:rsidR="001B7C71" w:rsidRPr="00A06F1E">
        <w:t>The budget can be considered final when all towns finalize their budgets during spring town meetings, which take place in June</w:t>
      </w:r>
      <w:r w:rsidR="001B7C71" w:rsidRPr="00E45CA4">
        <w:t xml:space="preserve">. </w:t>
      </w:r>
      <w:r w:rsidR="009D2370" w:rsidRPr="00E45CA4">
        <w:t>Th</w:t>
      </w:r>
      <w:r w:rsidR="00B4591B" w:rsidRPr="00E45CA4">
        <w:t>e central office</w:t>
      </w:r>
      <w:r w:rsidR="00040362" w:rsidRPr="00E45CA4">
        <w:t>’</w:t>
      </w:r>
      <w:r w:rsidR="00B4591B" w:rsidRPr="00E45CA4">
        <w:t>s</w:t>
      </w:r>
      <w:r w:rsidR="009D2370" w:rsidRPr="00E45CA4">
        <w:t xml:space="preserve"> </w:t>
      </w:r>
      <w:r w:rsidR="009D2370" w:rsidRPr="00E45CA4">
        <w:lastRenderedPageBreak/>
        <w:t>comprehensive approach</w:t>
      </w:r>
      <w:r w:rsidR="00F27C89" w:rsidRPr="00E45CA4">
        <w:t xml:space="preserve"> to </w:t>
      </w:r>
      <w:r w:rsidR="001964F7" w:rsidRPr="00E45CA4">
        <w:t xml:space="preserve">internal budget planning </w:t>
      </w:r>
      <w:r w:rsidR="009D2370" w:rsidRPr="00E45CA4">
        <w:t xml:space="preserve">aims to ensure that all relevant parties, including </w:t>
      </w:r>
      <w:r w:rsidR="008135EB" w:rsidRPr="00E45CA4">
        <w:t>school leaders</w:t>
      </w:r>
      <w:r w:rsidR="009D2370" w:rsidRPr="00E45CA4">
        <w:t xml:space="preserve">, </w:t>
      </w:r>
      <w:r w:rsidR="008135EB" w:rsidRPr="00E45CA4">
        <w:t xml:space="preserve">have a voice in budget planning and that constituent towns and other stakeholders </w:t>
      </w:r>
      <w:r w:rsidR="009D2370" w:rsidRPr="00E45CA4">
        <w:t>understand and can support the budget, which is a strength.</w:t>
      </w:r>
    </w:p>
    <w:p w14:paraId="43A7044E" w14:textId="06C45DAC" w:rsidR="00AA6321" w:rsidRDefault="00D95C37" w:rsidP="00F05D1C">
      <w:pPr>
        <w:pStyle w:val="BodyText"/>
      </w:pPr>
      <w:r w:rsidRPr="00E45CA4">
        <w:t>Although the process for developing the budget is sound, the timeliness in which the budget is approved</w:t>
      </w:r>
      <w:r w:rsidR="00587F3F">
        <w:t>, together with the consistency around the approval process,</w:t>
      </w:r>
      <w:r w:rsidRPr="00E45CA4">
        <w:t xml:space="preserve"> is an area </w:t>
      </w:r>
      <w:r w:rsidR="00F82473" w:rsidRPr="00E45CA4">
        <w:t>for</w:t>
      </w:r>
      <w:r w:rsidRPr="00E45CA4">
        <w:t xml:space="preserve"> growth for the district</w:t>
      </w:r>
      <w:r w:rsidR="00B94A6F" w:rsidRPr="00E45CA4">
        <w:t xml:space="preserve">. </w:t>
      </w:r>
      <w:r w:rsidR="005B0D63" w:rsidRPr="00E45CA4">
        <w:t>One challenge</w:t>
      </w:r>
      <w:r w:rsidR="005B0D63" w:rsidRPr="00A06F1E">
        <w:t xml:space="preserve"> is </w:t>
      </w:r>
      <w:r w:rsidR="00B94A6F" w:rsidRPr="00A06F1E">
        <w:t>towns</w:t>
      </w:r>
      <w:r w:rsidR="00040362" w:rsidRPr="00A06F1E">
        <w:t>’</w:t>
      </w:r>
      <w:r w:rsidR="00B94A6F" w:rsidRPr="00A06F1E">
        <w:t xml:space="preserve"> </w:t>
      </w:r>
      <w:r w:rsidR="005C644A">
        <w:t>frequent</w:t>
      </w:r>
      <w:r w:rsidR="005C644A" w:rsidRPr="00A06F1E">
        <w:t xml:space="preserve"> </w:t>
      </w:r>
      <w:r w:rsidR="00B94A6F" w:rsidRPr="00A06F1E">
        <w:t xml:space="preserve">requests </w:t>
      </w:r>
      <w:r w:rsidR="005B0D63" w:rsidRPr="00A06F1E">
        <w:t>to make budget cuts</w:t>
      </w:r>
      <w:r w:rsidR="00B94A6F" w:rsidRPr="00A06F1E">
        <w:t xml:space="preserve"> </w:t>
      </w:r>
      <w:r w:rsidR="0094576C" w:rsidRPr="00A06F1E">
        <w:t>late in the spring budget cycle</w:t>
      </w:r>
      <w:r w:rsidR="005B0D63" w:rsidRPr="00A06F1E">
        <w:t xml:space="preserve">. A school committee member noted, </w:t>
      </w:r>
      <w:r w:rsidR="00040362" w:rsidRPr="00A06F1E">
        <w:t>“</w:t>
      </w:r>
      <w:r w:rsidR="0094576C" w:rsidRPr="00A06F1E">
        <w:t>[Often]</w:t>
      </w:r>
      <w:r w:rsidR="005B0D63" w:rsidRPr="00A06F1E">
        <w:t xml:space="preserve"> the town comes back to us and says, </w:t>
      </w:r>
      <w:r w:rsidR="00040362" w:rsidRPr="00A06F1E">
        <w:t>‘</w:t>
      </w:r>
      <w:r w:rsidR="007D036E" w:rsidRPr="00A06F1E">
        <w:t>No</w:t>
      </w:r>
      <w:r w:rsidR="005B0D63" w:rsidRPr="00A06F1E">
        <w:t>, you didn</w:t>
      </w:r>
      <w:r w:rsidR="00040362" w:rsidRPr="00A06F1E">
        <w:t>’</w:t>
      </w:r>
      <w:r w:rsidR="005B0D63" w:rsidRPr="00A06F1E">
        <w:t>t cut enough</w:t>
      </w:r>
      <w:r w:rsidR="00CA4215" w:rsidRPr="00A06F1E">
        <w:t>;</w:t>
      </w:r>
      <w:r w:rsidR="005B0D63" w:rsidRPr="00A06F1E">
        <w:t xml:space="preserve"> we need you to cut more.</w:t>
      </w:r>
      <w:r w:rsidR="00040362" w:rsidRPr="00A06F1E">
        <w:t>’</w:t>
      </w:r>
      <w:r w:rsidR="005B0D63" w:rsidRPr="00A06F1E">
        <w:t xml:space="preserve"> Last year, </w:t>
      </w:r>
      <w:r w:rsidR="001E3909" w:rsidRPr="00A06F1E">
        <w:t xml:space="preserve">[requests </w:t>
      </w:r>
      <w:r w:rsidR="005B442D" w:rsidRPr="00A06F1E">
        <w:t>for further budget reductions]</w:t>
      </w:r>
      <w:r w:rsidR="005B0D63" w:rsidRPr="00A06F1E">
        <w:t xml:space="preserve"> did happen. So we took a second vote,</w:t>
      </w:r>
      <w:r w:rsidR="00040362" w:rsidRPr="00A06F1E">
        <w:t>”</w:t>
      </w:r>
      <w:r w:rsidR="005B0D63" w:rsidRPr="00A06F1E">
        <w:t xml:space="preserve"> indicating a recurring issue </w:t>
      </w:r>
      <w:r w:rsidR="008F7BA7" w:rsidRPr="00A06F1E">
        <w:t xml:space="preserve">in which </w:t>
      </w:r>
      <w:r w:rsidR="005B0D63" w:rsidRPr="00A06F1E">
        <w:t xml:space="preserve">the district must adjust its budget </w:t>
      </w:r>
      <w:r w:rsidR="002F3B38" w:rsidRPr="00A06F1E">
        <w:t xml:space="preserve">late in the spring </w:t>
      </w:r>
      <w:r w:rsidR="005B0D63" w:rsidRPr="00A06F1E">
        <w:t>to meet the towns</w:t>
      </w:r>
      <w:r w:rsidR="00040362" w:rsidRPr="00A06F1E">
        <w:t>’</w:t>
      </w:r>
      <w:r w:rsidR="005B0D63" w:rsidRPr="00A06F1E">
        <w:t xml:space="preserve"> financial constraints. </w:t>
      </w:r>
      <w:r w:rsidR="002F3B38" w:rsidRPr="00A06F1E">
        <w:t xml:space="preserve">A related </w:t>
      </w:r>
      <w:r w:rsidR="005B0D63" w:rsidRPr="00A06F1E">
        <w:t xml:space="preserve">challenge is new </w:t>
      </w:r>
      <w:r w:rsidR="00CA76DC" w:rsidRPr="00A06F1E">
        <w:t xml:space="preserve">or unexpected </w:t>
      </w:r>
      <w:r w:rsidR="005B0D63" w:rsidRPr="00A06F1E">
        <w:t>expenses that arise after the budget has been set</w:t>
      </w:r>
      <w:r w:rsidR="00243408" w:rsidRPr="00A06F1E">
        <w:t>, which creates constraints in already tight town budgets</w:t>
      </w:r>
      <w:r w:rsidR="005B0D63" w:rsidRPr="00A06F1E">
        <w:t xml:space="preserve">. </w:t>
      </w:r>
      <w:r w:rsidR="004052EA">
        <w:t>A</w:t>
      </w:r>
      <w:r w:rsidR="004052EA" w:rsidRPr="00A06F1E">
        <w:t xml:space="preserve"> </w:t>
      </w:r>
      <w:proofErr w:type="spellStart"/>
      <w:r w:rsidR="009C779A">
        <w:t>Petersham</w:t>
      </w:r>
      <w:proofErr w:type="spellEnd"/>
      <w:r w:rsidR="00FC53FD" w:rsidRPr="00A06F1E">
        <w:t xml:space="preserve"> </w:t>
      </w:r>
      <w:r w:rsidR="005B0D63" w:rsidRPr="00A06F1E">
        <w:t xml:space="preserve">school committee </w:t>
      </w:r>
      <w:r w:rsidR="004052EA">
        <w:t xml:space="preserve">member described </w:t>
      </w:r>
      <w:r w:rsidR="00E65FBE">
        <w:t xml:space="preserve">the addition of a relatively small number of students to the elementary school from a state-run residency program as a significant, and problematic, budget impact. </w:t>
      </w:r>
      <w:r w:rsidR="00597FB0" w:rsidRPr="00A06F1E">
        <w:t xml:space="preserve">Similarly, reports in the local press </w:t>
      </w:r>
      <w:r w:rsidR="00C47376" w:rsidRPr="00A06F1E">
        <w:t xml:space="preserve">in spring 2024 </w:t>
      </w:r>
      <w:r w:rsidR="00597FB0" w:rsidRPr="00A06F1E">
        <w:t xml:space="preserve">of </w:t>
      </w:r>
      <w:r w:rsidR="00C47376" w:rsidRPr="00A06F1E">
        <w:t xml:space="preserve">the Town of Orange receiving over $300,000 in fraudulent </w:t>
      </w:r>
      <w:r w:rsidR="00587F3F">
        <w:t xml:space="preserve">municipal </w:t>
      </w:r>
      <w:r w:rsidR="00C47376" w:rsidRPr="00A06F1E">
        <w:t xml:space="preserve">invoices </w:t>
      </w:r>
      <w:r w:rsidR="00AE6BAB" w:rsidRPr="00A06F1E">
        <w:t xml:space="preserve">in the preceding year resulted </w:t>
      </w:r>
      <w:r w:rsidR="00874C8A" w:rsidRPr="00A06F1E">
        <w:t>in public meetings to discuss further cuts in town services—including schools</w:t>
      </w:r>
      <w:r w:rsidR="009B69C2" w:rsidRPr="00A06F1E">
        <w:t xml:space="preserve">—in May 2024. </w:t>
      </w:r>
    </w:p>
    <w:p w14:paraId="33303371" w14:textId="0C7663B3" w:rsidR="005B0D63" w:rsidRPr="00A06F1E" w:rsidRDefault="00AA6321" w:rsidP="00F05D1C">
      <w:pPr>
        <w:pStyle w:val="BodyText"/>
      </w:pPr>
      <w:r>
        <w:t xml:space="preserve">Beyond limited budgets presenting an annual challenge, </w:t>
      </w:r>
      <w:r w:rsidR="00A50F3D">
        <w:t>the constituent communities’ regular budget timeline presents a challenge to the superintendency union’s</w:t>
      </w:r>
      <w:r w:rsidR="0090617B">
        <w:t xml:space="preserve"> annual</w:t>
      </w:r>
      <w:r w:rsidR="00A50F3D">
        <w:t xml:space="preserve"> planning</w:t>
      </w:r>
      <w:r w:rsidR="0090617B">
        <w:t xml:space="preserve">. Relative to a </w:t>
      </w:r>
      <w:r w:rsidR="00A50F3D">
        <w:t>typical academic calendar</w:t>
      </w:r>
      <w:r w:rsidR="0090617B">
        <w:t>, final approvals come late into the spring, early summer, or later</w:t>
      </w:r>
      <w:r w:rsidR="00A50F3D">
        <w:t xml:space="preserve">. </w:t>
      </w:r>
      <w:r w:rsidR="0090617B">
        <w:t>E</w:t>
      </w:r>
      <w:r w:rsidR="009D76A7" w:rsidRPr="00A06F1E">
        <w:t xml:space="preserve">ven under ideal circumstances, respondents said, </w:t>
      </w:r>
      <w:r w:rsidR="005B0D63" w:rsidRPr="00A06F1E">
        <w:t>the process involves presenting the budget to various stakeholders and receiving feedback</w:t>
      </w:r>
      <w:r w:rsidR="002F3C17" w:rsidRPr="00A06F1E">
        <w:t xml:space="preserve"> late into the spring</w:t>
      </w:r>
      <w:r w:rsidR="005B0D63" w:rsidRPr="00A06F1E">
        <w:t xml:space="preserve">. </w:t>
      </w:r>
      <w:r w:rsidR="005E5B11">
        <w:t>P</w:t>
      </w:r>
      <w:r w:rsidR="00947EDD" w:rsidRPr="00A06F1E">
        <w:t xml:space="preserve">articipants </w:t>
      </w:r>
      <w:r w:rsidR="005E5B11">
        <w:t>reported</w:t>
      </w:r>
      <w:r w:rsidR="005E5B11" w:rsidRPr="00A06F1E">
        <w:t xml:space="preserve"> </w:t>
      </w:r>
      <w:r w:rsidR="002E1BE3" w:rsidRPr="00A06F1E">
        <w:t>that</w:t>
      </w:r>
      <w:r w:rsidR="005E5B11">
        <w:t>, after rounds of feedback,</w:t>
      </w:r>
      <w:r w:rsidR="00947EDD" w:rsidRPr="00A06F1E">
        <w:t xml:space="preserve"> </w:t>
      </w:r>
      <w:r w:rsidR="00B05D67" w:rsidRPr="00A06F1E">
        <w:t>towns can delay</w:t>
      </w:r>
      <w:r w:rsidR="00EF186E" w:rsidRPr="00A06F1E">
        <w:t xml:space="preserve"> final </w:t>
      </w:r>
      <w:r w:rsidR="00CE5005" w:rsidRPr="00A06F1E">
        <w:t xml:space="preserve">budget </w:t>
      </w:r>
      <w:r w:rsidR="00EF186E" w:rsidRPr="00A06F1E">
        <w:t xml:space="preserve">approvals until town meetings in June, which interview respondents said was late in the academic </w:t>
      </w:r>
      <w:r w:rsidR="00435801" w:rsidRPr="00A06F1E">
        <w:t>budgeting</w:t>
      </w:r>
      <w:r w:rsidR="00EF186E" w:rsidRPr="00A06F1E">
        <w:t xml:space="preserve"> cycle, and this timing can complicate matters such as planning and hiring of new staff. </w:t>
      </w:r>
      <w:r w:rsidR="00435801" w:rsidRPr="00A06F1E">
        <w:t>In general, the timing of final decisions and consistent late spring revisions from the towns complicate the budget finalization process and create additional hurdles for timely approval</w:t>
      </w:r>
      <w:r w:rsidR="00EF3347" w:rsidRPr="00A06F1E">
        <w:t xml:space="preserve"> and planning</w:t>
      </w:r>
      <w:r w:rsidR="00435801" w:rsidRPr="00A06F1E">
        <w:t>.</w:t>
      </w:r>
    </w:p>
    <w:p w14:paraId="1043824D" w14:textId="76AF9A10" w:rsidR="005D0752" w:rsidRPr="00A06F1E" w:rsidRDefault="002B4CEF" w:rsidP="005D0752">
      <w:pPr>
        <w:pStyle w:val="Heading3"/>
      </w:pPr>
      <w:r w:rsidRPr="00A06F1E">
        <w:t xml:space="preserve">DESE </w:t>
      </w:r>
      <w:r w:rsidR="005D0752" w:rsidRPr="00A06F1E">
        <w:t>Recommendations</w:t>
      </w:r>
    </w:p>
    <w:p w14:paraId="67C019DD" w14:textId="0B49D307" w:rsidR="00F40099" w:rsidRDefault="007A31A0" w:rsidP="00F40099">
      <w:pPr>
        <w:pStyle w:val="Bullet1"/>
        <w:rPr>
          <w:bCs/>
        </w:rPr>
      </w:pPr>
      <w:r>
        <w:rPr>
          <w:i/>
          <w:iCs/>
        </w:rPr>
        <w:t xml:space="preserve">The </w:t>
      </w:r>
      <w:r w:rsidR="00E2606C">
        <w:rPr>
          <w:i/>
          <w:iCs/>
        </w:rPr>
        <w:t>superintendency union</w:t>
      </w:r>
      <w:r>
        <w:rPr>
          <w:i/>
          <w:iCs/>
        </w:rPr>
        <w:t xml:space="preserve"> should </w:t>
      </w:r>
      <w:r w:rsidR="00B94EF6">
        <w:rPr>
          <w:i/>
          <w:iCs/>
        </w:rPr>
        <w:t xml:space="preserve">review </w:t>
      </w:r>
      <w:r w:rsidR="00FA7F4B">
        <w:rPr>
          <w:i/>
          <w:iCs/>
        </w:rPr>
        <w:t>its</w:t>
      </w:r>
      <w:r>
        <w:rPr>
          <w:i/>
          <w:iCs/>
        </w:rPr>
        <w:t xml:space="preserve"> process for evaluating </w:t>
      </w:r>
      <w:r w:rsidR="00E2606C">
        <w:rPr>
          <w:i/>
          <w:iCs/>
        </w:rPr>
        <w:t xml:space="preserve">the superintendent </w:t>
      </w:r>
      <w:r w:rsidR="00B94EF6">
        <w:rPr>
          <w:i/>
          <w:iCs/>
        </w:rPr>
        <w:t xml:space="preserve">for </w:t>
      </w:r>
      <w:r w:rsidR="00E90ED7">
        <w:rPr>
          <w:i/>
          <w:iCs/>
        </w:rPr>
        <w:t xml:space="preserve">timeliness and </w:t>
      </w:r>
      <w:r w:rsidR="00B94EF6">
        <w:rPr>
          <w:i/>
          <w:iCs/>
        </w:rPr>
        <w:t xml:space="preserve">alignment with </w:t>
      </w:r>
      <w:r w:rsidR="00F40099">
        <w:rPr>
          <w:i/>
          <w:iCs/>
        </w:rPr>
        <w:t>DESE’s superintendent rubric.</w:t>
      </w:r>
      <w:r w:rsidR="00F40099">
        <w:rPr>
          <w:bCs/>
        </w:rPr>
        <w:t xml:space="preserve"> </w:t>
      </w:r>
    </w:p>
    <w:p w14:paraId="7B957F0B" w14:textId="7EF7547B" w:rsidR="008C2C6F" w:rsidRDefault="008C2C6F" w:rsidP="00F40099">
      <w:pPr>
        <w:pStyle w:val="Bullet1"/>
        <w:rPr>
          <w:bCs/>
        </w:rPr>
      </w:pPr>
      <w:r>
        <w:rPr>
          <w:i/>
          <w:iCs/>
        </w:rPr>
        <w:t xml:space="preserve">The superintendency union should develop and implement a plan </w:t>
      </w:r>
      <w:r w:rsidR="00457D09">
        <w:rPr>
          <w:i/>
          <w:iCs/>
        </w:rPr>
        <w:t>to improve</w:t>
      </w:r>
      <w:r>
        <w:rPr>
          <w:i/>
          <w:iCs/>
        </w:rPr>
        <w:t xml:space="preserve"> </w:t>
      </w:r>
      <w:r w:rsidR="00457D09">
        <w:rPr>
          <w:i/>
          <w:iCs/>
        </w:rPr>
        <w:t xml:space="preserve">communication </w:t>
      </w:r>
      <w:r>
        <w:rPr>
          <w:i/>
          <w:iCs/>
        </w:rPr>
        <w:t xml:space="preserve">and </w:t>
      </w:r>
      <w:r w:rsidR="00457D09">
        <w:rPr>
          <w:i/>
          <w:iCs/>
        </w:rPr>
        <w:t xml:space="preserve">collaboration </w:t>
      </w:r>
      <w:r>
        <w:rPr>
          <w:i/>
          <w:iCs/>
        </w:rPr>
        <w:t>across all three school committees</w:t>
      </w:r>
      <w:r w:rsidR="004C3C38">
        <w:rPr>
          <w:i/>
          <w:iCs/>
        </w:rPr>
        <w:t>.</w:t>
      </w:r>
      <w:r w:rsidR="004C3C38">
        <w:rPr>
          <w:bCs/>
        </w:rPr>
        <w:t xml:space="preserve"> </w:t>
      </w:r>
    </w:p>
    <w:p w14:paraId="439C3EEC" w14:textId="50825CDD" w:rsidR="004C3C38" w:rsidRPr="001C0336" w:rsidRDefault="00F70E82" w:rsidP="00F40099">
      <w:pPr>
        <w:pStyle w:val="Bullet1"/>
        <w:rPr>
          <w:bCs/>
          <w:i/>
          <w:iCs/>
        </w:rPr>
      </w:pPr>
      <w:r w:rsidRPr="001C0336">
        <w:rPr>
          <w:bCs/>
          <w:i/>
          <w:iCs/>
        </w:rPr>
        <w:t xml:space="preserve">The superintendency union should develop and/or adapt existing guidance for school councils to ensure that all councils are </w:t>
      </w:r>
      <w:r w:rsidR="00AA2047" w:rsidRPr="001C0336">
        <w:rPr>
          <w:bCs/>
          <w:i/>
          <w:iCs/>
        </w:rPr>
        <w:t>elected, as required by state law, and</w:t>
      </w:r>
      <w:r w:rsidR="00DC05DC" w:rsidRPr="001C0336">
        <w:rPr>
          <w:bCs/>
          <w:i/>
          <w:iCs/>
        </w:rPr>
        <w:t xml:space="preserve"> that </w:t>
      </w:r>
      <w:r w:rsidR="00873AC4" w:rsidRPr="001C0336">
        <w:rPr>
          <w:bCs/>
          <w:i/>
          <w:iCs/>
        </w:rPr>
        <w:t>council</w:t>
      </w:r>
      <w:r w:rsidR="004A512D" w:rsidRPr="001C0336">
        <w:rPr>
          <w:bCs/>
          <w:i/>
          <w:iCs/>
        </w:rPr>
        <w:t>s are inclusive and productive decision-making bodies.</w:t>
      </w:r>
    </w:p>
    <w:p w14:paraId="6395A8E8" w14:textId="7D7C6F0C" w:rsidR="00B737BB" w:rsidRPr="001C0336" w:rsidRDefault="004A512D" w:rsidP="00F40099">
      <w:pPr>
        <w:pStyle w:val="Bullet1"/>
        <w:rPr>
          <w:bCs/>
          <w:i/>
          <w:iCs/>
        </w:rPr>
      </w:pPr>
      <w:r w:rsidRPr="001C0336">
        <w:rPr>
          <w:bCs/>
          <w:i/>
          <w:iCs/>
        </w:rPr>
        <w:t xml:space="preserve">The superintendency union </w:t>
      </w:r>
      <w:r w:rsidR="005E57C0">
        <w:rPr>
          <w:bCs/>
          <w:i/>
          <w:iCs/>
        </w:rPr>
        <w:t xml:space="preserve">should </w:t>
      </w:r>
      <w:r w:rsidR="00BA7F1A">
        <w:rPr>
          <w:bCs/>
          <w:i/>
          <w:iCs/>
        </w:rPr>
        <w:t xml:space="preserve">evaluate its progress </w:t>
      </w:r>
      <w:r w:rsidR="00B737BB" w:rsidRPr="001C0336">
        <w:rPr>
          <w:bCs/>
          <w:i/>
          <w:iCs/>
        </w:rPr>
        <w:t xml:space="preserve">toward </w:t>
      </w:r>
      <w:r w:rsidR="00BA7F1A">
        <w:rPr>
          <w:bCs/>
          <w:i/>
          <w:iCs/>
        </w:rPr>
        <w:t xml:space="preserve">strategic plan </w:t>
      </w:r>
      <w:r w:rsidR="00B737BB" w:rsidRPr="001C0336">
        <w:rPr>
          <w:bCs/>
          <w:i/>
          <w:iCs/>
        </w:rPr>
        <w:t>objectives and regularly share this information with its school committees and</w:t>
      </w:r>
      <w:r w:rsidR="00585928" w:rsidRPr="001C0336">
        <w:rPr>
          <w:bCs/>
          <w:i/>
          <w:iCs/>
        </w:rPr>
        <w:t xml:space="preserve"> the broader community. </w:t>
      </w:r>
    </w:p>
    <w:p w14:paraId="1DC738E6" w14:textId="2A316CB7" w:rsidR="008D6102" w:rsidRPr="001C0336" w:rsidRDefault="00D77BA5" w:rsidP="001C0336">
      <w:pPr>
        <w:pStyle w:val="Bullet1"/>
        <w:rPr>
          <w:bCs/>
          <w:i/>
          <w:iCs/>
        </w:rPr>
      </w:pPr>
      <w:r w:rsidRPr="001C0336">
        <w:rPr>
          <w:bCs/>
          <w:i/>
          <w:iCs/>
        </w:rPr>
        <w:t xml:space="preserve">The superintendency union should work with </w:t>
      </w:r>
      <w:r w:rsidR="000263F8" w:rsidRPr="001C0336">
        <w:rPr>
          <w:bCs/>
          <w:i/>
          <w:iCs/>
        </w:rPr>
        <w:t>the governing bodies of each of its respective towns to identify opportunities to</w:t>
      </w:r>
      <w:r w:rsidR="003A5D79" w:rsidRPr="001C0336">
        <w:rPr>
          <w:bCs/>
          <w:i/>
          <w:iCs/>
        </w:rPr>
        <w:t xml:space="preserve"> condense the budget approval process at the municipal level. </w:t>
      </w:r>
    </w:p>
    <w:p w14:paraId="7EDE9323" w14:textId="67607EC4" w:rsidR="008D6102" w:rsidRPr="00A06F1E" w:rsidRDefault="008D6102" w:rsidP="008D6102">
      <w:pPr>
        <w:pStyle w:val="Heading2"/>
      </w:pPr>
      <w:bookmarkStart w:id="32" w:name="_Curriculum_and_Instruction"/>
      <w:bookmarkStart w:id="33" w:name="_Toc101446228"/>
      <w:bookmarkStart w:id="34" w:name="_Toc170701355"/>
      <w:bookmarkStart w:id="35" w:name="_Toc170896578"/>
      <w:bookmarkEnd w:id="32"/>
      <w:r w:rsidRPr="00A06F1E">
        <w:lastRenderedPageBreak/>
        <w:t>Curriculum and Instruction</w:t>
      </w:r>
      <w:bookmarkEnd w:id="33"/>
      <w:bookmarkEnd w:id="34"/>
      <w:bookmarkEnd w:id="35"/>
    </w:p>
    <w:p w14:paraId="44357D99" w14:textId="71BA1688" w:rsidR="006C1DC9" w:rsidRPr="00A06F1E" w:rsidRDefault="000D6A8E" w:rsidP="0041058B">
      <w:pPr>
        <w:pStyle w:val="BodyText"/>
      </w:pPr>
      <w:r>
        <w:t>RCM &amp; SU 73</w:t>
      </w:r>
      <w:r w:rsidR="00064B18" w:rsidRPr="00A06F1E">
        <w:t xml:space="preserve"> has a clear</w:t>
      </w:r>
      <w:r w:rsidR="00964501" w:rsidRPr="00A06F1E">
        <w:t xml:space="preserve">, formal </w:t>
      </w:r>
      <w:r w:rsidR="00064B18" w:rsidRPr="00A06F1E">
        <w:t>process for reviewing and selecting curr</w:t>
      </w:r>
      <w:r w:rsidR="00613D0A" w:rsidRPr="00A06F1E">
        <w:t>icula</w:t>
      </w:r>
      <w:r w:rsidR="001D1FF6" w:rsidRPr="00A06F1E">
        <w:t xml:space="preserve">. The process involves convening </w:t>
      </w:r>
      <w:r w:rsidR="00F945D2" w:rsidRPr="00A06F1E">
        <w:t>central office</w:t>
      </w:r>
      <w:r w:rsidR="001D1FF6" w:rsidRPr="00A06F1E">
        <w:t>- and school-based staff to form a curricular review team</w:t>
      </w:r>
      <w:r w:rsidR="00964501" w:rsidRPr="00A06F1E">
        <w:t xml:space="preserve"> and gathering feedback from</w:t>
      </w:r>
      <w:r w:rsidR="00503E4B" w:rsidRPr="00A06F1E">
        <w:t xml:space="preserve"> </w:t>
      </w:r>
      <w:r w:rsidR="00E9365A" w:rsidRPr="00A06F1E">
        <w:t>school-based educators</w:t>
      </w:r>
      <w:r w:rsidR="001D1FF6" w:rsidRPr="00A06F1E">
        <w:t xml:space="preserve">. </w:t>
      </w:r>
      <w:r w:rsidR="48FFE683" w:rsidRPr="00A06F1E">
        <w:t>C</w:t>
      </w:r>
      <w:r w:rsidR="00D60E75" w:rsidRPr="00A06F1E">
        <w:t xml:space="preserve">urricular reviews </w:t>
      </w:r>
      <w:r w:rsidR="004B4E9F" w:rsidRPr="00A06F1E">
        <w:t xml:space="preserve">prioritize alignment </w:t>
      </w:r>
      <w:r w:rsidR="00C22BDD">
        <w:t>with</w:t>
      </w:r>
      <w:r w:rsidR="00C22BDD" w:rsidRPr="00A06F1E">
        <w:t xml:space="preserve"> </w:t>
      </w:r>
      <w:r w:rsidR="004B4E9F" w:rsidRPr="00A06F1E">
        <w:t>state standards and CURATE</w:t>
      </w:r>
      <w:r w:rsidR="00615366" w:rsidRPr="00A06F1E">
        <w:rPr>
          <w:rStyle w:val="FootnoteReference"/>
        </w:rPr>
        <w:footnoteReference w:id="6"/>
      </w:r>
      <w:r w:rsidR="004B4E9F" w:rsidRPr="00A06F1E">
        <w:t xml:space="preserve"> ratings </w:t>
      </w:r>
      <w:r w:rsidR="002F03B2" w:rsidRPr="00A06F1E">
        <w:t>in order to guide the selection of resources to best meet student needs.</w:t>
      </w:r>
    </w:p>
    <w:p w14:paraId="35A1AFBD" w14:textId="6ADDE867" w:rsidR="006C1DC9" w:rsidRPr="00A06F1E" w:rsidRDefault="000D6A8E" w:rsidP="0041058B">
      <w:pPr>
        <w:pStyle w:val="BodyText"/>
      </w:pPr>
      <w:r>
        <w:t>RCM &amp; SU 73</w:t>
      </w:r>
      <w:r w:rsidR="00853201" w:rsidRPr="00A06F1E">
        <w:t xml:space="preserve"> </w:t>
      </w:r>
      <w:r w:rsidR="006671F2" w:rsidRPr="00A06F1E">
        <w:t xml:space="preserve">currently </w:t>
      </w:r>
      <w:r w:rsidR="00C70C4C" w:rsidRPr="00A06F1E">
        <w:t>uses a variety of curricula across schools</w:t>
      </w:r>
      <w:r w:rsidR="00812177" w:rsidRPr="00A06F1E">
        <w:t xml:space="preserve"> for ELA: </w:t>
      </w:r>
      <w:r w:rsidR="00CF4F71">
        <w:t>Fisher Hill</w:t>
      </w:r>
      <w:r w:rsidR="00605F2D" w:rsidRPr="00A06F1E">
        <w:t xml:space="preserve"> and </w:t>
      </w:r>
      <w:proofErr w:type="spellStart"/>
      <w:r w:rsidR="00652B48">
        <w:t>Petersham</w:t>
      </w:r>
      <w:proofErr w:type="spellEnd"/>
      <w:r w:rsidR="00652B48">
        <w:t xml:space="preserve"> Center</w:t>
      </w:r>
      <w:r w:rsidR="00863859" w:rsidRPr="00A06F1E">
        <w:t xml:space="preserve"> </w:t>
      </w:r>
      <w:r w:rsidR="00605F2D" w:rsidRPr="00A06F1E">
        <w:t xml:space="preserve">use </w:t>
      </w:r>
      <w:r w:rsidR="006671F2" w:rsidRPr="00A06F1E">
        <w:t>McGraw Hill Wonders for Grades K-</w:t>
      </w:r>
      <w:r w:rsidR="008E03C9" w:rsidRPr="00A06F1E">
        <w:t>6</w:t>
      </w:r>
      <w:r w:rsidR="007238F6" w:rsidRPr="00A06F1E">
        <w:t>, whereas</w:t>
      </w:r>
      <w:r w:rsidR="00605F2D" w:rsidRPr="00A06F1E">
        <w:t xml:space="preserve"> </w:t>
      </w:r>
      <w:r w:rsidR="00EF2113" w:rsidRPr="00A06F1E">
        <w:t>Mahar</w:t>
      </w:r>
      <w:r w:rsidR="00D02038" w:rsidRPr="00A06F1E">
        <w:t xml:space="preserve"> Regional</w:t>
      </w:r>
      <w:r w:rsidR="00EF2113" w:rsidRPr="00A06F1E">
        <w:t xml:space="preserve"> uses </w:t>
      </w:r>
      <w:r w:rsidR="007F5CBD" w:rsidRPr="00A06F1E">
        <w:t>HMH</w:t>
      </w:r>
      <w:r w:rsidR="002D70F9" w:rsidRPr="00A06F1E">
        <w:t xml:space="preserve"> Into Literature for Grades 7 and 8 </w:t>
      </w:r>
      <w:r w:rsidR="006F4964" w:rsidRPr="00A06F1E">
        <w:t xml:space="preserve">and </w:t>
      </w:r>
      <w:r w:rsidR="007D3A7E" w:rsidRPr="00A06F1E">
        <w:t xml:space="preserve">teacher-created resources for Grades 9-12. </w:t>
      </w:r>
      <w:r w:rsidR="002671AE" w:rsidRPr="00A06F1E">
        <w:t xml:space="preserve">For mathematics, </w:t>
      </w:r>
      <w:proofErr w:type="spellStart"/>
      <w:r w:rsidR="00652B48">
        <w:t>Petersham</w:t>
      </w:r>
      <w:proofErr w:type="spellEnd"/>
      <w:r w:rsidR="00652B48">
        <w:t xml:space="preserve"> Center</w:t>
      </w:r>
      <w:r w:rsidR="0000030E" w:rsidRPr="00A06F1E">
        <w:t xml:space="preserve"> uses </w:t>
      </w:r>
      <w:r w:rsidR="005E6BD6" w:rsidRPr="00A06F1E">
        <w:t>Curriculum Associates i</w:t>
      </w:r>
      <w:r w:rsidR="007238F6" w:rsidRPr="00A06F1E">
        <w:t>-</w:t>
      </w:r>
      <w:r w:rsidR="005E6BD6" w:rsidRPr="00A06F1E">
        <w:t>Ready</w:t>
      </w:r>
      <w:r w:rsidR="007238F6" w:rsidRPr="00A06F1E">
        <w:t>, whereas</w:t>
      </w:r>
      <w:r w:rsidR="005E6BD6" w:rsidRPr="00A06F1E">
        <w:t xml:space="preserve"> </w:t>
      </w:r>
      <w:r w:rsidR="00CF4F71">
        <w:t>Fisher Hill</w:t>
      </w:r>
      <w:r w:rsidR="00605F2D" w:rsidRPr="00A06F1E">
        <w:t xml:space="preserve"> uses </w:t>
      </w:r>
      <w:r w:rsidR="005E6BD6" w:rsidRPr="00A06F1E">
        <w:t>Zearn for Grades</w:t>
      </w:r>
      <w:r w:rsidR="00A06F1E">
        <w:t> </w:t>
      </w:r>
      <w:r w:rsidR="005E6BD6" w:rsidRPr="00A06F1E">
        <w:t>K</w:t>
      </w:r>
      <w:r w:rsidR="00D12656" w:rsidRPr="00A06F1E">
        <w:noBreakHyphen/>
      </w:r>
      <w:r w:rsidR="005E6BD6" w:rsidRPr="00A06F1E">
        <w:t>6</w:t>
      </w:r>
      <w:r w:rsidR="00312672" w:rsidRPr="00A06F1E">
        <w:t xml:space="preserve">. </w:t>
      </w:r>
      <w:r w:rsidR="00EF2113" w:rsidRPr="00A06F1E">
        <w:t xml:space="preserve">Mahar </w:t>
      </w:r>
      <w:r w:rsidR="00D02038" w:rsidRPr="00A06F1E">
        <w:t xml:space="preserve">Regional </w:t>
      </w:r>
      <w:r w:rsidR="00EF2113" w:rsidRPr="00A06F1E">
        <w:t xml:space="preserve">uses </w:t>
      </w:r>
      <w:r w:rsidR="00AD5FF4" w:rsidRPr="00A06F1E">
        <w:t>Fishtank Plus Math for Grades 7 and 8</w:t>
      </w:r>
      <w:r w:rsidR="00EF2113" w:rsidRPr="00A06F1E">
        <w:t xml:space="preserve"> </w:t>
      </w:r>
      <w:r w:rsidR="00AD5FF4" w:rsidRPr="00A06F1E">
        <w:t xml:space="preserve">and </w:t>
      </w:r>
      <w:r w:rsidR="003C74F1" w:rsidRPr="00A06F1E">
        <w:t xml:space="preserve">teacher-created resources for </w:t>
      </w:r>
      <w:r w:rsidR="007238F6" w:rsidRPr="00A06F1E">
        <w:t xml:space="preserve">mathematics in </w:t>
      </w:r>
      <w:r w:rsidR="003C74F1" w:rsidRPr="00A06F1E">
        <w:t>Grades 9-12</w:t>
      </w:r>
      <w:r w:rsidR="00D91104" w:rsidRPr="00A06F1E">
        <w:t xml:space="preserve">. </w:t>
      </w:r>
      <w:r w:rsidR="001F6D5C" w:rsidRPr="00A06F1E">
        <w:t>For science and social studies, t</w:t>
      </w:r>
      <w:r w:rsidR="00FF4487" w:rsidRPr="00A06F1E">
        <w:t>he district</w:t>
      </w:r>
      <w:r w:rsidR="003A7087" w:rsidRPr="00A06F1E">
        <w:t xml:space="preserve">s within </w:t>
      </w:r>
      <w:r>
        <w:t>RCM &amp; SU 73</w:t>
      </w:r>
      <w:r w:rsidR="00FF4487" w:rsidRPr="00A06F1E">
        <w:t xml:space="preserve"> use </w:t>
      </w:r>
      <w:r w:rsidR="00D33ACF" w:rsidRPr="00A06F1E">
        <w:t>a variety of teacher-developed and published curricula</w:t>
      </w:r>
      <w:r w:rsidR="001F6D5C" w:rsidRPr="00A06F1E">
        <w:t>.</w:t>
      </w:r>
    </w:p>
    <w:p w14:paraId="654F2607" w14:textId="6B5D082F" w:rsidR="000B66C1" w:rsidRPr="00A06F1E" w:rsidRDefault="000B66C1" w:rsidP="00473308">
      <w:pPr>
        <w:pStyle w:val="BodyText"/>
      </w:pPr>
      <w:r w:rsidRPr="00A06F1E">
        <w:t xml:space="preserve">Table </w:t>
      </w:r>
      <w:r w:rsidR="00BD049B" w:rsidRPr="00A06F1E">
        <w:t xml:space="preserve">3 </w:t>
      </w:r>
      <w:r w:rsidRPr="00A06F1E">
        <w:t>summarizes key strengths and areas for growth in curriculum and instruction.</w:t>
      </w:r>
    </w:p>
    <w:p w14:paraId="7925A4CF" w14:textId="55FE6BC2" w:rsidR="00473308" w:rsidRPr="00A06F1E" w:rsidRDefault="00473308" w:rsidP="00473308">
      <w:pPr>
        <w:pStyle w:val="TableTitle0"/>
      </w:pPr>
      <w:bookmarkStart w:id="36" w:name="_Toc170701902"/>
      <w:r w:rsidRPr="00A06F1E">
        <w:t xml:space="preserve">Table </w:t>
      </w:r>
      <w:r w:rsidR="00163C7A" w:rsidRPr="00A06F1E">
        <w:t>3</w:t>
      </w:r>
      <w:r w:rsidRPr="00A06F1E">
        <w:t xml:space="preserve">. Summary of </w:t>
      </w:r>
      <w:r w:rsidR="000B66C1" w:rsidRPr="00A06F1E">
        <w:t xml:space="preserve">Key Strengths </w:t>
      </w:r>
      <w:r w:rsidRPr="00A06F1E">
        <w:t xml:space="preserve">and </w:t>
      </w:r>
      <w:r w:rsidR="000B66C1" w:rsidRPr="00A06F1E">
        <w:t xml:space="preserve">Areas </w:t>
      </w:r>
      <w:r w:rsidRPr="00A06F1E">
        <w:t xml:space="preserve">for </w:t>
      </w:r>
      <w:r w:rsidR="000B66C1" w:rsidRPr="00A06F1E">
        <w:t>Growth:</w:t>
      </w:r>
      <w:r w:rsidRPr="00A06F1E">
        <w:t xml:space="preserve"> Curriculum and Instruction</w:t>
      </w:r>
      <w:r w:rsidR="00C0766E" w:rsidRPr="00A06F1E">
        <w:t xml:space="preserve"> Standard</w:t>
      </w:r>
      <w:bookmarkEnd w:id="36"/>
    </w:p>
    <w:tbl>
      <w:tblPr>
        <w:tblStyle w:val="MSVTable1"/>
        <w:tblW w:w="5000" w:type="pct"/>
        <w:tblLook w:val="04A0" w:firstRow="1" w:lastRow="0" w:firstColumn="1" w:lastColumn="0" w:noHBand="0" w:noVBand="1"/>
      </w:tblPr>
      <w:tblGrid>
        <w:gridCol w:w="2064"/>
        <w:gridCol w:w="3597"/>
        <w:gridCol w:w="3683"/>
      </w:tblGrid>
      <w:tr w:rsidR="00473308" w:rsidRPr="00A06F1E" w14:paraId="24E33970" w14:textId="77777777" w:rsidTr="00473308">
        <w:trPr>
          <w:cnfStyle w:val="100000000000" w:firstRow="1" w:lastRow="0" w:firstColumn="0" w:lastColumn="0" w:oddVBand="0" w:evenVBand="0" w:oddHBand="0" w:evenHBand="0" w:firstRowFirstColumn="0" w:firstRowLastColumn="0" w:lastRowFirstColumn="0" w:lastRowLastColumn="0"/>
        </w:trPr>
        <w:tc>
          <w:tcPr>
            <w:tcW w:w="1104" w:type="pct"/>
          </w:tcPr>
          <w:p w14:paraId="34309A87" w14:textId="77777777" w:rsidR="00473308" w:rsidRPr="00DF7902" w:rsidRDefault="00473308" w:rsidP="00473308">
            <w:pPr>
              <w:pStyle w:val="TableColHeadingCenter"/>
            </w:pPr>
            <w:r w:rsidRPr="00DF7902">
              <w:t>Indicator</w:t>
            </w:r>
          </w:p>
        </w:tc>
        <w:tc>
          <w:tcPr>
            <w:tcW w:w="1925" w:type="pct"/>
          </w:tcPr>
          <w:p w14:paraId="47A4F44D" w14:textId="77777777" w:rsidR="00473308" w:rsidRPr="00A06F1E" w:rsidRDefault="00473308" w:rsidP="00473308">
            <w:pPr>
              <w:pStyle w:val="TableColHeadingCenter"/>
            </w:pPr>
            <w:r w:rsidRPr="00A06F1E">
              <w:t>Strengths</w:t>
            </w:r>
          </w:p>
        </w:tc>
        <w:tc>
          <w:tcPr>
            <w:tcW w:w="1971" w:type="pct"/>
          </w:tcPr>
          <w:p w14:paraId="1E3CFDD9" w14:textId="5DA986FA" w:rsidR="00473308" w:rsidRPr="00A06F1E" w:rsidRDefault="00473308" w:rsidP="00473308">
            <w:pPr>
              <w:pStyle w:val="TableColHeadingCenter"/>
            </w:pPr>
            <w:r w:rsidRPr="00A06F1E">
              <w:t xml:space="preserve">Areas for </w:t>
            </w:r>
            <w:r w:rsidR="000B66C1" w:rsidRPr="00A06F1E">
              <w:t>g</w:t>
            </w:r>
            <w:r w:rsidRPr="00A06F1E">
              <w:t>rowth</w:t>
            </w:r>
          </w:p>
        </w:tc>
      </w:tr>
      <w:tr w:rsidR="00473308" w:rsidRPr="00A06F1E" w14:paraId="1369F705" w14:textId="77777777" w:rsidTr="00473308">
        <w:trPr>
          <w:cnfStyle w:val="000000100000" w:firstRow="0" w:lastRow="0" w:firstColumn="0" w:lastColumn="0" w:oddVBand="0" w:evenVBand="0" w:oddHBand="1" w:evenHBand="0" w:firstRowFirstColumn="0" w:firstRowLastColumn="0" w:lastRowFirstColumn="0" w:lastRowLastColumn="0"/>
        </w:trPr>
        <w:tc>
          <w:tcPr>
            <w:tcW w:w="1104" w:type="pct"/>
          </w:tcPr>
          <w:p w14:paraId="3C1F3BBB" w14:textId="23E7E201" w:rsidR="00473308" w:rsidRPr="00A06F1E" w:rsidRDefault="00000000" w:rsidP="00473308">
            <w:pPr>
              <w:pStyle w:val="TableSubheading"/>
            </w:pPr>
            <w:hyperlink w:anchor="_Curriculum_Selection_and" w:history="1">
              <w:r w:rsidR="00473308" w:rsidRPr="00A06F1E">
                <w:rPr>
                  <w:rStyle w:val="Hyperlink"/>
                </w:rPr>
                <w:t xml:space="preserve">Curriculum </w:t>
              </w:r>
              <w:r w:rsidR="000B66C1" w:rsidRPr="00A06F1E">
                <w:rPr>
                  <w:rStyle w:val="Hyperlink"/>
                </w:rPr>
                <w:t>s</w:t>
              </w:r>
              <w:r w:rsidR="00473308" w:rsidRPr="00A06F1E">
                <w:rPr>
                  <w:rStyle w:val="Hyperlink"/>
                </w:rPr>
                <w:t xml:space="preserve">election and </w:t>
              </w:r>
              <w:r w:rsidR="000B66C1" w:rsidRPr="00A06F1E">
                <w:rPr>
                  <w:rStyle w:val="Hyperlink"/>
                </w:rPr>
                <w:t>u</w:t>
              </w:r>
              <w:r w:rsidR="00473308" w:rsidRPr="00A06F1E">
                <w:rPr>
                  <w:rStyle w:val="Hyperlink"/>
                </w:rPr>
                <w:t>se</w:t>
              </w:r>
            </w:hyperlink>
          </w:p>
        </w:tc>
        <w:tc>
          <w:tcPr>
            <w:tcW w:w="1925" w:type="pct"/>
          </w:tcPr>
          <w:p w14:paraId="4EBC7B6F" w14:textId="4FF3C394" w:rsidR="00473308" w:rsidRPr="00A06F1E" w:rsidRDefault="00936EA0" w:rsidP="00473308">
            <w:pPr>
              <w:pStyle w:val="TableBullet1"/>
            </w:pPr>
            <w:r w:rsidRPr="00A06F1E">
              <w:t>A clear process is in place for reviewing and selecting curricular materials in all subjects.</w:t>
            </w:r>
          </w:p>
        </w:tc>
        <w:tc>
          <w:tcPr>
            <w:tcW w:w="1971" w:type="pct"/>
          </w:tcPr>
          <w:p w14:paraId="2FD82E03" w14:textId="0E69133C" w:rsidR="00A94791" w:rsidRPr="00A06F1E" w:rsidRDefault="00EE3804" w:rsidP="00F05D1C">
            <w:pPr>
              <w:pStyle w:val="TableBullet1"/>
            </w:pPr>
            <w:r w:rsidRPr="00A06F1E">
              <w:t>Aligning curriculum</w:t>
            </w:r>
            <w:r w:rsidR="65587BBB" w:rsidRPr="00A06F1E">
              <w:t xml:space="preserve">, both vertically and </w:t>
            </w:r>
            <w:r w:rsidR="0C9FB343" w:rsidRPr="00A06F1E">
              <w:t>horizontally</w:t>
            </w:r>
            <w:r w:rsidR="00314824" w:rsidRPr="00A06F1E">
              <w:t>,</w:t>
            </w:r>
            <w:r w:rsidRPr="00A06F1E">
              <w:t xml:space="preserve"> </w:t>
            </w:r>
            <w:r w:rsidR="00FF4780" w:rsidRPr="00A06F1E">
              <w:t>across content areas</w:t>
            </w:r>
            <w:r w:rsidR="009537B5" w:rsidRPr="00A06F1E">
              <w:t xml:space="preserve"> and schools</w:t>
            </w:r>
          </w:p>
        </w:tc>
      </w:tr>
      <w:tr w:rsidR="00473308" w:rsidRPr="00A06F1E" w14:paraId="6F5158ED" w14:textId="77777777" w:rsidTr="00473308">
        <w:tc>
          <w:tcPr>
            <w:tcW w:w="1104" w:type="pct"/>
          </w:tcPr>
          <w:p w14:paraId="63362AB2" w14:textId="2FCE941A" w:rsidR="00473308" w:rsidRPr="00A06F1E" w:rsidRDefault="00000000" w:rsidP="00473308">
            <w:pPr>
              <w:pStyle w:val="TableSubheading"/>
            </w:pPr>
            <w:hyperlink w:anchor="_Classroom_Instruction" w:history="1">
              <w:r w:rsidR="00473308" w:rsidRPr="00A06F1E">
                <w:rPr>
                  <w:rStyle w:val="Hyperlink"/>
                </w:rPr>
                <w:t xml:space="preserve">Classroom </w:t>
              </w:r>
              <w:r w:rsidR="000B66C1" w:rsidRPr="00A06F1E">
                <w:rPr>
                  <w:rStyle w:val="Hyperlink"/>
                </w:rPr>
                <w:t>i</w:t>
              </w:r>
              <w:r w:rsidR="00473308" w:rsidRPr="00A06F1E">
                <w:rPr>
                  <w:rStyle w:val="Hyperlink"/>
                </w:rPr>
                <w:t>nstruction</w:t>
              </w:r>
            </w:hyperlink>
          </w:p>
        </w:tc>
        <w:tc>
          <w:tcPr>
            <w:tcW w:w="1925" w:type="pct"/>
          </w:tcPr>
          <w:p w14:paraId="771C5558" w14:textId="7013AC47" w:rsidR="00473308" w:rsidRPr="00A06F1E" w:rsidRDefault="00F945D2" w:rsidP="00473308">
            <w:pPr>
              <w:pStyle w:val="TableBullet1"/>
            </w:pPr>
            <w:r w:rsidRPr="00A06F1E">
              <w:t xml:space="preserve">Central office </w:t>
            </w:r>
            <w:r w:rsidR="00020A8E" w:rsidRPr="00A06F1E">
              <w:t xml:space="preserve">and </w:t>
            </w:r>
            <w:r w:rsidR="009E5EE1" w:rsidRPr="00A06F1E">
              <w:t>SIP</w:t>
            </w:r>
            <w:r w:rsidR="00020A8E" w:rsidRPr="00A06F1E">
              <w:t>s clearly articulate aligned instructional goals.</w:t>
            </w:r>
          </w:p>
          <w:p w14:paraId="27E8B156" w14:textId="3D1BBB20" w:rsidR="00300EC0" w:rsidRPr="00A06F1E" w:rsidRDefault="00300EC0" w:rsidP="00473308">
            <w:pPr>
              <w:pStyle w:val="TableBullet1"/>
            </w:pPr>
            <w:r w:rsidRPr="00A06F1E">
              <w:t xml:space="preserve">High scores in the classroom organization domain </w:t>
            </w:r>
            <w:r w:rsidR="00EC1260">
              <w:t>indicate orderly classrooms</w:t>
            </w:r>
            <w:r w:rsidRPr="00A06F1E">
              <w:t xml:space="preserve"> across all grade bands.</w:t>
            </w:r>
          </w:p>
        </w:tc>
        <w:tc>
          <w:tcPr>
            <w:tcW w:w="1971" w:type="pct"/>
          </w:tcPr>
          <w:p w14:paraId="6B6C1B64" w14:textId="680211D5" w:rsidR="00473308" w:rsidRPr="00A06F1E" w:rsidRDefault="000C6F06" w:rsidP="00473308">
            <w:pPr>
              <w:pStyle w:val="TableBullet1"/>
            </w:pPr>
            <w:r w:rsidRPr="00A06F1E" w:rsidDel="00C51972">
              <w:t xml:space="preserve">Improving </w:t>
            </w:r>
            <w:r w:rsidR="001B5192" w:rsidRPr="00A06F1E">
              <w:t>professional learning structures to support teachers with curriculum implementation</w:t>
            </w:r>
            <w:r w:rsidR="0051188E" w:rsidRPr="00A06F1E">
              <w:t xml:space="preserve"> </w:t>
            </w:r>
          </w:p>
          <w:p w14:paraId="24E7E538" w14:textId="3272F60A" w:rsidR="00473308" w:rsidRPr="00A06F1E" w:rsidRDefault="553CCF68" w:rsidP="00473308">
            <w:pPr>
              <w:pStyle w:val="TableBullet1"/>
            </w:pPr>
            <w:r>
              <w:t xml:space="preserve">Providing curriculum-specific </w:t>
            </w:r>
            <w:r w:rsidR="00FA4F8F">
              <w:t>training</w:t>
            </w:r>
          </w:p>
        </w:tc>
      </w:tr>
      <w:tr w:rsidR="00473308" w:rsidRPr="00A06F1E" w14:paraId="2815FD55" w14:textId="77777777" w:rsidTr="00473308">
        <w:trPr>
          <w:cnfStyle w:val="000000100000" w:firstRow="0" w:lastRow="0" w:firstColumn="0" w:lastColumn="0" w:oddVBand="0" w:evenVBand="0" w:oddHBand="1" w:evenHBand="0" w:firstRowFirstColumn="0" w:firstRowLastColumn="0" w:lastRowFirstColumn="0" w:lastRowLastColumn="0"/>
        </w:trPr>
        <w:tc>
          <w:tcPr>
            <w:tcW w:w="1104" w:type="pct"/>
          </w:tcPr>
          <w:p w14:paraId="1ECD7628" w14:textId="06D98D43" w:rsidR="00473308" w:rsidRPr="00A06F1E" w:rsidRDefault="00000000" w:rsidP="00473308">
            <w:pPr>
              <w:pStyle w:val="TableSubheading"/>
            </w:pPr>
            <w:hyperlink w:anchor="_Student_Access_to" w:history="1">
              <w:r w:rsidR="00473308" w:rsidRPr="00A06F1E">
                <w:rPr>
                  <w:rStyle w:val="Hyperlink"/>
                </w:rPr>
                <w:t xml:space="preserve">Student </w:t>
              </w:r>
              <w:r w:rsidR="000B66C1" w:rsidRPr="00A06F1E">
                <w:rPr>
                  <w:rStyle w:val="Hyperlink"/>
                </w:rPr>
                <w:t>a</w:t>
              </w:r>
              <w:r w:rsidR="00473308" w:rsidRPr="00A06F1E">
                <w:rPr>
                  <w:rStyle w:val="Hyperlink"/>
                </w:rPr>
                <w:t xml:space="preserve">ccess to </w:t>
              </w:r>
              <w:r w:rsidR="000B66C1" w:rsidRPr="00A06F1E">
                <w:rPr>
                  <w:rStyle w:val="Hyperlink"/>
                </w:rPr>
                <w:t>c</w:t>
              </w:r>
              <w:r w:rsidR="00473308" w:rsidRPr="00A06F1E">
                <w:rPr>
                  <w:rStyle w:val="Hyperlink"/>
                </w:rPr>
                <w:t>oursework</w:t>
              </w:r>
            </w:hyperlink>
          </w:p>
        </w:tc>
        <w:tc>
          <w:tcPr>
            <w:tcW w:w="1925" w:type="pct"/>
          </w:tcPr>
          <w:p w14:paraId="25D7F32B" w14:textId="2D6C4EEF" w:rsidR="00473308" w:rsidRPr="00A06F1E" w:rsidRDefault="00CD7200" w:rsidP="00473308">
            <w:pPr>
              <w:pStyle w:val="TableBullet1"/>
            </w:pPr>
            <w:r w:rsidRPr="00A06F1E">
              <w:t xml:space="preserve">The </w:t>
            </w:r>
            <w:r w:rsidR="42C24375">
              <w:t xml:space="preserve">superintendency union </w:t>
            </w:r>
            <w:r w:rsidRPr="00A06F1E">
              <w:t>provides a wide range of course offerings and academic pathways to accommodate diverse student needs and interests.</w:t>
            </w:r>
          </w:p>
        </w:tc>
        <w:tc>
          <w:tcPr>
            <w:tcW w:w="1971" w:type="pct"/>
          </w:tcPr>
          <w:p w14:paraId="3F011882" w14:textId="00E72B62" w:rsidR="00473308" w:rsidRPr="00A06F1E" w:rsidRDefault="0093173F" w:rsidP="007C7BFF">
            <w:pPr>
              <w:pStyle w:val="TableBullet1"/>
            </w:pPr>
            <w:r>
              <w:t>Increasing advanced coursework completion rates</w:t>
            </w:r>
          </w:p>
        </w:tc>
      </w:tr>
    </w:tbl>
    <w:p w14:paraId="6EA47201" w14:textId="2C76A29B" w:rsidR="00473308" w:rsidRPr="00A06F1E" w:rsidRDefault="00473308" w:rsidP="00473308">
      <w:pPr>
        <w:pStyle w:val="Heading3"/>
      </w:pPr>
      <w:bookmarkStart w:id="37" w:name="_Curriculum_Selection_and"/>
      <w:bookmarkEnd w:id="37"/>
      <w:r w:rsidRPr="00A06F1E">
        <w:t>Curriculum Selection and Use</w:t>
      </w:r>
    </w:p>
    <w:p w14:paraId="359A20C5" w14:textId="2E62C98E" w:rsidR="00D86C69" w:rsidRPr="00E45CA4" w:rsidRDefault="0076373A" w:rsidP="004D586B">
      <w:pPr>
        <w:pStyle w:val="BodyTextposthead"/>
      </w:pPr>
      <w:r w:rsidRPr="00A06F1E">
        <w:t>For ELA</w:t>
      </w:r>
      <w:r w:rsidR="00CC32ED" w:rsidRPr="00A06F1E">
        <w:t xml:space="preserve">, </w:t>
      </w:r>
      <w:r w:rsidR="00CF4F71">
        <w:t>Fisher Hill</w:t>
      </w:r>
      <w:r w:rsidR="00470784" w:rsidRPr="00A06F1E">
        <w:t xml:space="preserve"> </w:t>
      </w:r>
      <w:r w:rsidR="00C45AD9" w:rsidRPr="00A06F1E">
        <w:t xml:space="preserve">and </w:t>
      </w:r>
      <w:proofErr w:type="spellStart"/>
      <w:r w:rsidR="00652B48">
        <w:t>Petersham</w:t>
      </w:r>
      <w:proofErr w:type="spellEnd"/>
      <w:r w:rsidR="00652B48">
        <w:t xml:space="preserve"> Center</w:t>
      </w:r>
      <w:r w:rsidR="0068578A" w:rsidRPr="00A06F1E">
        <w:t xml:space="preserve"> </w:t>
      </w:r>
      <w:r w:rsidR="00C45AD9" w:rsidRPr="00A06F1E">
        <w:t xml:space="preserve">currently use </w:t>
      </w:r>
      <w:r w:rsidR="00D96479" w:rsidRPr="00A06F1E">
        <w:t xml:space="preserve">McGraw Hill </w:t>
      </w:r>
      <w:r w:rsidR="003D23DA" w:rsidRPr="00A06F1E">
        <w:t>Wonders for Grades K-6</w:t>
      </w:r>
      <w:r w:rsidR="004E23EB" w:rsidRPr="00A06F1E">
        <w:t>, which meets expectations for CURATE and EdReports</w:t>
      </w:r>
      <w:r w:rsidR="003D23DA" w:rsidRPr="00A06F1E">
        <w:t xml:space="preserve">. </w:t>
      </w:r>
      <w:r w:rsidR="00CF4F71">
        <w:t>Fisher Hill</w:t>
      </w:r>
      <w:r w:rsidR="00470784" w:rsidRPr="00A06F1E">
        <w:t xml:space="preserve"> </w:t>
      </w:r>
      <w:r w:rsidR="004E23EB" w:rsidRPr="00A06F1E">
        <w:t xml:space="preserve">also uses </w:t>
      </w:r>
      <w:r w:rsidR="003D23DA" w:rsidRPr="00A06F1E">
        <w:t>Appleseeds</w:t>
      </w:r>
      <w:r w:rsidR="00990F59" w:rsidRPr="00A06F1E">
        <w:t xml:space="preserve"> for ELA</w:t>
      </w:r>
      <w:r w:rsidR="004E23EB" w:rsidRPr="00A06F1E">
        <w:t>, which</w:t>
      </w:r>
      <w:r w:rsidR="003D23DA" w:rsidRPr="00A06F1E">
        <w:t xml:space="preserve"> meets expectations on CURATE but </w:t>
      </w:r>
      <w:r w:rsidR="00683886" w:rsidRPr="00A06F1E">
        <w:t>has no rating</w:t>
      </w:r>
      <w:r w:rsidR="003D23DA" w:rsidRPr="00A06F1E">
        <w:t xml:space="preserve"> </w:t>
      </w:r>
      <w:r w:rsidR="004E23EB" w:rsidRPr="00A06F1E">
        <w:t>on</w:t>
      </w:r>
      <w:r w:rsidR="003D23DA" w:rsidRPr="00A06F1E">
        <w:t xml:space="preserve"> </w:t>
      </w:r>
      <w:r w:rsidR="00240F19" w:rsidRPr="00A06F1E">
        <w:t xml:space="preserve">EdReports. </w:t>
      </w:r>
      <w:r w:rsidR="00E27B33" w:rsidRPr="00A06F1E">
        <w:t xml:space="preserve">Mahar Regional uses </w:t>
      </w:r>
      <w:r w:rsidR="004B68F8" w:rsidRPr="00A06F1E">
        <w:t>a combination of teacher-created and published curricula rated by CURATE and EdReports</w:t>
      </w:r>
      <w:r w:rsidR="00990F59" w:rsidRPr="00A06F1E">
        <w:t xml:space="preserve"> for ELA</w:t>
      </w:r>
      <w:r w:rsidR="004B68F8" w:rsidRPr="00A06F1E">
        <w:t>.</w:t>
      </w:r>
      <w:r w:rsidR="63B3C139" w:rsidRPr="00A06F1E">
        <w:t xml:space="preserve"> </w:t>
      </w:r>
      <w:r w:rsidR="00FA6159" w:rsidRPr="00A06F1E">
        <w:t xml:space="preserve">Grades 7 and 8 </w:t>
      </w:r>
      <w:r w:rsidR="56C0C8C2" w:rsidRPr="00A06F1E">
        <w:t xml:space="preserve">use HMH Into Literature, </w:t>
      </w:r>
      <w:r w:rsidR="5F4E459F" w:rsidRPr="00A06F1E">
        <w:t>which</w:t>
      </w:r>
      <w:r w:rsidR="00FA6159" w:rsidRPr="00A06F1E">
        <w:t xml:space="preserve"> meets expectations </w:t>
      </w:r>
      <w:r w:rsidR="00683886" w:rsidRPr="00A06F1E">
        <w:t xml:space="preserve">for CURATE and EdReports. In Grades 9-12, </w:t>
      </w:r>
      <w:r w:rsidR="2F51D453" w:rsidRPr="00A06F1E">
        <w:t>the district uses</w:t>
      </w:r>
      <w:r w:rsidR="00683886" w:rsidRPr="00A06F1E">
        <w:t xml:space="preserve"> teacher-created resources, which have no rating on CURATE or EdReports. </w:t>
      </w:r>
      <w:r w:rsidR="004B34DE" w:rsidRPr="00A06F1E">
        <w:t xml:space="preserve">For mathematics, </w:t>
      </w:r>
      <w:r w:rsidR="00CF4F71">
        <w:t>Fisher Hill</w:t>
      </w:r>
      <w:r w:rsidR="00470784" w:rsidRPr="00A06F1E">
        <w:t xml:space="preserve"> </w:t>
      </w:r>
      <w:r w:rsidR="00350372" w:rsidRPr="00A06F1E">
        <w:t>uses Zearn for Grades K-6</w:t>
      </w:r>
      <w:r w:rsidR="00314824" w:rsidRPr="00A06F1E">
        <w:t>, whereas</w:t>
      </w:r>
      <w:r w:rsidR="00350372" w:rsidRPr="00A06F1E">
        <w:t xml:space="preserve"> </w:t>
      </w:r>
      <w:proofErr w:type="spellStart"/>
      <w:r w:rsidR="00652B48">
        <w:t>Petersham</w:t>
      </w:r>
      <w:proofErr w:type="spellEnd"/>
      <w:r w:rsidR="00652B48">
        <w:t xml:space="preserve"> Center</w:t>
      </w:r>
      <w:r w:rsidR="00350372" w:rsidRPr="00A06F1E">
        <w:t xml:space="preserve"> uses </w:t>
      </w:r>
      <w:r w:rsidR="00534BAE" w:rsidRPr="00A06F1E">
        <w:t>Curriculum Associates i</w:t>
      </w:r>
      <w:r w:rsidR="00314824" w:rsidRPr="00A06F1E">
        <w:t>-</w:t>
      </w:r>
      <w:r w:rsidR="00534BAE" w:rsidRPr="00A06F1E">
        <w:t xml:space="preserve">Ready. Zearn </w:t>
      </w:r>
      <w:r w:rsidR="00BE5EBA" w:rsidRPr="00A06F1E">
        <w:t xml:space="preserve">has no rating on </w:t>
      </w:r>
      <w:r w:rsidR="00470784" w:rsidRPr="00A06F1E">
        <w:t>CURATE</w:t>
      </w:r>
      <w:r w:rsidR="6BB735D1" w:rsidRPr="00A06F1E">
        <w:t>;</w:t>
      </w:r>
      <w:r w:rsidR="00BE5EBA" w:rsidRPr="00A06F1E">
        <w:t xml:space="preserve"> however, the curriculum meets expectations on </w:t>
      </w:r>
      <w:r w:rsidR="00BE5EBA" w:rsidRPr="00A06F1E">
        <w:lastRenderedPageBreak/>
        <w:t>EdReports. Curriculum Associates i</w:t>
      </w:r>
      <w:r w:rsidR="00314824" w:rsidRPr="00A06F1E">
        <w:t>-</w:t>
      </w:r>
      <w:r w:rsidR="00BE5EBA" w:rsidRPr="00A06F1E">
        <w:t xml:space="preserve">Ready </w:t>
      </w:r>
      <w:r w:rsidR="00353F12" w:rsidRPr="00A06F1E">
        <w:t xml:space="preserve">meets expectations on CURATE and EdReports. Mahar Regional uses teacher-created </w:t>
      </w:r>
      <w:r w:rsidR="00527E04" w:rsidRPr="00A06F1E">
        <w:t xml:space="preserve">resources for Grades 9-12, none of which are rated </w:t>
      </w:r>
      <w:r w:rsidR="00353F12" w:rsidRPr="00A06F1E">
        <w:t>by CURAT</w:t>
      </w:r>
      <w:r w:rsidR="158595D9" w:rsidRPr="00A06F1E">
        <w:t>E</w:t>
      </w:r>
      <w:r w:rsidR="00353F12" w:rsidRPr="00A06F1E">
        <w:t xml:space="preserve"> and EdReports. For Grades 7 and 8, </w:t>
      </w:r>
      <w:r w:rsidR="001E4EBD" w:rsidRPr="00A06F1E">
        <w:t>Fishtank Plus Math</w:t>
      </w:r>
      <w:r w:rsidR="00470784" w:rsidRPr="00A06F1E">
        <w:t xml:space="preserve"> is used</w:t>
      </w:r>
      <w:r w:rsidR="001E4EBD" w:rsidRPr="00A06F1E">
        <w:t xml:space="preserve">, which has no rating on CURATE but meets expectations on EdReports. For science, </w:t>
      </w:r>
      <w:r w:rsidR="00CF4F71">
        <w:t>Fisher Hill</w:t>
      </w:r>
      <w:r w:rsidR="009E3EA9" w:rsidRPr="00A06F1E">
        <w:t xml:space="preserve"> </w:t>
      </w:r>
      <w:r w:rsidR="007F7419" w:rsidRPr="00A06F1E">
        <w:t xml:space="preserve">uses </w:t>
      </w:r>
      <w:proofErr w:type="spellStart"/>
      <w:r w:rsidR="007F7419" w:rsidRPr="00A06F1E">
        <w:t>KnowAtom</w:t>
      </w:r>
      <w:proofErr w:type="spellEnd"/>
      <w:r w:rsidR="007F7419" w:rsidRPr="00A06F1E">
        <w:t xml:space="preserve"> for Grades K-6</w:t>
      </w:r>
      <w:r w:rsidR="00314824" w:rsidRPr="00A06F1E">
        <w:t>, whereas</w:t>
      </w:r>
      <w:r w:rsidR="007F7419" w:rsidRPr="00A06F1E">
        <w:t xml:space="preserve"> </w:t>
      </w:r>
      <w:proofErr w:type="spellStart"/>
      <w:r w:rsidR="00652B48">
        <w:t>Petersham</w:t>
      </w:r>
      <w:proofErr w:type="spellEnd"/>
      <w:r w:rsidR="00652B48">
        <w:t xml:space="preserve"> Center</w:t>
      </w:r>
      <w:r w:rsidR="007F7419" w:rsidRPr="00A06F1E">
        <w:t xml:space="preserve"> uses Discovery Education Science </w:t>
      </w:r>
      <w:proofErr w:type="spellStart"/>
      <w:r w:rsidR="007F7419" w:rsidRPr="00A06F1E">
        <w:t>Techbooks</w:t>
      </w:r>
      <w:proofErr w:type="spellEnd"/>
      <w:r w:rsidR="001866EF" w:rsidRPr="00A06F1E">
        <w:t>. Mahar Regional uses CPO Science and Earth Science</w:t>
      </w:r>
      <w:r w:rsidR="00D86C69" w:rsidRPr="00A06F1E">
        <w:t xml:space="preserve"> for Grades 7-8 and </w:t>
      </w:r>
      <w:r w:rsidR="009E3EA9" w:rsidRPr="00A06F1E">
        <w:t>teacher-created</w:t>
      </w:r>
      <w:r w:rsidR="00D86C69" w:rsidRPr="00A06F1E">
        <w:t xml:space="preserve"> resources for Grades 9-12. None of the science curricula have a rating on CURATE or EdReports. For social studies, </w:t>
      </w:r>
      <w:r w:rsidR="00CF4F71">
        <w:t>Fisher Hill</w:t>
      </w:r>
      <w:r w:rsidR="009E3EA9" w:rsidRPr="00A06F1E">
        <w:t xml:space="preserve"> </w:t>
      </w:r>
      <w:r w:rsidR="00967CB3" w:rsidRPr="00A06F1E">
        <w:t xml:space="preserve">uses </w:t>
      </w:r>
      <w:r w:rsidR="00F1615C" w:rsidRPr="00A06F1E">
        <w:t xml:space="preserve">Savvas </w:t>
      </w:r>
      <w:proofErr w:type="spellStart"/>
      <w:r w:rsidR="00F1615C" w:rsidRPr="00A06F1E">
        <w:t>myWorld</w:t>
      </w:r>
      <w:proofErr w:type="spellEnd"/>
      <w:r w:rsidR="00F1615C" w:rsidRPr="00A06F1E">
        <w:t xml:space="preserve"> for Grades K-6</w:t>
      </w:r>
      <w:r w:rsidR="00314824" w:rsidRPr="00A06F1E">
        <w:t>, whereas</w:t>
      </w:r>
      <w:r w:rsidR="00F1615C" w:rsidRPr="00A06F1E">
        <w:t xml:space="preserve"> </w:t>
      </w:r>
      <w:proofErr w:type="spellStart"/>
      <w:r w:rsidR="00652B48">
        <w:t>Petersham</w:t>
      </w:r>
      <w:proofErr w:type="spellEnd"/>
      <w:r w:rsidR="00652B48">
        <w:t xml:space="preserve"> Center</w:t>
      </w:r>
      <w:r w:rsidR="00F1615C" w:rsidRPr="00A06F1E">
        <w:t xml:space="preserve"> </w:t>
      </w:r>
      <w:r w:rsidR="00397E89" w:rsidRPr="00A06F1E">
        <w:t>uses TCI</w:t>
      </w:r>
      <w:r w:rsidR="00040362" w:rsidRPr="00A06F1E">
        <w:t>’</w:t>
      </w:r>
      <w:r w:rsidR="00397E89" w:rsidRPr="00A06F1E">
        <w:t xml:space="preserve">s Alive! </w:t>
      </w:r>
      <w:r w:rsidR="4E7A210B" w:rsidRPr="00A06F1E">
        <w:t>C</w:t>
      </w:r>
      <w:r w:rsidR="00397E89" w:rsidRPr="00A06F1E">
        <w:t>urriculum</w:t>
      </w:r>
      <w:r w:rsidR="4E7A210B" w:rsidRPr="00A06F1E">
        <w:t xml:space="preserve"> for social studies</w:t>
      </w:r>
      <w:r w:rsidR="00397E89" w:rsidRPr="00A06F1E">
        <w:t xml:space="preserve">. </w:t>
      </w:r>
      <w:r w:rsidR="00767BB3" w:rsidRPr="00A06F1E">
        <w:t>Mahar Regional uses TCI</w:t>
      </w:r>
      <w:r w:rsidR="00040362" w:rsidRPr="00A06F1E">
        <w:t>’</w:t>
      </w:r>
      <w:r w:rsidR="28F73923" w:rsidRPr="00A06F1E">
        <w:t>s</w:t>
      </w:r>
      <w:r w:rsidR="00767BB3" w:rsidRPr="00A06F1E">
        <w:t xml:space="preserve"> </w:t>
      </w:r>
      <w:r w:rsidR="3ADA133F" w:rsidRPr="00A06F1E">
        <w:t xml:space="preserve">History Alive! The </w:t>
      </w:r>
      <w:r w:rsidR="00767BB3" w:rsidRPr="00A06F1E">
        <w:t xml:space="preserve">Ancient </w:t>
      </w:r>
      <w:r w:rsidR="1424C3A4" w:rsidRPr="00A06F1E">
        <w:t>World</w:t>
      </w:r>
      <w:r w:rsidR="00767BB3" w:rsidRPr="00A06F1E">
        <w:t xml:space="preserve"> for </w:t>
      </w:r>
      <w:r w:rsidR="00314824" w:rsidRPr="00A06F1E">
        <w:t>G</w:t>
      </w:r>
      <w:r w:rsidR="00767BB3" w:rsidRPr="00A06F1E">
        <w:t>rade 7</w:t>
      </w:r>
      <w:r w:rsidR="00B8771B" w:rsidRPr="00A06F1E">
        <w:t xml:space="preserve">; </w:t>
      </w:r>
      <w:r w:rsidR="00767BB3" w:rsidRPr="00A06F1E">
        <w:t>TCI Civics Alive</w:t>
      </w:r>
      <w:r w:rsidR="412011D4" w:rsidRPr="00A06F1E">
        <w:t>!</w:t>
      </w:r>
      <w:r w:rsidR="00767BB3" w:rsidRPr="00A06F1E">
        <w:t xml:space="preserve"> Foundations and Functions for Grade 8</w:t>
      </w:r>
      <w:r w:rsidR="00B8771B" w:rsidRPr="00A06F1E">
        <w:t>;</w:t>
      </w:r>
      <w:r w:rsidR="00767BB3" w:rsidRPr="00A06F1E">
        <w:t xml:space="preserve"> </w:t>
      </w:r>
      <w:r w:rsidR="00B8771B" w:rsidRPr="00A06F1E">
        <w:t>TCI Government Alive</w:t>
      </w:r>
      <w:r w:rsidR="239332C7" w:rsidRPr="00A06F1E">
        <w:t>!</w:t>
      </w:r>
      <w:r w:rsidR="00B8771B" w:rsidRPr="00A06F1E">
        <w:t xml:space="preserve"> Power, Politics, and You for Grade</w:t>
      </w:r>
      <w:r w:rsidR="00314824" w:rsidRPr="00A06F1E">
        <w:t>s</w:t>
      </w:r>
      <w:r w:rsidR="00B8771B" w:rsidRPr="00A06F1E">
        <w:t xml:space="preserve"> 9</w:t>
      </w:r>
      <w:r w:rsidR="00DC3CD5" w:rsidRPr="00A06F1E">
        <w:t xml:space="preserve"> and 12</w:t>
      </w:r>
      <w:r w:rsidR="00B8771B" w:rsidRPr="00A06F1E">
        <w:t xml:space="preserve">; </w:t>
      </w:r>
      <w:r w:rsidR="00DC3CD5" w:rsidRPr="00A06F1E">
        <w:t>TCI History Alive</w:t>
      </w:r>
      <w:r w:rsidR="7392D571" w:rsidRPr="00A06F1E">
        <w:t>!</w:t>
      </w:r>
      <w:r w:rsidR="00DC3CD5" w:rsidRPr="00A06F1E">
        <w:t xml:space="preserve"> The United States Through Modern Times for Grade 10; The American Vision Glencoe for Grade 11; and </w:t>
      </w:r>
      <w:r w:rsidR="00DC3CD5" w:rsidRPr="00E45CA4">
        <w:t>the Choices Program for Grades 10-12.</w:t>
      </w:r>
      <w:r w:rsidR="07AA0AAF" w:rsidRPr="00E45CA4">
        <w:t xml:space="preserve"> </w:t>
      </w:r>
      <w:r w:rsidR="051F2B0C" w:rsidRPr="00E45CA4">
        <w:t>Neither CURATE nor EdReports provides ratings for social studies curricula.</w:t>
      </w:r>
    </w:p>
    <w:p w14:paraId="0B223B80" w14:textId="40BBB7A7" w:rsidR="006C1DC9" w:rsidRPr="00A06F1E" w:rsidRDefault="000D6A8E" w:rsidP="00F05D1C">
      <w:pPr>
        <w:pStyle w:val="BodyText"/>
      </w:pPr>
      <w:r>
        <w:t>RCM &amp; SU 73</w:t>
      </w:r>
      <w:r w:rsidR="005F1E80" w:rsidRPr="00E45CA4">
        <w:t xml:space="preserve"> </w:t>
      </w:r>
      <w:r w:rsidR="00E02029" w:rsidRPr="00E45CA4">
        <w:t>has a</w:t>
      </w:r>
      <w:r w:rsidR="00182132" w:rsidRPr="00E45CA4">
        <w:t xml:space="preserve"> clear,</w:t>
      </w:r>
      <w:r w:rsidR="00E02029" w:rsidRPr="00E45CA4">
        <w:t xml:space="preserve"> formal process for reviewing</w:t>
      </w:r>
      <w:r w:rsidR="00182132" w:rsidRPr="00E45CA4">
        <w:t xml:space="preserve"> and selecting </w:t>
      </w:r>
      <w:r w:rsidR="00E02029" w:rsidRPr="00E45CA4">
        <w:t>curricula</w:t>
      </w:r>
      <w:r w:rsidR="00182132" w:rsidRPr="00E45CA4">
        <w:t>, which is a strength</w:t>
      </w:r>
      <w:r w:rsidR="00E02029" w:rsidRPr="00E45CA4">
        <w:t>.</w:t>
      </w:r>
      <w:r w:rsidR="00F66466" w:rsidRPr="00E45CA4">
        <w:t xml:space="preserve"> </w:t>
      </w:r>
      <w:r>
        <w:t>RCM &amp; SU 73</w:t>
      </w:r>
      <w:r w:rsidR="00B63940" w:rsidRPr="00E45CA4">
        <w:t xml:space="preserve"> employs structure</w:t>
      </w:r>
      <w:r w:rsidR="00F019D0">
        <w:t>d</w:t>
      </w:r>
      <w:r w:rsidR="00B63940" w:rsidRPr="00E45CA4">
        <w:t xml:space="preserve"> review cycles to rotate through K-12 content or programs every 5-10 years. </w:t>
      </w:r>
      <w:r w:rsidR="003D781C" w:rsidRPr="00E45CA4">
        <w:t>For each content area, the process involves</w:t>
      </w:r>
      <w:r w:rsidR="007F3D96" w:rsidRPr="00E45CA4">
        <w:t xml:space="preserve"> convening </w:t>
      </w:r>
      <w:r w:rsidR="008D5248" w:rsidRPr="00E45CA4">
        <w:t>central office</w:t>
      </w:r>
      <w:r w:rsidR="007F3D96" w:rsidRPr="00E45CA4">
        <w:t xml:space="preserve">- and school-based staff to form a curricular review team. </w:t>
      </w:r>
      <w:r w:rsidR="00F90F07" w:rsidRPr="00E45CA4">
        <w:t xml:space="preserve">According to </w:t>
      </w:r>
      <w:r w:rsidR="00975B84" w:rsidRPr="00E45CA4">
        <w:t xml:space="preserve">central office </w:t>
      </w:r>
      <w:r w:rsidR="00F90F07" w:rsidRPr="00E45CA4">
        <w:t xml:space="preserve">leaders and teachers across grade levels, the curricular review teams are </w:t>
      </w:r>
      <w:r w:rsidR="00EE3B5B" w:rsidRPr="00E45CA4">
        <w:t xml:space="preserve">predominantly teachers </w:t>
      </w:r>
      <w:r w:rsidR="0059448C" w:rsidRPr="00E45CA4">
        <w:t>who</w:t>
      </w:r>
      <w:r w:rsidR="00F90F07" w:rsidRPr="00E45CA4">
        <w:t xml:space="preserve"> </w:t>
      </w:r>
      <w:r w:rsidR="00EE3B5B" w:rsidRPr="00E45CA4">
        <w:t>collectively make decisions on the curriculum program</w:t>
      </w:r>
      <w:r w:rsidR="00ED7614" w:rsidRPr="00E45CA4">
        <w:t xml:space="preserve"> for their school</w:t>
      </w:r>
      <w:r w:rsidR="00EE3B5B" w:rsidRPr="00E45CA4">
        <w:t xml:space="preserve">. </w:t>
      </w:r>
      <w:r w:rsidR="0077155A" w:rsidRPr="00E45CA4">
        <w:t xml:space="preserve">As described in the </w:t>
      </w:r>
      <w:r w:rsidR="00E23407" w:rsidRPr="00E45CA4">
        <w:rPr>
          <w:i/>
          <w:iCs/>
        </w:rPr>
        <w:t>Ralph C. Mahar Regional</w:t>
      </w:r>
      <w:r w:rsidR="00E23407" w:rsidRPr="00A06F1E">
        <w:rPr>
          <w:i/>
          <w:iCs/>
        </w:rPr>
        <w:t xml:space="preserve"> &amp; School Union 73</w:t>
      </w:r>
      <w:r w:rsidR="0077155A" w:rsidRPr="00A06F1E">
        <w:rPr>
          <w:i/>
          <w:iCs/>
        </w:rPr>
        <w:t xml:space="preserve"> </w:t>
      </w:r>
      <w:r w:rsidR="00DF5F87" w:rsidRPr="00A06F1E">
        <w:rPr>
          <w:i/>
          <w:iCs/>
        </w:rPr>
        <w:t xml:space="preserve">Curriculum Review Process </w:t>
      </w:r>
      <w:r w:rsidR="00DF5F87" w:rsidRPr="00A06F1E">
        <w:t>document, t</w:t>
      </w:r>
      <w:r w:rsidR="00187683" w:rsidRPr="00A06F1E">
        <w:t>his team</w:t>
      </w:r>
      <w:r w:rsidR="00040362" w:rsidRPr="00A06F1E">
        <w:t>’</w:t>
      </w:r>
      <w:r w:rsidR="00187683" w:rsidRPr="00A06F1E">
        <w:t>s responsibilities include overseeing the review cycle</w:t>
      </w:r>
      <w:r w:rsidR="00040362" w:rsidRPr="00A06F1E">
        <w:t>’</w:t>
      </w:r>
      <w:r w:rsidR="00187683" w:rsidRPr="00A06F1E">
        <w:t xml:space="preserve">s five-step process: </w:t>
      </w:r>
      <w:r w:rsidR="006E3BC6" w:rsidRPr="00A06F1E">
        <w:t>(</w:t>
      </w:r>
      <w:r w:rsidR="00E44452" w:rsidRPr="00A06F1E">
        <w:t>a</w:t>
      </w:r>
      <w:r w:rsidR="006E3BC6" w:rsidRPr="00A06F1E">
        <w:t xml:space="preserve">) reflect </w:t>
      </w:r>
      <w:r w:rsidR="006D314D" w:rsidRPr="00A06F1E">
        <w:t xml:space="preserve">on </w:t>
      </w:r>
      <w:r w:rsidR="006E3BC6" w:rsidRPr="00A06F1E">
        <w:t>the program through an equity lens</w:t>
      </w:r>
      <w:r w:rsidR="00E44452" w:rsidRPr="00A06F1E">
        <w:t>,</w:t>
      </w:r>
      <w:r w:rsidR="006E3BC6" w:rsidRPr="00A06F1E">
        <w:t xml:space="preserve"> (</w:t>
      </w:r>
      <w:r w:rsidR="00E44452" w:rsidRPr="00A06F1E">
        <w:t>b</w:t>
      </w:r>
      <w:r w:rsidR="006E3BC6" w:rsidRPr="00A06F1E">
        <w:t>) set five-year program goals</w:t>
      </w:r>
      <w:r w:rsidR="00E44452" w:rsidRPr="00A06F1E">
        <w:t>,</w:t>
      </w:r>
      <w:r w:rsidR="006E3BC6" w:rsidRPr="00A06F1E">
        <w:t xml:space="preserve"> (</w:t>
      </w:r>
      <w:r w:rsidR="00E44452" w:rsidRPr="00A06F1E">
        <w:t>c</w:t>
      </w:r>
      <w:r w:rsidR="006E3BC6" w:rsidRPr="00A06F1E">
        <w:t>) reflect on the use of assessment and student outcomes</w:t>
      </w:r>
      <w:r w:rsidR="00E44452" w:rsidRPr="00A06F1E">
        <w:t>,</w:t>
      </w:r>
      <w:r w:rsidR="006E3BC6" w:rsidRPr="00A06F1E">
        <w:t xml:space="preserve"> (</w:t>
      </w:r>
      <w:r w:rsidR="00E44452" w:rsidRPr="00A06F1E">
        <w:t>d</w:t>
      </w:r>
      <w:r w:rsidR="006E3BC6" w:rsidRPr="00A06F1E">
        <w:t xml:space="preserve">) </w:t>
      </w:r>
      <w:r w:rsidR="00F95BB9" w:rsidRPr="00A06F1E">
        <w:t>define high-quality instruction</w:t>
      </w:r>
      <w:r w:rsidR="00E44452" w:rsidRPr="00A06F1E">
        <w:t>,</w:t>
      </w:r>
      <w:r w:rsidR="00F95BB9" w:rsidRPr="00A06F1E">
        <w:t xml:space="preserve"> and (</w:t>
      </w:r>
      <w:r w:rsidR="00E44452" w:rsidRPr="00A06F1E">
        <w:t>e</w:t>
      </w:r>
      <w:r w:rsidR="00F95BB9" w:rsidRPr="00A06F1E">
        <w:t>) select materials/curricul</w:t>
      </w:r>
      <w:r w:rsidR="00E44452" w:rsidRPr="00A06F1E">
        <w:t>a</w:t>
      </w:r>
      <w:r w:rsidR="00F95BB9" w:rsidRPr="00A06F1E">
        <w:t xml:space="preserve"> to review.</w:t>
      </w:r>
    </w:p>
    <w:p w14:paraId="5D1E5756" w14:textId="6FDFAA0B" w:rsidR="007E31D5" w:rsidRPr="00A06F1E" w:rsidRDefault="0077155A" w:rsidP="00F05D1C">
      <w:pPr>
        <w:pStyle w:val="BodyText"/>
      </w:pPr>
      <w:r w:rsidRPr="00A06F1E">
        <w:t xml:space="preserve">After reviewing </w:t>
      </w:r>
      <w:r w:rsidR="004F16C6" w:rsidRPr="00A06F1E">
        <w:t>the current curricul</w:t>
      </w:r>
      <w:r w:rsidR="009D5E84" w:rsidRPr="00A06F1E">
        <w:t>ar</w:t>
      </w:r>
      <w:r w:rsidR="004F16C6" w:rsidRPr="00A06F1E">
        <w:t xml:space="preserve"> materials and assessing the areas of strength and need, the review </w:t>
      </w:r>
      <w:r w:rsidR="00534CDA" w:rsidRPr="00A06F1E">
        <w:t>team</w:t>
      </w:r>
      <w:r w:rsidR="00534CDA" w:rsidRPr="00A06F1E" w:rsidDel="009450D8">
        <w:t xml:space="preserve"> </w:t>
      </w:r>
      <w:r w:rsidR="00534CDA" w:rsidRPr="00A06F1E">
        <w:t>choose</w:t>
      </w:r>
      <w:r w:rsidR="009450D8">
        <w:t>s</w:t>
      </w:r>
      <w:r w:rsidR="00534CDA" w:rsidRPr="00A06F1E">
        <w:t xml:space="preserve"> </w:t>
      </w:r>
      <w:r w:rsidR="00C203A1" w:rsidRPr="00A06F1E">
        <w:t>three</w:t>
      </w:r>
      <w:r w:rsidR="00534CDA" w:rsidRPr="00A06F1E">
        <w:t xml:space="preserve"> to </w:t>
      </w:r>
      <w:r w:rsidR="00C203A1" w:rsidRPr="00A06F1E">
        <w:t>four</w:t>
      </w:r>
      <w:r w:rsidR="00534CDA" w:rsidRPr="00A06F1E">
        <w:t xml:space="preserve"> curricular program materials based </w:t>
      </w:r>
      <w:r w:rsidR="008B4DC6" w:rsidRPr="00A06F1E">
        <w:t xml:space="preserve">on CURATE and EdReports ratings </w:t>
      </w:r>
      <w:r w:rsidR="00F11205" w:rsidRPr="00A06F1E">
        <w:t xml:space="preserve">and </w:t>
      </w:r>
      <w:r w:rsidR="00390829" w:rsidRPr="00A06F1E">
        <w:t>alignment to DESE standards</w:t>
      </w:r>
      <w:r w:rsidR="001066EC" w:rsidRPr="00A06F1E">
        <w:t xml:space="preserve">. </w:t>
      </w:r>
      <w:r w:rsidR="00D255B6" w:rsidRPr="00A06F1E">
        <w:t>After an equity review</w:t>
      </w:r>
      <w:r w:rsidR="00C203A1" w:rsidRPr="00A06F1E">
        <w:t>, the curriculum review team narrows their selections to two</w:t>
      </w:r>
      <w:r w:rsidR="00B7487D" w:rsidRPr="00A06F1E">
        <w:t xml:space="preserve">. The review team then polls educators in the school regarding the final two selections and simultaneously seeks purchase quotes from the publisher. </w:t>
      </w:r>
      <w:r w:rsidR="009D5E84" w:rsidRPr="00A06F1E">
        <w:t>T</w:t>
      </w:r>
      <w:r w:rsidR="00CD2C82" w:rsidRPr="00A06F1E">
        <w:t>he review team makes the final selection for the new curricul</w:t>
      </w:r>
      <w:r w:rsidR="74C6425D" w:rsidRPr="00A06F1E">
        <w:t>um</w:t>
      </w:r>
      <w:r w:rsidR="009D5E84" w:rsidRPr="00A06F1E">
        <w:t xml:space="preserve">, </w:t>
      </w:r>
      <w:r w:rsidR="00AC3C7B" w:rsidRPr="00A06F1E">
        <w:t xml:space="preserve">based </w:t>
      </w:r>
      <w:r w:rsidR="00CC4708" w:rsidRPr="00A06F1E">
        <w:t xml:space="preserve">on </w:t>
      </w:r>
      <w:r w:rsidR="009D5E84" w:rsidRPr="00A06F1E">
        <w:t xml:space="preserve">educator feedback and the overall cost of the materials, </w:t>
      </w:r>
      <w:r w:rsidR="00D9614B" w:rsidRPr="00A06F1E">
        <w:t>professional development</w:t>
      </w:r>
      <w:r w:rsidR="009D5E84" w:rsidRPr="00A06F1E">
        <w:t>, and implementation,</w:t>
      </w:r>
      <w:r w:rsidR="00CD2C82" w:rsidRPr="00A06F1E">
        <w:t xml:space="preserve"> and brings it to district administration for </w:t>
      </w:r>
      <w:r w:rsidR="01FEF6A9" w:rsidRPr="00A06F1E">
        <w:t>approval and</w:t>
      </w:r>
      <w:r w:rsidR="00CD2C82" w:rsidRPr="00A06F1E">
        <w:t xml:space="preserve"> purchase. </w:t>
      </w:r>
      <w:r w:rsidR="00824807" w:rsidRPr="00A06F1E">
        <w:t xml:space="preserve">Across focus groups, </w:t>
      </w:r>
      <w:r w:rsidR="00B81D78" w:rsidRPr="00A06F1E">
        <w:t xml:space="preserve">central office </w:t>
      </w:r>
      <w:r w:rsidR="00B003B5" w:rsidRPr="00A06F1E">
        <w:t xml:space="preserve">leaders and </w:t>
      </w:r>
      <w:r w:rsidR="005036DC" w:rsidRPr="00A06F1E">
        <w:t>e</w:t>
      </w:r>
      <w:r w:rsidR="0029015D" w:rsidRPr="00A06F1E">
        <w:t>lementary</w:t>
      </w:r>
      <w:r w:rsidR="00B003B5" w:rsidRPr="00A06F1E">
        <w:t xml:space="preserve"> school teachers </w:t>
      </w:r>
      <w:r w:rsidR="00824807" w:rsidRPr="00A06F1E">
        <w:t>reported that</w:t>
      </w:r>
      <w:r w:rsidR="00502FDB" w:rsidRPr="00A06F1E">
        <w:t xml:space="preserve"> </w:t>
      </w:r>
      <w:r w:rsidR="00CA7F06" w:rsidRPr="00A06F1E">
        <w:t>teachers have the option to join the</w:t>
      </w:r>
      <w:r w:rsidR="00502FDB" w:rsidRPr="00A06F1E">
        <w:t>ir district</w:t>
      </w:r>
      <w:r w:rsidR="00040362" w:rsidRPr="00A06F1E">
        <w:t>’</w:t>
      </w:r>
      <w:r w:rsidR="00502FDB" w:rsidRPr="00A06F1E">
        <w:t>s</w:t>
      </w:r>
      <w:r w:rsidR="00CA7F06" w:rsidRPr="00A06F1E">
        <w:t xml:space="preserve"> curriculum review team</w:t>
      </w:r>
      <w:r w:rsidR="00F87DBF" w:rsidRPr="00A06F1E">
        <w:t xml:space="preserve"> and that the </w:t>
      </w:r>
      <w:r w:rsidR="00A57E7E" w:rsidRPr="00A06F1E">
        <w:t>team</w:t>
      </w:r>
      <w:r w:rsidR="00F87DBF" w:rsidRPr="00A06F1E">
        <w:t xml:space="preserve"> represents </w:t>
      </w:r>
      <w:r w:rsidR="00040362" w:rsidRPr="00A06F1E">
        <w:t>“</w:t>
      </w:r>
      <w:r w:rsidR="00F87DBF" w:rsidRPr="00A06F1E">
        <w:t>all of the stakeholders within the school.</w:t>
      </w:r>
      <w:r w:rsidR="00040362" w:rsidRPr="00A06F1E">
        <w:t>”</w:t>
      </w:r>
      <w:r w:rsidR="00F87DBF" w:rsidRPr="00A06F1E">
        <w:t xml:space="preserve"> </w:t>
      </w:r>
      <w:r w:rsidR="007503EC" w:rsidRPr="00A06F1E">
        <w:t xml:space="preserve">One </w:t>
      </w:r>
      <w:r w:rsidR="00BE0B19" w:rsidRPr="00A06F1E">
        <w:t>central office</w:t>
      </w:r>
      <w:r w:rsidR="007503EC" w:rsidRPr="00A06F1E">
        <w:t xml:space="preserve"> leader noted that </w:t>
      </w:r>
      <w:r w:rsidR="00A57E7E" w:rsidRPr="00A06F1E">
        <w:t xml:space="preserve">to ensure </w:t>
      </w:r>
      <w:r w:rsidR="00202CE3" w:rsidRPr="00A06F1E">
        <w:t xml:space="preserve">that all parties have heard the information being presented during a curriculum review, the team designates a </w:t>
      </w:r>
      <w:r w:rsidR="00B92034" w:rsidRPr="00A06F1E">
        <w:t xml:space="preserve">level/content area/specialty representative </w:t>
      </w:r>
      <w:r w:rsidR="00D4284C" w:rsidRPr="00A06F1E">
        <w:t>who</w:t>
      </w:r>
      <w:r w:rsidR="00B92034" w:rsidRPr="00A06F1E">
        <w:t xml:space="preserve"> communicate</w:t>
      </w:r>
      <w:r w:rsidR="00D4284C" w:rsidRPr="00A06F1E">
        <w:t>s</w:t>
      </w:r>
      <w:r w:rsidR="00B92034" w:rsidRPr="00A06F1E">
        <w:t xml:space="preserve"> </w:t>
      </w:r>
      <w:r w:rsidR="00E10FE9" w:rsidRPr="00A06F1E">
        <w:t xml:space="preserve">everything they </w:t>
      </w:r>
      <w:r w:rsidR="00D4284C" w:rsidRPr="00A06F1E">
        <w:t>are</w:t>
      </w:r>
      <w:r w:rsidR="00E10FE9" w:rsidRPr="00A06F1E">
        <w:t xml:space="preserve"> learning</w:t>
      </w:r>
      <w:r w:rsidR="007731A2" w:rsidRPr="00A06F1E">
        <w:t xml:space="preserve"> back to </w:t>
      </w:r>
      <w:r w:rsidR="009B7617" w:rsidRPr="00A06F1E">
        <w:t>teachers who could not join the team.</w:t>
      </w:r>
      <w:r w:rsidR="00335B5E" w:rsidRPr="00A06F1E">
        <w:t xml:space="preserve"> Mahar Regional teachers also noted that through the evaluation process and submission of their lesson plans, the </w:t>
      </w:r>
      <w:r w:rsidR="005849DB" w:rsidRPr="00A06F1E">
        <w:t xml:space="preserve">central office </w:t>
      </w:r>
      <w:r w:rsidR="00335B5E" w:rsidRPr="00A06F1E">
        <w:t>assesses the teacher-created materials for alignment with the Massachusetts standards</w:t>
      </w:r>
      <w:r w:rsidR="00B82849" w:rsidRPr="00A06F1E">
        <w:t>.</w:t>
      </w:r>
    </w:p>
    <w:p w14:paraId="3E0B648A" w14:textId="0A9EAE9B" w:rsidR="006C1DC9" w:rsidRPr="00E45CA4" w:rsidRDefault="00974B11" w:rsidP="00F05D1C">
      <w:pPr>
        <w:pStyle w:val="BodyText"/>
      </w:pPr>
      <w:r w:rsidRPr="00A06F1E">
        <w:t xml:space="preserve">Instructional staff reported that curricula and mapping are documented through Atlas Rubicon, a </w:t>
      </w:r>
      <w:r w:rsidRPr="00E45CA4">
        <w:t xml:space="preserve">curriculum management and lesson planning platform. One </w:t>
      </w:r>
      <w:r w:rsidR="00BE0B19" w:rsidRPr="00E45CA4">
        <w:t>central office</w:t>
      </w:r>
      <w:r w:rsidRPr="00E45CA4">
        <w:t xml:space="preserve"> leader stated that all schools use Atlas to horizontally align their curricula, especially at the middle and high school levels. </w:t>
      </w:r>
      <w:r w:rsidR="00244164" w:rsidRPr="00E45CA4">
        <w:t xml:space="preserve">A Mahar Regional </w:t>
      </w:r>
      <w:r w:rsidRPr="00E45CA4">
        <w:t xml:space="preserve">teacher explained that teachers are expected to use the same set of materials </w:t>
      </w:r>
      <w:r w:rsidRPr="00E45CA4">
        <w:lastRenderedPageBreak/>
        <w:t xml:space="preserve">documented in Atlas Rubicon and that the software makes it easy to align unit materials to Massachusetts </w:t>
      </w:r>
      <w:r w:rsidR="0044689A" w:rsidRPr="00E45CA4">
        <w:t>C</w:t>
      </w:r>
      <w:r w:rsidRPr="00E45CA4">
        <w:t xml:space="preserve">urriculum </w:t>
      </w:r>
      <w:r w:rsidR="0044689A" w:rsidRPr="00E45CA4">
        <w:t>F</w:t>
      </w:r>
      <w:r w:rsidRPr="00E45CA4">
        <w:t>rameworks.</w:t>
      </w:r>
    </w:p>
    <w:p w14:paraId="2050C74A" w14:textId="399DED97" w:rsidR="00A04CB0" w:rsidRPr="00A06F1E" w:rsidRDefault="00CF25E9" w:rsidP="00F05D1C">
      <w:pPr>
        <w:pStyle w:val="BodyText"/>
      </w:pPr>
      <w:r w:rsidRPr="00E45CA4">
        <w:t>However, m</w:t>
      </w:r>
      <w:r w:rsidR="008E22C5" w:rsidRPr="00E45CA4">
        <w:t xml:space="preserve">ultiple staff highlighted vertical </w:t>
      </w:r>
      <w:r w:rsidR="002A3E1E" w:rsidRPr="00E45CA4">
        <w:t xml:space="preserve">and horizontal </w:t>
      </w:r>
      <w:r w:rsidR="008E22C5" w:rsidRPr="00E45CA4">
        <w:t>alignment</w:t>
      </w:r>
      <w:r w:rsidR="00D4452C" w:rsidRPr="00E45CA4">
        <w:t xml:space="preserve">, </w:t>
      </w:r>
      <w:r w:rsidR="00BD56FF" w:rsidRPr="00E45CA4">
        <w:t>particularly between</w:t>
      </w:r>
      <w:r w:rsidR="00D4452C" w:rsidRPr="00E45CA4">
        <w:t xml:space="preserve"> the </w:t>
      </w:r>
      <w:r w:rsidR="00BD56FF" w:rsidRPr="00E45CA4">
        <w:t xml:space="preserve">regional school and the feeding </w:t>
      </w:r>
      <w:r w:rsidR="00D4452C" w:rsidRPr="00E45CA4">
        <w:t xml:space="preserve">elementary </w:t>
      </w:r>
      <w:r w:rsidR="00BD56FF" w:rsidRPr="00E45CA4">
        <w:t>schools</w:t>
      </w:r>
      <w:r w:rsidR="00D4452C" w:rsidRPr="00E45CA4">
        <w:t>,</w:t>
      </w:r>
      <w:r w:rsidR="008E22C5" w:rsidRPr="00E45CA4">
        <w:t xml:space="preserve"> as an area for growth for the </w:t>
      </w:r>
      <w:r w:rsidR="005849DB" w:rsidRPr="00E45CA4">
        <w:t>superintendency union</w:t>
      </w:r>
      <w:r w:rsidR="008E22C5" w:rsidRPr="00E45CA4">
        <w:t xml:space="preserve">. </w:t>
      </w:r>
      <w:r w:rsidR="00EC762C" w:rsidRPr="00E45CA4" w:rsidDel="00E36713">
        <w:t>Central office</w:t>
      </w:r>
      <w:r w:rsidR="00A04CB0" w:rsidRPr="00E45CA4" w:rsidDel="00E36713">
        <w:t xml:space="preserve"> leaders and </w:t>
      </w:r>
      <w:r w:rsidR="00CF4F71">
        <w:t>Fisher Hill</w:t>
      </w:r>
      <w:r w:rsidR="0068578A" w:rsidRPr="00E45CA4">
        <w:t xml:space="preserve"> </w:t>
      </w:r>
      <w:r w:rsidR="00A04CB0" w:rsidRPr="00E45CA4" w:rsidDel="00E36713">
        <w:t xml:space="preserve">teachers expressed that </w:t>
      </w:r>
      <w:r w:rsidR="002442D6" w:rsidRPr="00E45CA4" w:rsidDel="00E36713">
        <w:t>their curricular materials</w:t>
      </w:r>
      <w:r w:rsidR="00040362" w:rsidRPr="00E45CA4">
        <w:t>’</w:t>
      </w:r>
      <w:r w:rsidR="002442D6" w:rsidRPr="00E45CA4" w:rsidDel="00E36713">
        <w:t xml:space="preserve"> vertical and horizontal alignment </w:t>
      </w:r>
      <w:r w:rsidR="00A04CB0" w:rsidRPr="00E45CA4" w:rsidDel="00E36713">
        <w:t xml:space="preserve">is a </w:t>
      </w:r>
      <w:r w:rsidR="00040362" w:rsidRPr="00E45CA4">
        <w:t>“</w:t>
      </w:r>
      <w:r w:rsidR="00A04CB0" w:rsidRPr="00E45CA4" w:rsidDel="00E36713">
        <w:t>work in progress</w:t>
      </w:r>
      <w:r w:rsidR="00040362" w:rsidRPr="00E45CA4">
        <w:t>”</w:t>
      </w:r>
      <w:r w:rsidR="00A04CB0" w:rsidRPr="00E45CA4" w:rsidDel="00E36713">
        <w:t xml:space="preserve"> because teachers have not had much time to design curriculum maps for their newly adopted curricula. </w:t>
      </w:r>
      <w:r w:rsidR="00692927" w:rsidRPr="00E45CA4" w:rsidDel="00E36713">
        <w:t>In focus groups,</w:t>
      </w:r>
      <w:r w:rsidR="00A04CB0" w:rsidRPr="00E45CA4" w:rsidDel="00E36713">
        <w:t xml:space="preserve"> teachers </w:t>
      </w:r>
      <w:r w:rsidR="00692927" w:rsidRPr="00E45CA4" w:rsidDel="00E36713">
        <w:t>reported</w:t>
      </w:r>
      <w:r w:rsidR="00A04CB0" w:rsidRPr="00E45CA4" w:rsidDel="00E36713">
        <w:t xml:space="preserve"> that there </w:t>
      </w:r>
      <w:r w:rsidR="00692927" w:rsidRPr="00E45CA4" w:rsidDel="00E36713">
        <w:t xml:space="preserve">were some efforts </w:t>
      </w:r>
      <w:r w:rsidR="00A04CB0" w:rsidRPr="00E45CA4" w:rsidDel="00E36713">
        <w:t xml:space="preserve">to align </w:t>
      </w:r>
      <w:r w:rsidR="00692927" w:rsidRPr="00E45CA4" w:rsidDel="00E36713">
        <w:t>materials between schools</w:t>
      </w:r>
      <w:r w:rsidR="7D72814E" w:rsidRPr="00E45CA4" w:rsidDel="00E36713">
        <w:t>;</w:t>
      </w:r>
      <w:r w:rsidR="002A1902" w:rsidRPr="00E45CA4" w:rsidDel="00E36713">
        <w:t xml:space="preserve"> </w:t>
      </w:r>
      <w:r w:rsidR="00A04CB0" w:rsidRPr="00E45CA4" w:rsidDel="00E36713">
        <w:t>however, efforts have slowed recently.</w:t>
      </w:r>
      <w:r w:rsidR="00027DBD" w:rsidRPr="00E45CA4">
        <w:t xml:space="preserve"> </w:t>
      </w:r>
      <w:r w:rsidR="001F6CB7" w:rsidRPr="00E45CA4">
        <w:t xml:space="preserve">The superintendent explained that </w:t>
      </w:r>
      <w:r w:rsidR="00B456D1" w:rsidRPr="00E45CA4">
        <w:t xml:space="preserve">although </w:t>
      </w:r>
      <w:r w:rsidR="00CF4F71">
        <w:t>Fisher Hill</w:t>
      </w:r>
      <w:r w:rsidR="0068578A" w:rsidRPr="00A06F1E">
        <w:t xml:space="preserve"> </w:t>
      </w:r>
      <w:r w:rsidR="006D2A1C" w:rsidRPr="00A06F1E">
        <w:t xml:space="preserve">and </w:t>
      </w:r>
      <w:proofErr w:type="spellStart"/>
      <w:r w:rsidR="00652B48">
        <w:t>Petersham</w:t>
      </w:r>
      <w:proofErr w:type="spellEnd"/>
      <w:r w:rsidR="00652B48">
        <w:t xml:space="preserve"> Center</w:t>
      </w:r>
      <w:r w:rsidR="0068578A" w:rsidRPr="00A06F1E">
        <w:t xml:space="preserve"> </w:t>
      </w:r>
      <w:r w:rsidR="0086400D" w:rsidRPr="00A06F1E">
        <w:t>are</w:t>
      </w:r>
      <w:r w:rsidR="00B456D1" w:rsidRPr="00A06F1E">
        <w:t xml:space="preserve"> </w:t>
      </w:r>
      <w:r w:rsidR="00DB1D1E" w:rsidRPr="00A06F1E">
        <w:t xml:space="preserve">vertically </w:t>
      </w:r>
      <w:r w:rsidR="00B456D1" w:rsidRPr="00A06F1E">
        <w:t xml:space="preserve">aligned </w:t>
      </w:r>
      <w:r w:rsidR="00F56668" w:rsidRPr="00A06F1E">
        <w:t xml:space="preserve">for reading, </w:t>
      </w:r>
      <w:r w:rsidR="005B7619" w:rsidRPr="00A06F1E">
        <w:t xml:space="preserve">Mahar Regional teachers </w:t>
      </w:r>
      <w:r w:rsidR="00131C41" w:rsidRPr="00A06F1E">
        <w:t>must</w:t>
      </w:r>
      <w:r w:rsidR="00FA5A56" w:rsidRPr="00A06F1E">
        <w:t xml:space="preserve"> prepare to provide supplemental instruction</w:t>
      </w:r>
      <w:r w:rsidR="005B7619" w:rsidRPr="00A06F1E">
        <w:t xml:space="preserve"> </w:t>
      </w:r>
      <w:r w:rsidR="00FA5A56" w:rsidRPr="00A06F1E">
        <w:t>because</w:t>
      </w:r>
      <w:r w:rsidR="005B7619" w:rsidRPr="00A06F1E">
        <w:t xml:space="preserve"> </w:t>
      </w:r>
      <w:r w:rsidR="00CF4F71">
        <w:t>Fisher Hill</w:t>
      </w:r>
      <w:r w:rsidR="00FA5A56" w:rsidRPr="00A06F1E">
        <w:t xml:space="preserve"> and </w:t>
      </w:r>
      <w:proofErr w:type="spellStart"/>
      <w:r w:rsidR="00652B48">
        <w:t>Petersham</w:t>
      </w:r>
      <w:proofErr w:type="spellEnd"/>
      <w:r w:rsidR="00652B48">
        <w:t xml:space="preserve"> Center</w:t>
      </w:r>
      <w:r w:rsidR="0086400D" w:rsidRPr="00A06F1E">
        <w:t xml:space="preserve"> </w:t>
      </w:r>
      <w:r w:rsidR="006D2A1C" w:rsidRPr="00A06F1E">
        <w:t xml:space="preserve">have different </w:t>
      </w:r>
      <w:r w:rsidR="00DC07B2" w:rsidRPr="00A06F1E">
        <w:t>math</w:t>
      </w:r>
      <w:r w:rsidR="003E647A" w:rsidRPr="00A06F1E">
        <w:t>ematics</w:t>
      </w:r>
      <w:r w:rsidR="00DC07B2" w:rsidRPr="00A06F1E">
        <w:t xml:space="preserve"> curricul</w:t>
      </w:r>
      <w:r w:rsidR="002A1902" w:rsidRPr="00A06F1E">
        <w:t>a</w:t>
      </w:r>
      <w:r w:rsidR="009F6344" w:rsidRPr="00A06F1E">
        <w:t xml:space="preserve">. </w:t>
      </w:r>
      <w:r w:rsidR="003428C6" w:rsidRPr="00A06F1E">
        <w:t xml:space="preserve">One </w:t>
      </w:r>
      <w:proofErr w:type="spellStart"/>
      <w:r w:rsidR="00652B48">
        <w:t>Petersham</w:t>
      </w:r>
      <w:proofErr w:type="spellEnd"/>
      <w:r w:rsidR="00652B48">
        <w:t xml:space="preserve"> Center</w:t>
      </w:r>
      <w:r w:rsidR="00ED6793" w:rsidRPr="00A06F1E">
        <w:t xml:space="preserve"> </w:t>
      </w:r>
      <w:r w:rsidR="003428C6" w:rsidRPr="00A06F1E">
        <w:t xml:space="preserve">teacher explained that </w:t>
      </w:r>
      <w:r w:rsidR="00377975" w:rsidRPr="00A06F1E">
        <w:t>curricula</w:t>
      </w:r>
      <w:r w:rsidR="003E647A" w:rsidRPr="00A06F1E">
        <w:t>r</w:t>
      </w:r>
      <w:r w:rsidR="00377975" w:rsidRPr="00A06F1E">
        <w:t xml:space="preserve"> choices depend on available funding and teacher input</w:t>
      </w:r>
      <w:r w:rsidR="00550F25" w:rsidRPr="00A06F1E">
        <w:t xml:space="preserve">: </w:t>
      </w:r>
      <w:r w:rsidR="00040362" w:rsidRPr="00A06F1E">
        <w:t>“</w:t>
      </w:r>
      <w:r w:rsidR="00851495" w:rsidRPr="00A06F1E">
        <w:t xml:space="preserve">We </w:t>
      </w:r>
      <w:r w:rsidR="001F2EDA" w:rsidRPr="00A06F1E">
        <w:t>definitely do have some</w:t>
      </w:r>
      <w:r w:rsidR="006F1ADD" w:rsidRPr="00A06F1E">
        <w:t xml:space="preserve"> [input]</w:t>
      </w:r>
      <w:r w:rsidR="009537B5" w:rsidRPr="00A06F1E">
        <w:t xml:space="preserve">, but curriculum, if </w:t>
      </w:r>
      <w:r w:rsidR="00EC0D95" w:rsidRPr="00A06F1E">
        <w:t>[the other elementary school]</w:t>
      </w:r>
      <w:r w:rsidR="009537B5" w:rsidRPr="00A06F1E">
        <w:t xml:space="preserve"> decided on a curriculum, that doesn</w:t>
      </w:r>
      <w:r w:rsidR="00040362" w:rsidRPr="00A06F1E">
        <w:t>’</w:t>
      </w:r>
      <w:r w:rsidR="009537B5" w:rsidRPr="00A06F1E">
        <w:t>t necessarily mean that this building is using the same curriculum.</w:t>
      </w:r>
      <w:r w:rsidR="00040362" w:rsidRPr="00A06F1E">
        <w:t>”</w:t>
      </w:r>
      <w:r w:rsidR="0009160A" w:rsidRPr="00A06F1E">
        <w:t xml:space="preserve"> </w:t>
      </w:r>
      <w:r w:rsidR="00131C41" w:rsidRPr="00A06F1E">
        <w:t>Mahar Regional teachers explained that there is not a consistent math</w:t>
      </w:r>
      <w:r w:rsidR="002B33E9" w:rsidRPr="00A06F1E">
        <w:t>ematics</w:t>
      </w:r>
      <w:r w:rsidR="00131C41" w:rsidRPr="00A06F1E">
        <w:t xml:space="preserve"> curriculum and that they are </w:t>
      </w:r>
      <w:r w:rsidR="00766EFF" w:rsidRPr="00A06F1E">
        <w:t>collaborating</w:t>
      </w:r>
      <w:r w:rsidR="00131C41" w:rsidRPr="00A06F1E">
        <w:t xml:space="preserve"> with the curriculum review team at </w:t>
      </w:r>
      <w:r w:rsidR="00CF4F71">
        <w:t>Fisher Hill</w:t>
      </w:r>
      <w:r w:rsidR="0068578A" w:rsidRPr="00A06F1E">
        <w:t xml:space="preserve"> </w:t>
      </w:r>
      <w:r w:rsidR="00131C41" w:rsidRPr="00A06F1E">
        <w:t>to prioritize the vertical alignment of curricula</w:t>
      </w:r>
      <w:r w:rsidR="002B33E9" w:rsidRPr="00A06F1E">
        <w:t xml:space="preserve"> but stated</w:t>
      </w:r>
      <w:r w:rsidR="00131C41" w:rsidRPr="00A06F1E">
        <w:t xml:space="preserve">, </w:t>
      </w:r>
      <w:r w:rsidR="00040362" w:rsidRPr="00A06F1E">
        <w:t>“</w:t>
      </w:r>
      <w:r w:rsidR="002B33E9" w:rsidRPr="00A06F1E">
        <w:t>W</w:t>
      </w:r>
      <w:r w:rsidR="00A23E81" w:rsidRPr="00A06F1E">
        <w:t xml:space="preserve">e </w:t>
      </w:r>
      <w:r w:rsidR="00131C41" w:rsidRPr="00A06F1E">
        <w:t>need to do better.</w:t>
      </w:r>
      <w:r w:rsidR="00040362" w:rsidRPr="00A06F1E">
        <w:t>”</w:t>
      </w:r>
      <w:r w:rsidR="00131C41" w:rsidRPr="00A06F1E">
        <w:t xml:space="preserve"> </w:t>
      </w:r>
      <w:r w:rsidR="009A2E3C" w:rsidRPr="00A06F1E">
        <w:t xml:space="preserve">Many staff recognized a need for </w:t>
      </w:r>
      <w:r w:rsidR="00FF4780" w:rsidRPr="00A06F1E">
        <w:t xml:space="preserve">additional opportunities to address </w:t>
      </w:r>
      <w:r w:rsidR="002A3E1E" w:rsidRPr="00A06F1E">
        <w:t xml:space="preserve">horizontal and </w:t>
      </w:r>
      <w:r w:rsidR="00FF4780" w:rsidRPr="00A06F1E">
        <w:t>vertical alignment across all content areas.</w:t>
      </w:r>
    </w:p>
    <w:p w14:paraId="33D27A60" w14:textId="3F00C3CE" w:rsidR="006C1DC9" w:rsidRPr="00A06F1E" w:rsidRDefault="000944F6" w:rsidP="00F05D1C">
      <w:pPr>
        <w:pStyle w:val="BodyText"/>
      </w:pPr>
      <w:r w:rsidRPr="00A06F1E">
        <w:t>T</w:t>
      </w:r>
      <w:r w:rsidR="00EA78D2" w:rsidRPr="00A06F1E">
        <w:t xml:space="preserve">he </w:t>
      </w:r>
      <w:r w:rsidR="00EA0B1A" w:rsidRPr="00A06F1E">
        <w:t>superintendency union</w:t>
      </w:r>
      <w:r w:rsidR="00EA78D2" w:rsidRPr="00A06F1E">
        <w:t xml:space="preserve"> prioritizes professional development and teacher training to use district curricula effectively. </w:t>
      </w:r>
      <w:r w:rsidR="002D2A76" w:rsidRPr="00A06F1E">
        <w:t>C</w:t>
      </w:r>
      <w:r w:rsidR="00047C7B" w:rsidRPr="00A06F1E">
        <w:t xml:space="preserve">urriculum-based professional development for teachers </w:t>
      </w:r>
      <w:r w:rsidR="002D2A76" w:rsidRPr="00A06F1E">
        <w:t>is organized by the director of curriculum and the district instructional coach and data analyst.</w:t>
      </w:r>
      <w:r w:rsidR="00F84FB2" w:rsidRPr="00A06F1E">
        <w:t xml:space="preserve"> </w:t>
      </w:r>
      <w:r w:rsidR="00D53A64" w:rsidRPr="00A06F1E">
        <w:t xml:space="preserve">A </w:t>
      </w:r>
      <w:r w:rsidR="00723DA1" w:rsidRPr="00A06F1E">
        <w:t>central office</w:t>
      </w:r>
      <w:r w:rsidR="00D53A64" w:rsidRPr="00A06F1E">
        <w:t xml:space="preserve"> leader shared that professional development is </w:t>
      </w:r>
      <w:r w:rsidR="00D53A64" w:rsidRPr="00A06F1E" w:rsidDel="00FB3E0E">
        <w:t>teacher</w:t>
      </w:r>
      <w:r w:rsidR="00FB3E0E">
        <w:t>-focused</w:t>
      </w:r>
      <w:r w:rsidR="00D53A64" w:rsidRPr="00A06F1E">
        <w:t xml:space="preserve"> and that </w:t>
      </w:r>
      <w:r w:rsidR="00040362" w:rsidRPr="00A06F1E">
        <w:t>“</w:t>
      </w:r>
      <w:r w:rsidR="00D53A64" w:rsidRPr="00A06F1E">
        <w:t>teachers decide what they want to learn</w:t>
      </w:r>
      <w:r w:rsidR="00D37B66" w:rsidRPr="00A06F1E">
        <w:t>.</w:t>
      </w:r>
      <w:r w:rsidR="00040362" w:rsidRPr="00A06F1E">
        <w:t>”</w:t>
      </w:r>
      <w:r w:rsidR="00D53A64" w:rsidRPr="00A06F1E">
        <w:t xml:space="preserve"> This process is described in detail in </w:t>
      </w:r>
      <w:r w:rsidR="00562FA6" w:rsidRPr="00A06F1E">
        <w:t>t</w:t>
      </w:r>
      <w:r w:rsidR="00F50E12" w:rsidRPr="00A06F1E">
        <w:t xml:space="preserve">he </w:t>
      </w:r>
      <w:r w:rsidR="00F50E12" w:rsidRPr="00A06F1E">
        <w:rPr>
          <w:i/>
          <w:iCs/>
        </w:rPr>
        <w:t>Ralph C. Mahar Regional &amp; School Union 73 Professional Development Policy</w:t>
      </w:r>
      <w:r w:rsidR="00D53A64" w:rsidRPr="00A06F1E">
        <w:t xml:space="preserve">, which states that </w:t>
      </w:r>
      <w:r w:rsidR="005A27DD" w:rsidRPr="00A06F1E">
        <w:t>educators are required to have an Individual Professional Development Plan</w:t>
      </w:r>
      <w:r w:rsidR="00282E24" w:rsidRPr="00A06F1E">
        <w:t>. Th</w:t>
      </w:r>
      <w:r w:rsidR="00AC1E09" w:rsidRPr="00A06F1E">
        <w:t>is plan</w:t>
      </w:r>
      <w:r w:rsidR="00282E24" w:rsidRPr="00A06F1E">
        <w:t xml:space="preserve"> </w:t>
      </w:r>
      <w:r w:rsidR="000B10AD" w:rsidRPr="00A06F1E">
        <w:t>focuses on the educator</w:t>
      </w:r>
      <w:r w:rsidR="00040362" w:rsidRPr="00A06F1E">
        <w:t>’</w:t>
      </w:r>
      <w:r w:rsidR="000B10AD" w:rsidRPr="00A06F1E">
        <w:t xml:space="preserve">s goals for strengthening their content knowledge and professional skills in their license area(s). </w:t>
      </w:r>
      <w:r w:rsidR="00387800" w:rsidRPr="00A06F1E">
        <w:t>In</w:t>
      </w:r>
      <w:r w:rsidR="000E3E48" w:rsidRPr="00A06F1E">
        <w:t xml:space="preserve"> a follow-up to the </w:t>
      </w:r>
      <w:r w:rsidR="00D9614B" w:rsidRPr="00A06F1E">
        <w:t>professional development</w:t>
      </w:r>
      <w:r w:rsidR="000E3E48" w:rsidRPr="00A06F1E">
        <w:t xml:space="preserve"> </w:t>
      </w:r>
      <w:r w:rsidRPr="00A06F1E">
        <w:t>provided, t</w:t>
      </w:r>
      <w:r w:rsidR="00DE7603" w:rsidRPr="00A06F1E" w:rsidDel="00314BFE">
        <w:t>he superintendent noted that administrators conduct walkthroughs</w:t>
      </w:r>
      <w:r w:rsidR="00DB3503" w:rsidRPr="00A06F1E" w:rsidDel="00314BFE">
        <w:t xml:space="preserve"> and sit in on professional learning </w:t>
      </w:r>
      <w:r w:rsidR="00D533DB" w:rsidRPr="00A06F1E" w:rsidDel="00314BFE">
        <w:t>community meetings</w:t>
      </w:r>
      <w:r w:rsidR="00DB3503" w:rsidRPr="00A06F1E" w:rsidDel="00314BFE">
        <w:t xml:space="preserve"> </w:t>
      </w:r>
      <w:r w:rsidR="001D2337" w:rsidRPr="00A06F1E" w:rsidDel="00314BFE">
        <w:t>to review the implementation of the curricul</w:t>
      </w:r>
      <w:r w:rsidR="00387800" w:rsidRPr="00A06F1E">
        <w:t>a</w:t>
      </w:r>
      <w:r w:rsidR="001D2337" w:rsidRPr="00A06F1E" w:rsidDel="00314BFE">
        <w:t>.</w:t>
      </w:r>
    </w:p>
    <w:p w14:paraId="68501147" w14:textId="2C76A29B" w:rsidR="00473308" w:rsidRPr="00A06F1E" w:rsidRDefault="00473308" w:rsidP="00473308">
      <w:pPr>
        <w:pStyle w:val="Heading3"/>
      </w:pPr>
      <w:bookmarkStart w:id="38" w:name="_Classroom_Instruction"/>
      <w:bookmarkEnd w:id="38"/>
      <w:r w:rsidRPr="00A06F1E">
        <w:t>Classroom Instruction</w:t>
      </w:r>
    </w:p>
    <w:p w14:paraId="3151CFD5" w14:textId="065E7F0F" w:rsidR="006C1DC9" w:rsidRPr="00E45CA4" w:rsidRDefault="007E77B9" w:rsidP="00EA1875">
      <w:pPr>
        <w:pStyle w:val="BodyTextposthead"/>
      </w:pPr>
      <w:r w:rsidRPr="00A06F1E">
        <w:t xml:space="preserve">The </w:t>
      </w:r>
      <w:r w:rsidR="00A3023E" w:rsidRPr="00A06F1E">
        <w:rPr>
          <w:i/>
          <w:iCs/>
        </w:rPr>
        <w:t>Ralph C. Mahar Regional &amp; School Union 73 District Improvement Plan</w:t>
      </w:r>
      <w:r w:rsidR="00A3023E" w:rsidRPr="00A06F1E">
        <w:t xml:space="preserve"> details </w:t>
      </w:r>
      <w:r w:rsidR="000D6A8E">
        <w:t>RCM &amp; SU 73</w:t>
      </w:r>
      <w:r w:rsidR="00040362" w:rsidRPr="00A06F1E">
        <w:t>’</w:t>
      </w:r>
      <w:r w:rsidR="00D31ACC" w:rsidRPr="00A06F1E">
        <w:t>s</w:t>
      </w:r>
      <w:r w:rsidR="00A3023E" w:rsidRPr="00A06F1E">
        <w:t xml:space="preserve"> instructional priorities</w:t>
      </w:r>
      <w:r w:rsidR="20873C43">
        <w:t>, among them being</w:t>
      </w:r>
      <w:r w:rsidR="26959603">
        <w:t xml:space="preserve">, </w:t>
      </w:r>
      <w:r w:rsidR="00A3023E" w:rsidRPr="00A06F1E">
        <w:t xml:space="preserve"> </w:t>
      </w:r>
      <w:r w:rsidR="2E70A8C0">
        <w:t>to “</w:t>
      </w:r>
      <w:r w:rsidR="00937C14" w:rsidRPr="00A06F1E">
        <w:t>establish an instructional environment that fosters critical and creative thinkers and effective communicators in a technologically rich environment</w:t>
      </w:r>
      <w:r w:rsidR="61DD540D">
        <w:t>”</w:t>
      </w:r>
      <w:r w:rsidR="00937C14" w:rsidRPr="00A06F1E">
        <w:t xml:space="preserve"> </w:t>
      </w:r>
      <w:r w:rsidR="00434196" w:rsidRPr="00A06F1E">
        <w:t xml:space="preserve">and </w:t>
      </w:r>
      <w:r w:rsidR="7588E203">
        <w:t>to</w:t>
      </w:r>
      <w:r w:rsidR="00434196">
        <w:t xml:space="preserve"> </w:t>
      </w:r>
      <w:r w:rsidR="0DCB0406">
        <w:t>“</w:t>
      </w:r>
      <w:r w:rsidR="008442E0" w:rsidRPr="00A06F1E">
        <w:t>provide appropriate curricul</w:t>
      </w:r>
      <w:r w:rsidR="00387800" w:rsidRPr="00A06F1E">
        <w:t>a</w:t>
      </w:r>
      <w:r w:rsidR="008442E0" w:rsidRPr="00A06F1E">
        <w:t xml:space="preserve"> and teaching strategies that ensure equity and </w:t>
      </w:r>
      <w:r w:rsidR="008442E0">
        <w:t>non</w:t>
      </w:r>
      <w:r w:rsidR="2C17FED3">
        <w:t>-</w:t>
      </w:r>
      <w:r w:rsidR="008442E0">
        <w:t>bias</w:t>
      </w:r>
      <w:r w:rsidR="008442E0" w:rsidRPr="00A06F1E">
        <w:t xml:space="preserve"> instruction and learning opportunities for all students</w:t>
      </w:r>
      <w:r w:rsidR="008442E0">
        <w:t>.</w:t>
      </w:r>
      <w:r w:rsidR="1083277D">
        <w:t>”</w:t>
      </w:r>
      <w:r w:rsidR="008442E0" w:rsidRPr="00A06F1E">
        <w:t xml:space="preserve"> </w:t>
      </w:r>
      <w:r w:rsidR="00EF10F2" w:rsidRPr="00A06F1E">
        <w:t xml:space="preserve">Discussions with teachers and </w:t>
      </w:r>
      <w:r w:rsidR="00F767B6" w:rsidRPr="00A06F1E">
        <w:t xml:space="preserve">central office </w:t>
      </w:r>
      <w:r w:rsidR="009C2A61" w:rsidRPr="00A06F1E">
        <w:t xml:space="preserve">and school leaders revealed </w:t>
      </w:r>
      <w:r w:rsidR="3ED6070F" w:rsidRPr="00A06F1E">
        <w:t xml:space="preserve">a </w:t>
      </w:r>
      <w:r w:rsidR="009C2A61" w:rsidRPr="00A06F1E">
        <w:t xml:space="preserve">common </w:t>
      </w:r>
      <w:r w:rsidR="00DD3010" w:rsidRPr="00A06F1E">
        <w:t>understanding</w:t>
      </w:r>
      <w:r w:rsidR="009C2A61" w:rsidRPr="00A06F1E">
        <w:t xml:space="preserve"> of these priorities</w:t>
      </w:r>
      <w:r w:rsidR="00A669F1" w:rsidRPr="00A06F1E">
        <w:t>. S</w:t>
      </w:r>
      <w:r w:rsidR="009C2A61" w:rsidRPr="00A06F1E">
        <w:t xml:space="preserve">takeholders identified high-quality teaching </w:t>
      </w:r>
      <w:r w:rsidR="009C166A" w:rsidRPr="00A06F1E">
        <w:t xml:space="preserve">practices as a </w:t>
      </w:r>
      <w:r w:rsidR="00DD3010" w:rsidRPr="00A06F1E">
        <w:t>priority</w:t>
      </w:r>
      <w:r w:rsidR="009C166A" w:rsidRPr="00A06F1E">
        <w:t xml:space="preserve"> of the </w:t>
      </w:r>
      <w:r w:rsidR="005238E6" w:rsidRPr="00A06F1E">
        <w:t>superintendency union</w:t>
      </w:r>
      <w:r w:rsidR="009C166A" w:rsidRPr="00A06F1E">
        <w:t xml:space="preserve">. </w:t>
      </w:r>
      <w:r w:rsidR="00422A8C" w:rsidRPr="00A06F1E">
        <w:t xml:space="preserve">For example, the </w:t>
      </w:r>
      <w:r w:rsidR="00C079DD" w:rsidRPr="00A06F1E">
        <w:rPr>
          <w:i/>
          <w:iCs/>
        </w:rPr>
        <w:t>Ralph C. Mahar Regional School 2023-2025 School Improvement Plan</w:t>
      </w:r>
      <w:r w:rsidR="00C079DD" w:rsidRPr="00A06F1E">
        <w:t xml:space="preserve"> emphasizes </w:t>
      </w:r>
      <w:r w:rsidR="00F57ED8" w:rsidRPr="00A06F1E">
        <w:t xml:space="preserve">implementing </w:t>
      </w:r>
      <w:r w:rsidR="00040362" w:rsidRPr="00A06F1E">
        <w:t>“</w:t>
      </w:r>
      <w:r w:rsidR="00F57ED8" w:rsidRPr="00A06F1E">
        <w:t xml:space="preserve">more personalized and </w:t>
      </w:r>
      <w:r w:rsidR="000E5581" w:rsidRPr="00A06F1E">
        <w:t>project-based</w:t>
      </w:r>
      <w:r w:rsidR="00F57ED8" w:rsidRPr="00A06F1E">
        <w:t xml:space="preserve"> options for all students</w:t>
      </w:r>
      <w:r w:rsidR="000E5581" w:rsidRPr="00A06F1E">
        <w:t>,</w:t>
      </w:r>
      <w:r w:rsidR="00040362" w:rsidRPr="00A06F1E">
        <w:t>”</w:t>
      </w:r>
      <w:r w:rsidR="000E5581" w:rsidRPr="00A06F1E">
        <w:t xml:space="preserve"> whereas the </w:t>
      </w:r>
      <w:r w:rsidR="00CF4F71">
        <w:rPr>
          <w:i/>
          <w:iCs/>
        </w:rPr>
        <w:t>Fisher Hill</w:t>
      </w:r>
      <w:r w:rsidR="00EB3EA4" w:rsidRPr="00A06F1E">
        <w:rPr>
          <w:i/>
          <w:iCs/>
        </w:rPr>
        <w:t xml:space="preserve"> School </w:t>
      </w:r>
      <w:r w:rsidR="00CC116A" w:rsidRPr="00A06F1E">
        <w:rPr>
          <w:i/>
          <w:iCs/>
        </w:rPr>
        <w:t>2023-2</w:t>
      </w:r>
      <w:r w:rsidR="006423A2" w:rsidRPr="00A06F1E">
        <w:rPr>
          <w:i/>
          <w:iCs/>
        </w:rPr>
        <w:t>025 School Improvement Plan</w:t>
      </w:r>
      <w:r w:rsidR="006423A2" w:rsidRPr="00A06F1E">
        <w:t xml:space="preserve"> prioritizes the </w:t>
      </w:r>
      <w:r w:rsidR="001D12C6" w:rsidRPr="00A06F1E">
        <w:t>implementation of evidence-based practices.</w:t>
      </w:r>
      <w:r w:rsidR="00135E1D" w:rsidRPr="00A06F1E">
        <w:t xml:space="preserve"> </w:t>
      </w:r>
      <w:r w:rsidR="00B262D3" w:rsidRPr="00A06F1E">
        <w:t xml:space="preserve">Teachers and school leaders across grade </w:t>
      </w:r>
      <w:r w:rsidR="00B262D3" w:rsidRPr="00E45CA4">
        <w:t>levels reported formal observations and informal walkthroughs to review teachers</w:t>
      </w:r>
      <w:r w:rsidR="00040362" w:rsidRPr="00E45CA4">
        <w:t>’</w:t>
      </w:r>
      <w:r w:rsidR="00B262D3" w:rsidRPr="00E45CA4">
        <w:t xml:space="preserve"> instructional practices. </w:t>
      </w:r>
      <w:r w:rsidR="00A47BB2" w:rsidRPr="00E45CA4">
        <w:t xml:space="preserve">In addition to </w:t>
      </w:r>
      <w:r w:rsidR="00284AF7" w:rsidRPr="00E45CA4">
        <w:t xml:space="preserve">following </w:t>
      </w:r>
      <w:r w:rsidR="000D6A8E">
        <w:t>RCM &amp; SU 73</w:t>
      </w:r>
      <w:r w:rsidR="00040362" w:rsidRPr="00E45CA4">
        <w:t>’</w:t>
      </w:r>
      <w:r w:rsidR="00E57C16" w:rsidRPr="00E45CA4">
        <w:t>s</w:t>
      </w:r>
      <w:r w:rsidR="00A47BB2" w:rsidRPr="00E45CA4">
        <w:t xml:space="preserve"> plan, </w:t>
      </w:r>
      <w:r w:rsidR="009E1832" w:rsidRPr="00E45CA4">
        <w:t xml:space="preserve">each building creates a </w:t>
      </w:r>
      <w:r w:rsidR="00C114A6" w:rsidRPr="00E45CA4">
        <w:t>SIP</w:t>
      </w:r>
      <w:r w:rsidR="009E1832" w:rsidRPr="00E45CA4">
        <w:t xml:space="preserve"> that aligns with the </w:t>
      </w:r>
      <w:r w:rsidR="00E57C16" w:rsidRPr="00E45CA4">
        <w:t>central office</w:t>
      </w:r>
      <w:r w:rsidR="00040362" w:rsidRPr="00E45CA4">
        <w:t>’</w:t>
      </w:r>
      <w:r w:rsidR="00E57C16" w:rsidRPr="00E45CA4">
        <w:t xml:space="preserve">s </w:t>
      </w:r>
      <w:r w:rsidR="009E1832" w:rsidRPr="00E45CA4">
        <w:t xml:space="preserve">instructional goals </w:t>
      </w:r>
      <w:r w:rsidR="00422A8C" w:rsidRPr="00E45CA4">
        <w:t xml:space="preserve">but tailors the priorities to the students </w:t>
      </w:r>
      <w:r w:rsidR="00422A8C" w:rsidRPr="00E45CA4">
        <w:lastRenderedPageBreak/>
        <w:t>they serve.</w:t>
      </w:r>
      <w:r w:rsidR="006C1DC9" w:rsidRPr="00E45CA4">
        <w:t xml:space="preserve"> </w:t>
      </w:r>
      <w:r w:rsidR="00020A8E" w:rsidRPr="00E45CA4">
        <w:t xml:space="preserve">The </w:t>
      </w:r>
      <w:r w:rsidR="00C21864" w:rsidRPr="00E45CA4">
        <w:t>D</w:t>
      </w:r>
      <w:r w:rsidR="00020A8E" w:rsidRPr="00E45CA4">
        <w:t xml:space="preserve">istrict </w:t>
      </w:r>
      <w:r w:rsidR="00C21864" w:rsidRPr="00E45CA4">
        <w:t>I</w:t>
      </w:r>
      <w:r w:rsidR="007919E1" w:rsidRPr="00E45CA4">
        <w:t xml:space="preserve">mprovement </w:t>
      </w:r>
      <w:r w:rsidR="00C21864" w:rsidRPr="00E45CA4">
        <w:t>P</w:t>
      </w:r>
      <w:r w:rsidR="006E5E9A" w:rsidRPr="00E45CA4">
        <w:t xml:space="preserve">lan </w:t>
      </w:r>
      <w:r w:rsidR="00020A8E" w:rsidRPr="00E45CA4">
        <w:t xml:space="preserve">and </w:t>
      </w:r>
      <w:r w:rsidR="00C114A6" w:rsidRPr="00E45CA4">
        <w:t>SIP</w:t>
      </w:r>
      <w:r w:rsidR="00020A8E" w:rsidRPr="00E45CA4">
        <w:t xml:space="preserve">s clearly articulate aligned instructional goals, which is a strength of the </w:t>
      </w:r>
      <w:r w:rsidR="00880A1B" w:rsidRPr="00E45CA4">
        <w:t>superintendency union</w:t>
      </w:r>
      <w:r w:rsidR="00020A8E" w:rsidRPr="00E45CA4">
        <w:t>.</w:t>
      </w:r>
    </w:p>
    <w:p w14:paraId="365A6458" w14:textId="77777777" w:rsidR="00BE2543" w:rsidRPr="00A06F1E" w:rsidRDefault="00BE2543" w:rsidP="00BE2543">
      <w:pPr>
        <w:pStyle w:val="BodyText"/>
      </w:pPr>
      <w:r w:rsidRPr="00A06F1E">
        <w:t xml:space="preserve">The superintendency union prioritizes professional development and teacher training to use district curricula effectively. Curriculum-based professional development for teachers is organized by the director of curriculum and the district instructional coach and data analyst. A central office leader shared that professional development is </w:t>
      </w:r>
      <w:r w:rsidRPr="00A06F1E" w:rsidDel="00FB3E0E">
        <w:t>teacher</w:t>
      </w:r>
      <w:r>
        <w:t>-focused</w:t>
      </w:r>
      <w:r w:rsidRPr="00A06F1E">
        <w:t xml:space="preserve"> and that “teachers decide what they want to learn.” This process is described in detail in the </w:t>
      </w:r>
      <w:r w:rsidRPr="00A06F1E">
        <w:rPr>
          <w:i/>
          <w:iCs/>
        </w:rPr>
        <w:t>Ralph C. Mahar Regional &amp; School Union 73 Professional Development Policy</w:t>
      </w:r>
      <w:r w:rsidRPr="00A06F1E">
        <w:t>, which states that educators are required to have an Individual Professional Development Plan. This plan focuses on the educator’s goals for strengthening their content knowledge and professional skills in their license area(s). In a follow-up to the professional development provided, t</w:t>
      </w:r>
      <w:r w:rsidRPr="00A06F1E" w:rsidDel="00314BFE">
        <w:t>he superintendent noted that administrators conduct walkthroughs and sit in on professional learning community meetings to review the implementation of the curricul</w:t>
      </w:r>
      <w:r w:rsidRPr="00A06F1E">
        <w:t>a</w:t>
      </w:r>
      <w:r w:rsidRPr="00A06F1E" w:rsidDel="00314BFE">
        <w:t>.</w:t>
      </w:r>
    </w:p>
    <w:p w14:paraId="536F01D4" w14:textId="2E5C2CCD" w:rsidR="009372E4" w:rsidRDefault="00841BB5" w:rsidP="008A65D8">
      <w:pPr>
        <w:pStyle w:val="BodyTextposthead"/>
      </w:pPr>
      <w:r>
        <w:t>However, e</w:t>
      </w:r>
      <w:r w:rsidR="53FEEACF">
        <w:t xml:space="preserve">lementary teachers explained that curriculum implementation is a challenge because curricula trainings were offered in the summer at the start of the year but not offered during the school year. In addition, these staff reported that district support for implementation “didn’t always feel supportive.” Several </w:t>
      </w:r>
      <w:r w:rsidR="00CF4F71">
        <w:t>Fisher Hill</w:t>
      </w:r>
      <w:r w:rsidR="53FEEACF">
        <w:t xml:space="preserve"> teachers reported that although they receive initial training when adopting a new curriculum, ongoing training for that curriculum—such as coaching—is often lacking. Teachers noted that central office leaders have “asked people who were coaches in the past to support some new teachers [in teaching curricula], but there’s no </w:t>
      </w:r>
      <w:r w:rsidR="00424A03">
        <w:t xml:space="preserve">[formal] </w:t>
      </w:r>
      <w:r w:rsidR="53FEEACF">
        <w:t xml:space="preserve">role for that.” As a result, teachers who are new to the school teach curricula without receiving </w:t>
      </w:r>
      <w:r w:rsidR="009C7EB5">
        <w:t xml:space="preserve">adequate </w:t>
      </w:r>
      <w:r w:rsidR="53FEEACF">
        <w:t>training</w:t>
      </w:r>
      <w:r w:rsidR="009C7EB5">
        <w:t>, staff said</w:t>
      </w:r>
      <w:r w:rsidR="53FEEACF">
        <w:t xml:space="preserve">. One teacher shared that they were not offered any training in the Wonders curriculum and that they didn’t receive adequate guidance from central office leaders about how to receive training. Reports from teachers and central office officials indicated that curriculum implementation at the elementary level is inconsistent, which is an area for growth for </w:t>
      </w:r>
      <w:r w:rsidR="000D6A8E">
        <w:t>RCM &amp; SU 73</w:t>
      </w:r>
      <w:r w:rsidR="53FEEACF">
        <w:t>.</w:t>
      </w:r>
    </w:p>
    <w:p w14:paraId="1F75A096" w14:textId="54779EA0" w:rsidR="00165BB0" w:rsidRPr="00E45CA4" w:rsidRDefault="73B9377D" w:rsidP="00165BB0">
      <w:pPr>
        <w:pStyle w:val="BodyText"/>
      </w:pPr>
      <w:r>
        <w:t xml:space="preserve">Still, </w:t>
      </w:r>
      <w:r w:rsidR="1C2EB2C4">
        <w:t>t</w:t>
      </w:r>
      <w:r w:rsidR="00EA256C">
        <w:t>he superintendency union has some structures to support instruction</w:t>
      </w:r>
      <w:r w:rsidR="6B512574">
        <w:t xml:space="preserve"> more generally</w:t>
      </w:r>
      <w:r w:rsidR="00EA256C">
        <w:t>, though n</w:t>
      </w:r>
      <w:r w:rsidR="00280FE9" w:rsidRPr="00E45CA4">
        <w:t xml:space="preserve">ot all </w:t>
      </w:r>
      <w:r w:rsidR="000D6A8E">
        <w:t>RCM &amp; SU 73</w:t>
      </w:r>
      <w:r w:rsidR="00280FE9" w:rsidRPr="00E45CA4">
        <w:t xml:space="preserve"> schools have access to an instructional coach who provides targeted, ongoing support and promotes continuous improvement. </w:t>
      </w:r>
      <w:r w:rsidR="00EA256C">
        <w:t>As such</w:t>
      </w:r>
      <w:r w:rsidR="00280FE9">
        <w:t>, some staff need additional resources to support instructional improvement, such as</w:t>
      </w:r>
      <w:r w:rsidR="00280FE9" w:rsidRPr="00E45CA4">
        <w:t xml:space="preserve"> dedicated coaches, which central office leaders and teachers recognize as an area for growth</w:t>
      </w:r>
      <w:r w:rsidR="00280FE9">
        <w:t>. The need for additional instructional supports is especially prevalent</w:t>
      </w:r>
      <w:r w:rsidR="00280FE9" w:rsidRPr="00E45CA4">
        <w:t xml:space="preserve"> at the elementary level. </w:t>
      </w:r>
      <w:r w:rsidR="000D6A8E">
        <w:t>RCM &amp; SU 73</w:t>
      </w:r>
      <w:r w:rsidR="00B24CB0" w:rsidRPr="00E45CA4">
        <w:t xml:space="preserve"> leaders explained that instead of having a dedicated instructional coach position, the central office provides stipends to former instructional coaches to provide instructional support to elementary-level teachers</w:t>
      </w:r>
      <w:r w:rsidR="00B24CB0">
        <w:t xml:space="preserve">. Focus group respondents, however, reported that these staff rarely have time or opportunity to offer this support. </w:t>
      </w:r>
      <w:r w:rsidR="00F542B4" w:rsidRPr="00E45CA4">
        <w:t>One</w:t>
      </w:r>
      <w:r w:rsidR="00F542B4">
        <w:t xml:space="preserve"> elementary</w:t>
      </w:r>
      <w:r w:rsidR="00F542B4" w:rsidRPr="00E45CA4">
        <w:t xml:space="preserve"> principal said, “We don’t have coaches. We don’t have coordinators. It’s just myself and </w:t>
      </w:r>
      <w:r w:rsidR="00F542B4">
        <w:t>[one other person]</w:t>
      </w:r>
      <w:r w:rsidR="00F542B4" w:rsidRPr="00E45CA4">
        <w:t> . . . making ourselves present. We wear many hats in our building.” When asked if elementary teachers could work directly with an instructional coach, a</w:t>
      </w:r>
      <w:r w:rsidR="009B5D46">
        <w:t>n elementary</w:t>
      </w:r>
      <w:r w:rsidR="00F542B4" w:rsidRPr="00E45CA4">
        <w:t xml:space="preserve"> focus group respondent said, “None of us. We don’t have any,” a sentiment with which other participants agreed. Another teacher explained, “Officially, if I was a new teacher who needed coaching or if I was an experienced teacher who wanted coaching, there’s no one to do that.” </w:t>
      </w:r>
      <w:r w:rsidR="00280FE9" w:rsidRPr="00E45CA4">
        <w:t xml:space="preserve">One central office leader elaborated that although the former elementary-level literacy and mathematics coaches now function as Title 1 interventionists, they still provide some afterschool training for teachers and attend weekly professional learning community meetings. </w:t>
      </w:r>
      <w:r w:rsidR="00CF4F71">
        <w:t>Fisher Hill</w:t>
      </w:r>
      <w:r w:rsidR="00280FE9" w:rsidRPr="00E45CA4">
        <w:t xml:space="preserve"> teachers reported that they receive</w:t>
      </w:r>
      <w:r w:rsidR="00280FE9">
        <w:t xml:space="preserve"> informal</w:t>
      </w:r>
      <w:r w:rsidR="00280FE9" w:rsidRPr="00E45CA4">
        <w:t xml:space="preserve"> instructional support from their grade-level peers and former instructional coaches </w:t>
      </w:r>
      <w:r w:rsidR="00280FE9" w:rsidRPr="00E45CA4">
        <w:lastRenderedPageBreak/>
        <w:t xml:space="preserve">and that they do not feel well supported. </w:t>
      </w:r>
      <w:proofErr w:type="spellStart"/>
      <w:r w:rsidR="00652B48">
        <w:t>Petersham</w:t>
      </w:r>
      <w:proofErr w:type="spellEnd"/>
      <w:r w:rsidR="00652B48">
        <w:t xml:space="preserve"> Center</w:t>
      </w:r>
      <w:r w:rsidR="00280FE9" w:rsidRPr="00E45CA4">
        <w:t xml:space="preserve"> teachers shared that they also do not have an instructional coach in the building; however, teachers use the curriculum coordinator and their grade-level peers for additional support. </w:t>
      </w:r>
      <w:r w:rsidR="00165BB0" w:rsidRPr="00E45CA4">
        <w:t>In another focus group, respondents mentioned that although they do not have an instructional coach, they work with the district’s curriculum coordinator, who supports them regularly and is accessible for assistance.</w:t>
      </w:r>
    </w:p>
    <w:p w14:paraId="1ADCBDA4" w14:textId="4EA8BC01" w:rsidR="00280FE9" w:rsidRPr="00E45CA4" w:rsidRDefault="00280FE9" w:rsidP="00280FE9">
      <w:pPr>
        <w:pStyle w:val="BodyText"/>
      </w:pPr>
      <w:r w:rsidRPr="00E45CA4">
        <w:t xml:space="preserve">Mahar Regional teachers explained that </w:t>
      </w:r>
      <w:r>
        <w:t xml:space="preserve">there is a coach at the school, </w:t>
      </w:r>
      <w:r w:rsidRPr="00E45CA4">
        <w:t>their instructional coach meets with them regularly</w:t>
      </w:r>
      <w:r w:rsidR="005A29B8">
        <w:t>,</w:t>
      </w:r>
      <w:r w:rsidRPr="00E45CA4">
        <w:t xml:space="preserve"> and that “it’s been much more effective to have one person whose dedicated job is to do that type of coaching.”</w:t>
      </w:r>
      <w:r w:rsidR="00567B0B">
        <w:t xml:space="preserve"> </w:t>
      </w:r>
      <w:r w:rsidRPr="00E45CA4">
        <w:t xml:space="preserve">According to one school-level leader, </w:t>
      </w:r>
      <w:r w:rsidR="00567B0B">
        <w:t>the</w:t>
      </w:r>
      <w:r w:rsidRPr="00E45CA4">
        <w:t xml:space="preserve"> instructional coach also serves as a data analyst </w:t>
      </w:r>
      <w:r w:rsidR="00567B0B">
        <w:t xml:space="preserve">in </w:t>
      </w:r>
      <w:r w:rsidRPr="00E45CA4">
        <w:t>support</w:t>
      </w:r>
      <w:r w:rsidR="00567B0B">
        <w:t>ing</w:t>
      </w:r>
      <w:r w:rsidRPr="00E45CA4">
        <w:t xml:space="preserve"> middle and high school teachers: “All the teachers have access to her to improve their practice.” A high school teacher expressed their appreciation of the personalized and hands-on nature of instructional coaching:</w:t>
      </w:r>
    </w:p>
    <w:p w14:paraId="21640795" w14:textId="77777777" w:rsidR="00280FE9" w:rsidRPr="00E45CA4" w:rsidRDefault="00280FE9" w:rsidP="00280FE9">
      <w:pPr>
        <w:pStyle w:val="BlockQuote"/>
      </w:pPr>
      <w:r w:rsidRPr="00E45CA4">
        <w:t>[Our coach] came to my room and showed me how to use some new apps or programs . . . and she came three times, because the first time to show me, the second time to help me make my own, and the third time to watch me do it. And that’s what I needed.</w:t>
      </w:r>
    </w:p>
    <w:p w14:paraId="1583B227" w14:textId="4214953B" w:rsidR="00280FE9" w:rsidRPr="00E45CA4" w:rsidRDefault="00280FE9" w:rsidP="00280FE9">
      <w:pPr>
        <w:pStyle w:val="BodyText"/>
      </w:pPr>
      <w:r w:rsidRPr="00E45CA4">
        <w:t xml:space="preserve">Likewise, one middle school teacher shared, “We have coaching meetings. . . . [The instructional coach] will come into the room and help you out. I’ve utilized that a couple of times, which has been actually really helpful. It has been helpful. Yeah, she’s wonderful.” </w:t>
      </w:r>
    </w:p>
    <w:p w14:paraId="022091BC" w14:textId="76411EB0" w:rsidR="006C1DC9" w:rsidRPr="00A06F1E" w:rsidRDefault="00135520" w:rsidP="00F05D1C">
      <w:pPr>
        <w:pStyle w:val="BodyText"/>
        <w:rPr>
          <w:color w:val="000000"/>
          <w:spacing w:val="-2"/>
          <w:shd w:val="clear" w:color="auto" w:fill="FFFFFF"/>
        </w:rPr>
      </w:pPr>
      <w:r w:rsidRPr="00E45CA4">
        <w:rPr>
          <w:spacing w:val="-2"/>
        </w:rPr>
        <w:t xml:space="preserve">Classroom observations revealed a strength in classroom </w:t>
      </w:r>
      <w:r w:rsidR="00213BEE" w:rsidRPr="00E45CA4">
        <w:rPr>
          <w:spacing w:val="-2"/>
        </w:rPr>
        <w:t xml:space="preserve">organization throughout the </w:t>
      </w:r>
      <w:r w:rsidR="00D227A3" w:rsidRPr="00E45CA4">
        <w:rPr>
          <w:spacing w:val="-2"/>
        </w:rPr>
        <w:t>superintendency union</w:t>
      </w:r>
      <w:r w:rsidR="00213BEE" w:rsidRPr="00E45CA4">
        <w:rPr>
          <w:spacing w:val="-2"/>
        </w:rPr>
        <w:t xml:space="preserve">. </w:t>
      </w:r>
      <w:r w:rsidR="00E56705" w:rsidRPr="00E45CA4">
        <w:rPr>
          <w:spacing w:val="-2"/>
        </w:rPr>
        <w:t xml:space="preserve">In the CLASS observation system, classroom organization is </w:t>
      </w:r>
      <w:r w:rsidR="00040362" w:rsidRPr="00E45CA4">
        <w:rPr>
          <w:spacing w:val="-2"/>
        </w:rPr>
        <w:t>“</w:t>
      </w:r>
      <w:r w:rsidR="00E56705" w:rsidRPr="00E45CA4">
        <w:rPr>
          <w:spacing w:val="-2"/>
        </w:rPr>
        <w:t>the organization and management</w:t>
      </w:r>
      <w:r w:rsidR="00E56705" w:rsidRPr="00A06F1E">
        <w:rPr>
          <w:spacing w:val="-2"/>
        </w:rPr>
        <w:t xml:space="preserve"> of students</w:t>
      </w:r>
      <w:r w:rsidR="00040362" w:rsidRPr="00A06F1E">
        <w:rPr>
          <w:spacing w:val="-2"/>
        </w:rPr>
        <w:t>’</w:t>
      </w:r>
      <w:r w:rsidR="00E56705" w:rsidRPr="00A06F1E">
        <w:rPr>
          <w:spacing w:val="-2"/>
        </w:rPr>
        <w:t xml:space="preserve"> behavior time</w:t>
      </w:r>
      <w:r w:rsidR="00BF64BC">
        <w:rPr>
          <w:spacing w:val="-2"/>
        </w:rPr>
        <w:t>,</w:t>
      </w:r>
      <w:r w:rsidR="00E56705" w:rsidRPr="00A06F1E">
        <w:rPr>
          <w:spacing w:val="-2"/>
        </w:rPr>
        <w:t xml:space="preserve"> and attention in the classroom</w:t>
      </w:r>
      <w:r w:rsidR="00040362" w:rsidRPr="00A06F1E">
        <w:rPr>
          <w:spacing w:val="-2"/>
        </w:rPr>
        <w:t>”</w:t>
      </w:r>
      <w:r w:rsidR="00E56705" w:rsidRPr="00A06F1E">
        <w:rPr>
          <w:spacing w:val="-2"/>
        </w:rPr>
        <w:t xml:space="preserve"> (Classroom Assessment Scoring System Manual, p.</w:t>
      </w:r>
      <w:r w:rsidR="00562FA6" w:rsidRPr="00A06F1E">
        <w:rPr>
          <w:spacing w:val="-2"/>
        </w:rPr>
        <w:t xml:space="preserve"> </w:t>
      </w:r>
      <w:r w:rsidR="00E56705" w:rsidRPr="00A06F1E">
        <w:rPr>
          <w:spacing w:val="-2"/>
        </w:rPr>
        <w:t>3)</w:t>
      </w:r>
      <w:r w:rsidR="0052403E" w:rsidRPr="00A06F1E">
        <w:rPr>
          <w:spacing w:val="-2"/>
        </w:rPr>
        <w:t>. Observations provide evidence that rules and guidelines</w:t>
      </w:r>
      <w:r w:rsidR="008865B0">
        <w:rPr>
          <w:spacing w:val="-2"/>
        </w:rPr>
        <w:t xml:space="preserve"> in </w:t>
      </w:r>
      <w:r w:rsidR="000D6A8E">
        <w:rPr>
          <w:spacing w:val="-2"/>
        </w:rPr>
        <w:t>RCM &amp; SU 73</w:t>
      </w:r>
      <w:r w:rsidR="00067F86">
        <w:rPr>
          <w:spacing w:val="-2"/>
        </w:rPr>
        <w:t xml:space="preserve"> classrooms</w:t>
      </w:r>
      <w:r w:rsidR="0052403E" w:rsidRPr="00A06F1E">
        <w:rPr>
          <w:spacing w:val="-2"/>
        </w:rPr>
        <w:t xml:space="preserve"> for behavior are clear and consistently reinforced by the teacher, and teachers provide a steady flow of activities to help the classroom run smoothly. </w:t>
      </w:r>
      <w:r w:rsidR="007A34F1" w:rsidRPr="00A06F1E">
        <w:rPr>
          <w:color w:val="000000"/>
          <w:spacing w:val="-2"/>
          <w:shd w:val="clear" w:color="auto" w:fill="FFFFFF"/>
        </w:rPr>
        <w:t>A</w:t>
      </w:r>
      <w:r w:rsidR="007A34F1" w:rsidRPr="00A06F1E">
        <w:rPr>
          <w:spacing w:val="-2"/>
        </w:rPr>
        <w:t>cross</w:t>
      </w:r>
      <w:r w:rsidR="00A1502D" w:rsidRPr="00A06F1E">
        <w:rPr>
          <w:spacing w:val="-2"/>
        </w:rPr>
        <w:t xml:space="preserve"> all grade levels, ratings within the classroom organization domain were in the high range (6.0 for Grades K-5, 6.7 for Grades 6-8, and 6.3 for Grades 9-12). </w:t>
      </w:r>
      <w:r w:rsidR="007A34F1" w:rsidRPr="00A06F1E">
        <w:rPr>
          <w:color w:val="000000"/>
          <w:spacing w:val="-2"/>
          <w:shd w:val="clear" w:color="auto" w:fill="FFFFFF"/>
        </w:rPr>
        <w:t xml:space="preserve">These observation data, combined with the plans described in district documents, indicate that the </w:t>
      </w:r>
      <w:r w:rsidR="007657A0" w:rsidRPr="00A06F1E">
        <w:rPr>
          <w:color w:val="000000"/>
          <w:spacing w:val="-2"/>
          <w:shd w:val="clear" w:color="auto" w:fill="FFFFFF"/>
        </w:rPr>
        <w:t xml:space="preserve">superintendency union </w:t>
      </w:r>
      <w:r w:rsidR="007A34F1" w:rsidRPr="00A06F1E">
        <w:rPr>
          <w:color w:val="000000"/>
          <w:spacing w:val="-2"/>
          <w:shd w:val="clear" w:color="auto" w:fill="FFFFFF"/>
        </w:rPr>
        <w:t>has clear plans and strategies for creating inclusive learning environments and that these plans are improving instructional environments for students.</w:t>
      </w:r>
    </w:p>
    <w:p w14:paraId="5B29549C" w14:textId="1266859D" w:rsidR="00473308" w:rsidRPr="00A06F1E" w:rsidRDefault="00473308" w:rsidP="00473308">
      <w:pPr>
        <w:pStyle w:val="Heading3"/>
      </w:pPr>
      <w:bookmarkStart w:id="39" w:name="_Student_Access_to"/>
      <w:bookmarkEnd w:id="39"/>
      <w:r w:rsidRPr="00A06F1E">
        <w:t>Student Access to Coursework</w:t>
      </w:r>
    </w:p>
    <w:p w14:paraId="188035B9" w14:textId="5E58C2F0" w:rsidR="006C1DC9" w:rsidRPr="00A06F1E" w:rsidRDefault="000D6A8E" w:rsidP="0078648E">
      <w:pPr>
        <w:pStyle w:val="BodyTextposthead"/>
      </w:pPr>
      <w:r>
        <w:t>RCM &amp; SU 73</w:t>
      </w:r>
      <w:r w:rsidR="004125E7" w:rsidRPr="00E45CA4">
        <w:t xml:space="preserve"> provides a wide range of course offerings and academic pathways to accommodate dive</w:t>
      </w:r>
      <w:r w:rsidR="0078123E" w:rsidRPr="00E45CA4">
        <w:t>rse</w:t>
      </w:r>
      <w:r w:rsidR="004125E7" w:rsidRPr="00E45CA4">
        <w:t xml:space="preserve"> student needs and interests</w:t>
      </w:r>
      <w:r w:rsidR="00254C45" w:rsidRPr="00E45CA4">
        <w:t xml:space="preserve">, which is a strength of </w:t>
      </w:r>
      <w:r>
        <w:t>RCM &amp; SU 73</w:t>
      </w:r>
      <w:r w:rsidR="00BC209F" w:rsidRPr="00E45CA4">
        <w:t xml:space="preserve">. </w:t>
      </w:r>
      <w:r w:rsidR="00EB058B" w:rsidRPr="00E45CA4">
        <w:t xml:space="preserve">Mahar Regional provides courses across three levels: AP, honors, and college preparatory. </w:t>
      </w:r>
      <w:r w:rsidR="002F53E9" w:rsidRPr="00E45CA4">
        <w:t xml:space="preserve">According to the </w:t>
      </w:r>
      <w:r w:rsidR="00712C3D" w:rsidRPr="00E45CA4">
        <w:rPr>
          <w:i/>
          <w:iCs/>
        </w:rPr>
        <w:t>2023-2024 Program of Studies</w:t>
      </w:r>
      <w:r w:rsidR="00712C3D" w:rsidRPr="00E45CA4">
        <w:t xml:space="preserve">, the school offers </w:t>
      </w:r>
      <w:r w:rsidR="00D777D3" w:rsidRPr="00E45CA4">
        <w:t>eight</w:t>
      </w:r>
      <w:r w:rsidR="00712C3D" w:rsidRPr="00E45CA4">
        <w:t xml:space="preserve"> AP courses across</w:t>
      </w:r>
      <w:r w:rsidR="00371321" w:rsidRPr="00E45CA4">
        <w:t xml:space="preserve"> ELA</w:t>
      </w:r>
      <w:r w:rsidR="00D777D3" w:rsidRPr="00E45CA4">
        <w:t>,</w:t>
      </w:r>
      <w:r w:rsidR="00712C3D" w:rsidRPr="00E45CA4">
        <w:t xml:space="preserve"> mathematics, </w:t>
      </w:r>
      <w:r w:rsidR="00905BC0" w:rsidRPr="00E45CA4">
        <w:t xml:space="preserve">science, </w:t>
      </w:r>
      <w:r w:rsidR="00371321" w:rsidRPr="00E45CA4">
        <w:t>history, and art. Mahar Regional also offers dual enroll</w:t>
      </w:r>
      <w:r w:rsidR="00F27964" w:rsidRPr="00E45CA4">
        <w:t xml:space="preserve">ment </w:t>
      </w:r>
      <w:r w:rsidR="00250239" w:rsidRPr="00E45CA4">
        <w:t xml:space="preserve">through </w:t>
      </w:r>
      <w:r w:rsidR="00A23259" w:rsidRPr="00E45CA4">
        <w:t xml:space="preserve">a partnership with </w:t>
      </w:r>
      <w:r w:rsidR="00B50CF1" w:rsidRPr="00E45CA4">
        <w:t xml:space="preserve">a local institution of higher education, Greenfield Community College. </w:t>
      </w:r>
      <w:r w:rsidR="00DF3598" w:rsidRPr="00E45CA4">
        <w:t>Moreover, the school offers the Certificate and Career Pathway program</w:t>
      </w:r>
      <w:r w:rsidR="00EE33BD" w:rsidRPr="00E45CA4">
        <w:t>, in which</w:t>
      </w:r>
      <w:r w:rsidR="00DF3598" w:rsidRPr="00E45CA4">
        <w:t xml:space="preserve"> students can gain exposure to certain career fields and certificate opportunities in areas including business, environmental, and tech and design thinking.</w:t>
      </w:r>
    </w:p>
    <w:p w14:paraId="302341FA" w14:textId="7F1BC785" w:rsidR="00210EAF" w:rsidRPr="00A06F1E" w:rsidRDefault="00210EAF" w:rsidP="00F05D1C">
      <w:pPr>
        <w:pStyle w:val="BodyText"/>
      </w:pPr>
      <w:r w:rsidRPr="00A06F1E">
        <w:t>In addition to core content offerings,</w:t>
      </w:r>
      <w:r w:rsidR="006B470C" w:rsidRPr="00A06F1E">
        <w:t xml:space="preserve"> Mahar Regional </w:t>
      </w:r>
      <w:r w:rsidR="00A515D0" w:rsidRPr="00A06F1E">
        <w:t xml:space="preserve">students </w:t>
      </w:r>
      <w:r w:rsidR="006B470C" w:rsidRPr="00A06F1E">
        <w:t xml:space="preserve">can access electives and extracurriculars. </w:t>
      </w:r>
      <w:r w:rsidR="00D145BA" w:rsidRPr="00A06F1E">
        <w:t>Seventh</w:t>
      </w:r>
      <w:r w:rsidR="005268EA" w:rsidRPr="00A06F1E">
        <w:t xml:space="preserve">- and </w:t>
      </w:r>
      <w:r w:rsidR="006560C8" w:rsidRPr="00A06F1E">
        <w:t>eighth</w:t>
      </w:r>
      <w:r w:rsidR="005268EA" w:rsidRPr="00A06F1E">
        <w:t xml:space="preserve">-grade students shared that they have the option to take classes in computer science, </w:t>
      </w:r>
      <w:r w:rsidR="0000438D" w:rsidRPr="00A06F1E">
        <w:t xml:space="preserve">band, chorus, </w:t>
      </w:r>
      <w:r w:rsidR="005268EA" w:rsidRPr="00A06F1E">
        <w:t xml:space="preserve">robotics, coding, and </w:t>
      </w:r>
      <w:r w:rsidR="0000438D" w:rsidRPr="00A06F1E">
        <w:t>world</w:t>
      </w:r>
      <w:r w:rsidR="005268EA" w:rsidRPr="00A06F1E">
        <w:t xml:space="preserve"> languages</w:t>
      </w:r>
      <w:r w:rsidR="0000438D" w:rsidRPr="00A06F1E">
        <w:t xml:space="preserve"> such as French, Spanish, and American Sign Language</w:t>
      </w:r>
      <w:r w:rsidR="005268EA" w:rsidRPr="00A06F1E">
        <w:t xml:space="preserve">. </w:t>
      </w:r>
      <w:r w:rsidR="004B6BA9" w:rsidRPr="00A06F1E">
        <w:t xml:space="preserve">According to the </w:t>
      </w:r>
      <w:r w:rsidR="004B6BA9" w:rsidRPr="00A06F1E">
        <w:rPr>
          <w:i/>
          <w:iCs/>
        </w:rPr>
        <w:t>2023-2024 Program of Studies</w:t>
      </w:r>
      <w:r w:rsidR="004B6BA9" w:rsidRPr="00A06F1E">
        <w:t xml:space="preserve"> and student </w:t>
      </w:r>
      <w:r w:rsidR="004B6BA9" w:rsidRPr="00A06F1E">
        <w:lastRenderedPageBreak/>
        <w:t xml:space="preserve">reports, the school also has a partnership </w:t>
      </w:r>
      <w:r w:rsidR="0084402E" w:rsidRPr="00A06F1E">
        <w:t xml:space="preserve">with </w:t>
      </w:r>
      <w:r w:rsidR="008C7B98" w:rsidRPr="00A06F1E">
        <w:t>t</w:t>
      </w:r>
      <w:r w:rsidR="0084402E" w:rsidRPr="00A06F1E">
        <w:t>he Virtual High School program</w:t>
      </w:r>
      <w:r w:rsidR="008C7B98" w:rsidRPr="00A06F1E">
        <w:t>, in which</w:t>
      </w:r>
      <w:r w:rsidR="0084402E" w:rsidRPr="00A06F1E">
        <w:t xml:space="preserve"> students </w:t>
      </w:r>
      <w:r w:rsidR="00B976B8" w:rsidRPr="00A06F1E">
        <w:t>can</w:t>
      </w:r>
      <w:r w:rsidR="0084402E" w:rsidRPr="00A06F1E">
        <w:t xml:space="preserve"> take courses that are not otherwise offered by the school. For example, one </w:t>
      </w:r>
      <w:r w:rsidR="006C349E" w:rsidRPr="00A06F1E">
        <w:t>high</w:t>
      </w:r>
      <w:r w:rsidR="008C7B98" w:rsidRPr="00A06F1E">
        <w:t xml:space="preserve"> </w:t>
      </w:r>
      <w:r w:rsidR="006C349E" w:rsidRPr="00A06F1E">
        <w:t xml:space="preserve">school student explained that the Virtual High School </w:t>
      </w:r>
      <w:r w:rsidR="00F44EB7" w:rsidRPr="00A06F1E">
        <w:t xml:space="preserve">has </w:t>
      </w:r>
      <w:r w:rsidR="00040362" w:rsidRPr="00A06F1E">
        <w:t>“</w:t>
      </w:r>
      <w:r w:rsidR="00F44EB7" w:rsidRPr="00A06F1E">
        <w:t>tons of courses</w:t>
      </w:r>
      <w:r w:rsidR="00040362" w:rsidRPr="00A06F1E">
        <w:t>”</w:t>
      </w:r>
      <w:r w:rsidR="00F44EB7" w:rsidRPr="00A06F1E">
        <w:t xml:space="preserve"> and that </w:t>
      </w:r>
      <w:r w:rsidR="00040362" w:rsidRPr="00A06F1E">
        <w:t>“</w:t>
      </w:r>
      <w:r w:rsidR="00F44EB7" w:rsidRPr="00A06F1E">
        <w:t>there</w:t>
      </w:r>
      <w:r w:rsidR="00040362" w:rsidRPr="00A06F1E">
        <w:t>’</w:t>
      </w:r>
      <w:r w:rsidR="00F44EB7" w:rsidRPr="00A06F1E">
        <w:t>s any AP course you want.</w:t>
      </w:r>
      <w:r w:rsidR="00040362" w:rsidRPr="00A06F1E">
        <w:t>”</w:t>
      </w:r>
      <w:r w:rsidR="00724D7A">
        <w:t xml:space="preserve"> </w:t>
      </w:r>
      <w:r w:rsidR="009C38FF" w:rsidRPr="00A06F1E">
        <w:t xml:space="preserve">Mahar Regional also provides extracurricular activities including athletics, student council, </w:t>
      </w:r>
      <w:r w:rsidR="00A227D6" w:rsidRPr="00A06F1E">
        <w:t xml:space="preserve">and special interest clubs. </w:t>
      </w:r>
      <w:r w:rsidR="004E04D5" w:rsidRPr="00A06F1E">
        <w:t xml:space="preserve">According to central office leaders, the superintendency union offers a four-week summer learning program for elementary students. </w:t>
      </w:r>
      <w:r w:rsidR="008C7B98" w:rsidRPr="00A06F1E">
        <w:t>In addition</w:t>
      </w:r>
      <w:r w:rsidR="004E04D5" w:rsidRPr="00A06F1E">
        <w:t xml:space="preserve">, </w:t>
      </w:r>
      <w:r w:rsidR="00CF4F71">
        <w:t>Fisher Hill</w:t>
      </w:r>
      <w:r w:rsidR="004E04D5" w:rsidRPr="00A06F1E">
        <w:t xml:space="preserve"> and </w:t>
      </w:r>
      <w:proofErr w:type="spellStart"/>
      <w:r w:rsidR="00652B48">
        <w:t>Petersham</w:t>
      </w:r>
      <w:proofErr w:type="spellEnd"/>
      <w:r w:rsidR="00652B48">
        <w:t xml:space="preserve"> Center</w:t>
      </w:r>
      <w:r w:rsidR="004E04D5" w:rsidRPr="00A06F1E">
        <w:t xml:space="preserve"> offer summer vacation programs in math</w:t>
      </w:r>
      <w:r w:rsidR="008C7B98" w:rsidRPr="00A06F1E">
        <w:t>ematics</w:t>
      </w:r>
      <w:r w:rsidR="004E04D5" w:rsidRPr="00A06F1E">
        <w:t xml:space="preserve"> and literacy. Mahar Regional also offers a four-week summer learning program</w:t>
      </w:r>
      <w:r w:rsidR="008C7B98" w:rsidRPr="00A06F1E">
        <w:t>, in which</w:t>
      </w:r>
      <w:r w:rsidR="004E04D5" w:rsidRPr="00A06F1E">
        <w:t xml:space="preserve"> rising </w:t>
      </w:r>
      <w:r w:rsidR="00562FA6" w:rsidRPr="00A06F1E">
        <w:t>seven</w:t>
      </w:r>
      <w:r w:rsidR="004E04D5" w:rsidRPr="00A06F1E">
        <w:t>th-grade students can participate in two of three different intensive programs: English, math</w:t>
      </w:r>
      <w:r w:rsidR="00AE74D2" w:rsidRPr="00A06F1E">
        <w:t>ematics</w:t>
      </w:r>
      <w:r w:rsidR="004E04D5" w:rsidRPr="00A06F1E">
        <w:t xml:space="preserve">, and science. </w:t>
      </w:r>
    </w:p>
    <w:p w14:paraId="7CFEF439" w14:textId="17BF2EEB" w:rsidR="006C1DC9" w:rsidRPr="00A06F1E" w:rsidRDefault="00160ADB" w:rsidP="00F05D1C">
      <w:pPr>
        <w:pStyle w:val="BodyText"/>
      </w:pPr>
      <w:r w:rsidRPr="00A06F1E">
        <w:t xml:space="preserve">In general, </w:t>
      </w:r>
      <w:r w:rsidR="00E029A5" w:rsidRPr="00A06F1E">
        <w:t xml:space="preserve">superintendency union </w:t>
      </w:r>
      <w:r w:rsidRPr="00A06F1E">
        <w:t>staff</w:t>
      </w:r>
      <w:r w:rsidR="0064376D" w:rsidRPr="00A06F1E">
        <w:t xml:space="preserve"> </w:t>
      </w:r>
      <w:r w:rsidR="00623D79">
        <w:t xml:space="preserve">said in focus groups they </w:t>
      </w:r>
      <w:r w:rsidR="0064376D" w:rsidRPr="00A06F1E">
        <w:t xml:space="preserve">felt that </w:t>
      </w:r>
      <w:r w:rsidR="000F0CB4" w:rsidRPr="00A06F1E">
        <w:t xml:space="preserve">the </w:t>
      </w:r>
      <w:r w:rsidR="0064376D" w:rsidRPr="00A06F1E">
        <w:t>equity of students</w:t>
      </w:r>
      <w:r w:rsidR="00040362" w:rsidRPr="00A06F1E">
        <w:t>’</w:t>
      </w:r>
      <w:r w:rsidR="0064376D" w:rsidRPr="00A06F1E">
        <w:t xml:space="preserve"> access to advanced co</w:t>
      </w:r>
      <w:r w:rsidR="000F0CB4" w:rsidRPr="00A06F1E">
        <w:t xml:space="preserve">ursework was high. </w:t>
      </w:r>
      <w:r w:rsidR="009D3BF3" w:rsidRPr="00A06F1E">
        <w:t>C</w:t>
      </w:r>
      <w:r w:rsidR="00E029A5" w:rsidRPr="00A06F1E">
        <w:t xml:space="preserve">entral office </w:t>
      </w:r>
      <w:r w:rsidR="00D648A5" w:rsidRPr="00A06F1E">
        <w:t xml:space="preserve">leaders </w:t>
      </w:r>
      <w:r w:rsidR="00416150" w:rsidRPr="00A06F1E">
        <w:t xml:space="preserve">said that </w:t>
      </w:r>
      <w:r w:rsidR="00965CF8" w:rsidRPr="00A06F1E">
        <w:t>they use the state</w:t>
      </w:r>
      <w:r w:rsidR="00040362" w:rsidRPr="00A06F1E">
        <w:t>’</w:t>
      </w:r>
      <w:r w:rsidR="00965CF8" w:rsidRPr="00A06F1E">
        <w:t xml:space="preserve">s standards of equity as a foundation </w:t>
      </w:r>
      <w:r w:rsidR="001910DD" w:rsidRPr="00A06F1E">
        <w:t xml:space="preserve">for ensuring access for all students </w:t>
      </w:r>
      <w:r w:rsidR="00965CF8" w:rsidRPr="00A06F1E">
        <w:t xml:space="preserve">and that </w:t>
      </w:r>
      <w:r w:rsidR="00BB35F7" w:rsidRPr="00A06F1E">
        <w:t xml:space="preserve">they </w:t>
      </w:r>
      <w:r w:rsidR="001910DD" w:rsidRPr="00A06F1E">
        <w:t>use</w:t>
      </w:r>
      <w:r w:rsidR="00BB35F7" w:rsidRPr="00A06F1E">
        <w:t xml:space="preserve"> an equity </w:t>
      </w:r>
      <w:r w:rsidR="001910DD" w:rsidRPr="00A06F1E">
        <w:t>protocol</w:t>
      </w:r>
      <w:r w:rsidR="00BB35F7" w:rsidRPr="00A06F1E">
        <w:t xml:space="preserve"> </w:t>
      </w:r>
      <w:r w:rsidR="001910DD" w:rsidRPr="00A06F1E">
        <w:t>during their walkthroughs</w:t>
      </w:r>
      <w:r w:rsidR="00B54567" w:rsidRPr="00A06F1E">
        <w:t xml:space="preserve"> to address concerns. </w:t>
      </w:r>
      <w:r w:rsidR="00ED2349" w:rsidRPr="00A06F1E">
        <w:t xml:space="preserve">Mahar Regional teachers </w:t>
      </w:r>
      <w:r w:rsidR="007149F4" w:rsidRPr="00A06F1E">
        <w:t xml:space="preserve">noted </w:t>
      </w:r>
      <w:r w:rsidR="00C5613E" w:rsidRPr="00A06F1E">
        <w:t xml:space="preserve">that </w:t>
      </w:r>
      <w:r w:rsidR="00274151" w:rsidRPr="00A06F1E">
        <w:t xml:space="preserve">taking the courses can be </w:t>
      </w:r>
      <w:r w:rsidR="00040362" w:rsidRPr="00A06F1E">
        <w:t>“</w:t>
      </w:r>
      <w:r w:rsidR="00274151" w:rsidRPr="00A06F1E">
        <w:t>a little more challenging for special education students</w:t>
      </w:r>
      <w:r w:rsidR="00040362" w:rsidRPr="00A06F1E">
        <w:t>”</w:t>
      </w:r>
      <w:r w:rsidR="000D436D" w:rsidRPr="00A06F1E">
        <w:t xml:space="preserve"> </w:t>
      </w:r>
      <w:r w:rsidR="00AB0C34" w:rsidRPr="00A06F1E">
        <w:t xml:space="preserve">because </w:t>
      </w:r>
      <w:r w:rsidR="00283A3C" w:rsidRPr="00A06F1E">
        <w:t xml:space="preserve">they have fewer blocks </w:t>
      </w:r>
      <w:r w:rsidR="00EE78EE" w:rsidRPr="00A06F1E">
        <w:t>that can be substituted for an elective</w:t>
      </w:r>
      <w:r w:rsidR="009D1397" w:rsidRPr="00A06F1E">
        <w:t>,</w:t>
      </w:r>
      <w:r w:rsidR="00D30311" w:rsidRPr="00A06F1E">
        <w:t xml:space="preserve"> </w:t>
      </w:r>
      <w:r w:rsidR="000D436D" w:rsidRPr="00A06F1E">
        <w:t>b</w:t>
      </w:r>
      <w:r w:rsidR="00AB0C34" w:rsidRPr="00A06F1E">
        <w:t xml:space="preserve">ut </w:t>
      </w:r>
      <w:r w:rsidR="00F362CC" w:rsidRPr="00A06F1E">
        <w:t xml:space="preserve">now everyone </w:t>
      </w:r>
      <w:r w:rsidR="00040362" w:rsidRPr="00A06F1E">
        <w:t>“</w:t>
      </w:r>
      <w:r w:rsidR="00BC249A" w:rsidRPr="00A06F1E">
        <w:t>can take 10 different classes a year</w:t>
      </w:r>
      <w:r w:rsidR="00040362" w:rsidRPr="00A06F1E">
        <w:t>”</w:t>
      </w:r>
      <w:r w:rsidR="00F362CC" w:rsidRPr="00A06F1E">
        <w:t xml:space="preserve"> and </w:t>
      </w:r>
      <w:r w:rsidR="00040362" w:rsidRPr="00A06F1E">
        <w:t>“</w:t>
      </w:r>
      <w:r w:rsidR="00F362CC" w:rsidRPr="00A06F1E">
        <w:t>there is a lot of space in the schedule and a lot of flexibility.</w:t>
      </w:r>
      <w:r w:rsidR="00040362" w:rsidRPr="00A06F1E">
        <w:t>”</w:t>
      </w:r>
      <w:r w:rsidR="00F362CC" w:rsidRPr="00A06F1E">
        <w:t xml:space="preserve"> </w:t>
      </w:r>
      <w:r w:rsidR="00C835B3" w:rsidRPr="00A06F1E">
        <w:t>However, high school students</w:t>
      </w:r>
      <w:r w:rsidR="003860F3" w:rsidRPr="00A06F1E">
        <w:t xml:space="preserve"> expressed concerns about </w:t>
      </w:r>
      <w:r w:rsidR="00E67697" w:rsidRPr="00A06F1E">
        <w:t xml:space="preserve">their scheduling blocks. </w:t>
      </w:r>
      <w:r w:rsidR="002F4D66" w:rsidRPr="00A06F1E">
        <w:t>O</w:t>
      </w:r>
      <w:r w:rsidR="00E67697" w:rsidRPr="00A06F1E">
        <w:t xml:space="preserve">ne student explained that </w:t>
      </w:r>
      <w:r w:rsidR="00832312" w:rsidRPr="00A06F1E">
        <w:t xml:space="preserve">they have less time </w:t>
      </w:r>
      <w:r w:rsidR="00467D6C">
        <w:t xml:space="preserve">for </w:t>
      </w:r>
      <w:r w:rsidR="00C30DA2" w:rsidRPr="00A06F1E">
        <w:t xml:space="preserve">their AP class </w:t>
      </w:r>
      <w:r w:rsidR="00564152" w:rsidRPr="00A06F1E">
        <w:t xml:space="preserve">because </w:t>
      </w:r>
      <w:r w:rsidR="00016615" w:rsidRPr="00A06F1E">
        <w:t>of recent schedule changes.</w:t>
      </w:r>
      <w:r w:rsidR="00E914EF">
        <w:t xml:space="preserve"> Moreover, data reported to the state indicate that the rate of students completing advanced courses is lower than statewide peers; </w:t>
      </w:r>
      <w:r w:rsidR="009B1E3B">
        <w:t xml:space="preserve">the percentage of students completing an </w:t>
      </w:r>
      <w:r w:rsidR="00214CCD">
        <w:t xml:space="preserve">advanced </w:t>
      </w:r>
      <w:r w:rsidR="009B1E3B">
        <w:t>cours</w:t>
      </w:r>
      <w:r w:rsidR="005B61D0">
        <w:t xml:space="preserve">e </w:t>
      </w:r>
      <w:r w:rsidR="00FF76B8">
        <w:t xml:space="preserve">did not exceed </w:t>
      </w:r>
      <w:r w:rsidR="00E914EF">
        <w:t xml:space="preserve">30 percent </w:t>
      </w:r>
      <w:r w:rsidR="00FF76B8">
        <w:t>for any subject area or for any student group</w:t>
      </w:r>
      <w:r w:rsidR="00514735">
        <w:t xml:space="preserve">, based on data from the 2022-23 school year. As such, while virtual and in-person options may present opportunities for students to complete advanced courses, </w:t>
      </w:r>
      <w:r w:rsidR="0092488E">
        <w:t xml:space="preserve">increasing </w:t>
      </w:r>
      <w:r w:rsidR="00166B60">
        <w:t xml:space="preserve">actual </w:t>
      </w:r>
      <w:r w:rsidR="0093173F">
        <w:t xml:space="preserve">advanced coursework completion rates </w:t>
      </w:r>
      <w:r w:rsidR="00166B60">
        <w:t>for all groups of students</w:t>
      </w:r>
      <w:r w:rsidR="0093173F">
        <w:t xml:space="preserve"> is an area of growth for </w:t>
      </w:r>
      <w:r w:rsidR="000D6A8E">
        <w:t>RCM &amp; SU 73</w:t>
      </w:r>
      <w:r w:rsidR="0093173F">
        <w:t xml:space="preserve">. </w:t>
      </w:r>
    </w:p>
    <w:p w14:paraId="40D5D3FE" w14:textId="1F723F9C" w:rsidR="002B4CEF" w:rsidRPr="00A06F1E" w:rsidRDefault="002B4CEF" w:rsidP="002B4CEF">
      <w:pPr>
        <w:pStyle w:val="Heading3"/>
      </w:pPr>
      <w:r w:rsidRPr="00A06F1E">
        <w:t>DESE Recommendations</w:t>
      </w:r>
    </w:p>
    <w:p w14:paraId="66327CBB" w14:textId="5184E0C3" w:rsidR="002B4CEF" w:rsidRPr="00E4382C" w:rsidRDefault="00541486" w:rsidP="002B4CEF">
      <w:pPr>
        <w:pStyle w:val="Bullet1"/>
        <w:rPr>
          <w:bCs/>
        </w:rPr>
      </w:pPr>
      <w:r>
        <w:rPr>
          <w:i/>
          <w:iCs/>
        </w:rPr>
        <w:t xml:space="preserve">The superintendency union should leverage its curricular review process to select curricula for its two elementary schools that are vertically aligned with the curriculum at the secondary school. </w:t>
      </w:r>
    </w:p>
    <w:p w14:paraId="0A7EE61A" w14:textId="77777777" w:rsidR="00E656F0" w:rsidRPr="00E656F0" w:rsidRDefault="00446A26" w:rsidP="002B4CEF">
      <w:pPr>
        <w:pStyle w:val="Bullet1"/>
        <w:rPr>
          <w:bCs/>
        </w:rPr>
      </w:pPr>
      <w:r w:rsidRPr="00446A26">
        <w:rPr>
          <w:bCs/>
          <w:i/>
          <w:iCs/>
        </w:rPr>
        <w:t xml:space="preserve">The superintendency union should explore ways to increase instructional support for educators, </w:t>
      </w:r>
      <w:r w:rsidR="00656F68">
        <w:rPr>
          <w:bCs/>
          <w:i/>
          <w:iCs/>
        </w:rPr>
        <w:t>such as</w:t>
      </w:r>
      <w:r w:rsidRPr="00446A26">
        <w:rPr>
          <w:bCs/>
          <w:i/>
          <w:iCs/>
        </w:rPr>
        <w:t xml:space="preserve"> reinstating </w:t>
      </w:r>
      <w:r>
        <w:rPr>
          <w:bCs/>
          <w:i/>
          <w:iCs/>
        </w:rPr>
        <w:t>instructional</w:t>
      </w:r>
      <w:r w:rsidRPr="00446A26">
        <w:rPr>
          <w:bCs/>
          <w:i/>
          <w:iCs/>
        </w:rPr>
        <w:t xml:space="preserve"> coaching position</w:t>
      </w:r>
      <w:r>
        <w:rPr>
          <w:bCs/>
          <w:i/>
          <w:iCs/>
        </w:rPr>
        <w:t>s at the elementary level.</w:t>
      </w:r>
    </w:p>
    <w:p w14:paraId="28B87058" w14:textId="77777777" w:rsidR="003357F0" w:rsidRPr="003357F0" w:rsidRDefault="003357F0" w:rsidP="002B4CEF">
      <w:pPr>
        <w:pStyle w:val="Bullet1"/>
        <w:rPr>
          <w:bCs/>
        </w:rPr>
      </w:pPr>
      <w:r>
        <w:rPr>
          <w:bCs/>
          <w:i/>
          <w:iCs/>
        </w:rPr>
        <w:t xml:space="preserve">The superintendency union should provide curriculum-specific professional development to support the successful implementation of curricula. </w:t>
      </w:r>
    </w:p>
    <w:p w14:paraId="3438968B" w14:textId="7CC4FE55" w:rsidR="00E4382C" w:rsidRPr="00A06F1E" w:rsidRDefault="00C80CAB" w:rsidP="002B4CEF">
      <w:pPr>
        <w:pStyle w:val="Bullet1"/>
        <w:rPr>
          <w:bCs/>
        </w:rPr>
      </w:pPr>
      <w:r>
        <w:rPr>
          <w:bCs/>
          <w:i/>
          <w:iCs/>
        </w:rPr>
        <w:t xml:space="preserve">The superintendency union should examine </w:t>
      </w:r>
      <w:r w:rsidR="00B75B6D">
        <w:rPr>
          <w:bCs/>
          <w:i/>
          <w:iCs/>
        </w:rPr>
        <w:t xml:space="preserve">the </w:t>
      </w:r>
      <w:r>
        <w:rPr>
          <w:bCs/>
          <w:i/>
          <w:iCs/>
        </w:rPr>
        <w:t>root causes for its</w:t>
      </w:r>
      <w:r w:rsidR="00446A26">
        <w:rPr>
          <w:bCs/>
          <w:i/>
          <w:iCs/>
        </w:rPr>
        <w:t xml:space="preserve"> </w:t>
      </w:r>
      <w:r>
        <w:rPr>
          <w:bCs/>
          <w:i/>
          <w:iCs/>
        </w:rPr>
        <w:t>lo</w:t>
      </w:r>
      <w:r w:rsidR="00076004">
        <w:rPr>
          <w:bCs/>
          <w:i/>
          <w:iCs/>
        </w:rPr>
        <w:t xml:space="preserve">w advanced coursework participation rates (as compared to the state rate) and modify systems and structures to increase access and participation. </w:t>
      </w:r>
    </w:p>
    <w:p w14:paraId="46DDAA29" w14:textId="77777777" w:rsidR="002B4CEF" w:rsidRPr="00A06F1E" w:rsidRDefault="002B4CEF" w:rsidP="00473308">
      <w:pPr>
        <w:pStyle w:val="BodyText"/>
        <w:rPr>
          <w:b/>
          <w:bCs/>
        </w:rPr>
      </w:pPr>
    </w:p>
    <w:p w14:paraId="366F3518" w14:textId="77777777" w:rsidR="008D6102" w:rsidRPr="00A06F1E" w:rsidRDefault="008D6102" w:rsidP="008D6102">
      <w:pPr>
        <w:pStyle w:val="Heading2"/>
      </w:pPr>
      <w:bookmarkStart w:id="40" w:name="_Assessment"/>
      <w:bookmarkStart w:id="41" w:name="_Toc101446229"/>
      <w:bookmarkStart w:id="42" w:name="_Toc170701356"/>
      <w:bookmarkStart w:id="43" w:name="_Toc170896579"/>
      <w:bookmarkEnd w:id="40"/>
      <w:r w:rsidRPr="00A06F1E">
        <w:lastRenderedPageBreak/>
        <w:t>Assessment</w:t>
      </w:r>
      <w:bookmarkEnd w:id="41"/>
      <w:bookmarkEnd w:id="42"/>
      <w:bookmarkEnd w:id="43"/>
    </w:p>
    <w:p w14:paraId="3571F939" w14:textId="37705354" w:rsidR="006C1DC9" w:rsidRPr="00A06F1E" w:rsidRDefault="000D6A8E" w:rsidP="0041058B">
      <w:pPr>
        <w:pStyle w:val="BodyText"/>
      </w:pPr>
      <w:r>
        <w:t>RCM &amp; SU 73</w:t>
      </w:r>
      <w:r w:rsidR="000D4164" w:rsidRPr="00A06F1E">
        <w:t xml:space="preserve"> uses a variety of screeners to understand students</w:t>
      </w:r>
      <w:r w:rsidR="00040362" w:rsidRPr="00A06F1E">
        <w:t>’</w:t>
      </w:r>
      <w:r w:rsidR="000D4164" w:rsidRPr="00A06F1E">
        <w:t xml:space="preserve"> reading skills at each school level, including DIBELS, Star</w:t>
      </w:r>
      <w:r w:rsidR="00360020" w:rsidRPr="00A06F1E">
        <w:t xml:space="preserve"> </w:t>
      </w:r>
      <w:r w:rsidR="004A2A40" w:rsidRPr="00A06F1E">
        <w:t xml:space="preserve">Early Literacy, and Star Reading. For mathematics, </w:t>
      </w:r>
      <w:r w:rsidR="006F1E97" w:rsidRPr="00A06F1E">
        <w:t xml:space="preserve">students are assessed using </w:t>
      </w:r>
      <w:r w:rsidR="00663D57" w:rsidRPr="00A06F1E">
        <w:t xml:space="preserve">Star Math and i-Ready Math across grade levels. </w:t>
      </w:r>
      <w:r w:rsidR="00C64827" w:rsidRPr="00A06F1E">
        <w:t>In addition</w:t>
      </w:r>
      <w:r w:rsidR="009E1A8C" w:rsidRPr="00A06F1E">
        <w:t xml:space="preserve">, </w:t>
      </w:r>
      <w:r w:rsidR="00CF4F71">
        <w:t>Fisher Hill</w:t>
      </w:r>
      <w:r w:rsidR="00C471C0" w:rsidRPr="00A06F1E">
        <w:t xml:space="preserve"> </w:t>
      </w:r>
      <w:r w:rsidR="00626E02" w:rsidRPr="00A06F1E">
        <w:t>teachers administer assessments that gather additional information from targeted student populations, such as the HMH Reading Inventory, HMH Phonics Inventory, and HMH Math Inventory for students in Grades 5 and 6.</w:t>
      </w:r>
    </w:p>
    <w:p w14:paraId="795C51A3" w14:textId="6FA42820" w:rsidR="006C1DC9" w:rsidRPr="00A06F1E" w:rsidRDefault="005070F0" w:rsidP="0041058B">
      <w:pPr>
        <w:pStyle w:val="BodyText"/>
        <w:rPr>
          <w:i/>
          <w:iCs/>
        </w:rPr>
      </w:pPr>
      <w:r w:rsidRPr="00A06F1E">
        <w:t xml:space="preserve">Assessment results are accessible to a broad range of educators, including classroom teachers and </w:t>
      </w:r>
      <w:r w:rsidR="001B3BD8" w:rsidRPr="00A06F1E">
        <w:t xml:space="preserve">central office </w:t>
      </w:r>
      <w:r w:rsidRPr="00A06F1E">
        <w:t>staff</w:t>
      </w:r>
      <w:r w:rsidR="008F4310" w:rsidRPr="00A06F1E">
        <w:t xml:space="preserve">, through the Open </w:t>
      </w:r>
      <w:r w:rsidR="427E43B0" w:rsidRPr="00A06F1E">
        <w:t>Architects</w:t>
      </w:r>
      <w:r w:rsidR="008F4310" w:rsidRPr="00A06F1E">
        <w:t xml:space="preserve"> data system</w:t>
      </w:r>
      <w:r w:rsidRPr="00A06F1E">
        <w:t xml:space="preserve">. </w:t>
      </w:r>
      <w:r w:rsidR="006857EF" w:rsidRPr="00A06F1E">
        <w:rPr>
          <w:color w:val="000000"/>
          <w:shd w:val="clear" w:color="auto" w:fill="FFFFFF"/>
        </w:rPr>
        <w:t xml:space="preserve">According to the </w:t>
      </w:r>
      <w:r w:rsidR="006857EF" w:rsidRPr="00A06F1E">
        <w:rPr>
          <w:i/>
          <w:iCs/>
          <w:color w:val="000000"/>
          <w:shd w:val="clear" w:color="auto" w:fill="FFFFFF"/>
        </w:rPr>
        <w:t xml:space="preserve">Data Sharing Procedure </w:t>
      </w:r>
      <w:r w:rsidR="006857EF" w:rsidRPr="00A06F1E">
        <w:rPr>
          <w:color w:val="000000"/>
          <w:shd w:val="clear" w:color="auto" w:fill="FFFFFF"/>
        </w:rPr>
        <w:t xml:space="preserve">documents for each school and conversations with school and district leaders, teachers, students, and families, the </w:t>
      </w:r>
      <w:r w:rsidR="00E4497D" w:rsidRPr="00A06F1E">
        <w:rPr>
          <w:color w:val="000000"/>
          <w:shd w:val="clear" w:color="auto" w:fill="FFFFFF"/>
        </w:rPr>
        <w:t>central office</w:t>
      </w:r>
      <w:r w:rsidR="00667B07" w:rsidRPr="00A06F1E">
        <w:rPr>
          <w:color w:val="000000"/>
          <w:shd w:val="clear" w:color="auto" w:fill="FFFFFF"/>
        </w:rPr>
        <w:t xml:space="preserve"> </w:t>
      </w:r>
      <w:r w:rsidR="006857EF" w:rsidRPr="00A06F1E">
        <w:rPr>
          <w:color w:val="000000"/>
          <w:shd w:val="clear" w:color="auto" w:fill="FFFFFF"/>
        </w:rPr>
        <w:t>sends out screening letters and Star and i-Ready reports to parents three times per year</w:t>
      </w:r>
      <w:r w:rsidR="002B5825" w:rsidRPr="00A06F1E">
        <w:rPr>
          <w:color w:val="000000" w:themeColor="text1"/>
        </w:rPr>
        <w:t xml:space="preserve"> and</w:t>
      </w:r>
      <w:r w:rsidR="00C53B90" w:rsidRPr="00A06F1E">
        <w:rPr>
          <w:color w:val="000000"/>
          <w:shd w:val="clear" w:color="auto" w:fill="FFFFFF"/>
        </w:rPr>
        <w:t xml:space="preserve"> </w:t>
      </w:r>
      <w:r w:rsidR="7D6CC23F" w:rsidRPr="00A06F1E">
        <w:rPr>
          <w:color w:val="000000"/>
          <w:shd w:val="clear" w:color="auto" w:fill="FFFFFF"/>
        </w:rPr>
        <w:t>h</w:t>
      </w:r>
      <w:r w:rsidR="00D960DE" w:rsidRPr="00A06F1E">
        <w:rPr>
          <w:color w:val="000000"/>
          <w:shd w:val="clear" w:color="auto" w:fill="FFFFFF"/>
        </w:rPr>
        <w:t>igh school s</w:t>
      </w:r>
      <w:r w:rsidR="00C53B90" w:rsidRPr="00A06F1E">
        <w:rPr>
          <w:color w:val="000000"/>
          <w:shd w:val="clear" w:color="auto" w:fill="FFFFFF"/>
        </w:rPr>
        <w:t>tudents have access to assignment level information via PowerSchool</w:t>
      </w:r>
      <w:r w:rsidR="00F46212" w:rsidRPr="00A06F1E">
        <w:rPr>
          <w:i/>
          <w:iCs/>
        </w:rPr>
        <w:t>.</w:t>
      </w:r>
    </w:p>
    <w:p w14:paraId="65DF5D4F" w14:textId="39688252" w:rsidR="00C0766E" w:rsidRPr="00A06F1E" w:rsidRDefault="00C0766E" w:rsidP="0041058B">
      <w:pPr>
        <w:pStyle w:val="BodyText"/>
      </w:pPr>
      <w:r w:rsidRPr="00A06F1E">
        <w:t xml:space="preserve">Table </w:t>
      </w:r>
      <w:r w:rsidR="00163C7A" w:rsidRPr="00A06F1E">
        <w:t xml:space="preserve">4 </w:t>
      </w:r>
      <w:r w:rsidRPr="00A06F1E">
        <w:t>summarizes key strengths and areas for growth in assessment.</w:t>
      </w:r>
    </w:p>
    <w:p w14:paraId="329E7498" w14:textId="51C400E5" w:rsidR="00473308" w:rsidRPr="00A06F1E" w:rsidRDefault="00473308" w:rsidP="00473308">
      <w:pPr>
        <w:pStyle w:val="TableTitle0"/>
      </w:pPr>
      <w:bookmarkStart w:id="44" w:name="_Toc170701903"/>
      <w:r w:rsidRPr="00A06F1E">
        <w:t xml:space="preserve">Table </w:t>
      </w:r>
      <w:r w:rsidR="00163C7A" w:rsidRPr="00A06F1E">
        <w:t>4</w:t>
      </w:r>
      <w:r w:rsidRPr="00A06F1E">
        <w:t xml:space="preserve">. Summary of </w:t>
      </w:r>
      <w:r w:rsidR="00C0766E" w:rsidRPr="00A06F1E">
        <w:t xml:space="preserve">Key Strengths </w:t>
      </w:r>
      <w:r w:rsidRPr="00A06F1E">
        <w:t xml:space="preserve">and </w:t>
      </w:r>
      <w:r w:rsidR="00C0766E" w:rsidRPr="00A06F1E">
        <w:t xml:space="preserve">Areas </w:t>
      </w:r>
      <w:r w:rsidRPr="00A06F1E">
        <w:t xml:space="preserve">for </w:t>
      </w:r>
      <w:r w:rsidR="00C0766E" w:rsidRPr="00A06F1E">
        <w:t>Growth:</w:t>
      </w:r>
      <w:r w:rsidRPr="00A06F1E">
        <w:t xml:space="preserve"> Assessment</w:t>
      </w:r>
      <w:r w:rsidR="00C0766E" w:rsidRPr="00A06F1E">
        <w:t xml:space="preserve"> Standard</w:t>
      </w:r>
      <w:bookmarkEnd w:id="44"/>
    </w:p>
    <w:tbl>
      <w:tblPr>
        <w:tblStyle w:val="MSVTable1"/>
        <w:tblW w:w="5000" w:type="pct"/>
        <w:tblLook w:val="04A0" w:firstRow="1" w:lastRow="0" w:firstColumn="1" w:lastColumn="0" w:noHBand="0" w:noVBand="1"/>
      </w:tblPr>
      <w:tblGrid>
        <w:gridCol w:w="2334"/>
        <w:gridCol w:w="3504"/>
        <w:gridCol w:w="3506"/>
      </w:tblGrid>
      <w:tr w:rsidR="00473308" w:rsidRPr="00A06F1E" w14:paraId="4528F62A" w14:textId="77777777" w:rsidTr="00B827DE">
        <w:trPr>
          <w:cnfStyle w:val="100000000000" w:firstRow="1" w:lastRow="0" w:firstColumn="0" w:lastColumn="0" w:oddVBand="0" w:evenVBand="0" w:oddHBand="0" w:evenHBand="0" w:firstRowFirstColumn="0" w:firstRowLastColumn="0" w:lastRowFirstColumn="0" w:lastRowLastColumn="0"/>
        </w:trPr>
        <w:tc>
          <w:tcPr>
            <w:tcW w:w="1249" w:type="pct"/>
          </w:tcPr>
          <w:p w14:paraId="03EBB6C0" w14:textId="77777777" w:rsidR="00473308" w:rsidRPr="00DF7902" w:rsidRDefault="00473308" w:rsidP="00B827DE">
            <w:pPr>
              <w:pStyle w:val="TableColHeadingCenter"/>
            </w:pPr>
            <w:r w:rsidRPr="00DF7902">
              <w:t>Indicator</w:t>
            </w:r>
          </w:p>
        </w:tc>
        <w:tc>
          <w:tcPr>
            <w:tcW w:w="1875" w:type="pct"/>
          </w:tcPr>
          <w:p w14:paraId="04CE9AD4" w14:textId="77777777" w:rsidR="00473308" w:rsidRPr="00A06F1E" w:rsidRDefault="00473308" w:rsidP="00B827DE">
            <w:pPr>
              <w:pStyle w:val="TableColHeadingCenter"/>
            </w:pPr>
            <w:r w:rsidRPr="00A06F1E">
              <w:t>Strengths</w:t>
            </w:r>
          </w:p>
        </w:tc>
        <w:tc>
          <w:tcPr>
            <w:tcW w:w="1876" w:type="pct"/>
          </w:tcPr>
          <w:p w14:paraId="0516578A" w14:textId="6F03A48B" w:rsidR="00473308" w:rsidRPr="00A06F1E" w:rsidRDefault="00473308" w:rsidP="00B827DE">
            <w:pPr>
              <w:pStyle w:val="TableColHeadingCenter"/>
            </w:pPr>
            <w:r w:rsidRPr="00A06F1E">
              <w:t xml:space="preserve">Areas for </w:t>
            </w:r>
            <w:r w:rsidR="00C0766E" w:rsidRPr="00A06F1E">
              <w:t>g</w:t>
            </w:r>
            <w:r w:rsidRPr="00A06F1E">
              <w:t>rowth</w:t>
            </w:r>
          </w:p>
        </w:tc>
      </w:tr>
      <w:tr w:rsidR="00473308" w:rsidRPr="00A06F1E" w14:paraId="5BE4F452" w14:textId="77777777" w:rsidTr="00B827DE">
        <w:trPr>
          <w:cnfStyle w:val="000000100000" w:firstRow="0" w:lastRow="0" w:firstColumn="0" w:lastColumn="0" w:oddVBand="0" w:evenVBand="0" w:oddHBand="1" w:evenHBand="0" w:firstRowFirstColumn="0" w:firstRowLastColumn="0" w:lastRowFirstColumn="0" w:lastRowLastColumn="0"/>
        </w:trPr>
        <w:tc>
          <w:tcPr>
            <w:tcW w:w="1249" w:type="pct"/>
          </w:tcPr>
          <w:p w14:paraId="4F788977" w14:textId="16DB1003" w:rsidR="00473308" w:rsidRPr="00A06F1E" w:rsidRDefault="00000000" w:rsidP="005D13E7">
            <w:pPr>
              <w:pStyle w:val="TableSubheading"/>
              <w:rPr>
                <w:bdr w:val="none" w:sz="0" w:space="0" w:color="auto" w:frame="1"/>
              </w:rPr>
            </w:pPr>
            <w:hyperlink w:anchor="_Data_and_Assessment" w:history="1">
              <w:r w:rsidR="00473308" w:rsidRPr="00A06F1E">
                <w:rPr>
                  <w:rStyle w:val="Hyperlink"/>
                  <w:bdr w:val="none" w:sz="0" w:space="0" w:color="auto" w:frame="1"/>
                </w:rPr>
                <w:t xml:space="preserve">Data and </w:t>
              </w:r>
              <w:r w:rsidR="00C0766E" w:rsidRPr="00A06F1E">
                <w:rPr>
                  <w:rStyle w:val="Hyperlink"/>
                  <w:bdr w:val="none" w:sz="0" w:space="0" w:color="auto" w:frame="1"/>
                </w:rPr>
                <w:t>a</w:t>
              </w:r>
              <w:r w:rsidR="00473308" w:rsidRPr="00A06F1E">
                <w:rPr>
                  <w:rStyle w:val="Hyperlink"/>
                  <w:bdr w:val="none" w:sz="0" w:space="0" w:color="auto" w:frame="1"/>
                </w:rPr>
                <w:t xml:space="preserve">ssessment </w:t>
              </w:r>
              <w:r w:rsidR="00C0766E" w:rsidRPr="00A06F1E">
                <w:rPr>
                  <w:rStyle w:val="Hyperlink"/>
                  <w:bdr w:val="none" w:sz="0" w:space="0" w:color="auto" w:frame="1"/>
                </w:rPr>
                <w:t>s</w:t>
              </w:r>
              <w:r w:rsidR="00473308" w:rsidRPr="00A06F1E">
                <w:rPr>
                  <w:rStyle w:val="Hyperlink"/>
                  <w:bdr w:val="none" w:sz="0" w:space="0" w:color="auto" w:frame="1"/>
                </w:rPr>
                <w:t>ystems</w:t>
              </w:r>
            </w:hyperlink>
          </w:p>
        </w:tc>
        <w:tc>
          <w:tcPr>
            <w:tcW w:w="1875" w:type="pct"/>
          </w:tcPr>
          <w:p w14:paraId="347F4553" w14:textId="12F4DED6" w:rsidR="00473308" w:rsidRPr="00A06F1E" w:rsidRDefault="00EE1F7D" w:rsidP="007D69BA">
            <w:pPr>
              <w:pStyle w:val="TableBullet1"/>
            </w:pPr>
            <w:r w:rsidRPr="00A06F1E">
              <w:t xml:space="preserve">The </w:t>
            </w:r>
            <w:r w:rsidR="00E4497D" w:rsidRPr="00A06F1E">
              <w:t xml:space="preserve">superintendency union </w:t>
            </w:r>
            <w:r w:rsidRPr="00A06F1E">
              <w:t>uses multiple sources of data to provide a comprehensive picture of student, school, and district performance.</w:t>
            </w:r>
          </w:p>
          <w:p w14:paraId="5E3E7CC2" w14:textId="20E633DD" w:rsidR="00473308" w:rsidRPr="00A06F1E" w:rsidRDefault="001D2D16" w:rsidP="007D69BA">
            <w:pPr>
              <w:pStyle w:val="TableBullet1"/>
            </w:pPr>
            <w:r w:rsidRPr="00A06F1E">
              <w:t xml:space="preserve">The </w:t>
            </w:r>
            <w:r w:rsidR="002D0FBC">
              <w:t>new</w:t>
            </w:r>
            <w:r w:rsidR="00A84EE1" w:rsidRPr="00A06F1E">
              <w:t xml:space="preserve"> </w:t>
            </w:r>
            <w:r w:rsidR="486E38CF">
              <w:t xml:space="preserve">data dashboard system </w:t>
            </w:r>
            <w:r w:rsidR="00A84EE1" w:rsidRPr="00A06F1E">
              <w:t xml:space="preserve">has been used to create an efficient way to store, share, and access data. </w:t>
            </w:r>
          </w:p>
        </w:tc>
        <w:tc>
          <w:tcPr>
            <w:tcW w:w="1876" w:type="pct"/>
          </w:tcPr>
          <w:p w14:paraId="1E451936" w14:textId="06B0BBA3" w:rsidR="00473308" w:rsidRPr="00A06F1E" w:rsidRDefault="00473308" w:rsidP="00F05D1C">
            <w:pPr>
              <w:pStyle w:val="TableBullet1"/>
              <w:numPr>
                <w:ilvl w:val="0"/>
                <w:numId w:val="0"/>
              </w:numPr>
              <w:ind w:left="360"/>
            </w:pPr>
          </w:p>
        </w:tc>
      </w:tr>
      <w:tr w:rsidR="00473308" w:rsidRPr="00A06F1E" w14:paraId="3744E5B9" w14:textId="77777777" w:rsidTr="00B827DE">
        <w:tc>
          <w:tcPr>
            <w:tcW w:w="1249" w:type="pct"/>
          </w:tcPr>
          <w:p w14:paraId="797DE778" w14:textId="64B26BD2" w:rsidR="00473308" w:rsidRPr="00A06F1E" w:rsidRDefault="00000000" w:rsidP="005D13E7">
            <w:pPr>
              <w:pStyle w:val="TableSubheading"/>
              <w:rPr>
                <w:bdr w:val="none" w:sz="0" w:space="0" w:color="auto" w:frame="1"/>
              </w:rPr>
            </w:pPr>
            <w:hyperlink w:anchor="_Data_Use" w:history="1">
              <w:r w:rsidR="00473308" w:rsidRPr="00A06F1E">
                <w:rPr>
                  <w:rStyle w:val="Hyperlink"/>
                  <w:bdr w:val="none" w:sz="0" w:space="0" w:color="auto" w:frame="1"/>
                </w:rPr>
                <w:t xml:space="preserve">Data </w:t>
              </w:r>
              <w:r w:rsidR="00C0766E" w:rsidRPr="00A06F1E">
                <w:rPr>
                  <w:rStyle w:val="Hyperlink"/>
                  <w:bdr w:val="none" w:sz="0" w:space="0" w:color="auto" w:frame="1"/>
                </w:rPr>
                <w:t>u</w:t>
              </w:r>
              <w:r w:rsidR="00473308" w:rsidRPr="00A06F1E">
                <w:rPr>
                  <w:rStyle w:val="Hyperlink"/>
                  <w:bdr w:val="none" w:sz="0" w:space="0" w:color="auto" w:frame="1"/>
                </w:rPr>
                <w:t>se</w:t>
              </w:r>
            </w:hyperlink>
          </w:p>
        </w:tc>
        <w:tc>
          <w:tcPr>
            <w:tcW w:w="1875" w:type="pct"/>
          </w:tcPr>
          <w:p w14:paraId="3EFCF2E4" w14:textId="4F9DB7E4" w:rsidR="00473308" w:rsidRPr="00A06F1E" w:rsidRDefault="00473308" w:rsidP="00F05D1C">
            <w:pPr>
              <w:pStyle w:val="TableBullet1"/>
              <w:numPr>
                <w:ilvl w:val="0"/>
                <w:numId w:val="0"/>
              </w:numPr>
              <w:ind w:left="360"/>
            </w:pPr>
          </w:p>
        </w:tc>
        <w:tc>
          <w:tcPr>
            <w:tcW w:w="1876" w:type="pct"/>
          </w:tcPr>
          <w:p w14:paraId="08FEEFDF" w14:textId="36A71E7D" w:rsidR="00473308" w:rsidRPr="00A06F1E" w:rsidRDefault="00895F1A" w:rsidP="007D69BA">
            <w:pPr>
              <w:pStyle w:val="TableBullet1"/>
            </w:pPr>
            <w:r>
              <w:t>Addressing the need for more</w:t>
            </w:r>
            <w:r w:rsidRPr="00A06F1E">
              <w:t xml:space="preserve"> </w:t>
            </w:r>
            <w:r w:rsidR="007804B6" w:rsidRPr="00A06F1E">
              <w:t xml:space="preserve">consistent professional development and </w:t>
            </w:r>
            <w:r>
              <w:t>protocols</w:t>
            </w:r>
            <w:r w:rsidRPr="00A06F1E">
              <w:t xml:space="preserve"> </w:t>
            </w:r>
            <w:r w:rsidR="007804B6" w:rsidRPr="00A06F1E">
              <w:t>for data use across schools and content areas</w:t>
            </w:r>
          </w:p>
        </w:tc>
      </w:tr>
      <w:tr w:rsidR="00473308" w:rsidRPr="00A06F1E" w14:paraId="2BFB5534" w14:textId="77777777" w:rsidTr="00B827DE">
        <w:trPr>
          <w:cnfStyle w:val="000000100000" w:firstRow="0" w:lastRow="0" w:firstColumn="0" w:lastColumn="0" w:oddVBand="0" w:evenVBand="0" w:oddHBand="1" w:evenHBand="0" w:firstRowFirstColumn="0" w:firstRowLastColumn="0" w:lastRowFirstColumn="0" w:lastRowLastColumn="0"/>
        </w:trPr>
        <w:tc>
          <w:tcPr>
            <w:tcW w:w="1249" w:type="pct"/>
          </w:tcPr>
          <w:p w14:paraId="692DCE62" w14:textId="355D7553" w:rsidR="00473308" w:rsidRPr="00A06F1E" w:rsidRDefault="00000000" w:rsidP="005D13E7">
            <w:pPr>
              <w:pStyle w:val="TableSubheading"/>
              <w:rPr>
                <w:bdr w:val="none" w:sz="0" w:space="0" w:color="auto" w:frame="1"/>
              </w:rPr>
            </w:pPr>
            <w:hyperlink w:anchor="_Sharing_Results" w:history="1">
              <w:r w:rsidR="00473308" w:rsidRPr="00A06F1E">
                <w:rPr>
                  <w:rStyle w:val="Hyperlink"/>
                  <w:bdr w:val="none" w:sz="0" w:space="0" w:color="auto" w:frame="1"/>
                </w:rPr>
                <w:t xml:space="preserve">Sharing </w:t>
              </w:r>
              <w:r w:rsidR="00C0766E" w:rsidRPr="00A06F1E">
                <w:rPr>
                  <w:rStyle w:val="Hyperlink"/>
                  <w:bdr w:val="none" w:sz="0" w:space="0" w:color="auto" w:frame="1"/>
                </w:rPr>
                <w:t>r</w:t>
              </w:r>
              <w:r w:rsidR="00473308" w:rsidRPr="00A06F1E">
                <w:rPr>
                  <w:rStyle w:val="Hyperlink"/>
                  <w:bdr w:val="none" w:sz="0" w:space="0" w:color="auto" w:frame="1"/>
                </w:rPr>
                <w:t>esults</w:t>
              </w:r>
            </w:hyperlink>
          </w:p>
        </w:tc>
        <w:tc>
          <w:tcPr>
            <w:tcW w:w="1875" w:type="pct"/>
          </w:tcPr>
          <w:p w14:paraId="1242ABD2" w14:textId="20AF5AAE" w:rsidR="00473308" w:rsidRPr="00A06F1E" w:rsidRDefault="00D85593" w:rsidP="007D69BA">
            <w:pPr>
              <w:pStyle w:val="TableBullet1"/>
            </w:pPr>
            <w:r w:rsidRPr="00A06F1E">
              <w:t xml:space="preserve">The </w:t>
            </w:r>
            <w:r w:rsidR="004A7FB6">
              <w:t xml:space="preserve">superintendency union </w:t>
            </w:r>
            <w:r w:rsidRPr="00A06F1E">
              <w:t>has a consistent process and timeline for communicating progress to students and families</w:t>
            </w:r>
            <w:r w:rsidR="391E09A8">
              <w:t>.</w:t>
            </w:r>
          </w:p>
        </w:tc>
        <w:tc>
          <w:tcPr>
            <w:tcW w:w="1876" w:type="pct"/>
          </w:tcPr>
          <w:p w14:paraId="22C6496B" w14:textId="12A34228" w:rsidR="00473308" w:rsidRPr="00A06F1E" w:rsidRDefault="000E5052" w:rsidP="007D69BA">
            <w:pPr>
              <w:pStyle w:val="TableBullet1"/>
            </w:pPr>
            <w:r>
              <w:t>Addressing</w:t>
            </w:r>
            <w:r w:rsidR="00395CCE">
              <w:t xml:space="preserve"> stakeholders’ desire for</w:t>
            </w:r>
            <w:r w:rsidRPr="00A06F1E">
              <w:t xml:space="preserve"> </w:t>
            </w:r>
            <w:r w:rsidR="00A323A8" w:rsidRPr="00A06F1E">
              <w:t xml:space="preserve">more opportunities for students and parents to </w:t>
            </w:r>
            <w:r w:rsidR="1350BC0E" w:rsidRPr="00A06F1E">
              <w:t>discuss progress with teachers</w:t>
            </w:r>
          </w:p>
        </w:tc>
      </w:tr>
    </w:tbl>
    <w:p w14:paraId="640082BB" w14:textId="5A63F553" w:rsidR="00473308" w:rsidRPr="00A06F1E" w:rsidRDefault="00473308" w:rsidP="00473308">
      <w:pPr>
        <w:pStyle w:val="Heading3"/>
      </w:pPr>
      <w:bookmarkStart w:id="45" w:name="_Data_and_Assessment"/>
      <w:bookmarkEnd w:id="45"/>
      <w:r w:rsidRPr="00A06F1E">
        <w:t>Data and Assessment Systems</w:t>
      </w:r>
    </w:p>
    <w:p w14:paraId="330EBEE2" w14:textId="1A1D1EFE" w:rsidR="006C1DC9" w:rsidRPr="00E45CA4" w:rsidRDefault="000D6A8E" w:rsidP="007D2FDD">
      <w:pPr>
        <w:pStyle w:val="BodyTextposthead"/>
      </w:pPr>
      <w:r>
        <w:t>RCM &amp; SU 73</w:t>
      </w:r>
      <w:r w:rsidR="007D2FDD" w:rsidRPr="00E45CA4">
        <w:t xml:space="preserve"> data and assessment systems constitute a strength: </w:t>
      </w:r>
      <w:r w:rsidR="00BB7703">
        <w:t>t</w:t>
      </w:r>
      <w:r w:rsidR="007D2FDD" w:rsidRPr="00E45CA4">
        <w:t>he</w:t>
      </w:r>
      <w:r w:rsidR="007D2FDD" w:rsidRPr="00E45CA4" w:rsidDel="00B6777E">
        <w:t xml:space="preserve"> </w:t>
      </w:r>
      <w:r w:rsidR="00B6777E">
        <w:t>superintendenc</w:t>
      </w:r>
      <w:r w:rsidR="00D51454">
        <w:t>y union</w:t>
      </w:r>
      <w:r w:rsidR="00B6777E" w:rsidRPr="00E45CA4">
        <w:t xml:space="preserve"> </w:t>
      </w:r>
      <w:r w:rsidR="007D2FDD" w:rsidRPr="00E45CA4">
        <w:t xml:space="preserve">uses multiple sources of data to provide a comprehensive picture of student, school, and district performance. </w:t>
      </w:r>
      <w:r w:rsidR="001C6AC7">
        <w:t>All s</w:t>
      </w:r>
      <w:r w:rsidR="00E029A5" w:rsidRPr="00E45CA4">
        <w:t xml:space="preserve">chools in the </w:t>
      </w:r>
      <w:r w:rsidR="008A22B2" w:rsidRPr="00E45CA4">
        <w:t>superintendency union</w:t>
      </w:r>
      <w:r w:rsidR="007D2FDD" w:rsidRPr="00E45CA4">
        <w:t xml:space="preserve"> use </w:t>
      </w:r>
      <w:r w:rsidR="006B12CD" w:rsidRPr="00E45CA4">
        <w:t xml:space="preserve">Star </w:t>
      </w:r>
      <w:r w:rsidR="007D2FDD" w:rsidRPr="00E45CA4">
        <w:t>Reading (Grades</w:t>
      </w:r>
      <w:r w:rsidR="00AC3C7B" w:rsidRPr="00E45CA4">
        <w:t> </w:t>
      </w:r>
      <w:r w:rsidR="007D2FDD" w:rsidRPr="00E45CA4">
        <w:t xml:space="preserve">3-12) to universally screen all students in reading. </w:t>
      </w:r>
      <w:r w:rsidR="00CF4F71">
        <w:t>Fisher Hill</w:t>
      </w:r>
      <w:r w:rsidR="00492147">
        <w:t xml:space="preserve"> uses DIBELS (</w:t>
      </w:r>
      <w:r w:rsidR="00B56785">
        <w:t xml:space="preserve">Grades </w:t>
      </w:r>
      <w:r w:rsidR="00492147">
        <w:t>K-6)</w:t>
      </w:r>
      <w:r w:rsidR="009436B6">
        <w:t xml:space="preserve"> and </w:t>
      </w:r>
      <w:r w:rsidR="004F69F8">
        <w:t xml:space="preserve">Star Early Literacy </w:t>
      </w:r>
      <w:r w:rsidR="00DB44D1">
        <w:t>(Grades 1-2)</w:t>
      </w:r>
      <w:r w:rsidR="002E443E">
        <w:t xml:space="preserve"> asses</w:t>
      </w:r>
      <w:r w:rsidR="00801195">
        <w:t>sments</w:t>
      </w:r>
      <w:r w:rsidR="009436B6">
        <w:t xml:space="preserve">. </w:t>
      </w:r>
      <w:proofErr w:type="spellStart"/>
      <w:r w:rsidR="00652B48">
        <w:t>Petersham</w:t>
      </w:r>
      <w:proofErr w:type="spellEnd"/>
      <w:r w:rsidR="00652B48">
        <w:t xml:space="preserve"> Center</w:t>
      </w:r>
      <w:r w:rsidR="008A7587">
        <w:t xml:space="preserve"> </w:t>
      </w:r>
      <w:r w:rsidR="008401B3">
        <w:t xml:space="preserve">uses </w:t>
      </w:r>
      <w:r w:rsidR="007D2FDD" w:rsidRPr="00E45CA4">
        <w:t>i-Ready Math (Grades 1-6</w:t>
      </w:r>
      <w:r w:rsidR="00537630">
        <w:t xml:space="preserve">), </w:t>
      </w:r>
      <w:r w:rsidR="00B56785">
        <w:t xml:space="preserve">DIBELS (Grades K-6), and </w:t>
      </w:r>
      <w:r w:rsidR="00411C85">
        <w:t xml:space="preserve">Star </w:t>
      </w:r>
      <w:r w:rsidR="00411C85">
        <w:lastRenderedPageBreak/>
        <w:t>Early Literacy (Grades 1-2)</w:t>
      </w:r>
      <w:r w:rsidR="00801195">
        <w:t xml:space="preserve"> assessments</w:t>
      </w:r>
      <w:r w:rsidR="00411C85">
        <w:t xml:space="preserve">. Mahar Regional </w:t>
      </w:r>
      <w:r w:rsidR="001C1AA8">
        <w:t xml:space="preserve">also </w:t>
      </w:r>
      <w:r w:rsidR="00411C85">
        <w:t xml:space="preserve">uses </w:t>
      </w:r>
      <w:r w:rsidR="00801195">
        <w:t xml:space="preserve">the </w:t>
      </w:r>
      <w:r w:rsidR="001C1AA8">
        <w:t>Star Math (Grades 7-12)</w:t>
      </w:r>
      <w:r w:rsidR="00801195">
        <w:t xml:space="preserve"> assessment</w:t>
      </w:r>
      <w:r w:rsidR="001C1AA8">
        <w:t>.</w:t>
      </w:r>
      <w:r w:rsidR="007D2FDD" w:rsidRPr="00E45CA4">
        <w:t xml:space="preserve"> Other summative measures of performance used within the </w:t>
      </w:r>
      <w:r w:rsidR="00DB1DE7" w:rsidRPr="00E45CA4">
        <w:t>superinten</w:t>
      </w:r>
      <w:r w:rsidR="001B3BD8" w:rsidRPr="00E45CA4">
        <w:t>dency union</w:t>
      </w:r>
      <w:r w:rsidR="00DB1DE7" w:rsidRPr="00E45CA4">
        <w:t xml:space="preserve"> </w:t>
      </w:r>
      <w:r w:rsidR="007D2FDD" w:rsidRPr="00E45CA4">
        <w:t>are W</w:t>
      </w:r>
      <w:r w:rsidR="00302711" w:rsidRPr="00E45CA4">
        <w:t>I</w:t>
      </w:r>
      <w:r w:rsidR="007D2FDD" w:rsidRPr="00E45CA4">
        <w:t xml:space="preserve">DA ACCESS for </w:t>
      </w:r>
      <w:r w:rsidR="00CA375F" w:rsidRPr="00E45CA4">
        <w:t>EL</w:t>
      </w:r>
      <w:r w:rsidR="007D2FDD" w:rsidRPr="00E45CA4">
        <w:t>s (Grades</w:t>
      </w:r>
      <w:r w:rsidR="00AC3C7B" w:rsidRPr="00E45CA4">
        <w:t> </w:t>
      </w:r>
      <w:r w:rsidR="007D2FDD" w:rsidRPr="00E45CA4">
        <w:t xml:space="preserve">7-12) and MCAS for ELA, </w:t>
      </w:r>
      <w:r w:rsidR="0034425B" w:rsidRPr="00E45CA4">
        <w:t>mathematics</w:t>
      </w:r>
      <w:r w:rsidR="007D2FDD" w:rsidRPr="00E45CA4">
        <w:t xml:space="preserve">, and </w:t>
      </w:r>
      <w:r w:rsidR="0034425B" w:rsidRPr="00E45CA4">
        <w:t>s</w:t>
      </w:r>
      <w:r w:rsidR="007D2FDD" w:rsidRPr="00E45CA4">
        <w:t xml:space="preserve">cience (Grades 3-10). Teachers administer DIBELS, Star assessments, and i-Ready Math three times per year to Tier 1 students as part of progress monitoring. </w:t>
      </w:r>
      <w:r w:rsidR="0034425B" w:rsidRPr="00E45CA4">
        <w:t>In addition</w:t>
      </w:r>
      <w:r w:rsidR="007D2FDD" w:rsidRPr="00E45CA4">
        <w:t xml:space="preserve">, </w:t>
      </w:r>
      <w:r w:rsidR="00CF4F71">
        <w:t>Fisher Hill</w:t>
      </w:r>
      <w:r w:rsidR="007D2FDD" w:rsidRPr="00E45CA4">
        <w:t xml:space="preserve"> teachers administer assessments that gather additional information from targeted student populations, such as the HMH Reading Inventory, HMH Phonics Inventory, and HMH Math Inventory for students in Grades 5 and 6.</w:t>
      </w:r>
    </w:p>
    <w:p w14:paraId="4D3850CD" w14:textId="6B605073" w:rsidR="007D2FDD" w:rsidRPr="00E45CA4" w:rsidRDefault="00A7555C" w:rsidP="00F05D1C">
      <w:pPr>
        <w:pStyle w:val="BodyText"/>
      </w:pPr>
      <w:r w:rsidRPr="00E45CA4">
        <w:t xml:space="preserve">The establishment and use of </w:t>
      </w:r>
      <w:r w:rsidR="00B073BA">
        <w:t>a shared</w:t>
      </w:r>
      <w:r w:rsidRPr="00E45CA4">
        <w:t xml:space="preserve"> data system</w:t>
      </w:r>
      <w:r w:rsidR="00B073BA">
        <w:t xml:space="preserve"> that creates a platform for </w:t>
      </w:r>
      <w:r w:rsidR="00825FD6">
        <w:t>allowing staff to store and access data is</w:t>
      </w:r>
      <w:r w:rsidRPr="00E45CA4" w:rsidDel="00AF7C39">
        <w:t xml:space="preserve"> </w:t>
      </w:r>
      <w:r w:rsidRPr="00E45CA4">
        <w:t xml:space="preserve">a strength of the district. </w:t>
      </w:r>
      <w:r w:rsidR="007D2FDD" w:rsidRPr="00E45CA4">
        <w:t xml:space="preserve">According to </w:t>
      </w:r>
      <w:r w:rsidR="008A22B2" w:rsidRPr="00E45CA4">
        <w:t xml:space="preserve">central office </w:t>
      </w:r>
      <w:r w:rsidR="007D2FDD" w:rsidRPr="00E45CA4">
        <w:t xml:space="preserve">and school leaders, </w:t>
      </w:r>
      <w:r w:rsidR="000D6A8E">
        <w:t>RCM &amp; SU 73</w:t>
      </w:r>
      <w:r w:rsidR="007D2FDD" w:rsidRPr="00E45CA4">
        <w:t xml:space="preserve"> recently purchased </w:t>
      </w:r>
      <w:r w:rsidR="00E63155">
        <w:t>a data dashboard system developed by</w:t>
      </w:r>
      <w:r w:rsidR="007D2FDD" w:rsidRPr="00E45CA4">
        <w:t xml:space="preserve"> Open Architect</w:t>
      </w:r>
      <w:r w:rsidR="00E63155">
        <w:t>s</w:t>
      </w:r>
      <w:r w:rsidR="007D2FDD" w:rsidRPr="00E45CA4" w:rsidDel="007114D0">
        <w:t xml:space="preserve"> </w:t>
      </w:r>
      <w:r w:rsidR="007114D0">
        <w:t>that helps staff</w:t>
      </w:r>
      <w:r w:rsidR="007D2FDD" w:rsidRPr="00E45CA4">
        <w:t xml:space="preserve"> to collect and store data </w:t>
      </w:r>
      <w:r w:rsidR="001E4AB3">
        <w:t>as well as</w:t>
      </w:r>
      <w:r w:rsidR="008A22B2" w:rsidRPr="00E45CA4">
        <w:t xml:space="preserve"> </w:t>
      </w:r>
      <w:r w:rsidR="007D2FDD" w:rsidRPr="00E45CA4">
        <w:t>design dashboards</w:t>
      </w:r>
      <w:r w:rsidR="008A22B2" w:rsidRPr="00E45CA4">
        <w:t xml:space="preserve"> for the display of several kinds of information and records, including student assessment results</w:t>
      </w:r>
      <w:r w:rsidR="007D2FDD" w:rsidRPr="00E45CA4">
        <w:t xml:space="preserve">. Focus group data from teachers and student support staff indicated that the </w:t>
      </w:r>
      <w:r w:rsidR="007D2FDD" w:rsidRPr="00E45CA4" w:rsidDel="00684BAE">
        <w:t xml:space="preserve">Open </w:t>
      </w:r>
      <w:r w:rsidR="427E43B0">
        <w:t>Architect</w:t>
      </w:r>
      <w:r w:rsidR="00210C3E">
        <w:t>s</w:t>
      </w:r>
      <w:r w:rsidR="00684BAE">
        <w:t xml:space="preserve"> dashboard</w:t>
      </w:r>
      <w:r w:rsidR="007D2FDD" w:rsidRPr="00E45CA4">
        <w:t xml:space="preserve"> system is helpful for the storage and dissemination of results among staff and that the platform is a more efficient way to review live data</w:t>
      </w:r>
      <w:r w:rsidR="00876F48" w:rsidRPr="00E45CA4">
        <w:t xml:space="preserve"> for individual students and groups of students</w:t>
      </w:r>
      <w:r w:rsidR="007D2FDD" w:rsidRPr="00E45CA4">
        <w:t xml:space="preserve">. </w:t>
      </w:r>
      <w:r w:rsidR="002D1F88" w:rsidRPr="00E45CA4">
        <w:t xml:space="preserve">One middle school teacher shared that the </w:t>
      </w:r>
      <w:r w:rsidR="002D1F88" w:rsidRPr="00E45CA4" w:rsidDel="00696475">
        <w:t xml:space="preserve">Open </w:t>
      </w:r>
      <w:r w:rsidR="427E43B0">
        <w:t>Architects</w:t>
      </w:r>
      <w:r w:rsidR="002D1F88" w:rsidRPr="00E45CA4">
        <w:t xml:space="preserve"> system </w:t>
      </w:r>
      <w:r w:rsidR="00040362" w:rsidRPr="00E45CA4">
        <w:t>“</w:t>
      </w:r>
      <w:r w:rsidR="002D1F88" w:rsidRPr="00E45CA4">
        <w:t>lets us go on and see data for each individual student throughout their time in Mahar</w:t>
      </w:r>
      <w:r w:rsidR="00335D3C" w:rsidRPr="00E45CA4">
        <w:t xml:space="preserve">... </w:t>
      </w:r>
      <w:r w:rsidR="002D1F88" w:rsidRPr="00E45CA4">
        <w:t>And so that</w:t>
      </w:r>
      <w:r w:rsidR="00040362" w:rsidRPr="00E45CA4">
        <w:t>’</w:t>
      </w:r>
      <w:r w:rsidR="002D1F88" w:rsidRPr="00E45CA4">
        <w:t>s helpful to see, especially if you</w:t>
      </w:r>
      <w:r w:rsidR="00040362" w:rsidRPr="00E45CA4">
        <w:t>’</w:t>
      </w:r>
      <w:r w:rsidR="002D1F88" w:rsidRPr="00E45CA4">
        <w:t>re just trying to get all that information.</w:t>
      </w:r>
      <w:r w:rsidR="00040362" w:rsidRPr="00E45CA4">
        <w:t>”</w:t>
      </w:r>
      <w:r w:rsidR="002D1F88" w:rsidRPr="00E45CA4">
        <w:t xml:space="preserve"> A student support staff member exp</w:t>
      </w:r>
      <w:r w:rsidR="006C31E9" w:rsidRPr="00E45CA4">
        <w:t>lained</w:t>
      </w:r>
      <w:r w:rsidR="00596725" w:rsidRPr="00E45CA4">
        <w:t xml:space="preserve"> </w:t>
      </w:r>
      <w:r w:rsidR="006C31E9" w:rsidRPr="00E45CA4">
        <w:t xml:space="preserve">how the </w:t>
      </w:r>
      <w:r w:rsidR="006C31E9" w:rsidRPr="00E45CA4" w:rsidDel="00A0286C">
        <w:t xml:space="preserve">Open </w:t>
      </w:r>
      <w:r w:rsidR="427E43B0">
        <w:t>Architects</w:t>
      </w:r>
      <w:r w:rsidR="006C31E9" w:rsidRPr="00E45CA4">
        <w:t xml:space="preserve"> system is used: </w:t>
      </w:r>
      <w:r w:rsidR="00040362" w:rsidRPr="00E45CA4">
        <w:t>“</w:t>
      </w:r>
      <w:r w:rsidR="006C31E9" w:rsidRPr="00E45CA4">
        <w:t>So now we</w:t>
      </w:r>
      <w:r w:rsidR="00040362" w:rsidRPr="00E45CA4">
        <w:t>’</w:t>
      </w:r>
      <w:r w:rsidR="006C31E9" w:rsidRPr="00E45CA4">
        <w:t xml:space="preserve">re going to roll out </w:t>
      </w:r>
      <w:r w:rsidR="00624DE5">
        <w:t xml:space="preserve">[the tool developed by] </w:t>
      </w:r>
      <w:r w:rsidR="006C31E9" w:rsidRPr="00E45CA4">
        <w:t xml:space="preserve">Open </w:t>
      </w:r>
      <w:r w:rsidR="427E43B0">
        <w:t>Architects</w:t>
      </w:r>
      <w:r w:rsidR="006C31E9" w:rsidRPr="00E45CA4">
        <w:t xml:space="preserve"> which is going to give us live data from IEPs</w:t>
      </w:r>
      <w:r w:rsidR="00E84353" w:rsidRPr="00E45CA4">
        <w:t xml:space="preserve"> [</w:t>
      </w:r>
      <w:r w:rsidR="001D3B66" w:rsidRPr="00E45CA4">
        <w:t>individualized education programs</w:t>
      </w:r>
      <w:r w:rsidR="00E84353" w:rsidRPr="00E45CA4">
        <w:t xml:space="preserve">] . . . </w:t>
      </w:r>
      <w:r w:rsidR="00596725" w:rsidRPr="00E45CA4">
        <w:t>PowerSchool, with our attendance, behavior, and grades with Star, with MCAS</w:t>
      </w:r>
      <w:r w:rsidR="003E00CF" w:rsidRPr="00E45CA4">
        <w:t>.</w:t>
      </w:r>
      <w:r w:rsidR="00040362" w:rsidRPr="00E45CA4">
        <w:t>”</w:t>
      </w:r>
    </w:p>
    <w:p w14:paraId="0E4E29B0" w14:textId="5A63F553" w:rsidR="00473308" w:rsidRPr="00E45CA4" w:rsidRDefault="00473308" w:rsidP="00473308">
      <w:pPr>
        <w:pStyle w:val="Heading3"/>
      </w:pPr>
      <w:bookmarkStart w:id="46" w:name="_Data_Use"/>
      <w:bookmarkEnd w:id="46"/>
      <w:r w:rsidRPr="00E45CA4">
        <w:t>Data Use</w:t>
      </w:r>
    </w:p>
    <w:p w14:paraId="78345F55" w14:textId="088B115F" w:rsidR="006C1DC9" w:rsidRPr="00E45CA4" w:rsidRDefault="000D6A8E" w:rsidP="002335B2">
      <w:pPr>
        <w:pStyle w:val="BodyTextposthead"/>
      </w:pPr>
      <w:r>
        <w:t>RCM &amp; SU 73</w:t>
      </w:r>
      <w:r w:rsidR="002335B2" w:rsidRPr="00E45CA4">
        <w:t xml:space="preserve"> and school leaders use student performance data to track improvement goals. One </w:t>
      </w:r>
      <w:r w:rsidR="00876F48" w:rsidRPr="00E45CA4">
        <w:t xml:space="preserve">central office </w:t>
      </w:r>
      <w:r w:rsidR="002335B2" w:rsidRPr="00E45CA4">
        <w:t xml:space="preserve">leader noted that the Open </w:t>
      </w:r>
      <w:r w:rsidR="427E43B0">
        <w:t>Architects</w:t>
      </w:r>
      <w:r w:rsidR="002335B2" w:rsidRPr="00E45CA4">
        <w:t xml:space="preserve"> platform is used to review the effectiveness of school intervention programs and to identify students who have demonstrated improvement but have not </w:t>
      </w:r>
      <w:r w:rsidR="00DD31E7" w:rsidRPr="00E45CA4">
        <w:t xml:space="preserve">yet </w:t>
      </w:r>
      <w:r w:rsidR="002335B2" w:rsidRPr="00E45CA4">
        <w:t>reached their benchmarks. Principals reported having monthly district-level data meetings to review student assessment data and to determine if students are demonstrating readiness</w:t>
      </w:r>
      <w:r w:rsidR="002335B2" w:rsidRPr="00E45CA4" w:rsidDel="002654D1">
        <w:t xml:space="preserve">. </w:t>
      </w:r>
      <w:r w:rsidR="002654D1" w:rsidRPr="00E45CA4">
        <w:t>O</w:t>
      </w:r>
      <w:r w:rsidR="002335B2" w:rsidRPr="00E45CA4">
        <w:t xml:space="preserve">ne principal explained that during data meetings, middle school teachers </w:t>
      </w:r>
      <w:r w:rsidR="00F03258" w:rsidRPr="00E45CA4">
        <w:t>are pulled</w:t>
      </w:r>
      <w:r w:rsidR="002335B2" w:rsidRPr="00E45CA4">
        <w:t xml:space="preserve"> in to work with guidance counselors and identify which, if any, test preparatory math</w:t>
      </w:r>
      <w:r w:rsidR="000279B2" w:rsidRPr="00E45CA4">
        <w:t>ematics</w:t>
      </w:r>
      <w:r w:rsidR="002335B2" w:rsidRPr="00E45CA4">
        <w:t xml:space="preserve"> and English courses are most appropriate for students as they transition from middle school to high school.</w:t>
      </w:r>
    </w:p>
    <w:p w14:paraId="79F14E17" w14:textId="12D31086" w:rsidR="006C1DC9" w:rsidRPr="00A06F1E" w:rsidRDefault="00CC71FE" w:rsidP="004608F7">
      <w:pPr>
        <w:pStyle w:val="BodyText"/>
      </w:pPr>
      <w:r w:rsidRPr="00E45CA4">
        <w:t xml:space="preserve">In general, school and </w:t>
      </w:r>
      <w:r w:rsidR="005514AB" w:rsidRPr="00E45CA4">
        <w:t xml:space="preserve">central office </w:t>
      </w:r>
      <w:r w:rsidRPr="00E45CA4">
        <w:t xml:space="preserve">staff highlighted an area for growth for the </w:t>
      </w:r>
      <w:r w:rsidR="005514AB" w:rsidRPr="00E45CA4">
        <w:t xml:space="preserve">superintendency union </w:t>
      </w:r>
      <w:r w:rsidR="001A54E6">
        <w:t>related to</w:t>
      </w:r>
      <w:r w:rsidR="001A54E6" w:rsidRPr="00E45CA4">
        <w:t xml:space="preserve"> </w:t>
      </w:r>
      <w:r w:rsidR="00DF1AAB">
        <w:t>addressing a need for more</w:t>
      </w:r>
      <w:r w:rsidR="00DF1AAB" w:rsidRPr="00E45CA4">
        <w:t xml:space="preserve"> </w:t>
      </w:r>
      <w:r w:rsidRPr="00E45CA4">
        <w:t xml:space="preserve">consistent professional development and </w:t>
      </w:r>
      <w:r w:rsidR="005E48A8">
        <w:t>structured</w:t>
      </w:r>
      <w:r w:rsidRPr="00E45CA4" w:rsidDel="00DF1AAB">
        <w:t xml:space="preserve"> </w:t>
      </w:r>
      <w:r w:rsidR="00DF1AAB">
        <w:t>protocols</w:t>
      </w:r>
      <w:r w:rsidR="00DF1AAB" w:rsidRPr="00E45CA4">
        <w:t xml:space="preserve"> </w:t>
      </w:r>
      <w:r w:rsidRPr="00E45CA4">
        <w:t xml:space="preserve">for data use across schools and content areas. </w:t>
      </w:r>
      <w:r w:rsidR="002335B2" w:rsidRPr="00E45CA4">
        <w:t xml:space="preserve">Feedback from school-based educators suggests that data use is less consistent at the individual school or teacher levels. School-based educators </w:t>
      </w:r>
      <w:r w:rsidR="3AEF7A1D" w:rsidRPr="00E45CA4">
        <w:t xml:space="preserve">reported </w:t>
      </w:r>
      <w:r w:rsidR="00527815" w:rsidRPr="00E45CA4">
        <w:t xml:space="preserve">that </w:t>
      </w:r>
      <w:r w:rsidR="3AEF7A1D" w:rsidRPr="00E45CA4">
        <w:t>they regularly administered various assessments</w:t>
      </w:r>
      <w:r w:rsidR="00146326" w:rsidRPr="00E45CA4">
        <w:t xml:space="preserve"> </w:t>
      </w:r>
      <w:r w:rsidR="071B29DD" w:rsidRPr="00E45CA4">
        <w:t xml:space="preserve">and </w:t>
      </w:r>
      <w:r w:rsidR="13C5F5CD" w:rsidRPr="00E45CA4">
        <w:t xml:space="preserve">that </w:t>
      </w:r>
      <w:r w:rsidR="071B29DD" w:rsidRPr="00E45CA4">
        <w:t>they used data</w:t>
      </w:r>
      <w:r w:rsidR="002335B2" w:rsidRPr="00E45CA4">
        <w:t xml:space="preserve"> to inform </w:t>
      </w:r>
      <w:r w:rsidR="00264615" w:rsidRPr="00E45CA4">
        <w:t>IEP</w:t>
      </w:r>
      <w:r w:rsidR="002335B2" w:rsidRPr="00E45CA4">
        <w:t xml:space="preserve"> development for individual students. However, teachers expressed a lack of consistent </w:t>
      </w:r>
      <w:r w:rsidR="003F3BBA">
        <w:t>protocols</w:t>
      </w:r>
      <w:r w:rsidR="003F3BBA" w:rsidRPr="00E45CA4">
        <w:t xml:space="preserve"> </w:t>
      </w:r>
      <w:r w:rsidR="002335B2" w:rsidRPr="00E45CA4">
        <w:t xml:space="preserve">for analyzing class or grade-level data during common planning time or professional learning community meetings. At </w:t>
      </w:r>
      <w:proofErr w:type="spellStart"/>
      <w:r w:rsidR="00652B48">
        <w:t>Petersham</w:t>
      </w:r>
      <w:proofErr w:type="spellEnd"/>
      <w:r w:rsidR="00652B48">
        <w:t xml:space="preserve"> Center</w:t>
      </w:r>
      <w:r w:rsidR="002335B2" w:rsidRPr="00E45CA4">
        <w:t>, grade-level data meetings occur</w:t>
      </w:r>
      <w:r w:rsidR="002335B2" w:rsidRPr="00A06F1E">
        <w:t xml:space="preserve"> every other week to analyze results from screener assessments and to change groupings. However,</w:t>
      </w:r>
      <w:r w:rsidR="001B2106" w:rsidRPr="00A06F1E">
        <w:t xml:space="preserve"> </w:t>
      </w:r>
      <w:r w:rsidR="00CF4F71">
        <w:t>Fisher Hill</w:t>
      </w:r>
      <w:r w:rsidR="000A6291" w:rsidRPr="00A06F1E">
        <w:t xml:space="preserve"> </w:t>
      </w:r>
      <w:r w:rsidR="001B2106" w:rsidRPr="00A06F1E">
        <w:t xml:space="preserve">teachers </w:t>
      </w:r>
      <w:r w:rsidR="002335B2" w:rsidRPr="00A06F1E">
        <w:t>reported that support for data use</w:t>
      </w:r>
      <w:r w:rsidR="001B2106" w:rsidRPr="00A06F1E">
        <w:t>, particularly</w:t>
      </w:r>
      <w:r w:rsidR="002335B2" w:rsidRPr="00A06F1E">
        <w:t xml:space="preserve"> in the mathematics content area</w:t>
      </w:r>
      <w:r w:rsidR="00527815" w:rsidRPr="00A06F1E">
        <w:t>,</w:t>
      </w:r>
      <w:r w:rsidR="002335B2" w:rsidRPr="00A06F1E">
        <w:t xml:space="preserve"> is less consistent. </w:t>
      </w:r>
      <w:r w:rsidR="00747CAE" w:rsidRPr="00A06F1E">
        <w:t>One</w:t>
      </w:r>
      <w:r w:rsidR="002335B2" w:rsidRPr="00A06F1E">
        <w:t xml:space="preserve"> </w:t>
      </w:r>
      <w:r w:rsidR="00CF4F71">
        <w:t>Fisher Hill</w:t>
      </w:r>
      <w:r w:rsidR="000A6291" w:rsidRPr="00A06F1E">
        <w:t xml:space="preserve"> </w:t>
      </w:r>
      <w:r w:rsidR="002335B2" w:rsidRPr="00A06F1E">
        <w:t xml:space="preserve">teacher explained that </w:t>
      </w:r>
      <w:r w:rsidR="004D7ED8" w:rsidRPr="00A06F1E">
        <w:t>professional learning community</w:t>
      </w:r>
      <w:r w:rsidR="002335B2" w:rsidRPr="00A06F1E">
        <w:t xml:space="preserve"> times, which occur four days a week for 30 minutes, are the blocks of time that all teachers have to review data</w:t>
      </w:r>
      <w:r w:rsidR="00F161E8">
        <w:t xml:space="preserve">, </w:t>
      </w:r>
      <w:r w:rsidR="00F161E8">
        <w:lastRenderedPageBreak/>
        <w:t>but</w:t>
      </w:r>
      <w:r w:rsidR="002335B2" w:rsidRPr="00A06F1E">
        <w:t xml:space="preserve"> that </w:t>
      </w:r>
      <w:r w:rsidR="00040362" w:rsidRPr="00A06F1E">
        <w:t>“</w:t>
      </w:r>
      <w:r w:rsidR="002335B2" w:rsidRPr="00A06F1E">
        <w:t>there</w:t>
      </w:r>
      <w:r w:rsidR="00040362" w:rsidRPr="00A06F1E">
        <w:t>’</w:t>
      </w:r>
      <w:r w:rsidR="002335B2" w:rsidRPr="00A06F1E">
        <w:t>s no guidance and support from the top, from administration</w:t>
      </w:r>
      <w:r w:rsidR="00040362" w:rsidRPr="00A06F1E">
        <w:t>”</w:t>
      </w:r>
      <w:r w:rsidR="002335B2" w:rsidRPr="00A06F1E">
        <w:t xml:space="preserve"> on how to structure the meetings</w:t>
      </w:r>
      <w:r w:rsidR="00D11EE2">
        <w:t xml:space="preserve"> or analyze data</w:t>
      </w:r>
      <w:r w:rsidR="002335B2" w:rsidRPr="00A06F1E">
        <w:t>. Mahar Regional teachers reported that although department heads set aside time to review data during monthly meetings, it</w:t>
      </w:r>
      <w:r w:rsidR="007A0A2A" w:rsidRPr="00A06F1E">
        <w:t xml:space="preserve"> i</w:t>
      </w:r>
      <w:r w:rsidR="002335B2" w:rsidRPr="00A06F1E">
        <w:t xml:space="preserve">s not expected for their school to schedule time for teachers to review data. </w:t>
      </w:r>
      <w:r w:rsidR="001B3945" w:rsidRPr="00A06F1E">
        <w:t xml:space="preserve">One </w:t>
      </w:r>
      <w:r w:rsidR="007E5D1B" w:rsidRPr="00A06F1E">
        <w:t xml:space="preserve">high school </w:t>
      </w:r>
      <w:r w:rsidR="001B3945" w:rsidRPr="00A06F1E">
        <w:t xml:space="preserve">teacher </w:t>
      </w:r>
      <w:r w:rsidR="00FE1203" w:rsidRPr="00A06F1E">
        <w:t>explained</w:t>
      </w:r>
      <w:r w:rsidR="008B24A1" w:rsidRPr="00A06F1E">
        <w:t xml:space="preserve"> that</w:t>
      </w:r>
      <w:r w:rsidR="00C85619" w:rsidRPr="00A06F1E">
        <w:t xml:space="preserve"> during</w:t>
      </w:r>
      <w:r w:rsidR="008B24A1" w:rsidRPr="00A06F1E">
        <w:t xml:space="preserve"> the department meetings</w:t>
      </w:r>
      <w:r w:rsidR="00C85619" w:rsidRPr="00A06F1E">
        <w:t>,</w:t>
      </w:r>
      <w:r w:rsidR="002B1A87" w:rsidRPr="00A06F1E">
        <w:t xml:space="preserve"> </w:t>
      </w:r>
      <w:r w:rsidR="00C85619" w:rsidRPr="00A06F1E">
        <w:t>they have the option to review data together</w:t>
      </w:r>
      <w:r w:rsidR="000276B7" w:rsidRPr="00A06F1E">
        <w:t>,</w:t>
      </w:r>
      <w:r w:rsidR="00C85619" w:rsidRPr="00A06F1E">
        <w:t xml:space="preserve"> but it</w:t>
      </w:r>
      <w:r w:rsidR="007A0A2A" w:rsidRPr="00A06F1E">
        <w:t xml:space="preserve"> i</w:t>
      </w:r>
      <w:r w:rsidR="00C85619" w:rsidRPr="00A06F1E">
        <w:t xml:space="preserve">s </w:t>
      </w:r>
      <w:r w:rsidR="00040362" w:rsidRPr="00A06F1E">
        <w:t>“</w:t>
      </w:r>
      <w:r w:rsidR="00C85619" w:rsidRPr="00A06F1E">
        <w:t>not an expectation, requirement, or anything like that.</w:t>
      </w:r>
      <w:r w:rsidR="00040362" w:rsidRPr="00A06F1E">
        <w:t>”</w:t>
      </w:r>
      <w:r w:rsidR="00C85619" w:rsidRPr="00A06F1E">
        <w:t xml:space="preserve"> </w:t>
      </w:r>
      <w:r w:rsidR="002335B2" w:rsidRPr="00A06F1E">
        <w:t xml:space="preserve">Staff described participating in some professional development to understand how to access and interpret collected data, but several </w:t>
      </w:r>
      <w:r w:rsidR="00DB4547" w:rsidRPr="00A06F1E">
        <w:t xml:space="preserve">staff </w:t>
      </w:r>
      <w:r w:rsidR="002335B2" w:rsidRPr="00A06F1E">
        <w:t xml:space="preserve">described individually learning more about the data through informal conversations with colleagues. School leaders described different structures in place across schools, including a </w:t>
      </w:r>
      <w:r w:rsidR="00040362" w:rsidRPr="00A06F1E">
        <w:t>“</w:t>
      </w:r>
      <w:r w:rsidR="002335B2" w:rsidRPr="00A06F1E">
        <w:t>data team meeting</w:t>
      </w:r>
      <w:r w:rsidR="00040362" w:rsidRPr="00A06F1E">
        <w:t>”</w:t>
      </w:r>
      <w:r w:rsidR="002335B2" w:rsidRPr="00A06F1E">
        <w:t xml:space="preserve"> structure in one </w:t>
      </w:r>
      <w:r w:rsidR="00F9683C" w:rsidRPr="00A06F1E">
        <w:t xml:space="preserve">elementary </w:t>
      </w:r>
      <w:r w:rsidR="002335B2" w:rsidRPr="00A06F1E">
        <w:t xml:space="preserve">school that does not exist in </w:t>
      </w:r>
      <w:r w:rsidR="00F9683C" w:rsidRPr="00A06F1E">
        <w:t>the high</w:t>
      </w:r>
      <w:r w:rsidR="002335B2" w:rsidRPr="00A06F1E">
        <w:t xml:space="preserve"> school</w:t>
      </w:r>
      <w:r w:rsidR="00FA2653" w:rsidRPr="00A06F1E">
        <w:t xml:space="preserve"> or the other elementary school</w:t>
      </w:r>
      <w:r w:rsidR="002335B2" w:rsidRPr="00A06F1E">
        <w:t>.</w:t>
      </w:r>
    </w:p>
    <w:p w14:paraId="1136DCC5" w14:textId="1C1C04D0" w:rsidR="00473308" w:rsidRPr="00A06F1E" w:rsidRDefault="00473308" w:rsidP="00473308">
      <w:pPr>
        <w:pStyle w:val="Heading3"/>
      </w:pPr>
      <w:bookmarkStart w:id="47" w:name="_Sharing_Results"/>
      <w:bookmarkEnd w:id="47"/>
      <w:r w:rsidRPr="00A06F1E">
        <w:t>Sharing Results</w:t>
      </w:r>
    </w:p>
    <w:p w14:paraId="678A99A8" w14:textId="77777777" w:rsidR="006C1DC9" w:rsidRPr="00E45CA4" w:rsidRDefault="004E65BE" w:rsidP="004E65BE">
      <w:pPr>
        <w:pStyle w:val="BodyTextposthead"/>
      </w:pPr>
      <w:r w:rsidRPr="00A06F1E">
        <w:t xml:space="preserve">Across focus groups, feedback from staff confirms the sharing of data from student performance with all relevant </w:t>
      </w:r>
      <w:r w:rsidR="009C76DE" w:rsidRPr="00A06F1E">
        <w:t xml:space="preserve">central office </w:t>
      </w:r>
      <w:r w:rsidRPr="00A06F1E">
        <w:t xml:space="preserve">staff and educators. Both central office and school-based staff </w:t>
      </w:r>
      <w:r w:rsidRPr="00E45CA4">
        <w:t>indicated that they knew where and how they could access student performance data.</w:t>
      </w:r>
    </w:p>
    <w:p w14:paraId="12617E02" w14:textId="00EB61D7" w:rsidR="003C4CC2" w:rsidRPr="00E45CA4" w:rsidRDefault="00106CF3" w:rsidP="004608F7">
      <w:pPr>
        <w:pStyle w:val="BodyText"/>
      </w:pPr>
      <w:r w:rsidRPr="00E45CA4">
        <w:t xml:space="preserve">Schools in </w:t>
      </w:r>
      <w:r w:rsidR="000D6A8E">
        <w:t>RCM &amp; SU 73</w:t>
      </w:r>
      <w:r w:rsidRPr="00E45CA4">
        <w:t xml:space="preserve"> have</w:t>
      </w:r>
      <w:r w:rsidR="004E65BE" w:rsidRPr="00E45CA4">
        <w:t xml:space="preserve"> a consistent process and timeline for communicating progress to students and families, which is a strength. According to the </w:t>
      </w:r>
      <w:r w:rsidR="004E65BE" w:rsidRPr="00E45CA4">
        <w:rPr>
          <w:i/>
          <w:iCs/>
        </w:rPr>
        <w:t xml:space="preserve">Data Sharing Procedure </w:t>
      </w:r>
      <w:r w:rsidR="004E65BE" w:rsidRPr="00E45CA4">
        <w:t xml:space="preserve">documents for each school and conversations with school and </w:t>
      </w:r>
      <w:r w:rsidR="009C76DE" w:rsidRPr="00E45CA4">
        <w:t xml:space="preserve">central office </w:t>
      </w:r>
      <w:r w:rsidR="004E65BE" w:rsidRPr="00E45CA4">
        <w:t xml:space="preserve">leaders, teachers, students, and families, the </w:t>
      </w:r>
      <w:r w:rsidR="009C76DE" w:rsidRPr="00E45CA4">
        <w:t xml:space="preserve">central office </w:t>
      </w:r>
      <w:r w:rsidR="004E65BE" w:rsidRPr="00E45CA4">
        <w:t>sends out screening letters and Star and i-Ready reports to parents three times per year. As one principal explained,</w:t>
      </w:r>
    </w:p>
    <w:p w14:paraId="16A8DDCC" w14:textId="487DFD33" w:rsidR="006C1DC9" w:rsidRPr="00E45CA4" w:rsidRDefault="004E65BE" w:rsidP="003C4CC2">
      <w:pPr>
        <w:pStyle w:val="BlockQuote"/>
      </w:pPr>
      <w:r w:rsidRPr="00E45CA4">
        <w:t>For DIBELS, if a student</w:t>
      </w:r>
      <w:r w:rsidR="00040362" w:rsidRPr="00E45CA4">
        <w:t>’</w:t>
      </w:r>
      <w:r w:rsidRPr="00E45CA4">
        <w:t>s been flagged as potential for dyslexia, we do send home a formalized letter that we have</w:t>
      </w:r>
      <w:r w:rsidR="003C4CC2" w:rsidRPr="00E45CA4">
        <w:t xml:space="preserve"> . . . </w:t>
      </w:r>
      <w:r w:rsidRPr="00E45CA4">
        <w:t>and then we share what interventions we</w:t>
      </w:r>
      <w:r w:rsidR="00040362" w:rsidRPr="00E45CA4">
        <w:t>’</w:t>
      </w:r>
      <w:r w:rsidRPr="00E45CA4">
        <w:t>re going to put into place and then allow the families to kind of decide if they want to look at further testing and which direction we go.</w:t>
      </w:r>
    </w:p>
    <w:p w14:paraId="7214D0EF" w14:textId="6AF82DF8" w:rsidR="006C1DC9" w:rsidRPr="00A06F1E" w:rsidRDefault="004E65BE" w:rsidP="004608F7">
      <w:pPr>
        <w:pStyle w:val="BodyText"/>
      </w:pPr>
      <w:r w:rsidRPr="00E45CA4">
        <w:t xml:space="preserve">Students </w:t>
      </w:r>
      <w:r w:rsidR="0020561D" w:rsidRPr="00E45CA4">
        <w:t xml:space="preserve">and parents </w:t>
      </w:r>
      <w:r w:rsidRPr="00E45CA4">
        <w:t>reported mixed opportunities to discuss progress with teachers</w:t>
      </w:r>
      <w:r w:rsidR="598D9971" w:rsidRPr="00E45CA4">
        <w:t xml:space="preserve">, </w:t>
      </w:r>
      <w:r w:rsidR="000122E2">
        <w:t xml:space="preserve">and addressing their desire for more opportunities </w:t>
      </w:r>
      <w:r w:rsidR="598D9971" w:rsidRPr="00E45CA4">
        <w:t>is an area for growth</w:t>
      </w:r>
      <w:r w:rsidRPr="00E45CA4">
        <w:t xml:space="preserve">. </w:t>
      </w:r>
      <w:r w:rsidR="0020561D" w:rsidRPr="00E45CA4">
        <w:t xml:space="preserve">Parents explained that </w:t>
      </w:r>
      <w:r w:rsidR="00AA2EDB" w:rsidRPr="00E45CA4">
        <w:t>they</w:t>
      </w:r>
      <w:r w:rsidR="00B77AF5" w:rsidRPr="00E45CA4">
        <w:t xml:space="preserve"> have had meetings with teachers to discuss</w:t>
      </w:r>
      <w:r w:rsidR="003639E0" w:rsidRPr="00E45CA4">
        <w:t xml:space="preserve"> </w:t>
      </w:r>
      <w:r w:rsidR="00457860" w:rsidRPr="00E45CA4">
        <w:t xml:space="preserve">student learning needs but </w:t>
      </w:r>
      <w:r w:rsidR="00AD6681" w:rsidRPr="00E45CA4">
        <w:t xml:space="preserve">that </w:t>
      </w:r>
      <w:r w:rsidR="006215E0" w:rsidRPr="00E45CA4">
        <w:t>they had to</w:t>
      </w:r>
      <w:r w:rsidR="005C77D4" w:rsidRPr="00E45CA4">
        <w:t xml:space="preserve"> </w:t>
      </w:r>
      <w:r w:rsidR="006215E0" w:rsidRPr="00E45CA4">
        <w:t>conduct</w:t>
      </w:r>
      <w:r w:rsidR="005C77D4" w:rsidRPr="00E45CA4">
        <w:t xml:space="preserve"> additional </w:t>
      </w:r>
      <w:r w:rsidR="006215E0" w:rsidRPr="00E45CA4">
        <w:t>outreach</w:t>
      </w:r>
      <w:r w:rsidR="005C77D4" w:rsidRPr="00E45CA4">
        <w:t xml:space="preserve"> </w:t>
      </w:r>
      <w:r w:rsidR="00F969D6" w:rsidRPr="00E45CA4">
        <w:t>to</w:t>
      </w:r>
      <w:r w:rsidR="005C77D4" w:rsidRPr="00E45CA4">
        <w:t xml:space="preserve"> </w:t>
      </w:r>
      <w:r w:rsidR="00F969D6" w:rsidRPr="00E45CA4">
        <w:t xml:space="preserve">connect with teachers and school administrators. </w:t>
      </w:r>
      <w:r w:rsidRPr="00E45CA4">
        <w:t>Middle school students noted that most teachers frequently share information with them about how they</w:t>
      </w:r>
      <w:r w:rsidR="00040362" w:rsidRPr="00E45CA4">
        <w:t>’</w:t>
      </w:r>
      <w:r w:rsidRPr="00E45CA4">
        <w:t>re doing in class</w:t>
      </w:r>
      <w:r w:rsidR="00874C9C" w:rsidRPr="00E45CA4">
        <w:t>;</w:t>
      </w:r>
      <w:r w:rsidRPr="00E45CA4">
        <w:t xml:space="preserve"> however, some teachers are less consistent. One middle school student explained, </w:t>
      </w:r>
      <w:r w:rsidR="00040362" w:rsidRPr="00E45CA4">
        <w:t>“</w:t>
      </w:r>
      <w:r w:rsidRPr="00E45CA4">
        <w:t>A lot of teachers will be informative with you. If you</w:t>
      </w:r>
      <w:r w:rsidR="00040362" w:rsidRPr="00E45CA4">
        <w:t>’</w:t>
      </w:r>
      <w:r w:rsidRPr="00E45CA4">
        <w:t xml:space="preserve">re missing assignments, they will bring it to you and say, </w:t>
      </w:r>
      <w:r w:rsidR="00040362" w:rsidRPr="00E45CA4">
        <w:t>‘</w:t>
      </w:r>
      <w:r w:rsidRPr="00E45CA4">
        <w:t>Hey</w:t>
      </w:r>
      <w:r w:rsidR="00874C9C" w:rsidRPr="00E45CA4">
        <w:t>,</w:t>
      </w:r>
      <w:r w:rsidRPr="00E45CA4">
        <w:t xml:space="preserve"> you</w:t>
      </w:r>
      <w:r w:rsidR="00040362" w:rsidRPr="00E45CA4">
        <w:t>’</w:t>
      </w:r>
      <w:r w:rsidRPr="00E45CA4">
        <w:t>re missing this, this, and this.</w:t>
      </w:r>
      <w:r w:rsidR="00040362" w:rsidRPr="00E45CA4">
        <w:t>’”</w:t>
      </w:r>
      <w:r w:rsidRPr="00E45CA4">
        <w:t xml:space="preserve"> High school students described how teachers have individual meetings with them to discuss their grades and that they can view their grades through PowerSchool. </w:t>
      </w:r>
      <w:r w:rsidR="002D1D06" w:rsidRPr="00E45CA4">
        <w:t>O</w:t>
      </w:r>
      <w:r w:rsidRPr="00E45CA4">
        <w:t xml:space="preserve">ne high school student explained, </w:t>
      </w:r>
      <w:r w:rsidR="00040362" w:rsidRPr="00E45CA4">
        <w:t>“</w:t>
      </w:r>
      <w:r w:rsidRPr="00E45CA4">
        <w:t>My teachers work with me on a time that works for both of us</w:t>
      </w:r>
      <w:r w:rsidR="0CE6BCE0" w:rsidRPr="00E45CA4">
        <w:t xml:space="preserve"> [so our meeting is]</w:t>
      </w:r>
      <w:r w:rsidR="00146326" w:rsidRPr="00E45CA4">
        <w:t xml:space="preserve"> </w:t>
      </w:r>
      <w:r w:rsidRPr="00E45CA4">
        <w:t xml:space="preserve">not something that </w:t>
      </w:r>
      <w:r w:rsidR="3635EA05" w:rsidRPr="00E45CA4">
        <w:t>[I]</w:t>
      </w:r>
      <w:r w:rsidRPr="00E45CA4">
        <w:t xml:space="preserve"> would have to get out of sports for.</w:t>
      </w:r>
      <w:r w:rsidR="00040362" w:rsidRPr="00E45CA4">
        <w:t>”</w:t>
      </w:r>
      <w:r w:rsidRPr="00E45CA4">
        <w:t xml:space="preserve"> However, other high school students noted that some teachers take longer to </w:t>
      </w:r>
      <w:r w:rsidR="008D1378" w:rsidRPr="00E45CA4">
        <w:t>provide grades for assignments in</w:t>
      </w:r>
      <w:r w:rsidRPr="00E45CA4">
        <w:t xml:space="preserve"> PowerSchool.</w:t>
      </w:r>
    </w:p>
    <w:p w14:paraId="18115117" w14:textId="5148D4B4" w:rsidR="002B4CEF" w:rsidRPr="00A06F1E" w:rsidRDefault="002B4CEF" w:rsidP="002B4CEF">
      <w:pPr>
        <w:pStyle w:val="Heading3"/>
      </w:pPr>
      <w:r w:rsidRPr="00A06F1E">
        <w:t>DESE Recommendations</w:t>
      </w:r>
    </w:p>
    <w:p w14:paraId="6B609048" w14:textId="618AD259" w:rsidR="002B4CEF" w:rsidRPr="00A06F1E" w:rsidRDefault="00AF4605" w:rsidP="002B4CEF">
      <w:pPr>
        <w:pStyle w:val="Bullet1"/>
        <w:rPr>
          <w:bCs/>
        </w:rPr>
      </w:pPr>
      <w:r>
        <w:rPr>
          <w:i/>
          <w:iCs/>
        </w:rPr>
        <w:t xml:space="preserve">The superintendency union should develop </w:t>
      </w:r>
      <w:r w:rsidR="00E43493">
        <w:rPr>
          <w:i/>
          <w:iCs/>
        </w:rPr>
        <w:t>structures and provide professional development around</w:t>
      </w:r>
      <w:r w:rsidR="00BF506C">
        <w:rPr>
          <w:i/>
          <w:iCs/>
        </w:rPr>
        <w:t xml:space="preserve"> consistent</w:t>
      </w:r>
      <w:r w:rsidR="00E43493">
        <w:rPr>
          <w:i/>
          <w:iCs/>
        </w:rPr>
        <w:t xml:space="preserve"> </w:t>
      </w:r>
      <w:r w:rsidR="00FA596F">
        <w:rPr>
          <w:i/>
          <w:iCs/>
        </w:rPr>
        <w:t>data use at the classroom level</w:t>
      </w:r>
      <w:r w:rsidR="006A7176">
        <w:rPr>
          <w:i/>
          <w:iCs/>
        </w:rPr>
        <w:t xml:space="preserve"> across schools and content areas. </w:t>
      </w:r>
    </w:p>
    <w:p w14:paraId="6EDFC1C6" w14:textId="07FD7D1E" w:rsidR="00767620" w:rsidRPr="00BF506C" w:rsidRDefault="00AF4247" w:rsidP="00486B79">
      <w:pPr>
        <w:pStyle w:val="Bullet1"/>
        <w:numPr>
          <w:ilvl w:val="0"/>
          <w:numId w:val="0"/>
        </w:numPr>
        <w:rPr>
          <w:bCs/>
        </w:rPr>
      </w:pPr>
      <w:r w:rsidRPr="00880CA6">
        <w:rPr>
          <w:i/>
          <w:iCs/>
        </w:rPr>
        <w:lastRenderedPageBreak/>
        <w:t>The superintendency union should</w:t>
      </w:r>
      <w:r w:rsidR="00892C38" w:rsidRPr="00880CA6">
        <w:rPr>
          <w:i/>
          <w:iCs/>
        </w:rPr>
        <w:t xml:space="preserve"> clarify expectations </w:t>
      </w:r>
      <w:r w:rsidR="00E33D36">
        <w:rPr>
          <w:i/>
          <w:iCs/>
        </w:rPr>
        <w:t xml:space="preserve">and establish consistency </w:t>
      </w:r>
      <w:r w:rsidR="00892C38" w:rsidRPr="00880CA6">
        <w:rPr>
          <w:i/>
          <w:iCs/>
        </w:rPr>
        <w:t xml:space="preserve">around </w:t>
      </w:r>
      <w:r w:rsidR="005E6260">
        <w:rPr>
          <w:i/>
          <w:iCs/>
        </w:rPr>
        <w:t>collaborat</w:t>
      </w:r>
      <w:r w:rsidR="00486B79">
        <w:rPr>
          <w:i/>
          <w:iCs/>
        </w:rPr>
        <w:t>ing with families</w:t>
      </w:r>
      <w:r w:rsidR="005E6260">
        <w:rPr>
          <w:i/>
          <w:iCs/>
        </w:rPr>
        <w:t xml:space="preserve"> and </w:t>
      </w:r>
      <w:r w:rsidR="00892C38" w:rsidRPr="00880CA6">
        <w:rPr>
          <w:i/>
          <w:iCs/>
        </w:rPr>
        <w:t xml:space="preserve">sharing data </w:t>
      </w:r>
      <w:r w:rsidR="005E6260">
        <w:rPr>
          <w:i/>
          <w:iCs/>
        </w:rPr>
        <w:t>about</w:t>
      </w:r>
      <w:r w:rsidR="00892C38" w:rsidRPr="00880CA6">
        <w:rPr>
          <w:i/>
          <w:iCs/>
        </w:rPr>
        <w:t xml:space="preserve"> student progress.</w:t>
      </w:r>
    </w:p>
    <w:p w14:paraId="28D1950D" w14:textId="48E9ED86" w:rsidR="008D6102" w:rsidRPr="00A06F1E" w:rsidRDefault="008D6102" w:rsidP="0002259A">
      <w:pPr>
        <w:pStyle w:val="Bullet1"/>
        <w:numPr>
          <w:ilvl w:val="0"/>
          <w:numId w:val="0"/>
        </w:numPr>
        <w:ind w:left="360"/>
        <w:rPr>
          <w:bCs/>
        </w:rPr>
      </w:pPr>
    </w:p>
    <w:p w14:paraId="0B4FDEA8" w14:textId="77777777" w:rsidR="008D6102" w:rsidRPr="00A06F1E" w:rsidRDefault="008D6102" w:rsidP="008D6102">
      <w:pPr>
        <w:pStyle w:val="Heading2"/>
      </w:pPr>
      <w:bookmarkStart w:id="48" w:name="_Human_Resources_and"/>
      <w:bookmarkStart w:id="49" w:name="_Toc101446230"/>
      <w:bookmarkStart w:id="50" w:name="_Toc170701357"/>
      <w:bookmarkStart w:id="51" w:name="_Toc170896580"/>
      <w:bookmarkEnd w:id="48"/>
      <w:r w:rsidRPr="00A06F1E">
        <w:lastRenderedPageBreak/>
        <w:t>Human Resources and Professional Development</w:t>
      </w:r>
      <w:bookmarkEnd w:id="49"/>
      <w:bookmarkEnd w:id="50"/>
      <w:bookmarkEnd w:id="51"/>
    </w:p>
    <w:p w14:paraId="6296EBA6" w14:textId="0294DB63" w:rsidR="006C1DC9" w:rsidRPr="00A06F1E" w:rsidRDefault="00BF3B93" w:rsidP="0041058B">
      <w:pPr>
        <w:pStyle w:val="BodyText"/>
      </w:pPr>
      <w:r w:rsidRPr="00A06F1E">
        <w:t xml:space="preserve">The </w:t>
      </w:r>
      <w:r w:rsidR="00D9614B" w:rsidRPr="00A06F1E">
        <w:rPr>
          <w:spacing w:val="-2"/>
        </w:rPr>
        <w:t>human resources</w:t>
      </w:r>
      <w:r w:rsidRPr="00A06F1E">
        <w:t xml:space="preserve"> department at Mahar and </w:t>
      </w:r>
      <w:r w:rsidR="000D6A8E">
        <w:t>RCM &amp; SU 73</w:t>
      </w:r>
      <w:r w:rsidRPr="00A06F1E">
        <w:t xml:space="preserve">, led by a </w:t>
      </w:r>
      <w:r w:rsidR="00D9614B" w:rsidRPr="00A06F1E">
        <w:rPr>
          <w:spacing w:val="-2"/>
        </w:rPr>
        <w:t>human resources</w:t>
      </w:r>
      <w:r w:rsidRPr="00A06F1E">
        <w:t xml:space="preserve"> </w:t>
      </w:r>
      <w:r w:rsidR="00874C9C" w:rsidRPr="00A06F1E">
        <w:t>s</w:t>
      </w:r>
      <w:r w:rsidRPr="00A06F1E">
        <w:t xml:space="preserve">pecialist since 2011, manages payroll and </w:t>
      </w:r>
      <w:r w:rsidR="00D9614B" w:rsidRPr="00A06F1E">
        <w:rPr>
          <w:spacing w:val="-2"/>
        </w:rPr>
        <w:t>human resources</w:t>
      </w:r>
      <w:r w:rsidRPr="00A06F1E">
        <w:t xml:space="preserve"> functions across Mahar</w:t>
      </w:r>
      <w:r w:rsidR="000A6291" w:rsidRPr="00A06F1E">
        <w:t xml:space="preserve"> Regional</w:t>
      </w:r>
      <w:r w:rsidRPr="00A06F1E">
        <w:t xml:space="preserve">, </w:t>
      </w:r>
      <w:r w:rsidR="00CF4F71">
        <w:t>Fisher Hill</w:t>
      </w:r>
      <w:r w:rsidRPr="00A06F1E">
        <w:t xml:space="preserve">, and </w:t>
      </w:r>
      <w:proofErr w:type="spellStart"/>
      <w:r w:rsidR="00652B48">
        <w:t>Petersham</w:t>
      </w:r>
      <w:proofErr w:type="spellEnd"/>
      <w:r w:rsidR="00652B48">
        <w:t xml:space="preserve"> Center</w:t>
      </w:r>
      <w:r w:rsidR="009A3864">
        <w:t>.</w:t>
      </w:r>
      <w:r w:rsidRPr="00A06F1E">
        <w:t xml:space="preserve"> </w:t>
      </w:r>
      <w:r w:rsidR="009A3864">
        <w:t xml:space="preserve">The department also </w:t>
      </w:r>
      <w:r w:rsidR="009A3864" w:rsidRPr="009A3864">
        <w:t xml:space="preserve">supports the superintendent and principals by collaborating with </w:t>
      </w:r>
      <w:r w:rsidR="00C41FCD">
        <w:t>both</w:t>
      </w:r>
      <w:r w:rsidR="009A3864">
        <w:t xml:space="preserve"> in recruiting and hiring </w:t>
      </w:r>
      <w:r w:rsidR="00484DE4">
        <w:t>staff.</w:t>
      </w:r>
      <w:r w:rsidRPr="00A06F1E">
        <w:t xml:space="preserve"> The department prepares monthly staffing reports to track trends and turnover, </w:t>
      </w:r>
      <w:r w:rsidR="00874C9C" w:rsidRPr="00A06F1E">
        <w:t>al</w:t>
      </w:r>
      <w:r w:rsidRPr="00A06F1E">
        <w:t xml:space="preserve">though transitioning from physical files to an electronic system remains an ongoing challenge. The recruitment and hiring process is collaborative, involving the superintendent, </w:t>
      </w:r>
      <w:r w:rsidR="00D9614B" w:rsidRPr="00A06F1E">
        <w:rPr>
          <w:spacing w:val="-2"/>
        </w:rPr>
        <w:t>human resources</w:t>
      </w:r>
      <w:r w:rsidRPr="00A06F1E">
        <w:t xml:space="preserve"> </w:t>
      </w:r>
      <w:r w:rsidR="00874C9C" w:rsidRPr="00A06F1E">
        <w:t>s</w:t>
      </w:r>
      <w:r w:rsidRPr="00A06F1E">
        <w:t xml:space="preserve">pecialist, principals, and interview teams. Principals identify staffing needs and lead initial candidate selection, </w:t>
      </w:r>
      <w:r w:rsidR="00874C9C" w:rsidRPr="00A06F1E">
        <w:t>whereas</w:t>
      </w:r>
      <w:r w:rsidRPr="00A06F1E">
        <w:t xml:space="preserve"> the </w:t>
      </w:r>
      <w:r w:rsidR="00D9614B" w:rsidRPr="00A06F1E">
        <w:rPr>
          <w:spacing w:val="-2"/>
        </w:rPr>
        <w:t>human resources</w:t>
      </w:r>
      <w:r w:rsidRPr="00A06F1E">
        <w:t xml:space="preserve"> </w:t>
      </w:r>
      <w:r w:rsidR="00874C9C" w:rsidRPr="00A06F1E">
        <w:t>s</w:t>
      </w:r>
      <w:r w:rsidRPr="00A06F1E">
        <w:t>pecialist handles administrative tasks and onboarding. Despite these structured processes, challenges such as budget constraints, finding qualified teachers for specialized subjects, and delays in budget finalization affect hiring efficiency.</w:t>
      </w:r>
    </w:p>
    <w:p w14:paraId="0D618483" w14:textId="5985556F" w:rsidR="00F96337" w:rsidRPr="00A06F1E" w:rsidRDefault="00AF0F2C" w:rsidP="0041058B">
      <w:pPr>
        <w:pStyle w:val="BodyText"/>
      </w:pPr>
      <w:r w:rsidRPr="00A06F1E">
        <w:t xml:space="preserve">In </w:t>
      </w:r>
      <w:r w:rsidR="000D6A8E">
        <w:t>RCM &amp; SU 73</w:t>
      </w:r>
      <w:r w:rsidRPr="00A06F1E">
        <w:t xml:space="preserve">, the evaluation process involves both centralized and school-level implementation, with the district leadership team conducting structured walkthroughs and providing data-driven feedback. </w:t>
      </w:r>
      <w:r w:rsidR="00D152E1">
        <w:t>However</w:t>
      </w:r>
      <w:r w:rsidRPr="00A06F1E">
        <w:t xml:space="preserve">, challenges persist </w:t>
      </w:r>
      <w:r w:rsidR="00626F21" w:rsidRPr="00A06F1E">
        <w:t>because of</w:t>
      </w:r>
      <w:r w:rsidRPr="00A06F1E">
        <w:t xml:space="preserve"> past</w:t>
      </w:r>
      <w:r w:rsidR="008442FA">
        <w:t xml:space="preserve"> evaluation</w:t>
      </w:r>
      <w:r w:rsidRPr="00A06F1E">
        <w:t xml:space="preserve"> practices and resistance to change, particularly among </w:t>
      </w:r>
      <w:r w:rsidR="00C14A40">
        <w:t>staf</w:t>
      </w:r>
      <w:r w:rsidR="00C91985">
        <w:t>f</w:t>
      </w:r>
      <w:r w:rsidR="00C14A40">
        <w:t xml:space="preserve"> not accustomed </w:t>
      </w:r>
      <w:r w:rsidR="00C91985">
        <w:t>to the new, more frequent evaluation process</w:t>
      </w:r>
      <w:r w:rsidRPr="00A06F1E">
        <w:t xml:space="preserve">. Professional development aligns with district goals, </w:t>
      </w:r>
      <w:r w:rsidR="00626F21" w:rsidRPr="00A06F1E">
        <w:t>al</w:t>
      </w:r>
      <w:r w:rsidRPr="00A06F1E">
        <w:t>though inconsistencies in instructional coaching and mentoring support, especially at the elementary level, highlight areas for growth. Teachers</w:t>
      </w:r>
      <w:r w:rsidR="00485CC1" w:rsidRPr="00A06F1E">
        <w:t xml:space="preserve"> in some cases</w:t>
      </w:r>
      <w:r w:rsidRPr="00A06F1E">
        <w:t xml:space="preserve"> </w:t>
      </w:r>
      <w:r w:rsidR="00485CC1" w:rsidRPr="00A06F1E">
        <w:t>reported having</w:t>
      </w:r>
      <w:r w:rsidRPr="00A06F1E">
        <w:t xml:space="preserve"> limited leadership opportunities and </w:t>
      </w:r>
      <w:r w:rsidR="15DC5AC2" w:rsidRPr="00A06F1E">
        <w:t>n</w:t>
      </w:r>
      <w:r w:rsidR="001D65CE" w:rsidRPr="00A06F1E">
        <w:t>o</w:t>
      </w:r>
      <w:r w:rsidR="15DC5AC2" w:rsidRPr="00A06F1E">
        <w:t>t feel</w:t>
      </w:r>
      <w:r w:rsidR="00485CC1" w:rsidRPr="00A06F1E">
        <w:t>ing</w:t>
      </w:r>
      <w:r w:rsidR="15DC5AC2" w:rsidRPr="00A06F1E">
        <w:t xml:space="preserve"> supported</w:t>
      </w:r>
      <w:r w:rsidRPr="00A06F1E">
        <w:t xml:space="preserve"> </w:t>
      </w:r>
      <w:r w:rsidR="03AF9F67" w:rsidRPr="00A06F1E">
        <w:t xml:space="preserve">in </w:t>
      </w:r>
      <w:r w:rsidRPr="00A06F1E">
        <w:t xml:space="preserve">volunteering or suggesting new ideas, underscoring the need for more support and encouragement for </w:t>
      </w:r>
      <w:r w:rsidR="00B745BA">
        <w:t>initiative-taking</w:t>
      </w:r>
      <w:r w:rsidRPr="00A06F1E">
        <w:t xml:space="preserve"> within the district.</w:t>
      </w:r>
    </w:p>
    <w:p w14:paraId="7136409B" w14:textId="36FC45D7" w:rsidR="002C6E1C" w:rsidRPr="00A06F1E" w:rsidRDefault="002C6E1C" w:rsidP="00B827DE">
      <w:pPr>
        <w:pStyle w:val="BodyText"/>
        <w:rPr>
          <w:highlight w:val="green"/>
        </w:rPr>
      </w:pPr>
      <w:r w:rsidRPr="00A06F1E">
        <w:t xml:space="preserve">Table </w:t>
      </w:r>
      <w:r w:rsidR="00163C7A" w:rsidRPr="00A06F1E">
        <w:t xml:space="preserve">5 </w:t>
      </w:r>
      <w:r w:rsidRPr="00A06F1E">
        <w:t>summarizes key strengths and areas for growth in human resources and professional development.</w:t>
      </w:r>
    </w:p>
    <w:p w14:paraId="2C40EE4D" w14:textId="77777777" w:rsidR="004608F7" w:rsidRPr="00A06F1E" w:rsidRDefault="004608F7">
      <w:pPr>
        <w:spacing w:line="240" w:lineRule="auto"/>
        <w:rPr>
          <w:rFonts w:ascii="Franklin Gothic Demi" w:hAnsi="Franklin Gothic Demi"/>
        </w:rPr>
      </w:pPr>
      <w:r w:rsidRPr="00A06F1E">
        <w:br w:type="page"/>
      </w:r>
    </w:p>
    <w:p w14:paraId="66CEE916" w14:textId="75CAA735" w:rsidR="00B827DE" w:rsidRPr="00A06F1E" w:rsidRDefault="00B827DE" w:rsidP="00B827DE">
      <w:pPr>
        <w:pStyle w:val="TableTitle0"/>
      </w:pPr>
      <w:bookmarkStart w:id="52" w:name="_Toc170701904"/>
      <w:r w:rsidRPr="00A06F1E">
        <w:lastRenderedPageBreak/>
        <w:t xml:space="preserve">Table </w:t>
      </w:r>
      <w:r w:rsidR="00163C7A" w:rsidRPr="00A06F1E">
        <w:t>5</w:t>
      </w:r>
      <w:r w:rsidRPr="00A06F1E">
        <w:t xml:space="preserve">. Summary of </w:t>
      </w:r>
      <w:r w:rsidR="002C6E1C" w:rsidRPr="00A06F1E">
        <w:t xml:space="preserve">Key Strengths </w:t>
      </w:r>
      <w:r w:rsidRPr="00A06F1E">
        <w:t xml:space="preserve">and </w:t>
      </w:r>
      <w:r w:rsidR="002C6E1C" w:rsidRPr="00A06F1E">
        <w:t xml:space="preserve">Areas </w:t>
      </w:r>
      <w:r w:rsidRPr="00A06F1E">
        <w:t xml:space="preserve">for </w:t>
      </w:r>
      <w:r w:rsidR="002C6E1C" w:rsidRPr="00A06F1E">
        <w:t>Growth:</w:t>
      </w:r>
      <w:r w:rsidRPr="00A06F1E">
        <w:t xml:space="preserve"> Human Resources and Professional Development</w:t>
      </w:r>
      <w:r w:rsidR="002C6E1C" w:rsidRPr="00A06F1E">
        <w:t xml:space="preserve"> Standard</w:t>
      </w:r>
      <w:bookmarkEnd w:id="52"/>
    </w:p>
    <w:tbl>
      <w:tblPr>
        <w:tblStyle w:val="MSVTable1"/>
        <w:tblW w:w="5000" w:type="pct"/>
        <w:tblLook w:val="04A0" w:firstRow="1" w:lastRow="0" w:firstColumn="1" w:lastColumn="0" w:noHBand="0" w:noVBand="1"/>
      </w:tblPr>
      <w:tblGrid>
        <w:gridCol w:w="1971"/>
        <w:gridCol w:w="3510"/>
        <w:gridCol w:w="3863"/>
      </w:tblGrid>
      <w:tr w:rsidR="00B827DE" w:rsidRPr="00A06F1E" w14:paraId="5AF94F4A" w14:textId="77777777" w:rsidTr="004608F7">
        <w:trPr>
          <w:cnfStyle w:val="100000000000" w:firstRow="1" w:lastRow="0" w:firstColumn="0" w:lastColumn="0" w:oddVBand="0" w:evenVBand="0" w:oddHBand="0" w:evenHBand="0" w:firstRowFirstColumn="0" w:firstRowLastColumn="0" w:lastRowFirstColumn="0" w:lastRowLastColumn="0"/>
        </w:trPr>
        <w:tc>
          <w:tcPr>
            <w:tcW w:w="1055" w:type="pct"/>
          </w:tcPr>
          <w:p w14:paraId="2AD0DE9D" w14:textId="4F927EC0" w:rsidR="00B827DE" w:rsidRPr="00DF7902" w:rsidRDefault="00B827DE" w:rsidP="00B827DE">
            <w:pPr>
              <w:pStyle w:val="TableColHeadingCenter"/>
            </w:pPr>
            <w:r w:rsidRPr="00DF7902">
              <w:t>Indicator</w:t>
            </w:r>
          </w:p>
        </w:tc>
        <w:tc>
          <w:tcPr>
            <w:tcW w:w="1878" w:type="pct"/>
          </w:tcPr>
          <w:p w14:paraId="29F8FCE9" w14:textId="77777777" w:rsidR="00B827DE" w:rsidRPr="00A06F1E" w:rsidRDefault="00B827DE" w:rsidP="00B827DE">
            <w:pPr>
              <w:pStyle w:val="TableColHeadingCenter"/>
            </w:pPr>
            <w:r w:rsidRPr="00A06F1E">
              <w:t>Strengths</w:t>
            </w:r>
          </w:p>
        </w:tc>
        <w:tc>
          <w:tcPr>
            <w:tcW w:w="2067" w:type="pct"/>
          </w:tcPr>
          <w:p w14:paraId="500B423F" w14:textId="6D40DEB3" w:rsidR="00B827DE" w:rsidRPr="00A06F1E" w:rsidRDefault="00B827DE" w:rsidP="00B827DE">
            <w:pPr>
              <w:pStyle w:val="TableColHeadingCenter"/>
            </w:pPr>
            <w:r w:rsidRPr="00A06F1E">
              <w:t xml:space="preserve">Areas for </w:t>
            </w:r>
            <w:r w:rsidR="002C6E1C" w:rsidRPr="00A06F1E">
              <w:t>growth</w:t>
            </w:r>
          </w:p>
        </w:tc>
      </w:tr>
      <w:tr w:rsidR="00B827DE" w:rsidRPr="00A06F1E" w14:paraId="3B52DFA7" w14:textId="77777777" w:rsidTr="004608F7">
        <w:trPr>
          <w:cnfStyle w:val="000000100000" w:firstRow="0" w:lastRow="0" w:firstColumn="0" w:lastColumn="0" w:oddVBand="0" w:evenVBand="0" w:oddHBand="1" w:evenHBand="0" w:firstRowFirstColumn="0" w:firstRowLastColumn="0" w:lastRowFirstColumn="0" w:lastRowLastColumn="0"/>
        </w:trPr>
        <w:tc>
          <w:tcPr>
            <w:tcW w:w="1055" w:type="pct"/>
          </w:tcPr>
          <w:p w14:paraId="2963B302" w14:textId="7CB902BE" w:rsidR="00B827DE" w:rsidRPr="00A06F1E" w:rsidRDefault="00000000" w:rsidP="005D13E7">
            <w:pPr>
              <w:pStyle w:val="TableSubheading"/>
              <w:rPr>
                <w:bdr w:val="none" w:sz="0" w:space="0" w:color="auto" w:frame="1"/>
              </w:rPr>
            </w:pPr>
            <w:hyperlink w:anchor="_Infrastructure" w:history="1">
              <w:r w:rsidR="00B827DE" w:rsidRPr="00A06F1E">
                <w:rPr>
                  <w:rStyle w:val="Hyperlink"/>
                  <w:bdr w:val="none" w:sz="0" w:space="0" w:color="auto" w:frame="1"/>
                </w:rPr>
                <w:t>Infrastructure</w:t>
              </w:r>
            </w:hyperlink>
          </w:p>
        </w:tc>
        <w:tc>
          <w:tcPr>
            <w:tcW w:w="1878" w:type="pct"/>
          </w:tcPr>
          <w:p w14:paraId="70D7277E" w14:textId="0FB9FE6D" w:rsidR="00B827DE" w:rsidRPr="00A06F1E" w:rsidRDefault="00DB4843" w:rsidP="002C1C31">
            <w:pPr>
              <w:pStyle w:val="TableBullet1"/>
              <w:ind w:left="332" w:hanging="332"/>
              <w:rPr>
                <w:bdr w:val="none" w:sz="0" w:space="0" w:color="auto" w:frame="1"/>
              </w:rPr>
            </w:pPr>
            <w:r w:rsidRPr="00A06F1E">
              <w:t xml:space="preserve">The </w:t>
            </w:r>
            <w:r w:rsidR="000872FC">
              <w:rPr>
                <w:spacing w:val="-2"/>
              </w:rPr>
              <w:t>central office used data to</w:t>
            </w:r>
            <w:r w:rsidRPr="00A06F1E">
              <w:t xml:space="preserve"> help identify staffing trends and turnover</w:t>
            </w:r>
            <w:r w:rsidR="00D867D7" w:rsidRPr="00A06F1E">
              <w:t>.</w:t>
            </w:r>
          </w:p>
        </w:tc>
        <w:tc>
          <w:tcPr>
            <w:tcW w:w="2067" w:type="pct"/>
          </w:tcPr>
          <w:p w14:paraId="09130FD4" w14:textId="6D625584" w:rsidR="00B827DE" w:rsidRPr="00A06F1E" w:rsidRDefault="00B827DE" w:rsidP="00B20834">
            <w:pPr>
              <w:pStyle w:val="TableBullet1"/>
              <w:numPr>
                <w:ilvl w:val="0"/>
                <w:numId w:val="0"/>
              </w:numPr>
              <w:ind w:left="360" w:hanging="360"/>
              <w:rPr>
                <w:bdr w:val="none" w:sz="0" w:space="0" w:color="auto" w:frame="1"/>
              </w:rPr>
            </w:pPr>
          </w:p>
        </w:tc>
      </w:tr>
      <w:tr w:rsidR="00B827DE" w:rsidRPr="00A06F1E" w14:paraId="53443622" w14:textId="77777777" w:rsidTr="004608F7">
        <w:tc>
          <w:tcPr>
            <w:tcW w:w="1055" w:type="pct"/>
          </w:tcPr>
          <w:p w14:paraId="755AE6E0" w14:textId="70779273" w:rsidR="00B827DE" w:rsidRPr="00A06F1E" w:rsidRDefault="00000000" w:rsidP="005D13E7">
            <w:pPr>
              <w:pStyle w:val="TableSubheading"/>
              <w:rPr>
                <w:bdr w:val="none" w:sz="0" w:space="0" w:color="auto" w:frame="1"/>
              </w:rPr>
            </w:pPr>
            <w:hyperlink w:anchor="_Recruitment,_Hiring,_and" w:history="1">
              <w:r w:rsidR="00B827DE" w:rsidRPr="00A06F1E">
                <w:rPr>
                  <w:rStyle w:val="Hyperlink"/>
                  <w:bdr w:val="none" w:sz="0" w:space="0" w:color="auto" w:frame="1"/>
                </w:rPr>
                <w:t xml:space="preserve">Recruitment, </w:t>
              </w:r>
              <w:r w:rsidR="002C6E1C" w:rsidRPr="00A06F1E">
                <w:rPr>
                  <w:rStyle w:val="Hyperlink"/>
                  <w:bdr w:val="none" w:sz="0" w:space="0" w:color="auto" w:frame="1"/>
                </w:rPr>
                <w:t>h</w:t>
              </w:r>
              <w:r w:rsidR="00B827DE" w:rsidRPr="00A06F1E">
                <w:rPr>
                  <w:rStyle w:val="Hyperlink"/>
                  <w:bdr w:val="none" w:sz="0" w:space="0" w:color="auto" w:frame="1"/>
                </w:rPr>
                <w:t xml:space="preserve">iring, and </w:t>
              </w:r>
              <w:r w:rsidR="002C6E1C" w:rsidRPr="00A06F1E">
                <w:rPr>
                  <w:rStyle w:val="Hyperlink"/>
                  <w:bdr w:val="none" w:sz="0" w:space="0" w:color="auto" w:frame="1"/>
                </w:rPr>
                <w:t>a</w:t>
              </w:r>
              <w:r w:rsidR="00B827DE" w:rsidRPr="00A06F1E">
                <w:rPr>
                  <w:rStyle w:val="Hyperlink"/>
                  <w:bdr w:val="none" w:sz="0" w:space="0" w:color="auto" w:frame="1"/>
                </w:rPr>
                <w:t>ssignment</w:t>
              </w:r>
            </w:hyperlink>
          </w:p>
        </w:tc>
        <w:tc>
          <w:tcPr>
            <w:tcW w:w="1878" w:type="pct"/>
          </w:tcPr>
          <w:p w14:paraId="3B581E14" w14:textId="7C22E916" w:rsidR="00B827DE" w:rsidRPr="00A06F1E" w:rsidRDefault="00DB4843" w:rsidP="002B285E">
            <w:pPr>
              <w:pStyle w:val="TableBullet1"/>
              <w:ind w:left="299" w:hanging="299"/>
              <w:rPr>
                <w:bdr w:val="none" w:sz="0" w:space="0" w:color="auto" w:frame="1"/>
              </w:rPr>
            </w:pPr>
            <w:r w:rsidRPr="00A06F1E">
              <w:t xml:space="preserve">The recruitment and hiring process at </w:t>
            </w:r>
            <w:r w:rsidR="000D6A8E">
              <w:t>RCM &amp; SU 73</w:t>
            </w:r>
            <w:r w:rsidRPr="00A06F1E">
              <w:t xml:space="preserve"> involves active engagement from key stakeholders</w:t>
            </w:r>
            <w:r w:rsidR="00D867D7" w:rsidRPr="00A06F1E">
              <w:t>.</w:t>
            </w:r>
          </w:p>
        </w:tc>
        <w:tc>
          <w:tcPr>
            <w:tcW w:w="2067" w:type="pct"/>
          </w:tcPr>
          <w:p w14:paraId="3E86C519" w14:textId="25FC0197" w:rsidR="00B827DE" w:rsidRPr="00A06F1E" w:rsidRDefault="00AA3A7D" w:rsidP="007D69BA">
            <w:pPr>
              <w:pStyle w:val="TableBullet1"/>
              <w:rPr>
                <w:bdr w:val="none" w:sz="0" w:space="0" w:color="auto" w:frame="1"/>
              </w:rPr>
            </w:pPr>
            <w:r w:rsidRPr="00A06F1E">
              <w:t xml:space="preserve">Improving </w:t>
            </w:r>
            <w:r w:rsidR="00422E73">
              <w:t>h</w:t>
            </w:r>
            <w:r w:rsidR="00B278AE" w:rsidRPr="00B278AE">
              <w:t xml:space="preserve">iring and assignment processes, </w:t>
            </w:r>
            <w:r w:rsidR="00422E73">
              <w:t>addressing</w:t>
            </w:r>
            <w:r w:rsidR="00B278AE" w:rsidRPr="00B278AE">
              <w:t xml:space="preserve"> budgeting constraints and the difficulty of finding qualified teachers for specialized subjects</w:t>
            </w:r>
            <w:r w:rsidR="00B278AE" w:rsidRPr="00A06F1E" w:rsidDel="00B278AE">
              <w:t xml:space="preserve"> </w:t>
            </w:r>
          </w:p>
        </w:tc>
      </w:tr>
      <w:tr w:rsidR="00B827DE" w:rsidRPr="00A06F1E" w14:paraId="05C4AE65" w14:textId="77777777" w:rsidTr="004608F7">
        <w:trPr>
          <w:cnfStyle w:val="000000100000" w:firstRow="0" w:lastRow="0" w:firstColumn="0" w:lastColumn="0" w:oddVBand="0" w:evenVBand="0" w:oddHBand="1" w:evenHBand="0" w:firstRowFirstColumn="0" w:firstRowLastColumn="0" w:lastRowFirstColumn="0" w:lastRowLastColumn="0"/>
        </w:trPr>
        <w:tc>
          <w:tcPr>
            <w:tcW w:w="1055" w:type="pct"/>
          </w:tcPr>
          <w:p w14:paraId="7ADD9F53" w14:textId="4FD5CE54" w:rsidR="00B827DE" w:rsidRPr="00A06F1E" w:rsidRDefault="00000000" w:rsidP="005D13E7">
            <w:pPr>
              <w:pStyle w:val="TableSubheading"/>
              <w:rPr>
                <w:bdr w:val="none" w:sz="0" w:space="0" w:color="auto" w:frame="1"/>
              </w:rPr>
            </w:pPr>
            <w:hyperlink w:anchor="_Supervision,_Evaluation,_and" w:history="1">
              <w:r w:rsidR="00B827DE" w:rsidRPr="00A06F1E">
                <w:rPr>
                  <w:rStyle w:val="Hyperlink"/>
                  <w:bdr w:val="none" w:sz="0" w:space="0" w:color="auto" w:frame="1"/>
                </w:rPr>
                <w:t xml:space="preserve">Supervision, </w:t>
              </w:r>
              <w:r w:rsidR="002C6E1C" w:rsidRPr="00A06F1E">
                <w:rPr>
                  <w:rStyle w:val="Hyperlink"/>
                  <w:bdr w:val="none" w:sz="0" w:space="0" w:color="auto" w:frame="1"/>
                </w:rPr>
                <w:t>e</w:t>
              </w:r>
              <w:r w:rsidR="00B827DE" w:rsidRPr="00A06F1E">
                <w:rPr>
                  <w:rStyle w:val="Hyperlink"/>
                  <w:bdr w:val="none" w:sz="0" w:space="0" w:color="auto" w:frame="1"/>
                </w:rPr>
                <w:t xml:space="preserve">valuation, and </w:t>
              </w:r>
              <w:r w:rsidR="002C6E1C" w:rsidRPr="00A06F1E">
                <w:rPr>
                  <w:rStyle w:val="Hyperlink"/>
                  <w:bdr w:val="none" w:sz="0" w:space="0" w:color="auto" w:frame="1"/>
                </w:rPr>
                <w:t>e</w:t>
              </w:r>
              <w:r w:rsidR="00B827DE" w:rsidRPr="00A06F1E">
                <w:rPr>
                  <w:rStyle w:val="Hyperlink"/>
                  <w:bdr w:val="none" w:sz="0" w:space="0" w:color="auto" w:frame="1"/>
                </w:rPr>
                <w:t xml:space="preserve">ducator </w:t>
              </w:r>
              <w:r w:rsidR="002C6E1C" w:rsidRPr="00A06F1E">
                <w:rPr>
                  <w:rStyle w:val="Hyperlink"/>
                  <w:bdr w:val="none" w:sz="0" w:space="0" w:color="auto" w:frame="1"/>
                </w:rPr>
                <w:t>d</w:t>
              </w:r>
              <w:r w:rsidR="00B827DE" w:rsidRPr="00A06F1E">
                <w:rPr>
                  <w:rStyle w:val="Hyperlink"/>
                  <w:bdr w:val="none" w:sz="0" w:space="0" w:color="auto" w:frame="1"/>
                </w:rPr>
                <w:t>evelopment</w:t>
              </w:r>
            </w:hyperlink>
          </w:p>
        </w:tc>
        <w:tc>
          <w:tcPr>
            <w:tcW w:w="1878" w:type="pct"/>
          </w:tcPr>
          <w:p w14:paraId="363D5206" w14:textId="6FE99A95" w:rsidR="006C1DC9" w:rsidRPr="00A06F1E" w:rsidRDefault="000D6A8E" w:rsidP="002B285E">
            <w:pPr>
              <w:pStyle w:val="TableBullet1"/>
              <w:ind w:left="299" w:hanging="299"/>
            </w:pPr>
            <w:r>
              <w:t>RCM &amp; SU 73</w:t>
            </w:r>
            <w:r w:rsidR="00D867D7" w:rsidRPr="00A06F1E">
              <w:t xml:space="preserve"> </w:t>
            </w:r>
            <w:r w:rsidR="00E21057" w:rsidRPr="00A06F1E">
              <w:t xml:space="preserve">consistently </w:t>
            </w:r>
            <w:r w:rsidR="00D867D7" w:rsidRPr="00A06F1E">
              <w:t xml:space="preserve">highlights </w:t>
            </w:r>
            <w:r w:rsidR="00E21057" w:rsidRPr="00A06F1E">
              <w:t>areas of strength through the evaluation process for teachers and administrators.</w:t>
            </w:r>
          </w:p>
          <w:p w14:paraId="6E5D7E42" w14:textId="57765BA4" w:rsidR="00B827DE" w:rsidRPr="00A06F1E" w:rsidRDefault="005460FF" w:rsidP="002B285E">
            <w:pPr>
              <w:pStyle w:val="TableBullet1"/>
              <w:ind w:left="299" w:hanging="299"/>
              <w:rPr>
                <w:bdr w:val="none" w:sz="0" w:space="0" w:color="auto" w:frame="1"/>
              </w:rPr>
            </w:pPr>
            <w:r w:rsidRPr="00A06F1E">
              <w:t>T</w:t>
            </w:r>
            <w:r w:rsidR="00E21057" w:rsidRPr="00A06F1E">
              <w:t>he district</w:t>
            </w:r>
            <w:r w:rsidR="00040362" w:rsidRPr="00A06F1E">
              <w:t>’</w:t>
            </w:r>
            <w:r w:rsidRPr="00A06F1E">
              <w:t>s</w:t>
            </w:r>
            <w:r w:rsidR="00E21057" w:rsidRPr="00A06F1E">
              <w:t xml:space="preserve"> planned </w:t>
            </w:r>
            <w:r w:rsidR="00D9614B" w:rsidRPr="00A06F1E">
              <w:t xml:space="preserve">professional development </w:t>
            </w:r>
            <w:r w:rsidR="00E21057" w:rsidRPr="00A06F1E">
              <w:t>activities align with its goals for academic rigor, collaboration, and community engagement.</w:t>
            </w:r>
          </w:p>
        </w:tc>
        <w:tc>
          <w:tcPr>
            <w:tcW w:w="2067" w:type="pct"/>
          </w:tcPr>
          <w:p w14:paraId="4D4EBC2A" w14:textId="73972F14" w:rsidR="00B827DE" w:rsidRPr="00A06F1E" w:rsidRDefault="00DB4843" w:rsidP="007D69BA">
            <w:pPr>
              <w:pStyle w:val="TableBullet1"/>
            </w:pPr>
            <w:r w:rsidRPr="00A06F1E">
              <w:t xml:space="preserve">Implementing teacher evaluations </w:t>
            </w:r>
            <w:r w:rsidR="00A86BA5">
              <w:t>in light of previous inconsistent</w:t>
            </w:r>
            <w:r w:rsidR="00A2761E">
              <w:t xml:space="preserve"> evaluation</w:t>
            </w:r>
            <w:r w:rsidRPr="00A06F1E">
              <w:t xml:space="preserve"> practices and resistance to change</w:t>
            </w:r>
          </w:p>
          <w:p w14:paraId="1B8E1290" w14:textId="09F617B7" w:rsidR="005460FF" w:rsidRPr="00A06F1E" w:rsidRDefault="0061748D" w:rsidP="007D69BA">
            <w:pPr>
              <w:pStyle w:val="TableBullet1"/>
            </w:pPr>
            <w:r w:rsidRPr="00A06F1E">
              <w:t>A</w:t>
            </w:r>
            <w:r w:rsidR="005460FF" w:rsidRPr="00A06F1E">
              <w:t>rticulating areas for improvement to support ongoing instructional and professional improvement for teachers</w:t>
            </w:r>
            <w:r w:rsidR="00322855">
              <w:t xml:space="preserve"> and administrators</w:t>
            </w:r>
          </w:p>
          <w:p w14:paraId="13C19D85" w14:textId="4C625C6E" w:rsidR="004C113F" w:rsidRPr="006C69F2" w:rsidRDefault="00072A13" w:rsidP="006C69F2">
            <w:pPr>
              <w:pStyle w:val="TableBullet1"/>
              <w:rPr>
                <w:bdr w:val="none" w:sz="0" w:space="0" w:color="auto" w:frame="1"/>
              </w:rPr>
            </w:pPr>
            <w:r w:rsidRPr="00A06F1E">
              <w:t xml:space="preserve">Expanding mentoring support for new teachers to include </w:t>
            </w:r>
            <w:r w:rsidR="007579AA" w:rsidRPr="00A06F1E">
              <w:t xml:space="preserve">more formal and structured roles for </w:t>
            </w:r>
            <w:r w:rsidRPr="00A06F1E">
              <w:t>elementary school teachers</w:t>
            </w:r>
          </w:p>
        </w:tc>
      </w:tr>
      <w:tr w:rsidR="00B827DE" w:rsidRPr="00A06F1E" w14:paraId="7BA3CD23" w14:textId="77777777" w:rsidTr="004608F7">
        <w:tc>
          <w:tcPr>
            <w:tcW w:w="1055" w:type="pct"/>
          </w:tcPr>
          <w:p w14:paraId="6562F935" w14:textId="61EEDEB3" w:rsidR="00B827DE" w:rsidRPr="00A06F1E" w:rsidRDefault="00000000" w:rsidP="005D13E7">
            <w:pPr>
              <w:pStyle w:val="TableSubheading"/>
              <w:rPr>
                <w:bdr w:val="none" w:sz="0" w:space="0" w:color="auto" w:frame="1"/>
              </w:rPr>
            </w:pPr>
            <w:hyperlink w:anchor="_Recognition,_Leadership_Development" w:history="1">
              <w:r w:rsidR="00B827DE" w:rsidRPr="00A06F1E">
                <w:rPr>
                  <w:rStyle w:val="Hyperlink"/>
                  <w:bdr w:val="none" w:sz="0" w:space="0" w:color="auto" w:frame="1"/>
                </w:rPr>
                <w:t xml:space="preserve">Recognition, </w:t>
              </w:r>
              <w:r w:rsidR="002C6E1C" w:rsidRPr="00A06F1E">
                <w:rPr>
                  <w:rStyle w:val="Hyperlink"/>
                  <w:bdr w:val="none" w:sz="0" w:space="0" w:color="auto" w:frame="1"/>
                </w:rPr>
                <w:t>l</w:t>
              </w:r>
              <w:r w:rsidR="00B827DE" w:rsidRPr="00A06F1E">
                <w:rPr>
                  <w:rStyle w:val="Hyperlink"/>
                  <w:bdr w:val="none" w:sz="0" w:space="0" w:color="auto" w:frame="1"/>
                </w:rPr>
                <w:t xml:space="preserve">eadership </w:t>
              </w:r>
              <w:r w:rsidR="002C6E1C" w:rsidRPr="00A06F1E">
                <w:rPr>
                  <w:rStyle w:val="Hyperlink"/>
                  <w:bdr w:val="none" w:sz="0" w:space="0" w:color="auto" w:frame="1"/>
                </w:rPr>
                <w:t>d</w:t>
              </w:r>
              <w:r w:rsidR="00B827DE" w:rsidRPr="00A06F1E">
                <w:rPr>
                  <w:rStyle w:val="Hyperlink"/>
                  <w:bdr w:val="none" w:sz="0" w:space="0" w:color="auto" w:frame="1"/>
                </w:rPr>
                <w:t xml:space="preserve">evelopment, and </w:t>
              </w:r>
              <w:r w:rsidR="002C6E1C" w:rsidRPr="00A06F1E">
                <w:rPr>
                  <w:rStyle w:val="Hyperlink"/>
                  <w:bdr w:val="none" w:sz="0" w:space="0" w:color="auto" w:frame="1"/>
                </w:rPr>
                <w:t>a</w:t>
              </w:r>
              <w:r w:rsidR="00B827DE" w:rsidRPr="00A06F1E">
                <w:rPr>
                  <w:rStyle w:val="Hyperlink"/>
                  <w:bdr w:val="none" w:sz="0" w:space="0" w:color="auto" w:frame="1"/>
                </w:rPr>
                <w:t>dvancement</w:t>
              </w:r>
            </w:hyperlink>
          </w:p>
        </w:tc>
        <w:tc>
          <w:tcPr>
            <w:tcW w:w="1878" w:type="pct"/>
          </w:tcPr>
          <w:p w14:paraId="20FF6004" w14:textId="22C3A560" w:rsidR="00B827DE" w:rsidRPr="00A06F1E" w:rsidRDefault="001B6290" w:rsidP="002C1C31">
            <w:pPr>
              <w:pStyle w:val="TableBullet1"/>
              <w:ind w:left="332" w:hanging="332"/>
            </w:pPr>
            <w:r w:rsidRPr="00A06F1E">
              <w:t xml:space="preserve">Schools </w:t>
            </w:r>
            <w:r w:rsidR="00785280" w:rsidRPr="00A06F1E">
              <w:t>designate</w:t>
            </w:r>
            <w:r w:rsidRPr="00A06F1E">
              <w:t xml:space="preserve"> department coordinators </w:t>
            </w:r>
            <w:r w:rsidR="00D8475A" w:rsidRPr="00A06F1E">
              <w:t xml:space="preserve">to </w:t>
            </w:r>
            <w:r w:rsidR="382FD01E" w:rsidRPr="00A06F1E">
              <w:t xml:space="preserve">attend leadership meetings and share information </w:t>
            </w:r>
            <w:r w:rsidR="6607DEA3" w:rsidRPr="00A06F1E">
              <w:t xml:space="preserve">with their department colleagues. </w:t>
            </w:r>
          </w:p>
        </w:tc>
        <w:tc>
          <w:tcPr>
            <w:tcW w:w="2067" w:type="pct"/>
          </w:tcPr>
          <w:p w14:paraId="0013334D" w14:textId="6C0EE5D8" w:rsidR="00B827DE" w:rsidRPr="00A06F1E" w:rsidRDefault="00DC3ED1" w:rsidP="007D69BA">
            <w:pPr>
              <w:pStyle w:val="TableBullet1"/>
              <w:rPr>
                <w:bdr w:val="none" w:sz="0" w:space="0" w:color="auto" w:frame="1"/>
              </w:rPr>
            </w:pPr>
            <w:r w:rsidRPr="00A06F1E">
              <w:t>Expanding teachers</w:t>
            </w:r>
            <w:r w:rsidR="00040362" w:rsidRPr="00A06F1E">
              <w:t>’</w:t>
            </w:r>
            <w:r w:rsidRPr="00A06F1E">
              <w:t xml:space="preserve"> </w:t>
            </w:r>
            <w:r w:rsidR="0076230D" w:rsidRPr="00A06F1E">
              <w:t>opportunities to take on leadership roles</w:t>
            </w:r>
          </w:p>
        </w:tc>
      </w:tr>
    </w:tbl>
    <w:p w14:paraId="5601B273" w14:textId="5202C7D4" w:rsidR="00B827DE" w:rsidRPr="00A06F1E" w:rsidRDefault="00B827DE" w:rsidP="00A36E2F">
      <w:pPr>
        <w:pStyle w:val="Heading3"/>
        <w:tabs>
          <w:tab w:val="left" w:pos="2393"/>
        </w:tabs>
      </w:pPr>
      <w:bookmarkStart w:id="53" w:name="_Infrastructure"/>
      <w:bookmarkEnd w:id="53"/>
      <w:r w:rsidRPr="00A06F1E">
        <w:t>Infrastructure</w:t>
      </w:r>
    </w:p>
    <w:p w14:paraId="02AA6234" w14:textId="06F063EE" w:rsidR="00C64B4E" w:rsidRPr="00A06F1E" w:rsidRDefault="00C64B4E" w:rsidP="004608F7">
      <w:pPr>
        <w:pStyle w:val="BodyTextposthead"/>
      </w:pPr>
      <w:r w:rsidRPr="00A06F1E">
        <w:t xml:space="preserve">The </w:t>
      </w:r>
      <w:r w:rsidR="00D9614B" w:rsidRPr="00A06F1E">
        <w:rPr>
          <w:spacing w:val="-2"/>
        </w:rPr>
        <w:t>human resources</w:t>
      </w:r>
      <w:r w:rsidRPr="00A06F1E">
        <w:t xml:space="preserve"> department </w:t>
      </w:r>
      <w:r w:rsidR="00950BD7" w:rsidRPr="00A06F1E">
        <w:t>in</w:t>
      </w:r>
      <w:r w:rsidRPr="00A06F1E">
        <w:t xml:space="preserve"> </w:t>
      </w:r>
      <w:r w:rsidR="000D6A8E">
        <w:t>RCM &amp; SU 73</w:t>
      </w:r>
      <w:r w:rsidRPr="00A06F1E">
        <w:t xml:space="preserve"> is overseen by a </w:t>
      </w:r>
      <w:r w:rsidR="00D9614B" w:rsidRPr="00A06F1E">
        <w:rPr>
          <w:spacing w:val="-2"/>
        </w:rPr>
        <w:t>human resources</w:t>
      </w:r>
      <w:r w:rsidRPr="00A06F1E">
        <w:t xml:space="preserve"> </w:t>
      </w:r>
      <w:r w:rsidR="0032284A" w:rsidRPr="00A06F1E">
        <w:t>s</w:t>
      </w:r>
      <w:r w:rsidRPr="00A06F1E">
        <w:t>pecialist, who has been with the district since 2011. Initially, her role focused on Mahar</w:t>
      </w:r>
      <w:r w:rsidR="001E3649" w:rsidRPr="00A06F1E">
        <w:t xml:space="preserve"> Regional</w:t>
      </w:r>
      <w:r w:rsidRPr="00A06F1E">
        <w:t xml:space="preserve">, but it </w:t>
      </w:r>
      <w:r w:rsidR="001E3649" w:rsidRPr="00A06F1E">
        <w:t xml:space="preserve">has since </w:t>
      </w:r>
      <w:r w:rsidRPr="00A06F1E">
        <w:t xml:space="preserve">expanded to include </w:t>
      </w:r>
      <w:r w:rsidR="00CF4F71">
        <w:t>Fisher Hill</w:t>
      </w:r>
      <w:r w:rsidR="002A7787" w:rsidRPr="00A06F1E">
        <w:t xml:space="preserve"> </w:t>
      </w:r>
      <w:r w:rsidRPr="00A06F1E">
        <w:t xml:space="preserve">and </w:t>
      </w:r>
      <w:proofErr w:type="spellStart"/>
      <w:r w:rsidR="00652B48">
        <w:t>Petersham</w:t>
      </w:r>
      <w:proofErr w:type="spellEnd"/>
      <w:r w:rsidR="00652B48">
        <w:t xml:space="preserve"> Center</w:t>
      </w:r>
      <w:r w:rsidRPr="00A06F1E">
        <w:t xml:space="preserve">. </w:t>
      </w:r>
      <w:r w:rsidR="005E5862" w:rsidRPr="00A06F1E">
        <w:t>S</w:t>
      </w:r>
      <w:r w:rsidRPr="00A06F1E">
        <w:t>he manages the entire payroll process</w:t>
      </w:r>
      <w:r w:rsidR="005E5862" w:rsidRPr="00A06F1E">
        <w:t xml:space="preserve"> for Mahar</w:t>
      </w:r>
      <w:r w:rsidR="00947F78" w:rsidRPr="00A06F1E">
        <w:t xml:space="preserve"> Regional school and district as well as the </w:t>
      </w:r>
      <w:r w:rsidR="000D6A8E">
        <w:t>RCM &amp; SU 73</w:t>
      </w:r>
      <w:r w:rsidR="00947F78" w:rsidRPr="00A06F1E">
        <w:t xml:space="preserve"> central office</w:t>
      </w:r>
      <w:r w:rsidRPr="00A06F1E">
        <w:t>.</w:t>
      </w:r>
      <w:r w:rsidR="00F9171C" w:rsidRPr="00A06F1E">
        <w:t xml:space="preserve"> H</w:t>
      </w:r>
      <w:r w:rsidRPr="00A06F1E">
        <w:t>owever</w:t>
      </w:r>
      <w:r w:rsidR="00F9171C" w:rsidRPr="00A06F1E">
        <w:t xml:space="preserve">, </w:t>
      </w:r>
      <w:r w:rsidR="0020449C">
        <w:t xml:space="preserve">for </w:t>
      </w:r>
      <w:r w:rsidR="00CF4F71">
        <w:t>Fisher Hill</w:t>
      </w:r>
      <w:r w:rsidR="0020449C">
        <w:t xml:space="preserve"> and </w:t>
      </w:r>
      <w:proofErr w:type="spellStart"/>
      <w:r w:rsidR="00652B48">
        <w:t>Petersham</w:t>
      </w:r>
      <w:proofErr w:type="spellEnd"/>
      <w:r w:rsidR="00652B48">
        <w:t xml:space="preserve"> Center</w:t>
      </w:r>
      <w:r w:rsidR="0020449C">
        <w:t xml:space="preserve">, </w:t>
      </w:r>
      <w:r w:rsidR="00F9171C" w:rsidRPr="00A06F1E">
        <w:t xml:space="preserve">the </w:t>
      </w:r>
      <w:r w:rsidR="00D9614B" w:rsidRPr="00A06F1E">
        <w:rPr>
          <w:spacing w:val="-2"/>
        </w:rPr>
        <w:t>human resources</w:t>
      </w:r>
      <w:r w:rsidR="00F9171C" w:rsidRPr="00A06F1E">
        <w:t xml:space="preserve"> specialist </w:t>
      </w:r>
      <w:r w:rsidR="0020449C">
        <w:t xml:space="preserve">only </w:t>
      </w:r>
      <w:r w:rsidR="00112F9B" w:rsidRPr="00A06F1E">
        <w:t xml:space="preserve">manages </w:t>
      </w:r>
      <w:r w:rsidR="0020449C">
        <w:t>payroll</w:t>
      </w:r>
      <w:r w:rsidR="00035E13" w:rsidRPr="00A06F1E">
        <w:t>,</w:t>
      </w:r>
      <w:r w:rsidR="004120B7" w:rsidRPr="00A06F1E">
        <w:t xml:space="preserve"> </w:t>
      </w:r>
      <w:r w:rsidR="007231B0" w:rsidRPr="00A06F1E">
        <w:t>whereas</w:t>
      </w:r>
      <w:r w:rsidRPr="00A06F1E">
        <w:t xml:space="preserve"> </w:t>
      </w:r>
      <w:r w:rsidR="00035E13" w:rsidRPr="00A06F1E">
        <w:t xml:space="preserve">each </w:t>
      </w:r>
      <w:r w:rsidRPr="00A06F1E">
        <w:t>town handle</w:t>
      </w:r>
      <w:r w:rsidR="007231B0" w:rsidRPr="00A06F1E">
        <w:t>s</w:t>
      </w:r>
      <w:r w:rsidRPr="00A06F1E">
        <w:t xml:space="preserve"> </w:t>
      </w:r>
      <w:r w:rsidR="00886691">
        <w:t>its</w:t>
      </w:r>
      <w:r w:rsidR="0020449C">
        <w:t xml:space="preserve"> </w:t>
      </w:r>
      <w:r w:rsidRPr="00A06F1E">
        <w:t xml:space="preserve">deductions and benefits. The </w:t>
      </w:r>
      <w:r w:rsidR="00D9614B" w:rsidRPr="00A06F1E">
        <w:rPr>
          <w:spacing w:val="-2"/>
        </w:rPr>
        <w:t>human resources</w:t>
      </w:r>
      <w:r w:rsidRPr="00A06F1E">
        <w:t xml:space="preserve"> </w:t>
      </w:r>
      <w:r w:rsidR="007231B0" w:rsidRPr="00A06F1E">
        <w:t>s</w:t>
      </w:r>
      <w:r w:rsidRPr="00A06F1E">
        <w:t xml:space="preserve">pecialist works closely with the central office staff and is responsible for other </w:t>
      </w:r>
      <w:r w:rsidR="00D9614B" w:rsidRPr="00A06F1E">
        <w:rPr>
          <w:spacing w:val="-2"/>
        </w:rPr>
        <w:t>human resources</w:t>
      </w:r>
      <w:r w:rsidRPr="00A06F1E">
        <w:t xml:space="preserve"> functions, such as</w:t>
      </w:r>
      <w:r w:rsidR="00682594" w:rsidRPr="00A06F1E">
        <w:t xml:space="preserve"> supporting </w:t>
      </w:r>
      <w:r w:rsidR="00A04AE1" w:rsidRPr="00A06F1E">
        <w:t xml:space="preserve">principals </w:t>
      </w:r>
      <w:r w:rsidR="00F85699" w:rsidRPr="00A06F1E">
        <w:t xml:space="preserve">across all three districts </w:t>
      </w:r>
      <w:r w:rsidR="00A04AE1" w:rsidRPr="00A06F1E">
        <w:t>in</w:t>
      </w:r>
      <w:r w:rsidRPr="00A06F1E">
        <w:t xml:space="preserve"> recruiting and hiring staff.</w:t>
      </w:r>
    </w:p>
    <w:p w14:paraId="2B6CE36D" w14:textId="701AE73D" w:rsidR="007231B0" w:rsidRPr="00E45CA4" w:rsidRDefault="009A47F7" w:rsidP="004608F7">
      <w:pPr>
        <w:pStyle w:val="BodyText"/>
      </w:pPr>
      <w:r>
        <w:t xml:space="preserve">The superintendency union is working to </w:t>
      </w:r>
      <w:r w:rsidR="00C64B4E" w:rsidRPr="00E45CA4">
        <w:t xml:space="preserve">transition from physical files to an electronic system. </w:t>
      </w:r>
      <w:r w:rsidR="00336F4E" w:rsidRPr="00E45CA4">
        <w:t>A district respondent</w:t>
      </w:r>
      <w:r w:rsidR="00C64B4E" w:rsidRPr="00E45CA4">
        <w:t xml:space="preserve"> explained that </w:t>
      </w:r>
      <w:r w:rsidR="000D6A8E">
        <w:t>RCM &amp; SU 73</w:t>
      </w:r>
      <w:r w:rsidR="004653A9" w:rsidRPr="00E45CA4">
        <w:t xml:space="preserve"> </w:t>
      </w:r>
      <w:r w:rsidR="00C64B4E" w:rsidRPr="00E45CA4">
        <w:t>primarily maintain</w:t>
      </w:r>
      <w:r w:rsidR="004653A9">
        <w:t>s</w:t>
      </w:r>
      <w:r w:rsidR="00C64B4E" w:rsidRPr="00E45CA4">
        <w:t xml:space="preserve"> employment </w:t>
      </w:r>
      <w:r w:rsidR="00E74F13" w:rsidRPr="00E45CA4">
        <w:t xml:space="preserve">records </w:t>
      </w:r>
      <w:r w:rsidR="00C64B4E" w:rsidRPr="00E45CA4">
        <w:t>in physical personnel files and use</w:t>
      </w:r>
      <w:r w:rsidR="000C0A21">
        <w:t>s</w:t>
      </w:r>
      <w:r w:rsidR="00C64B4E" w:rsidRPr="00E45CA4">
        <w:t xml:space="preserve"> spreadsheets to track license expirations, new hires, and staffing shifts</w:t>
      </w:r>
      <w:r w:rsidR="001132BC">
        <w:t>, but</w:t>
      </w:r>
      <w:r w:rsidR="005D4B3F" w:rsidRPr="00E45CA4">
        <w:t xml:space="preserve"> is </w:t>
      </w:r>
      <w:r w:rsidR="00D12656" w:rsidRPr="00E45CA4">
        <w:t>currently</w:t>
      </w:r>
      <w:r w:rsidR="005D4B3F" w:rsidRPr="00E45CA4">
        <w:t xml:space="preserve"> transitioning to an electronic system</w:t>
      </w:r>
      <w:r w:rsidR="00C64B4E" w:rsidRPr="00E45CA4">
        <w:t>:</w:t>
      </w:r>
    </w:p>
    <w:p w14:paraId="4ED1D481" w14:textId="1D0CAB54" w:rsidR="007231B0" w:rsidRPr="00E45CA4" w:rsidRDefault="00C64B4E" w:rsidP="003313FB">
      <w:pPr>
        <w:pStyle w:val="BlockQuote"/>
      </w:pPr>
      <w:r w:rsidRPr="00E45CA4">
        <w:t>We have</w:t>
      </w:r>
      <w:r w:rsidR="003313FB" w:rsidRPr="00E45CA4">
        <w:t> . . .</w:t>
      </w:r>
      <w:r w:rsidRPr="00E45CA4">
        <w:t xml:space="preserve"> a folder just like this</w:t>
      </w:r>
      <w:r w:rsidR="005D4B3F" w:rsidRPr="00E45CA4">
        <w:t xml:space="preserve"> [referring to a manila folder</w:t>
      </w:r>
      <w:r w:rsidR="00F571CC" w:rsidRPr="00E45CA4">
        <w:t xml:space="preserve"> in the office]</w:t>
      </w:r>
      <w:r w:rsidRPr="00E45CA4">
        <w:t xml:space="preserve"> for each person that works here</w:t>
      </w:r>
      <w:r w:rsidR="008F3923" w:rsidRPr="00E45CA4">
        <w:t>. . . .</w:t>
      </w:r>
      <w:r w:rsidRPr="00E45CA4">
        <w:t xml:space="preserve"> We</w:t>
      </w:r>
      <w:r w:rsidR="00040362" w:rsidRPr="00E45CA4">
        <w:t>’</w:t>
      </w:r>
      <w:r w:rsidRPr="00E45CA4">
        <w:t xml:space="preserve">re not electronic. We have a spreadsheet of when licenses expire </w:t>
      </w:r>
      <w:r w:rsidRPr="00E45CA4">
        <w:lastRenderedPageBreak/>
        <w:t>and need to be renewed, and we have a new hire and shift spreadsheet that all the principals and directors have access to.</w:t>
      </w:r>
    </w:p>
    <w:p w14:paraId="748A7FD5" w14:textId="0F860DAC" w:rsidR="006C1DC9" w:rsidRPr="00E45CA4" w:rsidRDefault="00C64B4E" w:rsidP="004608F7">
      <w:pPr>
        <w:pStyle w:val="BodyText"/>
      </w:pPr>
      <w:r w:rsidRPr="00E45CA4">
        <w:t xml:space="preserve">Nevertheless, </w:t>
      </w:r>
      <w:r w:rsidR="001028AE" w:rsidRPr="00E45CA4">
        <w:t>a district respondent</w:t>
      </w:r>
      <w:r w:rsidRPr="00E45CA4">
        <w:rPr>
          <w:color w:val="FF0000"/>
        </w:rPr>
        <w:t xml:space="preserve"> </w:t>
      </w:r>
      <w:r w:rsidRPr="00E45CA4">
        <w:t>mentioned that</w:t>
      </w:r>
      <w:r w:rsidR="00F679E1" w:rsidRPr="00E45CA4">
        <w:t xml:space="preserve"> </w:t>
      </w:r>
      <w:r w:rsidRPr="00E45CA4">
        <w:t xml:space="preserve">they are </w:t>
      </w:r>
      <w:r w:rsidR="00D12656" w:rsidRPr="00E45CA4">
        <w:t>currently</w:t>
      </w:r>
      <w:r w:rsidRPr="00E45CA4">
        <w:t xml:space="preserve"> transitioning to an electronic system:</w:t>
      </w:r>
    </w:p>
    <w:p w14:paraId="7C841E44" w14:textId="64A5E069" w:rsidR="00C64B4E" w:rsidRPr="00E45CA4" w:rsidRDefault="00C64B4E" w:rsidP="004608F7">
      <w:pPr>
        <w:pStyle w:val="BlockQuote"/>
      </w:pPr>
      <w:r w:rsidRPr="00E45CA4">
        <w:t>We</w:t>
      </w:r>
      <w:r w:rsidR="00040362" w:rsidRPr="00E45CA4">
        <w:t>’</w:t>
      </w:r>
      <w:r w:rsidRPr="00E45CA4">
        <w:t xml:space="preserve">re in the process of merging [personnel files] over into </w:t>
      </w:r>
      <w:r w:rsidR="00493535">
        <w:t>[a digital platform developed by the company]</w:t>
      </w:r>
      <w:r w:rsidRPr="00E45CA4">
        <w:t xml:space="preserve"> </w:t>
      </w:r>
      <w:r w:rsidR="427E43B0">
        <w:t>Open Architects</w:t>
      </w:r>
      <w:r>
        <w:t>.</w:t>
      </w:r>
      <w:r w:rsidRPr="00E45CA4">
        <w:t xml:space="preserve"> Because some of that information is in </w:t>
      </w:r>
      <w:r w:rsidR="23ACB288" w:rsidRPr="00E45CA4">
        <w:t>Power</w:t>
      </w:r>
      <w:r w:rsidR="0D0AE76A" w:rsidRPr="00E45CA4">
        <w:t>School</w:t>
      </w:r>
      <w:r w:rsidRPr="00E45CA4">
        <w:t>. We</w:t>
      </w:r>
      <w:r w:rsidR="00040362" w:rsidRPr="00E45CA4">
        <w:t>’</w:t>
      </w:r>
      <w:r w:rsidRPr="00E45CA4">
        <w:t xml:space="preserve">ve </w:t>
      </w:r>
      <w:r w:rsidR="00D230C3">
        <w:t xml:space="preserve">[also] </w:t>
      </w:r>
      <w:r w:rsidRPr="00E45CA4">
        <w:t>got a bit in TeachPoint</w:t>
      </w:r>
      <w:r w:rsidR="008133A6" w:rsidRPr="00E45CA4">
        <w:t>.</w:t>
      </w:r>
      <w:r w:rsidR="4E057C78" w:rsidRPr="00E45CA4">
        <w:t xml:space="preserve"> </w:t>
      </w:r>
      <w:r w:rsidRPr="00E45CA4">
        <w:t xml:space="preserve">If you look at </w:t>
      </w:r>
      <w:r w:rsidR="00930CD3">
        <w:t>[the new platform]</w:t>
      </w:r>
      <w:r w:rsidRPr="00E45CA4">
        <w:t xml:space="preserve"> now, we have a teacher licensure dashboard, but we</w:t>
      </w:r>
      <w:r w:rsidR="00040362" w:rsidRPr="00E45CA4">
        <w:t>’</w:t>
      </w:r>
      <w:r w:rsidRPr="00E45CA4">
        <w:t>re trying to perfect that one</w:t>
      </w:r>
      <w:r w:rsidR="008133A6" w:rsidRPr="00E45CA4">
        <w:t xml:space="preserve"> . . . </w:t>
      </w:r>
      <w:r w:rsidRPr="00E45CA4">
        <w:t xml:space="preserve">but moving forward from paper to electronic is going to be a </w:t>
      </w:r>
      <w:r w:rsidR="0094660D">
        <w:t>multi-year</w:t>
      </w:r>
      <w:r w:rsidR="0094660D" w:rsidRPr="00E45CA4">
        <w:t xml:space="preserve"> </w:t>
      </w:r>
      <w:r w:rsidRPr="00E45CA4">
        <w:t>process.</w:t>
      </w:r>
    </w:p>
    <w:p w14:paraId="10D835C6" w14:textId="7D691E08" w:rsidR="00D30713" w:rsidRDefault="00D30713" w:rsidP="004608F7">
      <w:pPr>
        <w:pStyle w:val="BodyText"/>
      </w:pPr>
      <w:r>
        <w:t>This transition will</w:t>
      </w:r>
      <w:r w:rsidR="00911B14">
        <w:t xml:space="preserve"> hopefully result in fewer inefficiencies </w:t>
      </w:r>
      <w:r w:rsidR="00A0279F">
        <w:t xml:space="preserve">and </w:t>
      </w:r>
      <w:r w:rsidR="00931972">
        <w:t>combine various systems and otherwise disconnected data points</w:t>
      </w:r>
      <w:r w:rsidR="00132709">
        <w:t xml:space="preserve">. </w:t>
      </w:r>
    </w:p>
    <w:p w14:paraId="69941EEE" w14:textId="75987AFF" w:rsidR="00CD0DD0" w:rsidRDefault="00C64B4E" w:rsidP="004608F7">
      <w:pPr>
        <w:pStyle w:val="BodyText"/>
      </w:pPr>
      <w:r w:rsidRPr="00E45CA4">
        <w:t xml:space="preserve">The </w:t>
      </w:r>
      <w:r w:rsidR="00D9614B" w:rsidRPr="00E45CA4">
        <w:rPr>
          <w:spacing w:val="-2"/>
        </w:rPr>
        <w:t>human resources</w:t>
      </w:r>
      <w:r w:rsidRPr="00E45CA4">
        <w:t xml:space="preserve"> </w:t>
      </w:r>
      <w:r w:rsidR="00AD76E5" w:rsidRPr="00E45CA4">
        <w:t>s</w:t>
      </w:r>
      <w:r w:rsidRPr="00E45CA4">
        <w:t xml:space="preserve">pecialist prepares </w:t>
      </w:r>
      <w:r w:rsidR="00BF5EEC" w:rsidRPr="00E45CA4">
        <w:t xml:space="preserve">regular, </w:t>
      </w:r>
      <w:r w:rsidRPr="00E45CA4">
        <w:t xml:space="preserve">detailed reports that help identify staffing trends and turnover. The </w:t>
      </w:r>
      <w:r w:rsidR="00D9614B" w:rsidRPr="00E45CA4">
        <w:rPr>
          <w:spacing w:val="-2"/>
        </w:rPr>
        <w:t>human resources</w:t>
      </w:r>
      <w:r w:rsidRPr="00E45CA4">
        <w:t xml:space="preserve"> </w:t>
      </w:r>
      <w:r w:rsidR="00AD76E5" w:rsidRPr="00E45CA4">
        <w:t>s</w:t>
      </w:r>
      <w:r w:rsidRPr="00E45CA4">
        <w:t>pecialist prepares three separate monthly staffing reports for Mahar</w:t>
      </w:r>
      <w:r w:rsidR="00404DB9" w:rsidRPr="00A06F1E">
        <w:t xml:space="preserve"> Regional</w:t>
      </w:r>
      <w:r w:rsidRPr="00A06F1E">
        <w:t xml:space="preserve">, </w:t>
      </w:r>
      <w:r w:rsidR="00CF4F71">
        <w:t>Fisher Hill</w:t>
      </w:r>
      <w:r w:rsidRPr="00A06F1E">
        <w:t xml:space="preserve">, and </w:t>
      </w:r>
      <w:proofErr w:type="spellStart"/>
      <w:r w:rsidR="00652B48">
        <w:t>Petersham</w:t>
      </w:r>
      <w:proofErr w:type="spellEnd"/>
      <w:r w:rsidR="00652B48">
        <w:t xml:space="preserve"> Center</w:t>
      </w:r>
      <w:r w:rsidRPr="00A06F1E">
        <w:t xml:space="preserve">. These reports display staffing changes, vacant positions, the total number of full-time employees (FTEs) each month, the number of teachers and nonteachers who are FTEs, as well as grant-paid FTEs. </w:t>
      </w:r>
      <w:r w:rsidR="00806C3E" w:rsidRPr="00A06F1E">
        <w:t>A district staff</w:t>
      </w:r>
      <w:r w:rsidR="52FDAE26" w:rsidRPr="00A06F1E">
        <w:t xml:space="preserve"> member</w:t>
      </w:r>
      <w:r w:rsidRPr="00A06F1E">
        <w:t xml:space="preserve"> said, </w:t>
      </w:r>
      <w:r w:rsidR="00040362" w:rsidRPr="00A06F1E">
        <w:t>“</w:t>
      </w:r>
      <w:r w:rsidRPr="00A06F1E">
        <w:t xml:space="preserve">The [staffing report] helps </w:t>
      </w:r>
      <w:r w:rsidR="002D1D86" w:rsidRPr="00A06F1E">
        <w:t>[</w:t>
      </w:r>
      <w:r w:rsidR="000D6A8E">
        <w:t>RCM &amp; SU 73</w:t>
      </w:r>
      <w:r w:rsidR="002D1D86" w:rsidRPr="00A06F1E">
        <w:t>]</w:t>
      </w:r>
      <w:r w:rsidRPr="00A06F1E">
        <w:t xml:space="preserve"> identify trends such as why there was a high turnover in a particular department, or why someone joined and left quickly.</w:t>
      </w:r>
      <w:r w:rsidR="00040362" w:rsidRPr="00A06F1E">
        <w:t>”</w:t>
      </w:r>
      <w:r w:rsidRPr="00A06F1E">
        <w:t xml:space="preserve"> Staffing reports undergo an initial review by the Resources and Capacity </w:t>
      </w:r>
      <w:r w:rsidR="00EF38FF" w:rsidRPr="00A06F1E">
        <w:t>s</w:t>
      </w:r>
      <w:r w:rsidRPr="00A06F1E">
        <w:t>ubcommittee and are then presented separately to the three school committees.</w:t>
      </w:r>
      <w:r w:rsidR="00E352BB">
        <w:t xml:space="preserve"> Combined with school-level information, this tracking of staffing trends and turnover is a strength of the district. </w:t>
      </w:r>
    </w:p>
    <w:p w14:paraId="486FA845" w14:textId="242DFA55" w:rsidR="00B827DE" w:rsidRPr="00A06F1E" w:rsidRDefault="00B827DE" w:rsidP="00B827DE">
      <w:pPr>
        <w:pStyle w:val="Heading3"/>
      </w:pPr>
      <w:r w:rsidRPr="00A06F1E">
        <w:t>Recruitment, Hiring, and Assignment</w:t>
      </w:r>
    </w:p>
    <w:p w14:paraId="72471645" w14:textId="00F1F02C" w:rsidR="00FE1F14" w:rsidRPr="00E45CA4" w:rsidRDefault="00FE1F14" w:rsidP="004608F7">
      <w:pPr>
        <w:pStyle w:val="BodyTextposthead"/>
      </w:pPr>
      <w:r w:rsidRPr="00E45CA4">
        <w:t xml:space="preserve">The recruitment and hiring process at </w:t>
      </w:r>
      <w:r w:rsidR="000D6A8E">
        <w:t>RCM &amp; SU 73</w:t>
      </w:r>
      <w:r w:rsidRPr="00E45CA4">
        <w:t xml:space="preserve"> is a strength because it involves active engagement from </w:t>
      </w:r>
      <w:r w:rsidR="00557093">
        <w:t>a variety of</w:t>
      </w:r>
      <w:r w:rsidRPr="00E45CA4">
        <w:t xml:space="preserve"> key stakeholders, </w:t>
      </w:r>
      <w:r w:rsidR="00557093" w:rsidRPr="00E45CA4">
        <w:t>making it a collaborative process</w:t>
      </w:r>
      <w:r w:rsidR="007C059D">
        <w:t xml:space="preserve">. </w:t>
      </w:r>
      <w:r w:rsidR="00E737E6">
        <w:t>The interview process</w:t>
      </w:r>
      <w:r w:rsidRPr="00E45CA4">
        <w:t xml:space="preserve"> includ</w:t>
      </w:r>
      <w:r w:rsidR="00E737E6">
        <w:t>es</w:t>
      </w:r>
      <w:r w:rsidRPr="00E45CA4">
        <w:t xml:space="preserve"> the superintendent, </w:t>
      </w:r>
      <w:r w:rsidR="00D9614B" w:rsidRPr="00E45CA4">
        <w:rPr>
          <w:spacing w:val="-2"/>
        </w:rPr>
        <w:t>human resources</w:t>
      </w:r>
      <w:r w:rsidRPr="00E45CA4">
        <w:t xml:space="preserve"> specialist, principals, and interview teams composed of teachers, staff, and parents or family members. School administrators noted that the process of identifying staffing needs begins with them. </w:t>
      </w:r>
      <w:r w:rsidR="001D29CE" w:rsidRPr="00E45CA4">
        <w:t xml:space="preserve">With support </w:t>
      </w:r>
      <w:r w:rsidR="00841524" w:rsidRPr="00E45CA4">
        <w:t xml:space="preserve">from the </w:t>
      </w:r>
      <w:r w:rsidR="00D9614B" w:rsidRPr="00E45CA4">
        <w:rPr>
          <w:spacing w:val="-2"/>
        </w:rPr>
        <w:t>human resources</w:t>
      </w:r>
      <w:r w:rsidR="00841524" w:rsidRPr="00E45CA4">
        <w:t xml:space="preserve"> </w:t>
      </w:r>
      <w:r w:rsidR="00EE0856" w:rsidRPr="00E45CA4">
        <w:t>d</w:t>
      </w:r>
      <w:r w:rsidR="00841524" w:rsidRPr="00E45CA4">
        <w:t xml:space="preserve">epartment, school leaders </w:t>
      </w:r>
      <w:r w:rsidRPr="00E45CA4">
        <w:t xml:space="preserve">monitor resignations, retirements, and budget allocations to determine vacancies. They initiate the process by posting job openings internally, adhering to union contract </w:t>
      </w:r>
      <w:r w:rsidR="00E24ABB" w:rsidRPr="00E45CA4">
        <w:t>guidelines</w:t>
      </w:r>
      <w:r w:rsidRPr="00E45CA4">
        <w:t>, and then externally on SchoolSpring</w:t>
      </w:r>
      <w:r w:rsidR="03AC12FE" w:rsidRPr="00E45CA4">
        <w:t xml:space="preserve"> </w:t>
      </w:r>
      <w:r w:rsidRPr="00E45CA4">
        <w:t>to reach a broader candidate pool. The principals lead the initial stages of candidate selection, forming committees of teachers and staff to ensure a comprehensive evaluation of each candidate. They review applications, conduct preliminary interviews, and shortlist candidates based on their qualifications and fit for the school</w:t>
      </w:r>
      <w:r w:rsidR="00040362" w:rsidRPr="00E45CA4">
        <w:t>’</w:t>
      </w:r>
      <w:r w:rsidRPr="00E45CA4">
        <w:t>s culture.</w:t>
      </w:r>
    </w:p>
    <w:p w14:paraId="5534635D" w14:textId="3BC12006" w:rsidR="005C22F9" w:rsidRDefault="00FE1F14" w:rsidP="004608F7">
      <w:pPr>
        <w:pStyle w:val="BodyText"/>
      </w:pPr>
      <w:r w:rsidRPr="00E45CA4">
        <w:t xml:space="preserve">The </w:t>
      </w:r>
      <w:r w:rsidR="00D9614B" w:rsidRPr="00E45CA4">
        <w:rPr>
          <w:spacing w:val="-2"/>
        </w:rPr>
        <w:t>human resources</w:t>
      </w:r>
      <w:r w:rsidRPr="00E45CA4">
        <w:t xml:space="preserve"> </w:t>
      </w:r>
      <w:r w:rsidR="00BB130F" w:rsidRPr="00E45CA4">
        <w:t>s</w:t>
      </w:r>
      <w:r w:rsidRPr="00E45CA4">
        <w:t xml:space="preserve">pecialist plays a role in managing the administrative aspects of the hiring process, ensuring that all procedures comply with </w:t>
      </w:r>
      <w:r w:rsidR="00EE552A" w:rsidRPr="00E45CA4">
        <w:t xml:space="preserve">all of the </w:t>
      </w:r>
      <w:r w:rsidRPr="00E45CA4">
        <w:t>district</w:t>
      </w:r>
      <w:r w:rsidR="00EE552A" w:rsidRPr="00E45CA4">
        <w:t>s</w:t>
      </w:r>
      <w:r w:rsidR="00040362" w:rsidRPr="00E45CA4">
        <w:t>’</w:t>
      </w:r>
      <w:r w:rsidRPr="00E45CA4">
        <w:t xml:space="preserve"> policies and state regulations. </w:t>
      </w:r>
      <w:r w:rsidR="00247D0E" w:rsidRPr="00E45CA4">
        <w:t xml:space="preserve">A district respondent described the hiring process within </w:t>
      </w:r>
      <w:r w:rsidR="000D6A8E">
        <w:t>RCM &amp; SU 73</w:t>
      </w:r>
      <w:r w:rsidR="00247D0E" w:rsidRPr="00E45CA4">
        <w:t>, explaining that principals or directors make initial hiring decisions and sometimes involve committees</w:t>
      </w:r>
      <w:r w:rsidR="7022A883" w:rsidRPr="00E45CA4">
        <w:t>,</w:t>
      </w:r>
      <w:r w:rsidR="00EE552A" w:rsidRPr="00E45CA4">
        <w:t xml:space="preserve"> </w:t>
      </w:r>
      <w:r w:rsidR="00247D0E" w:rsidRPr="00E45CA4">
        <w:t>based on the</w:t>
      </w:r>
      <w:r w:rsidR="00AC3C7B" w:rsidRPr="00E45CA4">
        <w:t>ir</w:t>
      </w:r>
      <w:r w:rsidR="00247D0E" w:rsidRPr="00E45CA4">
        <w:t xml:space="preserve"> roles. </w:t>
      </w:r>
      <w:r w:rsidR="0016574D" w:rsidRPr="00E45CA4">
        <w:t>When</w:t>
      </w:r>
      <w:r w:rsidR="00247D0E" w:rsidRPr="00E45CA4">
        <w:t xml:space="preserve"> a candidate is recommended, paperwork is sent to the superintendent</w:t>
      </w:r>
      <w:r w:rsidR="00040362" w:rsidRPr="00E45CA4">
        <w:t>’</w:t>
      </w:r>
      <w:r w:rsidR="00247D0E" w:rsidRPr="00E45CA4">
        <w:t>s administrative assistant, who then schedules a final interview with the superintendent.</w:t>
      </w:r>
    </w:p>
    <w:p w14:paraId="4049284D" w14:textId="3A52C6BA" w:rsidR="00373A3C" w:rsidRPr="00A06F1E" w:rsidRDefault="00373A3C" w:rsidP="00373A3C">
      <w:pPr>
        <w:pStyle w:val="BodyText"/>
        <w:rPr>
          <w:rStyle w:val="CommentReference"/>
          <w:sz w:val="22"/>
          <w:szCs w:val="22"/>
        </w:rPr>
      </w:pPr>
      <w:r w:rsidRPr="00A06F1E">
        <w:lastRenderedPageBreak/>
        <w:t xml:space="preserve">A review of school committee meeting minutes reveals discussions related to significant staffing challenges, including a teacher shortage across Massachusetts that is impacting the district. According to the documents, schools have been realigning assignments to manage these shortages and vacancies. </w:t>
      </w:r>
      <w:r w:rsidR="003200B5" w:rsidRPr="00A06F1E">
        <w:t>A</w:t>
      </w:r>
      <w:r w:rsidRPr="00A06F1E">
        <w:t xml:space="preserve"> </w:t>
      </w:r>
      <w:r w:rsidR="00CF4F71">
        <w:t>Fisher Hill</w:t>
      </w:r>
      <w:r w:rsidRPr="00A06F1E">
        <w:t xml:space="preserve"> school committee member referred to these reports during the school committee meeting and noted that despite recent high staff turnover, significant progress has been made in staffing. Most vacancies have been successfully filled, with only a few positions remaining open. In addition, long-term substitutes have been brought in to provide further support.</w:t>
      </w:r>
    </w:p>
    <w:p w14:paraId="36DF7B51" w14:textId="455F6353" w:rsidR="00FE1F14" w:rsidRPr="00E45CA4" w:rsidRDefault="00FE1F14" w:rsidP="004608F7">
      <w:pPr>
        <w:pStyle w:val="BodyText"/>
      </w:pPr>
      <w:r w:rsidRPr="00E45CA4">
        <w:t xml:space="preserve">The </w:t>
      </w:r>
      <w:r w:rsidR="00D9614B" w:rsidRPr="00E45CA4">
        <w:rPr>
          <w:spacing w:val="-2"/>
        </w:rPr>
        <w:t>human resources</w:t>
      </w:r>
      <w:r w:rsidRPr="00E45CA4">
        <w:t xml:space="preserve"> </w:t>
      </w:r>
      <w:r w:rsidR="00A3655D" w:rsidRPr="00E45CA4">
        <w:t>s</w:t>
      </w:r>
      <w:r w:rsidRPr="00E45CA4">
        <w:t xml:space="preserve">pecialist conducts reference checks, ensures </w:t>
      </w:r>
      <w:r w:rsidR="00A3655D" w:rsidRPr="00E45CA4">
        <w:t xml:space="preserve">that </w:t>
      </w:r>
      <w:r w:rsidRPr="00E45CA4">
        <w:t>all necessary documentation is complete—from application materials to new hire paperwork—and oversees the onboarding process. This includes coordinating with various departments, such as technology and facilities, to prepare for the new employee</w:t>
      </w:r>
      <w:r w:rsidR="00040362" w:rsidRPr="00E45CA4">
        <w:t>’</w:t>
      </w:r>
      <w:r w:rsidRPr="00E45CA4">
        <w:t>s arrival, managing benefits enrollment, and providing essential information about district policies and procedures to facilitate a smooth transition for new hires</w:t>
      </w:r>
      <w:r w:rsidRPr="00E45CA4">
        <w:rPr>
          <w:rFonts w:ascii="Arial" w:hAnsi="Arial" w:cs="Arial"/>
        </w:rPr>
        <w:t>​​</w:t>
      </w:r>
      <w:r w:rsidRPr="00E45CA4">
        <w:t>.</w:t>
      </w:r>
    </w:p>
    <w:p w14:paraId="4D237DF0" w14:textId="1D0614EB" w:rsidR="006C1DC9" w:rsidRPr="00E45CA4" w:rsidRDefault="00FE1F14" w:rsidP="004608F7">
      <w:pPr>
        <w:pStyle w:val="BodyText"/>
      </w:pPr>
      <w:r w:rsidRPr="00E45CA4">
        <w:t>The superintendent oversees the entire recruitment and hiring process, aligning it with the district</w:t>
      </w:r>
      <w:r w:rsidR="00040362" w:rsidRPr="00E45CA4">
        <w:t>’</w:t>
      </w:r>
      <w:r w:rsidRPr="00E45CA4">
        <w:t>s strategic goals and budget constraints.</w:t>
      </w:r>
      <w:r w:rsidR="00DC28A9" w:rsidRPr="00E45CA4">
        <w:t xml:space="preserve"> </w:t>
      </w:r>
      <w:r w:rsidR="009E3DB1" w:rsidRPr="00E45CA4">
        <w:t xml:space="preserve">In line with </w:t>
      </w:r>
      <w:r w:rsidR="000D6A8E">
        <w:t>RCM &amp; SU 73</w:t>
      </w:r>
      <w:r w:rsidR="00040362" w:rsidRPr="00E45CA4">
        <w:t>’</w:t>
      </w:r>
      <w:r w:rsidR="009E3DB1" w:rsidRPr="00E45CA4">
        <w:t xml:space="preserve">s </w:t>
      </w:r>
      <w:r w:rsidR="00040362" w:rsidRPr="00E45CA4">
        <w:t>“</w:t>
      </w:r>
      <w:r w:rsidR="009E3DB1" w:rsidRPr="00E45CA4">
        <w:t>Human Resources Hiring Procedure</w:t>
      </w:r>
      <w:r w:rsidR="00775165" w:rsidRPr="00E45CA4">
        <w:t>,</w:t>
      </w:r>
      <w:r w:rsidR="00040362" w:rsidRPr="00E45CA4">
        <w:t>”</w:t>
      </w:r>
      <w:r w:rsidR="009E3DB1" w:rsidRPr="00E45CA4">
        <w:t xml:space="preserve"> </w:t>
      </w:r>
      <w:r w:rsidR="00775165" w:rsidRPr="00E45CA4">
        <w:t>d</w:t>
      </w:r>
      <w:r w:rsidR="00632359" w:rsidRPr="00E45CA4">
        <w:t>istrict leaders and staff</w:t>
      </w:r>
      <w:r w:rsidR="00106E91" w:rsidRPr="00E45CA4">
        <w:t xml:space="preserve"> explained </w:t>
      </w:r>
      <w:r w:rsidR="00775165" w:rsidRPr="00E45CA4">
        <w:t>that t</w:t>
      </w:r>
      <w:r w:rsidR="00DC28A9" w:rsidRPr="00E45CA4">
        <w:t xml:space="preserve">he </w:t>
      </w:r>
      <w:r w:rsidR="000D6A8E">
        <w:t>RCM &amp; SU 73</w:t>
      </w:r>
      <w:r w:rsidR="00DC28A9" w:rsidRPr="00E45CA4">
        <w:t xml:space="preserve"> hiring process goes through several stages, beginning with principals and </w:t>
      </w:r>
      <w:r w:rsidR="00D9614B" w:rsidRPr="00E45CA4">
        <w:rPr>
          <w:spacing w:val="-2"/>
        </w:rPr>
        <w:t>human resources</w:t>
      </w:r>
      <w:r w:rsidR="00DC28A9" w:rsidRPr="00E45CA4">
        <w:t xml:space="preserve"> identifying needs, principals and </w:t>
      </w:r>
      <w:r w:rsidR="00C10024" w:rsidRPr="00E45CA4">
        <w:t xml:space="preserve">hiring </w:t>
      </w:r>
      <w:r w:rsidR="00DC28A9" w:rsidRPr="00E45CA4">
        <w:t xml:space="preserve">committees conducting initial rounds of interviews, the superintendent conducting final interviews, and the </w:t>
      </w:r>
      <w:r w:rsidR="00D9614B" w:rsidRPr="00E45CA4">
        <w:rPr>
          <w:spacing w:val="-2"/>
        </w:rPr>
        <w:t>human resources</w:t>
      </w:r>
      <w:r w:rsidR="00DC28A9" w:rsidRPr="00E45CA4">
        <w:t xml:space="preserve"> office supporting onboarding </w:t>
      </w:r>
      <w:r w:rsidR="00C70102" w:rsidRPr="00E45CA4">
        <w:t>when</w:t>
      </w:r>
      <w:r w:rsidR="00DC28A9" w:rsidRPr="00E45CA4">
        <w:t xml:space="preserve"> a candidate is hired.</w:t>
      </w:r>
      <w:r w:rsidRPr="00E45CA4">
        <w:t xml:space="preserve"> </w:t>
      </w:r>
      <w:r w:rsidR="007C09FF">
        <w:t>The superintendent</w:t>
      </w:r>
      <w:r w:rsidR="007C09FF" w:rsidRPr="00E45CA4">
        <w:t xml:space="preserve"> </w:t>
      </w:r>
      <w:r w:rsidRPr="00E45CA4">
        <w:t>collaborate</w:t>
      </w:r>
      <w:r w:rsidR="008C7A32" w:rsidRPr="00E45CA4">
        <w:t>s</w:t>
      </w:r>
      <w:r w:rsidRPr="00E45CA4">
        <w:t xml:space="preserve"> closely with the </w:t>
      </w:r>
      <w:r w:rsidR="00D9614B" w:rsidRPr="00E45CA4">
        <w:rPr>
          <w:spacing w:val="-2"/>
        </w:rPr>
        <w:t>human resources</w:t>
      </w:r>
      <w:r w:rsidRPr="00E45CA4">
        <w:t xml:space="preserve"> </w:t>
      </w:r>
      <w:r w:rsidR="00C70102" w:rsidRPr="00E45CA4">
        <w:t>s</w:t>
      </w:r>
      <w:r w:rsidRPr="00E45CA4">
        <w:t xml:space="preserve">pecialist and principals to assess staffing needs and approve final hiring decisions. </w:t>
      </w:r>
      <w:r w:rsidR="007C09FF">
        <w:t xml:space="preserve">She </w:t>
      </w:r>
      <w:r w:rsidRPr="00E45CA4">
        <w:t>participates in the final round of interviews to evaluate candidates</w:t>
      </w:r>
      <w:r w:rsidR="00040362" w:rsidRPr="00E45CA4">
        <w:t>’</w:t>
      </w:r>
      <w:r w:rsidRPr="00E45CA4">
        <w:t xml:space="preserve"> fit with the district</w:t>
      </w:r>
      <w:r w:rsidR="00040362" w:rsidRPr="00E45CA4">
        <w:t>’</w:t>
      </w:r>
      <w:r w:rsidRPr="00E45CA4">
        <w:t xml:space="preserve">s educational mission and strategic objectives. </w:t>
      </w:r>
      <w:r w:rsidR="00661200">
        <w:t xml:space="preserve">Her </w:t>
      </w:r>
      <w:r w:rsidRPr="00E45CA4">
        <w:t xml:space="preserve">approval is </w:t>
      </w:r>
      <w:r w:rsidR="00661200">
        <w:t xml:space="preserve">also </w:t>
      </w:r>
      <w:r w:rsidRPr="00E45CA4">
        <w:t>required for all hiring decisions, providing a final layer of oversight to maintain high standards and consistency across the district.</w:t>
      </w:r>
    </w:p>
    <w:p w14:paraId="45B604D4" w14:textId="4A3A13BF" w:rsidR="005C22F9" w:rsidRPr="00E45CA4" w:rsidRDefault="00FE1F14" w:rsidP="004608F7">
      <w:pPr>
        <w:pStyle w:val="BodyText"/>
      </w:pPr>
      <w:r w:rsidRPr="00E45CA4">
        <w:t xml:space="preserve">After a candidate is hired, </w:t>
      </w:r>
      <w:r w:rsidR="00E92F36">
        <w:t xml:space="preserve">principals, in collaboration with </w:t>
      </w:r>
      <w:r w:rsidR="000D6A8E">
        <w:t>RCM &amp; SU 73</w:t>
      </w:r>
      <w:r w:rsidR="00CB428B">
        <w:t xml:space="preserve">’s human resources, </w:t>
      </w:r>
      <w:r w:rsidR="00400DC6">
        <w:t xml:space="preserve">take the lead in </w:t>
      </w:r>
      <w:r w:rsidR="00400DC6" w:rsidRPr="00E45CA4">
        <w:t>assign</w:t>
      </w:r>
      <w:r w:rsidR="00400DC6">
        <w:t>ing</w:t>
      </w:r>
      <w:r w:rsidR="00400DC6" w:rsidRPr="00E45CA4">
        <w:t xml:space="preserve"> </w:t>
      </w:r>
      <w:r w:rsidR="00400DC6">
        <w:t xml:space="preserve">them </w:t>
      </w:r>
      <w:r w:rsidRPr="00E45CA4">
        <w:t xml:space="preserve">to specific roles based on their qualifications and the needs of the </w:t>
      </w:r>
      <w:r w:rsidR="000115E4">
        <w:t>school</w:t>
      </w:r>
      <w:r w:rsidRPr="00E45CA4">
        <w:t>. The</w:t>
      </w:r>
      <w:r w:rsidR="000115E4">
        <w:t>y</w:t>
      </w:r>
      <w:r w:rsidRPr="00E45CA4">
        <w:t xml:space="preserve"> work together to match the candidate</w:t>
      </w:r>
      <w:r w:rsidR="00040362" w:rsidRPr="00E45CA4">
        <w:t>’</w:t>
      </w:r>
      <w:r w:rsidRPr="00E45CA4">
        <w:t xml:space="preserve">s skills and expertise with the demands of </w:t>
      </w:r>
      <w:r w:rsidR="00935404" w:rsidRPr="00E45CA4">
        <w:t>classrooms</w:t>
      </w:r>
      <w:r w:rsidRPr="00E45CA4">
        <w:t xml:space="preserve"> or subjects. Considerations include the candidate</w:t>
      </w:r>
      <w:r w:rsidR="00040362" w:rsidRPr="00E45CA4">
        <w:t>’</w:t>
      </w:r>
      <w:r w:rsidRPr="00E45CA4">
        <w:t xml:space="preserve">s certifications, areas of specialization, and experience levels, ensuring </w:t>
      </w:r>
      <w:r w:rsidR="00D12656" w:rsidRPr="00E45CA4">
        <w:t>the candidate’s placement</w:t>
      </w:r>
      <w:r w:rsidRPr="00E45CA4">
        <w:t xml:space="preserve"> in a position </w:t>
      </w:r>
      <w:r w:rsidR="00892B7C" w:rsidRPr="00E45CA4">
        <w:t xml:space="preserve">in which </w:t>
      </w:r>
      <w:r w:rsidRPr="00E45CA4">
        <w:t>they can be most effective</w:t>
      </w:r>
      <w:r w:rsidR="390B6828" w:rsidRPr="00E45CA4">
        <w:t xml:space="preserve">. </w:t>
      </w:r>
      <w:r w:rsidR="00E13D54">
        <w:t>Principals</w:t>
      </w:r>
      <w:r w:rsidR="002F64CC" w:rsidRPr="00E45CA4">
        <w:t xml:space="preserve"> explained that hiring decisions begin with evaluating candidates</w:t>
      </w:r>
      <w:r w:rsidR="00040362" w:rsidRPr="00E45CA4">
        <w:t>’</w:t>
      </w:r>
      <w:r w:rsidR="002F64CC" w:rsidRPr="00E45CA4">
        <w:t xml:space="preserve"> licensure and their grade</w:t>
      </w:r>
      <w:r w:rsidR="00892B7C" w:rsidRPr="00E45CA4">
        <w:t>-</w:t>
      </w:r>
      <w:r w:rsidR="002F64CC" w:rsidRPr="00E45CA4">
        <w:t xml:space="preserve">level preferences. Voluntary requests to move to a different grade level are considered, </w:t>
      </w:r>
      <w:r w:rsidR="00EC08D2">
        <w:t>but</w:t>
      </w:r>
      <w:r w:rsidR="00D12656" w:rsidRPr="00E45CA4">
        <w:t xml:space="preserve"> </w:t>
      </w:r>
      <w:r w:rsidR="002F64CC" w:rsidRPr="00E45CA4">
        <w:t xml:space="preserve">ensuring the placement meets student needs is </w:t>
      </w:r>
      <w:r w:rsidR="00EC08D2">
        <w:t>the</w:t>
      </w:r>
      <w:r w:rsidR="002F64CC" w:rsidRPr="00E45CA4">
        <w:t xml:space="preserve"> priority.</w:t>
      </w:r>
    </w:p>
    <w:p w14:paraId="35F65FBB" w14:textId="06A9E67B" w:rsidR="00FE1F14" w:rsidRPr="00E45CA4" w:rsidRDefault="00FD6A07" w:rsidP="004608F7">
      <w:pPr>
        <w:pStyle w:val="BodyText"/>
      </w:pPr>
      <w:r w:rsidRPr="00E45CA4">
        <w:t>In addition</w:t>
      </w:r>
      <w:r w:rsidR="00FE1F14" w:rsidRPr="00E45CA4">
        <w:t xml:space="preserve">, departments </w:t>
      </w:r>
      <w:r w:rsidR="00CD178F" w:rsidRPr="00E45CA4">
        <w:t xml:space="preserve">and licensure </w:t>
      </w:r>
      <w:r w:rsidR="00FE1F14" w:rsidRPr="00E45CA4">
        <w:t xml:space="preserve">play a role in assignments, according to one principal: </w:t>
      </w:r>
      <w:r w:rsidR="00040362" w:rsidRPr="00E45CA4">
        <w:t>“</w:t>
      </w:r>
      <w:r w:rsidR="00FE1F14" w:rsidRPr="00E45CA4">
        <w:t>And so, they</w:t>
      </w:r>
      <w:r w:rsidR="00040362" w:rsidRPr="00E45CA4">
        <w:t>’</w:t>
      </w:r>
      <w:r w:rsidR="00FE1F14" w:rsidRPr="00E45CA4">
        <w:t>re assigned based on their licensure</w:t>
      </w:r>
      <w:r w:rsidR="0087618C" w:rsidRPr="00E45CA4">
        <w:t>;</w:t>
      </w:r>
      <w:r w:rsidR="00FE1F14" w:rsidRPr="00E45CA4">
        <w:t xml:space="preserve"> they</w:t>
      </w:r>
      <w:r w:rsidR="00040362" w:rsidRPr="00E45CA4">
        <w:t>’</w:t>
      </w:r>
      <w:r w:rsidR="00FE1F14" w:rsidRPr="00E45CA4">
        <w:t>re assigned based on their department.</w:t>
      </w:r>
      <w:r w:rsidR="00040362" w:rsidRPr="00E45CA4">
        <w:t>”</w:t>
      </w:r>
      <w:r w:rsidR="00FE1F14" w:rsidRPr="00E45CA4">
        <w:t xml:space="preserve"> </w:t>
      </w:r>
      <w:r w:rsidR="008E72B4" w:rsidRPr="00E45CA4">
        <w:t>District leaders try to be flexible</w:t>
      </w:r>
      <w:r w:rsidR="00FE1F14" w:rsidRPr="00E45CA4">
        <w:t xml:space="preserve">, allowing teachers to teach elective courses that align with their interests and expertise. </w:t>
      </w:r>
      <w:r w:rsidR="00471004" w:rsidRPr="00E45CA4">
        <w:t>One</w:t>
      </w:r>
      <w:r w:rsidR="00643159" w:rsidRPr="00E45CA4">
        <w:t xml:space="preserve"> principal explained that teachers often rotate teaching elective courses, including unique and popular offerings that students enjoy.</w:t>
      </w:r>
    </w:p>
    <w:p w14:paraId="6D305485" w14:textId="45270D37" w:rsidR="00805931" w:rsidRPr="00A06F1E" w:rsidRDefault="00A44B82" w:rsidP="004608F7">
      <w:pPr>
        <w:pStyle w:val="BodyText"/>
      </w:pPr>
      <w:r w:rsidRPr="00E45CA4">
        <w:t xml:space="preserve">Although the hiring and assignment processes in </w:t>
      </w:r>
      <w:r w:rsidR="000D6A8E">
        <w:t>RCM &amp; SU 73</w:t>
      </w:r>
      <w:r w:rsidRPr="00E45CA4">
        <w:t xml:space="preserve"> are established, </w:t>
      </w:r>
      <w:r w:rsidR="00B278AE" w:rsidRPr="00B278AE">
        <w:t xml:space="preserve">the hiring and assignment processes at </w:t>
      </w:r>
      <w:r w:rsidR="000D6A8E">
        <w:t>RCM &amp; SU 73</w:t>
      </w:r>
      <w:r w:rsidR="00B278AE" w:rsidRPr="00B278AE">
        <w:t xml:space="preserve"> face several challenges, primarily due to budgeting constraints and the difficulty of finding qualified teachers for specialized subjects, which remains an area for growth</w:t>
      </w:r>
      <w:r w:rsidRPr="00E45CA4">
        <w:t xml:space="preserve">. </w:t>
      </w:r>
      <w:r w:rsidR="00FE1F14" w:rsidRPr="00E45CA4">
        <w:t>The superintendent mentioned that frequent delays in budget development</w:t>
      </w:r>
      <w:r w:rsidR="00D12656" w:rsidRPr="00E45CA4">
        <w:t xml:space="preserve"> affect </w:t>
      </w:r>
      <w:r w:rsidR="00D12656" w:rsidRPr="00E45CA4">
        <w:lastRenderedPageBreak/>
        <w:t>the hiring process</w:t>
      </w:r>
      <w:r w:rsidR="00FE1F14" w:rsidRPr="00E45CA4">
        <w:t xml:space="preserve">: </w:t>
      </w:r>
      <w:r w:rsidR="00040362" w:rsidRPr="00E45CA4">
        <w:t>“</w:t>
      </w:r>
      <w:r w:rsidR="00FE1F14" w:rsidRPr="00E45CA4">
        <w:t>Right after the budget gets finalized in June is kind</w:t>
      </w:r>
      <w:r w:rsidR="00FE1F14" w:rsidRPr="00A06F1E">
        <w:t xml:space="preserve"> of when we know </w:t>
      </w:r>
      <w:r w:rsidR="00DC7C75" w:rsidRPr="00A06F1E">
        <w:t>[what the openings are]</w:t>
      </w:r>
      <w:r w:rsidR="00FE1F14" w:rsidRPr="00A06F1E">
        <w:t xml:space="preserve"> for sure. And we</w:t>
      </w:r>
      <w:r w:rsidR="00040362" w:rsidRPr="00A06F1E">
        <w:t>’</w:t>
      </w:r>
      <w:r w:rsidR="00FE1F14" w:rsidRPr="00A06F1E">
        <w:t>ve had budgets not finalized at all</w:t>
      </w:r>
      <w:r w:rsidR="00981ECF" w:rsidRPr="00A06F1E">
        <w:t> . . .</w:t>
      </w:r>
      <w:r w:rsidR="00FE1F14" w:rsidRPr="00A06F1E">
        <w:t xml:space="preserve"> which kind of halts you from hiring new staff when you know you might need it.</w:t>
      </w:r>
      <w:r w:rsidR="00040362" w:rsidRPr="00A06F1E">
        <w:t>”</w:t>
      </w:r>
      <w:r w:rsidR="00FE1F14" w:rsidRPr="00A06F1E">
        <w:t xml:space="preserve"> The delay in finalizing the budget may result in postponed hiring decisions, potentially leaving schools understaffed or in a last-minute scramble to fill positions. The timing of retirements or resignations can also introduce added complexity, often leaving little time to identify and onboard suitable replacements before the start of the school year. </w:t>
      </w:r>
      <w:r w:rsidR="00B06AD0" w:rsidRPr="00A06F1E">
        <w:t>A district staff</w:t>
      </w:r>
      <w:r w:rsidR="77514DCB" w:rsidRPr="00A06F1E">
        <w:t xml:space="preserve"> member</w:t>
      </w:r>
      <w:r w:rsidR="00FE1F14" w:rsidRPr="00A06F1E">
        <w:t xml:space="preserve"> shared, </w:t>
      </w:r>
      <w:r w:rsidR="00040362" w:rsidRPr="00A06F1E">
        <w:t>“</w:t>
      </w:r>
      <w:r w:rsidR="00FE1F14" w:rsidRPr="00A06F1E">
        <w:t>Sometimes we don</w:t>
      </w:r>
      <w:r w:rsidR="00040362" w:rsidRPr="00A06F1E">
        <w:t>’</w:t>
      </w:r>
      <w:r w:rsidR="00FE1F14" w:rsidRPr="00A06F1E">
        <w:t>t know about retirements either, and so on the later side, too. It</w:t>
      </w:r>
      <w:r w:rsidR="00040362" w:rsidRPr="00A06F1E">
        <w:t>’</w:t>
      </w:r>
      <w:r w:rsidR="00FE1F14" w:rsidRPr="00A06F1E">
        <w:t>s helpful to know early.</w:t>
      </w:r>
      <w:r w:rsidR="00040362" w:rsidRPr="00A06F1E">
        <w:t>”</w:t>
      </w:r>
      <w:r w:rsidR="00FE1F14" w:rsidRPr="00A06F1E">
        <w:t xml:space="preserve"> </w:t>
      </w:r>
      <w:r w:rsidR="003164E0" w:rsidRPr="00A06F1E">
        <w:t>In addition</w:t>
      </w:r>
      <w:r w:rsidR="00FE1F14" w:rsidRPr="00A06F1E">
        <w:t xml:space="preserve">, </w:t>
      </w:r>
      <w:r w:rsidR="005E377E" w:rsidRPr="00A06F1E">
        <w:t>when teachers are</w:t>
      </w:r>
      <w:r w:rsidR="00FE1F14" w:rsidRPr="00A06F1E">
        <w:t xml:space="preserve"> hired, assigning </w:t>
      </w:r>
      <w:r w:rsidR="005E377E" w:rsidRPr="00A06F1E">
        <w:t>them</w:t>
      </w:r>
      <w:r w:rsidR="00FE1F14" w:rsidRPr="00A06F1E">
        <w:t xml:space="preserve"> to the appropriate roles also presents challenges, particularly in specialized areas. </w:t>
      </w:r>
      <w:r w:rsidR="00805931" w:rsidRPr="00A06F1E">
        <w:t>A principal noted,</w:t>
      </w:r>
    </w:p>
    <w:p w14:paraId="3EBC10FA" w14:textId="1B2090CB" w:rsidR="0018177F" w:rsidRPr="00A06F1E" w:rsidRDefault="00FE1F14" w:rsidP="00805931">
      <w:pPr>
        <w:pStyle w:val="BlockQuote"/>
      </w:pPr>
      <w:r w:rsidRPr="00A06F1E">
        <w:t xml:space="preserve">Special </w:t>
      </w:r>
      <w:r w:rsidR="64B96ACC" w:rsidRPr="00A06F1E">
        <w:t>e</w:t>
      </w:r>
      <w:r w:rsidRPr="00A06F1E">
        <w:t>ducation is really hard. We have people working on emergency licenses who are in the process of renewing them</w:t>
      </w:r>
      <w:r w:rsidR="00805931" w:rsidRPr="00A06F1E">
        <w:t>. . . .</w:t>
      </w:r>
      <w:r w:rsidRPr="00A06F1E">
        <w:t xml:space="preserve"> But if we</w:t>
      </w:r>
      <w:r w:rsidR="00040362" w:rsidRPr="00A06F1E">
        <w:t>’</w:t>
      </w:r>
      <w:r w:rsidRPr="00A06F1E">
        <w:t>re looking for special education [teachers] particularly, and then I would say it would be math or science next that would be the hardest to fill.</w:t>
      </w:r>
    </w:p>
    <w:p w14:paraId="33F03CA2" w14:textId="3A48E896" w:rsidR="00B827DE" w:rsidRPr="00A06F1E" w:rsidRDefault="00B827DE" w:rsidP="00B827DE">
      <w:pPr>
        <w:pStyle w:val="Heading3"/>
      </w:pPr>
      <w:r w:rsidRPr="00A06F1E">
        <w:t>Supervision, Evaluation, and Educator Development</w:t>
      </w:r>
    </w:p>
    <w:p w14:paraId="53F50973" w14:textId="64629267" w:rsidR="006218A7" w:rsidRPr="00E45CA4" w:rsidRDefault="00E6622E" w:rsidP="00E703CD">
      <w:pPr>
        <w:pStyle w:val="BodyTextposthead"/>
      </w:pPr>
      <w:r w:rsidRPr="00A06F1E">
        <w:t xml:space="preserve">In </w:t>
      </w:r>
      <w:r w:rsidR="000D6A8E">
        <w:t>RCM &amp; SU 73</w:t>
      </w:r>
      <w:r w:rsidRPr="00A06F1E">
        <w:t xml:space="preserve">, the evaluation </w:t>
      </w:r>
      <w:r w:rsidR="004671FE">
        <w:t xml:space="preserve">and feedback </w:t>
      </w:r>
      <w:r w:rsidRPr="00A06F1E">
        <w:t>process involves both central</w:t>
      </w:r>
      <w:r w:rsidR="00116FB3" w:rsidRPr="00A06F1E">
        <w:t xml:space="preserve"> office</w:t>
      </w:r>
      <w:r w:rsidRPr="00A06F1E">
        <w:t xml:space="preserve"> and school-level</w:t>
      </w:r>
      <w:r w:rsidR="00A7788E">
        <w:t xml:space="preserve"> administr</w:t>
      </w:r>
      <w:r w:rsidR="008D6AA0">
        <w:t>ators</w:t>
      </w:r>
      <w:r w:rsidRPr="00A06F1E">
        <w:t xml:space="preserve">. </w:t>
      </w:r>
      <w:r w:rsidR="006218A7" w:rsidRPr="00A06F1E">
        <w:t xml:space="preserve">During focus groups, school leaders emphasized the importance of regular evaluations and observations for teachers. They conduct frequent classroom visits, both announced and unannounced, to stay engaged with the instructional process. One principal noted, </w:t>
      </w:r>
      <w:r w:rsidR="00040362" w:rsidRPr="00A06F1E">
        <w:t>“</w:t>
      </w:r>
      <w:r w:rsidR="006218A7" w:rsidRPr="00A06F1E">
        <w:t>Very few days go by when I don</w:t>
      </w:r>
      <w:r w:rsidR="00040362" w:rsidRPr="00A06F1E">
        <w:t>’</w:t>
      </w:r>
      <w:r w:rsidR="006218A7" w:rsidRPr="00A06F1E">
        <w:t>t get into every one of my classrooms.</w:t>
      </w:r>
      <w:r w:rsidR="00040362" w:rsidRPr="00A06F1E">
        <w:t>”</w:t>
      </w:r>
      <w:r w:rsidR="006218A7" w:rsidRPr="00A06F1E">
        <w:t xml:space="preserve"> Feedback to teachers is a key component of these observations, </w:t>
      </w:r>
      <w:r w:rsidR="00EB4EE4">
        <w:t>including feedback from administrators as well as from curriculum coordinators</w:t>
      </w:r>
      <w:r w:rsidR="006218A7" w:rsidRPr="00A06F1E">
        <w:t xml:space="preserve">. </w:t>
      </w:r>
      <w:r w:rsidR="00A87DE9">
        <w:t xml:space="preserve">Teachers </w:t>
      </w:r>
      <w:r w:rsidR="005C4247">
        <w:t xml:space="preserve">reported </w:t>
      </w:r>
      <w:r w:rsidR="00A87DE9">
        <w:t>that observations are conducted both formally and informally. They receiv</w:t>
      </w:r>
      <w:r w:rsidR="00DB73D9">
        <w:t>e</w:t>
      </w:r>
      <w:r w:rsidR="00A87DE9">
        <w:t xml:space="preserve"> </w:t>
      </w:r>
      <w:r w:rsidR="00362F8A">
        <w:t xml:space="preserve">not only </w:t>
      </w:r>
      <w:r w:rsidR="00A87DE9">
        <w:t xml:space="preserve">written feedback within a few days of </w:t>
      </w:r>
      <w:r w:rsidR="00362F8A">
        <w:t xml:space="preserve">receiving formal </w:t>
      </w:r>
      <w:r w:rsidR="00A87DE9">
        <w:t>observation</w:t>
      </w:r>
      <w:r w:rsidR="00362F8A">
        <w:t xml:space="preserve"> but also informal feedback</w:t>
      </w:r>
      <w:r w:rsidR="00501C56">
        <w:t>, particularly from coordinators</w:t>
      </w:r>
      <w:r w:rsidR="00A87DE9">
        <w:t xml:space="preserve">. One teacher </w:t>
      </w:r>
      <w:r w:rsidR="00362F8A">
        <w:t>said</w:t>
      </w:r>
      <w:r w:rsidR="00A87DE9">
        <w:t>, 'The nice thing about having coordinators is that they can also just pop in or walk through and say, "Hey, I saw this.</w:t>
      </w:r>
      <w:r w:rsidR="008D402E">
        <w:t xml:space="preserve">” </w:t>
      </w:r>
      <w:r w:rsidR="006218A7" w:rsidRPr="00A06F1E">
        <w:t xml:space="preserve">Principals </w:t>
      </w:r>
      <w:r w:rsidR="008D402E">
        <w:t>also</w:t>
      </w:r>
      <w:r w:rsidR="006218A7" w:rsidRPr="00A06F1E">
        <w:t xml:space="preserve"> use methods </w:t>
      </w:r>
      <w:r w:rsidR="000120F5" w:rsidRPr="00A06F1E">
        <w:t xml:space="preserve">such as </w:t>
      </w:r>
      <w:r w:rsidR="006218A7" w:rsidRPr="00A06F1E">
        <w:t xml:space="preserve">leaving sticky notes with positive comments or suggestions after classroom observations, as well as more structured, formal feedback sessions following observations. One principal explained, </w:t>
      </w:r>
      <w:r w:rsidR="00040362" w:rsidRPr="00A06F1E">
        <w:t>“</w:t>
      </w:r>
      <w:r w:rsidR="006218A7" w:rsidRPr="00A06F1E">
        <w:t xml:space="preserve">[Teachers] like the little sticky notes that you leave behind that says, </w:t>
      </w:r>
      <w:r w:rsidR="00040362" w:rsidRPr="00A06F1E">
        <w:t>‘</w:t>
      </w:r>
      <w:r w:rsidR="006218A7" w:rsidRPr="00A06F1E">
        <w:t>Hey, that was a great class,</w:t>
      </w:r>
      <w:r w:rsidR="00040362" w:rsidRPr="00A06F1E">
        <w:t>’</w:t>
      </w:r>
      <w:r w:rsidR="006218A7" w:rsidRPr="00A06F1E">
        <w:t xml:space="preserve"> </w:t>
      </w:r>
      <w:r w:rsidR="00040362" w:rsidRPr="00A06F1E">
        <w:t>‘</w:t>
      </w:r>
      <w:r w:rsidR="006218A7" w:rsidRPr="00A06F1E">
        <w:t>Hey, see me,</w:t>
      </w:r>
      <w:r w:rsidR="00040362" w:rsidRPr="00A06F1E">
        <w:t>’</w:t>
      </w:r>
      <w:r w:rsidR="006218A7" w:rsidRPr="00A06F1E">
        <w:t xml:space="preserve"> or </w:t>
      </w:r>
      <w:r w:rsidR="00040362" w:rsidRPr="00A06F1E">
        <w:t>‘</w:t>
      </w:r>
      <w:r w:rsidR="006218A7" w:rsidRPr="00A06F1E">
        <w:t>Hey, I like what you</w:t>
      </w:r>
      <w:r w:rsidR="00040362" w:rsidRPr="00A06F1E">
        <w:t>’</w:t>
      </w:r>
      <w:r w:rsidR="006218A7" w:rsidRPr="00A06F1E">
        <w:t>re doing.</w:t>
      </w:r>
      <w:r w:rsidR="00040362" w:rsidRPr="00A06F1E">
        <w:t>’”</w:t>
      </w:r>
      <w:r w:rsidR="006218A7" w:rsidRPr="00A06F1E">
        <w:t xml:space="preserve"> Principals emphasize</w:t>
      </w:r>
      <w:r w:rsidR="000120F5" w:rsidRPr="00A06F1E">
        <w:t>d</w:t>
      </w:r>
      <w:r w:rsidR="006218A7" w:rsidRPr="00A06F1E">
        <w:t xml:space="preserve"> the collaborative nature of their approach, which involves department coordinators and academic coaches. They hold regular meetings to discuss instructional strategies and review assessment data, such as the STAR testing conducted three times a year. This collaborative and data-driven approach aims to improve teaching practices and student outcomes continually. One principal mentioned, </w:t>
      </w:r>
      <w:r w:rsidR="00040362" w:rsidRPr="00A06F1E">
        <w:t>“</w:t>
      </w:r>
      <w:r w:rsidR="006218A7" w:rsidRPr="00A06F1E">
        <w:t xml:space="preserve">We have weekly, monthly </w:t>
      </w:r>
      <w:r w:rsidR="006218A7" w:rsidRPr="00E45CA4">
        <w:t>meetings with the coordinators, department coordinators. And one of the topics that we</w:t>
      </w:r>
      <w:r w:rsidR="00040362" w:rsidRPr="00E45CA4">
        <w:t>’</w:t>
      </w:r>
      <w:r w:rsidR="006218A7" w:rsidRPr="00E45CA4">
        <w:t>ll discuss is instructional strategies.</w:t>
      </w:r>
      <w:r w:rsidR="00040362" w:rsidRPr="00E45CA4">
        <w:t>”</w:t>
      </w:r>
    </w:p>
    <w:p w14:paraId="117547A2" w14:textId="2224BC10" w:rsidR="00501C56" w:rsidRPr="00A06F1E" w:rsidRDefault="00501C56" w:rsidP="00501C56">
      <w:pPr>
        <w:pStyle w:val="BodyTextposthead"/>
      </w:pPr>
      <w:r>
        <w:t xml:space="preserve">Beyond the formal evaluation process, central office staff monitor instruction and conduct walkthroughs. </w:t>
      </w:r>
      <w:r w:rsidRPr="00A06F1E">
        <w:t xml:space="preserve">The district’s leadership team, including the superintendent and district administrative members, </w:t>
      </w:r>
      <w:r>
        <w:t xml:space="preserve">also </w:t>
      </w:r>
      <w:r w:rsidRPr="00A06F1E">
        <w:t>conduct</w:t>
      </w:r>
      <w:r>
        <w:t>s</w:t>
      </w:r>
      <w:r w:rsidRPr="00A06F1E">
        <w:t xml:space="preserve"> structured walkthroughs, providing feedback, and analyzing observation data supported by student assessment data. School leaders lead the evaluation processes at the school level to provide overarching guidance and support. The superintendent and district administrative team members conduct “district leadership walkthroughs.” Following these walkthroughs, the leadership team convenes for a debriefing session to discuss their observations and compile feedback, using a rubric to ensure consistency and clarity in their evaluations. The </w:t>
      </w:r>
      <w:r w:rsidRPr="00A06F1E">
        <w:lastRenderedPageBreak/>
        <w:t xml:space="preserve">superintendent then writes feedback to teachers: “I write the letter to the teachers about their strengths and areas for growth. . . . This is us giving [teachers] feedback on what needs to move and change.” Including specific data in the superintendent’s feedback letters enhanced not only teachers’ reception but also their overall impact on instructional practices, as it reinforced persistent accountability and provided clarity to the evaluation process. Although teachers were not uniform in their descriptions of the superintendent’s presence in classrooms, some staff echoed the sentiments of one teacher, who said, “She’s been in my room quite a lot this year.” In describing the process, the superintendent said, “It was the January letter that got a little bit of movement because . . . I put their actual data in.” </w:t>
      </w:r>
      <w:r>
        <w:t>The superintendent added that these</w:t>
      </w:r>
      <w:r w:rsidRPr="00A06F1E">
        <w:t xml:space="preserve"> data included results from the STAR assessment, administered three times a year, offering valuable insights into teaching effectiveness: “We had a meeting, and we looked at their data together. . . . They finally realized that [district leadership walkthroughs] would not end. And the veil came off when I put in writing [their] results on the STAR assessment.” A district document illustrates this approach by showing how the superintendent’s feedback letters include observed strengths and suggestions for improvement.</w:t>
      </w:r>
    </w:p>
    <w:p w14:paraId="2C86DC3C" w14:textId="688CE87A" w:rsidR="005227B4" w:rsidRPr="00E45CA4" w:rsidRDefault="006218A7" w:rsidP="004608F7">
      <w:pPr>
        <w:pStyle w:val="BodyText"/>
      </w:pPr>
      <w:r w:rsidRPr="00E45CA4">
        <w:t xml:space="preserve">Implementing teacher evaluations has presented significant challenges due to </w:t>
      </w:r>
      <w:r w:rsidR="00EF4CAB">
        <w:t>inconsistency in implementing evaluation</w:t>
      </w:r>
      <w:r w:rsidR="00EF4CAB" w:rsidRPr="00E45CA4">
        <w:t xml:space="preserve"> </w:t>
      </w:r>
      <w:r w:rsidRPr="00E45CA4">
        <w:t>practices</w:t>
      </w:r>
      <w:r w:rsidR="00EF4CAB">
        <w:t xml:space="preserve"> in the past</w:t>
      </w:r>
      <w:r w:rsidRPr="00E45CA4">
        <w:t xml:space="preserve"> and resistance to change </w:t>
      </w:r>
      <w:r w:rsidR="00EF4CAB">
        <w:t xml:space="preserve">among staff accustomed to that </w:t>
      </w:r>
      <w:r w:rsidR="00734F77">
        <w:t>previous</w:t>
      </w:r>
      <w:r w:rsidR="00EF4CAB">
        <w:t xml:space="preserve"> system</w:t>
      </w:r>
      <w:r w:rsidR="00E41AA1">
        <w:t>. Therefore,</w:t>
      </w:r>
      <w:r w:rsidR="00EF4CAB">
        <w:t xml:space="preserve"> </w:t>
      </w:r>
      <w:r w:rsidR="00E41AA1">
        <w:t xml:space="preserve">consistently </w:t>
      </w:r>
      <w:r w:rsidR="00734F77">
        <w:t xml:space="preserve">implementing </w:t>
      </w:r>
      <w:r w:rsidR="00E41AA1">
        <w:t xml:space="preserve">the evaluation system </w:t>
      </w:r>
      <w:r w:rsidRPr="00E45CA4">
        <w:t xml:space="preserve">remains an area for growth. </w:t>
      </w:r>
      <w:r w:rsidR="004B3723">
        <w:t>At one school, t</w:t>
      </w:r>
      <w:r w:rsidRPr="00E45CA4">
        <w:t xml:space="preserve">he lack of prior evaluations under a previous principal, who </w:t>
      </w:r>
      <w:r w:rsidR="00A143E8">
        <w:t>respondents said</w:t>
      </w:r>
      <w:r w:rsidRPr="00E45CA4">
        <w:t xml:space="preserve"> did not evaluate any teachers for seven years, </w:t>
      </w:r>
      <w:r w:rsidR="004B3723">
        <w:t xml:space="preserve">has </w:t>
      </w:r>
      <w:r w:rsidRPr="00E45CA4">
        <w:t xml:space="preserve">resulted in resistance from teachers unfamiliar with the evaluation process. The superintendent noted, </w:t>
      </w:r>
      <w:r w:rsidR="00040362" w:rsidRPr="00E45CA4">
        <w:t>“</w:t>
      </w:r>
      <w:r w:rsidRPr="00E45CA4">
        <w:rPr>
          <w:kern w:val="2"/>
        </w:rPr>
        <w:t>Teachers were not evaluated</w:t>
      </w:r>
      <w:r w:rsidR="003E04AF" w:rsidRPr="00E45CA4">
        <w:rPr>
          <w:kern w:val="2"/>
        </w:rPr>
        <w:t>. . . .</w:t>
      </w:r>
      <w:r w:rsidRPr="00E45CA4">
        <w:rPr>
          <w:kern w:val="2"/>
        </w:rPr>
        <w:t xml:space="preserve"> So, [they] are having a hard time understanding the evaluation [process].</w:t>
      </w:r>
      <w:r w:rsidR="00A143E8">
        <w:rPr>
          <w:kern w:val="2"/>
        </w:rPr>
        <w:t>”</w:t>
      </w:r>
      <w:r w:rsidR="002E3C80" w:rsidRPr="00E45CA4">
        <w:rPr>
          <w:kern w:val="2"/>
        </w:rPr>
        <w:t xml:space="preserve"> </w:t>
      </w:r>
      <w:r w:rsidR="003E04AF" w:rsidRPr="00E45CA4">
        <w:t>In addition</w:t>
      </w:r>
      <w:r w:rsidRPr="00E45CA4">
        <w:t>, there was resistance to the cultural shift toward regular evaluations and setting personal goals for teachers, especially among teachers</w:t>
      </w:r>
      <w:r w:rsidR="001E736A">
        <w:t xml:space="preserve"> more accustomed to the way things were in the past</w:t>
      </w:r>
      <w:r w:rsidRPr="00E45CA4">
        <w:t>. The superintendent explained,</w:t>
      </w:r>
    </w:p>
    <w:p w14:paraId="7ABFDD0D" w14:textId="4ADCFAD2" w:rsidR="006C1DC9" w:rsidRPr="00E45CA4" w:rsidRDefault="006218A7" w:rsidP="005227B4">
      <w:pPr>
        <w:pStyle w:val="BlockQuote"/>
      </w:pPr>
      <w:r w:rsidRPr="00E45CA4">
        <w:t>[The previous principal] wrote all the goals for the teachers. They never wrote their own goals. It was not good. So, culturally, there</w:t>
      </w:r>
      <w:r w:rsidR="00040362" w:rsidRPr="00E45CA4">
        <w:t>’</w:t>
      </w:r>
      <w:r w:rsidRPr="00E45CA4">
        <w:t>s a lot of change</w:t>
      </w:r>
      <w:r w:rsidR="005227B4" w:rsidRPr="00E45CA4">
        <w:t>. . . .</w:t>
      </w:r>
      <w:r w:rsidRPr="00E45CA4">
        <w:t xml:space="preserve"> [</w:t>
      </w:r>
      <w:r w:rsidR="005227B4" w:rsidRPr="00E45CA4">
        <w:t>T</w:t>
      </w:r>
      <w:r w:rsidRPr="00E45CA4">
        <w:t>eachers are] being evaluated for the first time. Some of the more veteran teachers [are being evaluated for the] first time in six or seven years.</w:t>
      </w:r>
    </w:p>
    <w:p w14:paraId="713246F6" w14:textId="17531DFD" w:rsidR="00FD75B9" w:rsidRPr="00A06F1E" w:rsidRDefault="0094696B" w:rsidP="004608F7">
      <w:pPr>
        <w:pStyle w:val="BodyText"/>
      </w:pPr>
      <w:r w:rsidRPr="0094696B">
        <w:t>The district review process includes a review of teacher evaluations.</w:t>
      </w:r>
      <w:r>
        <w:t xml:space="preserve"> This review of c</w:t>
      </w:r>
      <w:r w:rsidR="00FA0E1E" w:rsidRPr="00E45CA4">
        <w:t xml:space="preserve">entral office </w:t>
      </w:r>
      <w:r w:rsidR="00FD75B9" w:rsidRPr="00E45CA4">
        <w:t>records suggest</w:t>
      </w:r>
      <w:r>
        <w:t>s</w:t>
      </w:r>
      <w:r w:rsidR="00FD75B9" w:rsidRPr="00E45CA4">
        <w:t xml:space="preserve"> that teacher evaluations are completed</w:t>
      </w:r>
      <w:r w:rsidR="00232825" w:rsidRPr="00E45CA4">
        <w:t xml:space="preserve"> for some staff</w:t>
      </w:r>
      <w:r w:rsidR="00FD75B9" w:rsidRPr="00E45CA4">
        <w:t xml:space="preserve"> using Vector Solutions, formerly TeachPoint. Simple random sampling was used to select the sample of 10</w:t>
      </w:r>
      <w:r w:rsidR="00457657" w:rsidRPr="00E45CA4">
        <w:t> </w:t>
      </w:r>
      <w:r w:rsidR="00FD75B9" w:rsidRPr="00E45CA4">
        <w:t xml:space="preserve">teachers due for summative evaluations for the 2022-2023 school year. Nine of </w:t>
      </w:r>
      <w:r w:rsidR="00C821FA" w:rsidRPr="00E45CA4">
        <w:t>10</w:t>
      </w:r>
      <w:r w:rsidR="00FD75B9" w:rsidRPr="00E45CA4">
        <w:t xml:space="preserve"> teacher evaluations selected for review (90 percent) had a summative evaluation available for review. All nine of the teacher evaluations available for review were complete and did not omit required components, including a rating for each standard or an overall rating. All but one of the evaluations reviewed included student learning and professional practice SMART (specific, measurable, achievable, realistic, and timely) goals. All but one teacher randomly selected for review developed student learning and professional practice SMART goal</w:t>
      </w:r>
      <w:r w:rsidR="001D0627" w:rsidRPr="00E45CA4">
        <w:t>s</w:t>
      </w:r>
      <w:r w:rsidR="00FD75B9" w:rsidRPr="00E45CA4">
        <w:t xml:space="preserve">. </w:t>
      </w:r>
      <w:r w:rsidR="001D0627" w:rsidRPr="00E45CA4">
        <w:t>In addition</w:t>
      </w:r>
      <w:r w:rsidR="1633C8F8" w:rsidRPr="00E45CA4">
        <w:t xml:space="preserve">, </w:t>
      </w:r>
      <w:r w:rsidR="1BDF728B" w:rsidRPr="00E45CA4">
        <w:t>evaluators and staff consistently include</w:t>
      </w:r>
      <w:r w:rsidR="00FD75B9" w:rsidRPr="00E45CA4">
        <w:t xml:space="preserve"> goals on summative evaluation </w:t>
      </w:r>
      <w:r w:rsidR="1633C8F8" w:rsidRPr="00E45CA4">
        <w:t>report</w:t>
      </w:r>
      <w:r w:rsidR="37D55592" w:rsidRPr="00E45CA4">
        <w:t>s,</w:t>
      </w:r>
      <w:r w:rsidR="00FD75B9" w:rsidRPr="00E45CA4">
        <w:t xml:space="preserve"> along with the teacher</w:t>
      </w:r>
      <w:r w:rsidR="00040362" w:rsidRPr="00E45CA4">
        <w:t>’</w:t>
      </w:r>
      <w:r w:rsidR="00FD75B9" w:rsidRPr="00E45CA4">
        <w:t xml:space="preserve">s reported progress toward </w:t>
      </w:r>
      <w:r w:rsidR="0736BB72" w:rsidRPr="00E45CA4">
        <w:t>these</w:t>
      </w:r>
      <w:r w:rsidR="1633C8F8" w:rsidRPr="00E45CA4">
        <w:t xml:space="preserve"> </w:t>
      </w:r>
      <w:r w:rsidR="00FD75B9" w:rsidRPr="00E45CA4">
        <w:t>goals. Nearly all evaluations reviewed (7) included multiple sources of evidence, such as observations, student work samples, or other evidence</w:t>
      </w:r>
      <w:r w:rsidR="00FD75B9" w:rsidRPr="00A06F1E">
        <w:t xml:space="preserve"> to support progress toward student learning goals, professional learning goals, standards, and indicators. Nearly all summative evaluations (7) included feedback for each standard or overall feedback related to the teacher</w:t>
      </w:r>
      <w:r w:rsidR="00040362" w:rsidRPr="00A06F1E">
        <w:t>’</w:t>
      </w:r>
      <w:r w:rsidR="00FD75B9" w:rsidRPr="00A06F1E">
        <w:t xml:space="preserve">s overall rating that included naming strengths or </w:t>
      </w:r>
      <w:r w:rsidR="00FD75B9" w:rsidRPr="00A06F1E">
        <w:lastRenderedPageBreak/>
        <w:t>practices the teacher should continue. However, only five evaluations included feedback indicating areas of improvement.</w:t>
      </w:r>
    </w:p>
    <w:p w14:paraId="30D93FF5" w14:textId="3D1844E6" w:rsidR="00FD75B9" w:rsidRPr="00E45CA4" w:rsidRDefault="00FD75B9" w:rsidP="004608F7">
      <w:pPr>
        <w:pStyle w:val="BodyText"/>
      </w:pPr>
      <w:r w:rsidRPr="00A06F1E">
        <w:t>Administrat</w:t>
      </w:r>
      <w:r w:rsidR="002F1C28">
        <w:t>or</w:t>
      </w:r>
      <w:r w:rsidRPr="00A06F1E">
        <w:t xml:space="preserve"> evaluations </w:t>
      </w:r>
      <w:r w:rsidR="00976294" w:rsidRPr="00A06F1E">
        <w:t xml:space="preserve">also </w:t>
      </w:r>
      <w:r w:rsidRPr="00A06F1E">
        <w:t>are completed using Vector Solutions</w:t>
      </w:r>
      <w:r w:rsidR="001A7BBD">
        <w:t>.</w:t>
      </w:r>
      <w:r w:rsidRPr="00A06F1E">
        <w:t xml:space="preserve"> Of the two administrative district staff who were due for a summative evaluation for the 2022-2023 school year, both evaluations were available for review and complete with performance ratings and </w:t>
      </w:r>
      <w:r w:rsidR="00460242">
        <w:t xml:space="preserve">an </w:t>
      </w:r>
      <w:r w:rsidRPr="00A06F1E">
        <w:t>assessment of progress toward goals. Only one evaluation reviewed included</w:t>
      </w:r>
      <w:r w:rsidR="1633C8F8" w:rsidRPr="00A06F1E">
        <w:t xml:space="preserve"> </w:t>
      </w:r>
      <w:r w:rsidR="6F5016D7" w:rsidRPr="00A06F1E">
        <w:t>a</w:t>
      </w:r>
      <w:r w:rsidRPr="00A06F1E">
        <w:t xml:space="preserve"> student learning and professional practice SMART goal. Both evaluations reviewed included multiple sources of evidence to assess performance on summative evaluation standards.</w:t>
      </w:r>
      <w:r w:rsidR="006C1DC9" w:rsidRPr="00A06F1E">
        <w:t xml:space="preserve"> </w:t>
      </w:r>
      <w:r w:rsidRPr="00A06F1E">
        <w:t>Both summative evaluations reviewed included feedback for each standard, complete with evaluator comments with specific, actionable feedback naming each administrator</w:t>
      </w:r>
      <w:r w:rsidR="00040362" w:rsidRPr="00A06F1E">
        <w:t>’</w:t>
      </w:r>
      <w:r w:rsidRPr="00A06F1E">
        <w:t xml:space="preserve">s strengths, and neither </w:t>
      </w:r>
      <w:r w:rsidRPr="00E45CA4">
        <w:t>evaluation identified areas of improvement for administrative district staff.</w:t>
      </w:r>
    </w:p>
    <w:p w14:paraId="46539AEB" w14:textId="6AB23EE3" w:rsidR="006C1DC9" w:rsidRPr="00E45CA4" w:rsidRDefault="00FD75B9" w:rsidP="00FD75B9">
      <w:pPr>
        <w:pStyle w:val="BodyText"/>
        <w:rPr>
          <w:bdr w:val="none" w:sz="0" w:space="0" w:color="auto" w:frame="1"/>
        </w:rPr>
      </w:pPr>
      <w:r w:rsidRPr="00E45CA4">
        <w:t xml:space="preserve">Taken together, the review of teacher and administration evaluations highlights that a strength of the district is consistently </w:t>
      </w:r>
      <w:r w:rsidR="00D32949" w:rsidRPr="00E45CA4">
        <w:t>identifying</w:t>
      </w:r>
      <w:r w:rsidRPr="00E45CA4">
        <w:t xml:space="preserve"> areas of strength through the evaluation process for teachers and administrators. On the other hand, this evidence also highlights</w:t>
      </w:r>
      <w:r w:rsidR="006C1DC9" w:rsidRPr="00E45CA4">
        <w:t xml:space="preserve"> </w:t>
      </w:r>
      <w:r w:rsidR="25CF5408" w:rsidRPr="00E45CA4">
        <w:t xml:space="preserve">that </w:t>
      </w:r>
      <w:r w:rsidRPr="00E45CA4">
        <w:t xml:space="preserve">an area for growth for the </w:t>
      </w:r>
      <w:r w:rsidR="00606251">
        <w:t>superintendency union</w:t>
      </w:r>
      <w:r w:rsidR="00606251" w:rsidRPr="00E45CA4">
        <w:t xml:space="preserve"> </w:t>
      </w:r>
      <w:r w:rsidRPr="00E45CA4">
        <w:t xml:space="preserve">is articulating areas for improvement </w:t>
      </w:r>
      <w:r w:rsidRPr="00E45CA4">
        <w:rPr>
          <w:bdr w:val="none" w:sz="0" w:space="0" w:color="auto" w:frame="1"/>
        </w:rPr>
        <w:t>to support ongoing instructional and professional improvement for teachers.</w:t>
      </w:r>
    </w:p>
    <w:p w14:paraId="08701C7E" w14:textId="2E0E2961" w:rsidR="0046506C" w:rsidRPr="00A06F1E" w:rsidRDefault="0046506C" w:rsidP="004608F7">
      <w:pPr>
        <w:pStyle w:val="BodyText"/>
      </w:pPr>
      <w:r w:rsidRPr="00E45CA4">
        <w:t>A</w:t>
      </w:r>
      <w:r w:rsidR="00DC35A6">
        <w:t>nother</w:t>
      </w:r>
      <w:r w:rsidRPr="00E45CA4">
        <w:t xml:space="preserve"> strength of the district is that its planned </w:t>
      </w:r>
      <w:r w:rsidR="00D9614B" w:rsidRPr="00E45CA4">
        <w:t xml:space="preserve">professional development </w:t>
      </w:r>
      <w:r w:rsidRPr="00E45CA4">
        <w:t xml:space="preserve">activities align with its goals for academic rigor, collaboration, and community engagement. </w:t>
      </w:r>
      <w:r w:rsidR="00D9614B" w:rsidRPr="00E45CA4">
        <w:t>Professional development</w:t>
      </w:r>
      <w:r w:rsidRPr="00E45CA4">
        <w:t xml:space="preserve"> plans for </w:t>
      </w:r>
      <w:r w:rsidR="000D6A8E">
        <w:t>RCM &amp; SU 73</w:t>
      </w:r>
      <w:r w:rsidRPr="00E45CA4">
        <w:t xml:space="preserve"> emphasize continuous training for teachers, specialists, and paraeducators. Schools create an annual</w:t>
      </w:r>
      <w:r w:rsidRPr="00A06F1E">
        <w:t xml:space="preserve"> </w:t>
      </w:r>
      <w:r w:rsidR="00D9614B" w:rsidRPr="00A06F1E">
        <w:t xml:space="preserve">professional development </w:t>
      </w:r>
      <w:r w:rsidRPr="00A06F1E">
        <w:t>calendar, scheduling sessions approximately once a month, with specific focus areas varying throughout the year. The plans address key district objectives such as mental health support, writing skills enhancement, and effective teaching practices. For instance, Mahar</w:t>
      </w:r>
      <w:r w:rsidR="00CC6E96" w:rsidRPr="00A06F1E">
        <w:t xml:space="preserve"> Regional</w:t>
      </w:r>
      <w:r w:rsidR="00040362" w:rsidRPr="00A06F1E">
        <w:t>’</w:t>
      </w:r>
      <w:r w:rsidRPr="00A06F1E">
        <w:t xml:space="preserve">s schedule includes sessions on youth mental health and writing across the curriculum aligning with goals of supporting mental health and enhancing writing skills. Similarly, </w:t>
      </w:r>
      <w:r w:rsidR="00CF4F71">
        <w:t>Fisher Hill</w:t>
      </w:r>
      <w:r w:rsidR="00040362" w:rsidRPr="00A06F1E">
        <w:t>’</w:t>
      </w:r>
      <w:r w:rsidR="00CD4E20" w:rsidRPr="00A06F1E">
        <w:t xml:space="preserve">s </w:t>
      </w:r>
      <w:r w:rsidRPr="00A06F1E">
        <w:t xml:space="preserve">schedule features </w:t>
      </w:r>
      <w:r w:rsidR="00D9614B" w:rsidRPr="00A06F1E">
        <w:t xml:space="preserve">professional development </w:t>
      </w:r>
      <w:r w:rsidRPr="00A06F1E">
        <w:t xml:space="preserve">on trauma-informed practices, reading and writing, and content areas </w:t>
      </w:r>
      <w:r w:rsidR="00CC6E96" w:rsidRPr="00A06F1E">
        <w:t>such as</w:t>
      </w:r>
      <w:r w:rsidRPr="00A06F1E">
        <w:t xml:space="preserve"> science and social studies. </w:t>
      </w:r>
      <w:r w:rsidR="00CC6E96" w:rsidRPr="00A06F1E">
        <w:t>In addition</w:t>
      </w:r>
      <w:r w:rsidRPr="00A06F1E">
        <w:t xml:space="preserve">, the district offers out-of-district opportunities, with support for teachers to find sessions that align with their needs. A middle school teacher shared, </w:t>
      </w:r>
      <w:r w:rsidR="00040362" w:rsidRPr="00A06F1E">
        <w:t>“</w:t>
      </w:r>
      <w:r w:rsidRPr="00A06F1E">
        <w:t xml:space="preserve">There are out-of-district PDs </w:t>
      </w:r>
      <w:r w:rsidR="00D9614B" w:rsidRPr="00A06F1E">
        <w:t xml:space="preserve">[professional development sessions] </w:t>
      </w:r>
      <w:r w:rsidRPr="00A06F1E">
        <w:t xml:space="preserve">often offered throughout the year. [The </w:t>
      </w:r>
      <w:r w:rsidR="000A002D" w:rsidRPr="00A06F1E">
        <w:t>d</w:t>
      </w:r>
      <w:r w:rsidRPr="00A06F1E">
        <w:t xml:space="preserve">irector of </w:t>
      </w:r>
      <w:r w:rsidR="000A002D" w:rsidRPr="00A06F1E">
        <w:t>c</w:t>
      </w:r>
      <w:r w:rsidRPr="00A06F1E">
        <w:t xml:space="preserve">urriculum] will send an email saying, </w:t>
      </w:r>
      <w:r w:rsidR="00040362" w:rsidRPr="00A06F1E">
        <w:t>‘</w:t>
      </w:r>
      <w:r w:rsidRPr="00A06F1E">
        <w:t>Hey, there</w:t>
      </w:r>
      <w:r w:rsidR="00040362" w:rsidRPr="00A06F1E">
        <w:t>’</w:t>
      </w:r>
      <w:r w:rsidRPr="00A06F1E">
        <w:t xml:space="preserve">s this PD </w:t>
      </w:r>
      <w:r w:rsidR="00D9614B" w:rsidRPr="00A06F1E">
        <w:t xml:space="preserve">[professional development topic] </w:t>
      </w:r>
      <w:r w:rsidRPr="00A06F1E">
        <w:t>that you might be interested in,</w:t>
      </w:r>
      <w:r w:rsidR="00040362" w:rsidRPr="00A06F1E">
        <w:t>’</w:t>
      </w:r>
      <w:r w:rsidRPr="00A06F1E">
        <w:t xml:space="preserve"> or you find your own and she supports you.</w:t>
      </w:r>
      <w:r w:rsidR="00040362" w:rsidRPr="00A06F1E">
        <w:t>”</w:t>
      </w:r>
    </w:p>
    <w:p w14:paraId="6A50134E" w14:textId="38FE1A1A" w:rsidR="006C1DC9" w:rsidRPr="00E45CA4" w:rsidRDefault="000D6A8E" w:rsidP="004608F7">
      <w:pPr>
        <w:pStyle w:val="BodyText"/>
      </w:pPr>
      <w:r>
        <w:t>RCM &amp; SU 73</w:t>
      </w:r>
      <w:r w:rsidR="009372E4" w:rsidRPr="00A06F1E">
        <w:t xml:space="preserve"> leaders explained that one of their professional development goals for next year is to determine how to best implement curriculum support at the elementary level. For instance, one central office leader shared that the superintendency union has offered specific academic training for reading instruction and that teachers independently complete training for different academic disciplines. Central office leaders also explained that although the implementation of curricula is expected, curricula training attendance has been low because trainings occur before the start of the school year, at the end of the school day, or during district professional development days, which are one half-day per month. One central office leader added that at the elementary level, teachers receive the most support from their grade-level peers and that some teachers started the school year without having training for newly purchased curricula. </w:t>
      </w:r>
      <w:proofErr w:type="spellStart"/>
      <w:r w:rsidR="00652B48">
        <w:t>Petersham</w:t>
      </w:r>
      <w:proofErr w:type="spellEnd"/>
      <w:r w:rsidR="00652B48">
        <w:t xml:space="preserve"> Center</w:t>
      </w:r>
      <w:r w:rsidR="009372E4" w:rsidRPr="00A06F1E">
        <w:t xml:space="preserve"> teachers commented on the </w:t>
      </w:r>
      <w:r w:rsidR="009372E4" w:rsidRPr="00A06F1E">
        <w:lastRenderedPageBreak/>
        <w:t xml:space="preserve">structure of professional development, explaining that curriculum coordinators and literacy coaches offer support by modeling lessons. </w:t>
      </w:r>
    </w:p>
    <w:p w14:paraId="0171F90E" w14:textId="4060B835" w:rsidR="003532D3" w:rsidRPr="00E45CA4" w:rsidRDefault="0044677E" w:rsidP="004608F7">
      <w:pPr>
        <w:pStyle w:val="BodyText"/>
      </w:pPr>
      <w:r w:rsidRPr="00E45CA4">
        <w:t xml:space="preserve">Instructional staff </w:t>
      </w:r>
      <w:r w:rsidR="005033BC" w:rsidRPr="00E45CA4">
        <w:t>who</w:t>
      </w:r>
      <w:r w:rsidRPr="00E45CA4">
        <w:t xml:space="preserve"> are new to the district engage in onboarding processes </w:t>
      </w:r>
      <w:r w:rsidR="00323C1A" w:rsidRPr="00E45CA4">
        <w:t>that</w:t>
      </w:r>
      <w:r w:rsidRPr="00E45CA4">
        <w:t xml:space="preserve"> include initial administrative tasks and introductions, followed by building-specific orientation activities. Mentoring of new teachers is a continuous support system </w:t>
      </w:r>
      <w:r w:rsidR="00323C1A" w:rsidRPr="00E45CA4">
        <w:t xml:space="preserve">in which </w:t>
      </w:r>
      <w:r w:rsidRPr="00E45CA4">
        <w:t xml:space="preserve">new teachers are assigned mentors who meet monthly and are available for additional support as needed. As one teacher mentioned, </w:t>
      </w:r>
      <w:r w:rsidR="00040362" w:rsidRPr="00E45CA4">
        <w:t>“</w:t>
      </w:r>
      <w:r w:rsidRPr="00E45CA4">
        <w:t>[My mentee and I] meet monthly. And on top of that, whenever we need to.</w:t>
      </w:r>
      <w:r w:rsidR="00040362" w:rsidRPr="00E45CA4">
        <w:t>”</w:t>
      </w:r>
      <w:r w:rsidRPr="00E45CA4">
        <w:t xml:space="preserve"> However, elementary teachers noted that, </w:t>
      </w:r>
      <w:r w:rsidR="00F86844" w:rsidRPr="00E45CA4">
        <w:t xml:space="preserve">although </w:t>
      </w:r>
      <w:r w:rsidRPr="00E45CA4">
        <w:t xml:space="preserve">experienced teachers are asked to support new teachers, </w:t>
      </w:r>
      <w:r w:rsidR="00040362" w:rsidRPr="00E45CA4">
        <w:t>“</w:t>
      </w:r>
      <w:r w:rsidRPr="00E45CA4">
        <w:t>there</w:t>
      </w:r>
      <w:r w:rsidR="00040362" w:rsidRPr="00E45CA4">
        <w:t>’</w:t>
      </w:r>
      <w:r w:rsidRPr="00E45CA4">
        <w:t xml:space="preserve">s no </w:t>
      </w:r>
      <w:r w:rsidR="007579AA" w:rsidRPr="00E45CA4">
        <w:t xml:space="preserve">[formal] </w:t>
      </w:r>
      <w:r w:rsidRPr="00E45CA4">
        <w:t>role for that</w:t>
      </w:r>
      <w:r w:rsidR="00040362" w:rsidRPr="00E45CA4">
        <w:t>”</w:t>
      </w:r>
      <w:r w:rsidRPr="00E45CA4">
        <w:t xml:space="preserve"> and </w:t>
      </w:r>
      <w:r w:rsidR="00040362" w:rsidRPr="00E45CA4">
        <w:t>“</w:t>
      </w:r>
      <w:r w:rsidRPr="00E45CA4">
        <w:t>nobody following through on that.</w:t>
      </w:r>
      <w:r w:rsidR="00040362" w:rsidRPr="00E45CA4">
        <w:t>”</w:t>
      </w:r>
      <w:r w:rsidRPr="00E45CA4">
        <w:t xml:space="preserve"> </w:t>
      </w:r>
      <w:r w:rsidR="00F86844" w:rsidRPr="00E45CA4">
        <w:t>In addition</w:t>
      </w:r>
      <w:r w:rsidRPr="00E45CA4">
        <w:t xml:space="preserve">, the support was voluntary, resulting in inconsistent participation: </w:t>
      </w:r>
      <w:r w:rsidR="00040362" w:rsidRPr="00E45CA4">
        <w:t>“</w:t>
      </w:r>
      <w:r w:rsidRPr="00E45CA4">
        <w:t>Some teachers came</w:t>
      </w:r>
      <w:r w:rsidR="00F86844" w:rsidRPr="00E45CA4">
        <w:t>;</w:t>
      </w:r>
      <w:r w:rsidRPr="00E45CA4">
        <w:t xml:space="preserve"> some teachers did not come.</w:t>
      </w:r>
      <w:r w:rsidR="00040362" w:rsidRPr="00E45CA4">
        <w:t>”</w:t>
      </w:r>
      <w:r w:rsidR="00770DEF" w:rsidRPr="00E45CA4">
        <w:t xml:space="preserve"> Therefore, a</w:t>
      </w:r>
      <w:r w:rsidR="00B26D28" w:rsidRPr="00E45CA4">
        <w:t xml:space="preserve">nother area for district growth is expanding mentoring support for new teachers to include </w:t>
      </w:r>
      <w:r w:rsidR="007579AA" w:rsidRPr="00E45CA4">
        <w:t xml:space="preserve">more formal and structured roles for </w:t>
      </w:r>
      <w:r w:rsidR="00B26D28" w:rsidRPr="00E45CA4">
        <w:t>elementary school teachers</w:t>
      </w:r>
      <w:r w:rsidR="00FF3921">
        <w:t>, since more structured mentoring</w:t>
      </w:r>
      <w:r w:rsidR="00344246">
        <w:t xml:space="preserve"> appears to be available</w:t>
      </w:r>
      <w:r w:rsidR="00B26D28" w:rsidRPr="00E45CA4">
        <w:t xml:space="preserve"> </w:t>
      </w:r>
      <w:r w:rsidR="00BE62FA" w:rsidRPr="00E45CA4">
        <w:t xml:space="preserve">only </w:t>
      </w:r>
      <w:r w:rsidR="00B26D28" w:rsidRPr="00E45CA4">
        <w:t xml:space="preserve">to middle and high school teachers. </w:t>
      </w:r>
    </w:p>
    <w:p w14:paraId="3DA5DF89" w14:textId="0705B80A" w:rsidR="00B827DE" w:rsidRPr="00E45CA4" w:rsidRDefault="00B827DE" w:rsidP="004608F7">
      <w:pPr>
        <w:pStyle w:val="Heading3"/>
      </w:pPr>
      <w:r w:rsidRPr="00E45CA4">
        <w:t>Recognition, Leadership Development, and Advancement</w:t>
      </w:r>
    </w:p>
    <w:p w14:paraId="603AC7BA" w14:textId="2AFC520A" w:rsidR="006C1DC9" w:rsidRPr="00E45CA4" w:rsidRDefault="180E350E" w:rsidP="004608F7">
      <w:pPr>
        <w:pStyle w:val="BodyTextposthead"/>
      </w:pPr>
      <w:r>
        <w:t xml:space="preserve">Across the schools in </w:t>
      </w:r>
      <w:r w:rsidR="000D6A8E">
        <w:t>RCM &amp; SU 73</w:t>
      </w:r>
      <w:r>
        <w:t>, there are some leadership opportunit</w:t>
      </w:r>
      <w:r w:rsidR="00D9504B">
        <w:t>i</w:t>
      </w:r>
      <w:r>
        <w:t>es</w:t>
      </w:r>
      <w:r w:rsidR="00F343E5">
        <w:t xml:space="preserve"> for teachers</w:t>
      </w:r>
      <w:r>
        <w:t xml:space="preserve">, but these are limited. </w:t>
      </w:r>
      <w:r w:rsidR="00367FC7" w:rsidRPr="00E45CA4">
        <w:t>Some teachers presently act as coordinators, engaging in monthly meetings with principals and other administrators to discuss updates and initiatives</w:t>
      </w:r>
      <w:r w:rsidR="00FD37CA" w:rsidRPr="00E45CA4">
        <w:t>, which is a strength.</w:t>
      </w:r>
      <w:r w:rsidR="003A77D4" w:rsidRPr="00E45CA4">
        <w:t xml:space="preserve"> </w:t>
      </w:r>
      <w:r w:rsidR="00810F8B" w:rsidRPr="00E45CA4">
        <w:t>C</w:t>
      </w:r>
      <w:r w:rsidR="00367FC7" w:rsidRPr="00E45CA4">
        <w:t>oordinators facilitate department meetings and lead discussions about curricul</w:t>
      </w:r>
      <w:r w:rsidR="00BE62FA" w:rsidRPr="00E45CA4">
        <w:t>a</w:t>
      </w:r>
      <w:r w:rsidR="00367FC7" w:rsidRPr="00E45CA4">
        <w:t xml:space="preserve"> and other school-related matters. A middle school teacher explained,</w:t>
      </w:r>
    </w:p>
    <w:p w14:paraId="0391175C" w14:textId="35AA83FE" w:rsidR="00367FC7" w:rsidRPr="00E45CA4" w:rsidRDefault="00367FC7" w:rsidP="004608F7">
      <w:pPr>
        <w:pStyle w:val="BlockQuote"/>
      </w:pPr>
      <w:r w:rsidRPr="00E45CA4">
        <w:t>Each department has a designated teacher who</w:t>
      </w:r>
      <w:r w:rsidR="00262F1C" w:rsidRPr="00E45CA4">
        <w:t> . . .</w:t>
      </w:r>
      <w:r w:rsidRPr="00E45CA4">
        <w:t xml:space="preserve"> go[es] to monthly meetings to hear updates from the principal and different admin and initiatives from the superintendent. And then anything that needs to be brainstormed, that [meeting] is like a think tank. And then we run department meetings. As part of that, each group department breaks off and shares updates from the coordinator</w:t>
      </w:r>
      <w:r w:rsidR="00040362" w:rsidRPr="00E45CA4">
        <w:t>’</w:t>
      </w:r>
      <w:r w:rsidRPr="00E45CA4">
        <w:t>s meeting.</w:t>
      </w:r>
    </w:p>
    <w:p w14:paraId="7039E1DC" w14:textId="69F92081" w:rsidR="00367FC7" w:rsidRPr="00E45CA4" w:rsidRDefault="00367FC7" w:rsidP="004608F7">
      <w:pPr>
        <w:pStyle w:val="BodyText"/>
      </w:pPr>
      <w:r w:rsidRPr="00E45CA4">
        <w:t xml:space="preserve">In addition, a high school teacher explained that </w:t>
      </w:r>
      <w:r w:rsidR="001B2C86">
        <w:t>coordinators carry out</w:t>
      </w:r>
      <w:r w:rsidRPr="00E45CA4">
        <w:t xml:space="preserve"> evaluations, emphasizing that teachers interact with their coordinators </w:t>
      </w:r>
      <w:r w:rsidR="001A7F26">
        <w:t>regularly</w:t>
      </w:r>
      <w:r w:rsidR="001A7F26" w:rsidRPr="00E45CA4">
        <w:t xml:space="preserve"> </w:t>
      </w:r>
      <w:r w:rsidRPr="00E45CA4">
        <w:t>in their classrooms, showcasing their regular engagement with other teachers.</w:t>
      </w:r>
    </w:p>
    <w:p w14:paraId="779AB306" w14:textId="4D994A92" w:rsidR="00367FC7" w:rsidRPr="00E45CA4" w:rsidRDefault="00367FC7" w:rsidP="004608F7">
      <w:pPr>
        <w:pStyle w:val="BodyText"/>
      </w:pPr>
      <w:r w:rsidRPr="00E45CA4">
        <w:t xml:space="preserve">Elementary school teachers receive annual emails inviting them to take charge of </w:t>
      </w:r>
      <w:r w:rsidR="00C644EF" w:rsidRPr="00E45CA4">
        <w:t xml:space="preserve">coordinating </w:t>
      </w:r>
      <w:r w:rsidRPr="00E45CA4">
        <w:t xml:space="preserve">summer school programs. This </w:t>
      </w:r>
      <w:r w:rsidR="00C644EF" w:rsidRPr="00E45CA4">
        <w:t xml:space="preserve">invitation </w:t>
      </w:r>
      <w:r w:rsidRPr="00E45CA4">
        <w:t xml:space="preserve">is open to all teachers and involves a selection process. Teachers can develop and implement enrichment programs that are open to anyone in the building: </w:t>
      </w:r>
      <w:r w:rsidR="00040362" w:rsidRPr="00E45CA4">
        <w:t>“</w:t>
      </w:r>
      <w:r w:rsidR="00935B88" w:rsidRPr="00E45CA4">
        <w:t>t</w:t>
      </w:r>
      <w:r w:rsidRPr="00E45CA4">
        <w:t>he creation of a jumpstart program for February and April that</w:t>
      </w:r>
      <w:r w:rsidR="00040362" w:rsidRPr="00E45CA4">
        <w:t>’</w:t>
      </w:r>
      <w:r w:rsidRPr="00E45CA4">
        <w:t>s offered to anyone in the building.</w:t>
      </w:r>
      <w:r w:rsidR="00040362" w:rsidRPr="00E45CA4">
        <w:t>”</w:t>
      </w:r>
    </w:p>
    <w:p w14:paraId="04D2E1FF" w14:textId="268ECEB6" w:rsidR="00367FC7" w:rsidRPr="00A06F1E" w:rsidRDefault="00C644EF" w:rsidP="004608F7">
      <w:pPr>
        <w:pStyle w:val="BodyText"/>
      </w:pPr>
      <w:r w:rsidRPr="00E45CA4">
        <w:t xml:space="preserve">However, teachers in the </w:t>
      </w:r>
      <w:r w:rsidR="003A16A0">
        <w:t>superintendency union</w:t>
      </w:r>
      <w:r w:rsidRPr="00E45CA4">
        <w:t xml:space="preserve"> reported having limited opportunities to take on other leadership roles</w:t>
      </w:r>
      <w:r w:rsidR="663ABC45">
        <w:t xml:space="preserve"> or formal recognition</w:t>
      </w:r>
      <w:r w:rsidRPr="00E45CA4">
        <w:t xml:space="preserve">, presenting an area for potential growth. </w:t>
      </w:r>
      <w:r w:rsidR="00367FC7" w:rsidRPr="00E45CA4">
        <w:t>Elementary school teachers expressed significant concerns about the lack of leadership opportunities and the negative reception to volunteering or suggesting new ideas</w:t>
      </w:r>
      <w:r w:rsidR="63DC4D9C" w:rsidRPr="00E45CA4">
        <w:t xml:space="preserve">, a sentiment that was more prevalent at </w:t>
      </w:r>
      <w:r w:rsidR="00CF4F71">
        <w:t>Fisher Hill</w:t>
      </w:r>
      <w:r w:rsidR="63DC4D9C" w:rsidRPr="00E45CA4">
        <w:t xml:space="preserve"> than </w:t>
      </w:r>
      <w:proofErr w:type="spellStart"/>
      <w:r w:rsidR="00652B48">
        <w:t>Petersham</w:t>
      </w:r>
      <w:proofErr w:type="spellEnd"/>
      <w:r w:rsidR="00652B48">
        <w:t xml:space="preserve"> Center</w:t>
      </w:r>
      <w:r w:rsidR="5AB11305" w:rsidRPr="00E45CA4">
        <w:t>.</w:t>
      </w:r>
      <w:r w:rsidR="00367FC7" w:rsidRPr="00E45CA4">
        <w:t xml:space="preserve"> One teacher noted, </w:t>
      </w:r>
      <w:r w:rsidR="00040362" w:rsidRPr="00E45CA4">
        <w:t>“</w:t>
      </w:r>
      <w:r w:rsidR="00367FC7" w:rsidRPr="00E45CA4">
        <w:t>You can</w:t>
      </w:r>
      <w:r w:rsidR="00040362" w:rsidRPr="00E45CA4">
        <w:t>’</w:t>
      </w:r>
      <w:r w:rsidR="00367FC7" w:rsidRPr="00E45CA4">
        <w:t>t volunteer to do something because it will not be received well,</w:t>
      </w:r>
      <w:r w:rsidR="00040362" w:rsidRPr="00E45CA4">
        <w:t>”</w:t>
      </w:r>
      <w:r w:rsidR="00367FC7" w:rsidRPr="00E45CA4">
        <w:t xml:space="preserve"> highlighting </w:t>
      </w:r>
      <w:r w:rsidR="6DB5098F" w:rsidRPr="00E45CA4">
        <w:t xml:space="preserve">the lack of receptiveness </w:t>
      </w:r>
      <w:r w:rsidR="00367FC7" w:rsidRPr="00E45CA4">
        <w:t xml:space="preserve">for those who wish to take initiative. Another teacher echoed this sentiment, saying, </w:t>
      </w:r>
      <w:r w:rsidR="00040362" w:rsidRPr="00E45CA4">
        <w:t>“</w:t>
      </w:r>
      <w:r w:rsidR="00367FC7" w:rsidRPr="00E45CA4">
        <w:t>You can</w:t>
      </w:r>
      <w:r w:rsidR="00040362" w:rsidRPr="00E45CA4">
        <w:t>’</w:t>
      </w:r>
      <w:r w:rsidR="00367FC7" w:rsidRPr="00E45CA4">
        <w:t>t suggest anything,</w:t>
      </w:r>
      <w:r w:rsidR="00040362" w:rsidRPr="00E45CA4">
        <w:t>”</w:t>
      </w:r>
      <w:r w:rsidR="00367FC7" w:rsidRPr="00E45CA4">
        <w:t xml:space="preserve"> emphasizing the difficulty in proposing new ideas or changes.</w:t>
      </w:r>
      <w:r w:rsidR="63FB8814">
        <w:t xml:space="preserve"> </w:t>
      </w:r>
      <w:r w:rsidR="4D094155">
        <w:t xml:space="preserve">A teacher representative also said that there were </w:t>
      </w:r>
      <w:r w:rsidR="41BD03C1">
        <w:t xml:space="preserve">limited opportunities to help determine school approaches and priorities, but they could request </w:t>
      </w:r>
      <w:r w:rsidR="41BD03C1">
        <w:lastRenderedPageBreak/>
        <w:t xml:space="preserve">individual professional development opportunities. </w:t>
      </w:r>
      <w:r w:rsidR="63FB8814">
        <w:t>Similar</w:t>
      </w:r>
      <w:r w:rsidR="003E5391">
        <w:t>l</w:t>
      </w:r>
      <w:r w:rsidR="63FB8814">
        <w:t>y, a</w:t>
      </w:r>
      <w:r w:rsidR="7B5CCF51">
        <w:t>nother</w:t>
      </w:r>
      <w:r w:rsidR="63FB8814">
        <w:t xml:space="preserve"> teacher representative said that, while they were aware of a colleague who received a recent regional award, they were not aware of any formal criteria</w:t>
      </w:r>
      <w:r w:rsidR="5C7D6C30">
        <w:t xml:space="preserve"> in their district for recognizing excellence in teaching, saying “I don’t think we have anything specific to our district.” </w:t>
      </w:r>
    </w:p>
    <w:p w14:paraId="010626EC" w14:textId="77777777" w:rsidR="002B4CEF" w:rsidRPr="00A06F1E" w:rsidRDefault="002B4CEF" w:rsidP="002B4CEF">
      <w:pPr>
        <w:pStyle w:val="Heading3"/>
      </w:pPr>
      <w:r w:rsidRPr="00A06F1E">
        <w:t>DESE Recommendations</w:t>
      </w:r>
    </w:p>
    <w:p w14:paraId="6D2B53D0" w14:textId="326114A2" w:rsidR="00F04537" w:rsidRPr="008022BA" w:rsidRDefault="00F04537" w:rsidP="002B4CEF">
      <w:pPr>
        <w:pStyle w:val="Bullet1"/>
        <w:rPr>
          <w:i/>
        </w:rPr>
      </w:pPr>
      <w:r w:rsidRPr="008022BA">
        <w:rPr>
          <w:i/>
        </w:rPr>
        <w:t>The superintendency union should</w:t>
      </w:r>
      <w:r w:rsidR="00764652" w:rsidRPr="008022BA">
        <w:rPr>
          <w:i/>
        </w:rPr>
        <w:t xml:space="preserve"> </w:t>
      </w:r>
      <w:r w:rsidR="00083CFA">
        <w:rPr>
          <w:i/>
        </w:rPr>
        <w:t xml:space="preserve">annually review the full timeline of its </w:t>
      </w:r>
      <w:r w:rsidR="00B22621">
        <w:rPr>
          <w:i/>
        </w:rPr>
        <w:t xml:space="preserve">teacher </w:t>
      </w:r>
      <w:r w:rsidR="00083CFA">
        <w:rPr>
          <w:i/>
        </w:rPr>
        <w:t xml:space="preserve">hiring and assignment process, </w:t>
      </w:r>
      <w:r w:rsidR="00AC678B">
        <w:rPr>
          <w:i/>
        </w:rPr>
        <w:t xml:space="preserve">with an eye </w:t>
      </w:r>
      <w:r w:rsidR="00250930">
        <w:rPr>
          <w:i/>
        </w:rPr>
        <w:t>toward</w:t>
      </w:r>
      <w:r w:rsidR="00AC678B">
        <w:rPr>
          <w:i/>
        </w:rPr>
        <w:t xml:space="preserve"> the timing of the budget process, </w:t>
      </w:r>
      <w:r w:rsidR="00083CFA">
        <w:rPr>
          <w:i/>
        </w:rPr>
        <w:t>identify</w:t>
      </w:r>
      <w:r w:rsidR="00AC678B">
        <w:rPr>
          <w:i/>
        </w:rPr>
        <w:t>ing</w:t>
      </w:r>
      <w:r w:rsidR="00083CFA">
        <w:rPr>
          <w:i/>
        </w:rPr>
        <w:t xml:space="preserve"> </w:t>
      </w:r>
      <w:r w:rsidR="00F40387">
        <w:rPr>
          <w:i/>
        </w:rPr>
        <w:t xml:space="preserve">staff departures </w:t>
      </w:r>
      <w:r w:rsidR="00083CFA">
        <w:rPr>
          <w:i/>
        </w:rPr>
        <w:t>earlier</w:t>
      </w:r>
      <w:r w:rsidR="00AC678B">
        <w:rPr>
          <w:i/>
        </w:rPr>
        <w:t xml:space="preserve">, and </w:t>
      </w:r>
      <w:r w:rsidR="00250930">
        <w:rPr>
          <w:i/>
        </w:rPr>
        <w:t xml:space="preserve">assigning staff </w:t>
      </w:r>
      <w:r w:rsidR="00664095">
        <w:rPr>
          <w:i/>
        </w:rPr>
        <w:t>in specialized areas</w:t>
      </w:r>
      <w:r w:rsidR="008022BA" w:rsidRPr="008022BA">
        <w:rPr>
          <w:bCs/>
          <w:i/>
          <w:iCs/>
        </w:rPr>
        <w:t>.</w:t>
      </w:r>
      <w:r w:rsidR="00C647DD" w:rsidRPr="008022BA">
        <w:rPr>
          <w:i/>
        </w:rPr>
        <w:t xml:space="preserve"> </w:t>
      </w:r>
    </w:p>
    <w:p w14:paraId="7898BE89" w14:textId="3B1CD9C8" w:rsidR="00D94E2A" w:rsidRPr="00A5454E" w:rsidRDefault="00D94E2A" w:rsidP="002451CF">
      <w:pPr>
        <w:pStyle w:val="Bullet1"/>
        <w:rPr>
          <w:bCs/>
          <w:i/>
          <w:iCs/>
        </w:rPr>
      </w:pPr>
      <w:r w:rsidRPr="00A5454E">
        <w:rPr>
          <w:bCs/>
          <w:i/>
          <w:iCs/>
        </w:rPr>
        <w:t xml:space="preserve">The superintendency union should </w:t>
      </w:r>
      <w:r w:rsidR="00AB1E58">
        <w:rPr>
          <w:bCs/>
          <w:i/>
          <w:iCs/>
        </w:rPr>
        <w:t xml:space="preserve">provide </w:t>
      </w:r>
      <w:r w:rsidR="00E42DDC">
        <w:rPr>
          <w:bCs/>
          <w:i/>
          <w:iCs/>
        </w:rPr>
        <w:t xml:space="preserve">additional </w:t>
      </w:r>
      <w:r w:rsidR="0047161D">
        <w:rPr>
          <w:bCs/>
          <w:i/>
          <w:iCs/>
        </w:rPr>
        <w:t>information, data, and resources</w:t>
      </w:r>
      <w:r w:rsidR="00AB1E58">
        <w:rPr>
          <w:bCs/>
          <w:i/>
          <w:iCs/>
        </w:rPr>
        <w:t xml:space="preserve"> to help teachers</w:t>
      </w:r>
      <w:r w:rsidRPr="00A5454E">
        <w:rPr>
          <w:bCs/>
          <w:i/>
          <w:iCs/>
        </w:rPr>
        <w:t xml:space="preserve"> understand and </w:t>
      </w:r>
      <w:r w:rsidR="0047161D">
        <w:rPr>
          <w:bCs/>
          <w:i/>
          <w:iCs/>
        </w:rPr>
        <w:t xml:space="preserve">gain confidence in </w:t>
      </w:r>
      <w:r w:rsidR="00F13C74" w:rsidRPr="00A5454E">
        <w:rPr>
          <w:bCs/>
          <w:i/>
          <w:iCs/>
        </w:rPr>
        <w:t>the evaluation process</w:t>
      </w:r>
      <w:r w:rsidR="00AB1E58">
        <w:rPr>
          <w:bCs/>
          <w:i/>
          <w:iCs/>
        </w:rPr>
        <w:t xml:space="preserve">. </w:t>
      </w:r>
    </w:p>
    <w:p w14:paraId="05C9A773" w14:textId="51614C0A" w:rsidR="002451CF" w:rsidRPr="00AB002F" w:rsidRDefault="00460560" w:rsidP="002451CF">
      <w:pPr>
        <w:pStyle w:val="Bullet1"/>
        <w:rPr>
          <w:bCs/>
        </w:rPr>
      </w:pPr>
      <w:r>
        <w:rPr>
          <w:bCs/>
          <w:i/>
          <w:iCs/>
        </w:rPr>
        <w:t xml:space="preserve">The superintendency union </w:t>
      </w:r>
      <w:r w:rsidR="008676BC">
        <w:rPr>
          <w:bCs/>
          <w:i/>
          <w:iCs/>
        </w:rPr>
        <w:t>should</w:t>
      </w:r>
      <w:r w:rsidR="00E836A2">
        <w:rPr>
          <w:bCs/>
          <w:i/>
          <w:iCs/>
        </w:rPr>
        <w:t xml:space="preserve"> </w:t>
      </w:r>
      <w:r w:rsidR="00717964">
        <w:rPr>
          <w:bCs/>
          <w:i/>
          <w:iCs/>
        </w:rPr>
        <w:t xml:space="preserve">set expectations for all evaluators to include positive and constructive feedback in all </w:t>
      </w:r>
      <w:r w:rsidR="008676BC">
        <w:rPr>
          <w:bCs/>
          <w:i/>
          <w:iCs/>
        </w:rPr>
        <w:t>teacher and administrative evaluations</w:t>
      </w:r>
      <w:r w:rsidR="00717964">
        <w:rPr>
          <w:bCs/>
          <w:i/>
          <w:iCs/>
        </w:rPr>
        <w:t>.</w:t>
      </w:r>
    </w:p>
    <w:p w14:paraId="4BA6AD7B" w14:textId="7440634F" w:rsidR="008022BA" w:rsidRPr="008022BA" w:rsidRDefault="00847490" w:rsidP="002B4CEF">
      <w:pPr>
        <w:pStyle w:val="Bullet1"/>
        <w:rPr>
          <w:bCs/>
          <w:i/>
          <w:iCs/>
        </w:rPr>
      </w:pPr>
      <w:r>
        <w:rPr>
          <w:bCs/>
          <w:i/>
          <w:iCs/>
        </w:rPr>
        <w:t xml:space="preserve">The superintendency union should </w:t>
      </w:r>
      <w:r w:rsidR="00B47B43">
        <w:rPr>
          <w:bCs/>
          <w:i/>
          <w:iCs/>
        </w:rPr>
        <w:t>establish a f</w:t>
      </w:r>
      <w:r w:rsidR="00AE70B8">
        <w:rPr>
          <w:bCs/>
          <w:i/>
          <w:iCs/>
        </w:rPr>
        <w:t xml:space="preserve">ormalized teacher mentoring program </w:t>
      </w:r>
      <w:r w:rsidR="003A4C90">
        <w:rPr>
          <w:bCs/>
          <w:i/>
          <w:iCs/>
        </w:rPr>
        <w:t>at the elementary level</w:t>
      </w:r>
      <w:r w:rsidR="00132176">
        <w:rPr>
          <w:bCs/>
          <w:i/>
          <w:iCs/>
        </w:rPr>
        <w:t xml:space="preserve"> that aligns with </w:t>
      </w:r>
      <w:hyperlink r:id="rId25" w:history="1">
        <w:r w:rsidR="00034A5A" w:rsidRPr="00034A5A">
          <w:rPr>
            <w:rStyle w:val="Hyperlink"/>
            <w:bCs/>
            <w:i/>
            <w:iCs/>
          </w:rPr>
          <w:t>state guidelines</w:t>
        </w:r>
      </w:hyperlink>
      <w:r w:rsidR="003A4C90">
        <w:rPr>
          <w:bCs/>
          <w:i/>
          <w:iCs/>
        </w:rPr>
        <w:t xml:space="preserve">. </w:t>
      </w:r>
    </w:p>
    <w:p w14:paraId="3B99BCD8" w14:textId="05EF8C2A" w:rsidR="003A4C90" w:rsidRPr="008022BA" w:rsidRDefault="00DB1268" w:rsidP="002B4CEF">
      <w:pPr>
        <w:pStyle w:val="Bullet1"/>
        <w:rPr>
          <w:bCs/>
          <w:i/>
          <w:iCs/>
        </w:rPr>
      </w:pPr>
      <w:r>
        <w:rPr>
          <w:bCs/>
          <w:i/>
          <w:iCs/>
        </w:rPr>
        <w:t xml:space="preserve">The superintendency union should work with school leaders to identify </w:t>
      </w:r>
      <w:r w:rsidR="006D7AAA">
        <w:rPr>
          <w:bCs/>
          <w:i/>
          <w:iCs/>
        </w:rPr>
        <w:t xml:space="preserve">and develop </w:t>
      </w:r>
      <w:r>
        <w:rPr>
          <w:bCs/>
          <w:i/>
          <w:iCs/>
        </w:rPr>
        <w:t>opportunities for distributed leadership and teache</w:t>
      </w:r>
      <w:r w:rsidR="006D7AAA">
        <w:rPr>
          <w:bCs/>
          <w:i/>
          <w:iCs/>
        </w:rPr>
        <w:t>r</w:t>
      </w:r>
      <w:r w:rsidR="005111D1">
        <w:rPr>
          <w:bCs/>
          <w:i/>
          <w:iCs/>
        </w:rPr>
        <w:t xml:space="preserve">-led initiatives across all schools. </w:t>
      </w:r>
    </w:p>
    <w:p w14:paraId="77600101" w14:textId="77777777" w:rsidR="008D6102" w:rsidRPr="00A06F1E" w:rsidRDefault="008D6102" w:rsidP="008D6102">
      <w:pPr>
        <w:spacing w:line="240" w:lineRule="auto"/>
        <w:rPr>
          <w:bCs/>
        </w:rPr>
      </w:pPr>
      <w:r w:rsidRPr="00A06F1E">
        <w:rPr>
          <w:bCs/>
        </w:rPr>
        <w:br w:type="page"/>
      </w:r>
    </w:p>
    <w:p w14:paraId="3913897C" w14:textId="77777777" w:rsidR="008D6102" w:rsidRPr="00A06F1E" w:rsidRDefault="008D6102" w:rsidP="008D6102">
      <w:pPr>
        <w:pStyle w:val="Heading2"/>
      </w:pPr>
      <w:bookmarkStart w:id="54" w:name="_Student_Support"/>
      <w:bookmarkStart w:id="55" w:name="_Toc101446231"/>
      <w:bookmarkStart w:id="56" w:name="_Toc170701358"/>
      <w:bookmarkStart w:id="57" w:name="_Toc170896581"/>
      <w:bookmarkEnd w:id="54"/>
      <w:r w:rsidRPr="00A06F1E">
        <w:lastRenderedPageBreak/>
        <w:t>Student Support</w:t>
      </w:r>
      <w:bookmarkEnd w:id="55"/>
      <w:bookmarkEnd w:id="56"/>
      <w:bookmarkEnd w:id="57"/>
    </w:p>
    <w:p w14:paraId="35EB8366" w14:textId="141B71A6" w:rsidR="008F4310" w:rsidRPr="00A06F1E" w:rsidRDefault="000D6A8E" w:rsidP="004608F7">
      <w:pPr>
        <w:pStyle w:val="BodyText"/>
        <w:rPr>
          <w:color w:val="000000"/>
          <w:shd w:val="clear" w:color="auto" w:fill="FFFFFF"/>
        </w:rPr>
      </w:pPr>
      <w:bookmarkStart w:id="58" w:name="_Toc101446232"/>
      <w:bookmarkEnd w:id="25"/>
      <w:r>
        <w:t>RCM &amp; SU 73</w:t>
      </w:r>
      <w:r w:rsidR="008F4310" w:rsidRPr="00A06F1E">
        <w:t xml:space="preserve"> has structures and systems in place to support the academic, behavioral, and social-emotional needs of students. Thes</w:t>
      </w:r>
      <w:r w:rsidR="00732331">
        <w:t xml:space="preserve">e include </w:t>
      </w:r>
      <w:r w:rsidR="00192A66" w:rsidRPr="00A06F1E">
        <w:t xml:space="preserve">systems </w:t>
      </w:r>
      <w:r w:rsidR="004208EB" w:rsidRPr="00A06F1E">
        <w:rPr>
          <w:color w:val="000000"/>
          <w:shd w:val="clear" w:color="auto" w:fill="FFFFFF"/>
        </w:rPr>
        <w:t>to support data-based matching of students with evidence-based supports</w:t>
      </w:r>
      <w:r w:rsidR="00A75FCA">
        <w:rPr>
          <w:color w:val="000000"/>
          <w:shd w:val="clear" w:color="auto" w:fill="FFFFFF"/>
        </w:rPr>
        <w:t>.</w:t>
      </w:r>
      <w:r w:rsidR="004208EB" w:rsidRPr="00A06F1E" w:rsidDel="00A75FCA">
        <w:rPr>
          <w:color w:val="000000"/>
          <w:shd w:val="clear" w:color="auto" w:fill="FFFFFF"/>
        </w:rPr>
        <w:t xml:space="preserve"> </w:t>
      </w:r>
      <w:r w:rsidR="00A75FCA">
        <w:rPr>
          <w:color w:val="000000"/>
          <w:shd w:val="clear" w:color="auto" w:fill="FFFFFF"/>
        </w:rPr>
        <w:t>In addition</w:t>
      </w:r>
      <w:r w:rsidR="00101720">
        <w:rPr>
          <w:color w:val="000000"/>
          <w:shd w:val="clear" w:color="auto" w:fill="FFFFFF"/>
        </w:rPr>
        <w:t xml:space="preserve">, </w:t>
      </w:r>
      <w:r>
        <w:rPr>
          <w:color w:val="000000"/>
          <w:shd w:val="clear" w:color="auto" w:fill="FFFFFF"/>
        </w:rPr>
        <w:t>RCM &amp; SU 73</w:t>
      </w:r>
      <w:r w:rsidR="001132E3">
        <w:rPr>
          <w:color w:val="000000"/>
          <w:shd w:val="clear" w:color="auto" w:fill="FFFFFF"/>
        </w:rPr>
        <w:t xml:space="preserve"> supports</w:t>
      </w:r>
      <w:r w:rsidR="005E3B75" w:rsidRPr="00A06F1E" w:rsidDel="001132E3">
        <w:rPr>
          <w:color w:val="000000"/>
          <w:shd w:val="clear" w:color="auto" w:fill="FFFFFF"/>
        </w:rPr>
        <w:t xml:space="preserve"> </w:t>
      </w:r>
      <w:r w:rsidR="00192A66" w:rsidRPr="00A06F1E">
        <w:rPr>
          <w:color w:val="000000"/>
          <w:bdr w:val="none" w:sz="0" w:space="0" w:color="auto" w:frame="1"/>
        </w:rPr>
        <w:t>the implementation</w:t>
      </w:r>
      <w:r w:rsidR="00AA53BC" w:rsidRPr="00A06F1E">
        <w:rPr>
          <w:color w:val="000000"/>
          <w:bdr w:val="none" w:sz="0" w:space="0" w:color="auto" w:frame="1"/>
        </w:rPr>
        <w:t xml:space="preserve"> </w:t>
      </w:r>
      <w:r w:rsidR="005E3B75" w:rsidRPr="00A06F1E">
        <w:rPr>
          <w:color w:val="000000"/>
          <w:bdr w:val="none" w:sz="0" w:space="0" w:color="auto" w:frame="1"/>
        </w:rPr>
        <w:t xml:space="preserve">of </w:t>
      </w:r>
      <w:r w:rsidR="00AA53BC" w:rsidRPr="00A06F1E">
        <w:rPr>
          <w:color w:val="000000"/>
          <w:bdr w:val="none" w:sz="0" w:space="0" w:color="auto" w:frame="1"/>
        </w:rPr>
        <w:t>restorative practices such as restorative circles</w:t>
      </w:r>
      <w:r w:rsidR="005E3B75" w:rsidRPr="00A06F1E">
        <w:rPr>
          <w:color w:val="000000"/>
          <w:bdr w:val="none" w:sz="0" w:space="0" w:color="auto" w:frame="1"/>
        </w:rPr>
        <w:t xml:space="preserve">. </w:t>
      </w:r>
      <w:r w:rsidR="001D4071" w:rsidRPr="00A06F1E">
        <w:rPr>
          <w:color w:val="000000"/>
          <w:shd w:val="clear" w:color="auto" w:fill="FFFFFF"/>
        </w:rPr>
        <w:t xml:space="preserve">Each school has a </w:t>
      </w:r>
      <w:r w:rsidR="004972D0" w:rsidRPr="00A06F1E">
        <w:rPr>
          <w:color w:val="000000"/>
          <w:shd w:val="clear" w:color="auto" w:fill="FFFFFF"/>
        </w:rPr>
        <w:t>child study team</w:t>
      </w:r>
      <w:r w:rsidR="001D4071" w:rsidRPr="00A06F1E">
        <w:rPr>
          <w:color w:val="000000"/>
          <w:shd w:val="clear" w:color="auto" w:fill="FFFFFF"/>
        </w:rPr>
        <w:t xml:space="preserve"> that uses multiple sources of data to match students with evidence-based supports and services based on their unique academic, behavioral, or social needs</w:t>
      </w:r>
      <w:r w:rsidR="004972D0" w:rsidRPr="00A06F1E">
        <w:rPr>
          <w:color w:val="000000"/>
          <w:shd w:val="clear" w:color="auto" w:fill="FFFFFF"/>
        </w:rPr>
        <w:t xml:space="preserve">. </w:t>
      </w:r>
      <w:r w:rsidR="005705F5" w:rsidRPr="00A06F1E">
        <w:rPr>
          <w:color w:val="000000"/>
          <w:shd w:val="clear" w:color="auto" w:fill="FFFFFF"/>
        </w:rPr>
        <w:t>For students</w:t>
      </w:r>
      <w:r w:rsidR="00040362" w:rsidRPr="00A06F1E">
        <w:rPr>
          <w:color w:val="000000"/>
          <w:shd w:val="clear" w:color="auto" w:fill="FFFFFF"/>
        </w:rPr>
        <w:t>’</w:t>
      </w:r>
      <w:r w:rsidR="005705F5" w:rsidRPr="00A06F1E">
        <w:rPr>
          <w:color w:val="000000"/>
          <w:shd w:val="clear" w:color="auto" w:fill="FFFFFF"/>
        </w:rPr>
        <w:t xml:space="preserve"> social-emotional needs, the </w:t>
      </w:r>
      <w:r w:rsidR="00F661CE" w:rsidRPr="00A06F1E">
        <w:rPr>
          <w:color w:val="000000"/>
          <w:shd w:val="clear" w:color="auto" w:fill="FFFFFF"/>
        </w:rPr>
        <w:t>superintendency union</w:t>
      </w:r>
      <w:r w:rsidR="005705F5" w:rsidRPr="00A06F1E">
        <w:rPr>
          <w:color w:val="000000"/>
          <w:shd w:val="clear" w:color="auto" w:fill="FFFFFF"/>
        </w:rPr>
        <w:t xml:space="preserve"> has recently implemented several strategies at the elementary level including a crisis team, </w:t>
      </w:r>
      <w:r w:rsidR="00040362" w:rsidRPr="00A06F1E">
        <w:rPr>
          <w:color w:val="000000"/>
          <w:shd w:val="clear" w:color="auto" w:fill="FFFFFF"/>
        </w:rPr>
        <w:t>“</w:t>
      </w:r>
      <w:r w:rsidR="005705F5" w:rsidRPr="00A06F1E">
        <w:rPr>
          <w:color w:val="000000"/>
          <w:shd w:val="clear" w:color="auto" w:fill="FFFFFF"/>
        </w:rPr>
        <w:t>cool rooms</w:t>
      </w:r>
      <w:r w:rsidR="00040362" w:rsidRPr="00A06F1E">
        <w:rPr>
          <w:color w:val="000000"/>
          <w:shd w:val="clear" w:color="auto" w:fill="FFFFFF"/>
        </w:rPr>
        <w:t>”</w:t>
      </w:r>
      <w:r w:rsidR="005705F5" w:rsidRPr="00A06F1E">
        <w:rPr>
          <w:color w:val="000000"/>
          <w:shd w:val="clear" w:color="auto" w:fill="FFFFFF"/>
        </w:rPr>
        <w:t xml:space="preserve"> for students to de-escalate, zones of regulation lessons, and individual check-ins with students.</w:t>
      </w:r>
    </w:p>
    <w:p w14:paraId="42E75E31" w14:textId="673CE315" w:rsidR="00CE13A3" w:rsidRPr="00A06F1E" w:rsidRDefault="000D6A8E" w:rsidP="004608F7">
      <w:pPr>
        <w:pStyle w:val="BodyText"/>
      </w:pPr>
      <w:r>
        <w:rPr>
          <w:shd w:val="clear" w:color="auto" w:fill="FFFFFF"/>
        </w:rPr>
        <w:t>RCM &amp; SU 73</w:t>
      </w:r>
      <w:r w:rsidR="00CE13A3" w:rsidRPr="00A06F1E">
        <w:rPr>
          <w:shd w:val="clear" w:color="auto" w:fill="FFFFFF"/>
        </w:rPr>
        <w:t xml:space="preserve"> has several means of engaging families and communities, such as the Special Education Parent Advisory Council, parent-teacher organizations, and school site councils</w:t>
      </w:r>
      <w:r w:rsidR="004E63F3" w:rsidRPr="00A06F1E">
        <w:rPr>
          <w:shd w:val="clear" w:color="auto" w:fill="FFFFFF"/>
        </w:rPr>
        <w:t xml:space="preserve">. </w:t>
      </w:r>
      <w:r w:rsidR="00AB68D6">
        <w:rPr>
          <w:shd w:val="clear" w:color="auto" w:fill="FFFFFF"/>
        </w:rPr>
        <w:t>Local advocacy</w:t>
      </w:r>
      <w:r w:rsidR="004E63F3">
        <w:rPr>
          <w:shd w:val="clear" w:color="auto" w:fill="FFFFFF"/>
        </w:rPr>
        <w:t xml:space="preserve"> </w:t>
      </w:r>
      <w:r w:rsidR="004E63F3" w:rsidRPr="00A06F1E">
        <w:rPr>
          <w:bdr w:val="none" w:sz="0" w:space="0" w:color="auto" w:frame="1"/>
        </w:rPr>
        <w:t>groups and community organizations conduct home visits, match students to mentors, send board-certified behavior analysts into homes, and help parents structure their schedules.</w:t>
      </w:r>
      <w:r w:rsidR="00CB6831" w:rsidRPr="00A06F1E">
        <w:rPr>
          <w:bdr w:val="none" w:sz="0" w:space="0" w:color="auto" w:frame="1"/>
        </w:rPr>
        <w:t xml:space="preserve"> </w:t>
      </w:r>
      <w:r w:rsidR="7125BE0B" w:rsidRPr="00A06F1E">
        <w:rPr>
          <w:bdr w:val="none" w:sz="0" w:space="0" w:color="auto" w:frame="1"/>
        </w:rPr>
        <w:t>Specialists make referrals so students can access these means of support.</w:t>
      </w:r>
      <w:r w:rsidR="00CB6831" w:rsidRPr="00A06F1E">
        <w:rPr>
          <w:bdr w:val="none" w:sz="0" w:space="0" w:color="auto" w:frame="1"/>
        </w:rPr>
        <w:t xml:space="preserve"> </w:t>
      </w:r>
      <w:r w:rsidR="00CB6831" w:rsidRPr="00A06F1E">
        <w:rPr>
          <w:shd w:val="clear" w:color="auto" w:fill="FFFFFF"/>
        </w:rPr>
        <w:t>Moreover, each school sends out a newsletter to families that includes information about facility maintenance, parent resources, and awards given to students. </w:t>
      </w:r>
      <w:r w:rsidR="00535D39" w:rsidRPr="00A06F1E">
        <w:rPr>
          <w:shd w:val="clear" w:color="auto" w:fill="FFFFFF"/>
        </w:rPr>
        <w:t>Middle school students shared that they have been involved in the school committee and that they have opportunities to participate in school council, the National Honor Society, and JROTC, all of which provide leadership opportunities. High school students also explained that they participate in various clubs, career fairs, and the school council.</w:t>
      </w:r>
    </w:p>
    <w:p w14:paraId="7355BFE9" w14:textId="0FF2E973" w:rsidR="002C6E1C" w:rsidRPr="00A06F1E" w:rsidRDefault="002C6E1C" w:rsidP="004608F7">
      <w:pPr>
        <w:pStyle w:val="BodyText"/>
      </w:pPr>
      <w:r w:rsidRPr="00A06F1E">
        <w:t xml:space="preserve">Table </w:t>
      </w:r>
      <w:r w:rsidR="009D3EFF" w:rsidRPr="00A06F1E">
        <w:t xml:space="preserve">6 </w:t>
      </w:r>
      <w:r w:rsidRPr="00A06F1E">
        <w:t>summarizes key strengths and areas for growth in student support.</w:t>
      </w:r>
    </w:p>
    <w:p w14:paraId="0EB4E056" w14:textId="3738002B" w:rsidR="00B827DE" w:rsidRPr="00A06F1E" w:rsidRDefault="00B827DE" w:rsidP="00B827DE">
      <w:pPr>
        <w:pStyle w:val="TableTitle0"/>
      </w:pPr>
      <w:bookmarkStart w:id="59" w:name="_Toc170701905"/>
      <w:r w:rsidRPr="00A06F1E">
        <w:t xml:space="preserve">Table </w:t>
      </w:r>
      <w:r w:rsidR="009D3EFF" w:rsidRPr="00A06F1E">
        <w:t>6</w:t>
      </w:r>
      <w:r w:rsidRPr="00A06F1E">
        <w:t xml:space="preserve">. Summary of </w:t>
      </w:r>
      <w:r w:rsidR="002C6E1C" w:rsidRPr="00A06F1E">
        <w:t xml:space="preserve">Key Strengths </w:t>
      </w:r>
      <w:r w:rsidRPr="00A06F1E">
        <w:t xml:space="preserve">and </w:t>
      </w:r>
      <w:r w:rsidR="002C6E1C" w:rsidRPr="00A06F1E">
        <w:t xml:space="preserve">Areas </w:t>
      </w:r>
      <w:r w:rsidRPr="00A06F1E">
        <w:t xml:space="preserve">for </w:t>
      </w:r>
      <w:r w:rsidR="002C6E1C" w:rsidRPr="00A06F1E">
        <w:t>Growth:</w:t>
      </w:r>
      <w:r w:rsidRPr="00A06F1E">
        <w:t xml:space="preserve"> Student Support</w:t>
      </w:r>
      <w:r w:rsidR="002C6E1C" w:rsidRPr="00A06F1E">
        <w:t xml:space="preserve"> Standard</w:t>
      </w:r>
      <w:bookmarkEnd w:id="59"/>
    </w:p>
    <w:tbl>
      <w:tblPr>
        <w:tblStyle w:val="MSVTable1"/>
        <w:tblW w:w="5000" w:type="pct"/>
        <w:tblLook w:val="04A0" w:firstRow="1" w:lastRow="0" w:firstColumn="1" w:lastColumn="0" w:noHBand="0" w:noVBand="1"/>
      </w:tblPr>
      <w:tblGrid>
        <w:gridCol w:w="1705"/>
        <w:gridCol w:w="3956"/>
        <w:gridCol w:w="3683"/>
      </w:tblGrid>
      <w:tr w:rsidR="00B827DE" w:rsidRPr="00A06F1E" w14:paraId="29A087A1" w14:textId="77777777" w:rsidTr="00B827DE">
        <w:trPr>
          <w:cnfStyle w:val="100000000000" w:firstRow="1" w:lastRow="0" w:firstColumn="0" w:lastColumn="0" w:oddVBand="0" w:evenVBand="0" w:oddHBand="0" w:evenHBand="0" w:firstRowFirstColumn="0" w:firstRowLastColumn="0" w:lastRowFirstColumn="0" w:lastRowLastColumn="0"/>
        </w:trPr>
        <w:tc>
          <w:tcPr>
            <w:tcW w:w="912" w:type="pct"/>
          </w:tcPr>
          <w:p w14:paraId="4C0F0075" w14:textId="3434CD00" w:rsidR="00B827DE" w:rsidRPr="00DF7902" w:rsidRDefault="00B827DE" w:rsidP="00B827DE">
            <w:pPr>
              <w:pStyle w:val="TableColHeadingCenter"/>
              <w:rPr>
                <w:bdr w:val="none" w:sz="0" w:space="0" w:color="auto" w:frame="1"/>
              </w:rPr>
            </w:pPr>
            <w:r w:rsidRPr="00DF7902">
              <w:rPr>
                <w:bdr w:val="none" w:sz="0" w:space="0" w:color="auto" w:frame="1"/>
              </w:rPr>
              <w:t>Indicator</w:t>
            </w:r>
          </w:p>
        </w:tc>
        <w:tc>
          <w:tcPr>
            <w:tcW w:w="2117" w:type="pct"/>
          </w:tcPr>
          <w:p w14:paraId="769171B3" w14:textId="77777777" w:rsidR="00B827DE" w:rsidRPr="00A06F1E" w:rsidRDefault="00B827DE" w:rsidP="00B827DE">
            <w:pPr>
              <w:pStyle w:val="TableColHeadingCenter"/>
              <w:rPr>
                <w:bdr w:val="none" w:sz="0" w:space="0" w:color="auto" w:frame="1"/>
              </w:rPr>
            </w:pPr>
            <w:r w:rsidRPr="00A06F1E">
              <w:rPr>
                <w:bdr w:val="none" w:sz="0" w:space="0" w:color="auto" w:frame="1"/>
              </w:rPr>
              <w:t>Strengths</w:t>
            </w:r>
          </w:p>
        </w:tc>
        <w:tc>
          <w:tcPr>
            <w:tcW w:w="1971" w:type="pct"/>
          </w:tcPr>
          <w:p w14:paraId="44C3E121" w14:textId="17C71646" w:rsidR="00B827DE" w:rsidRPr="00A06F1E" w:rsidRDefault="00B827DE" w:rsidP="00B827DE">
            <w:pPr>
              <w:pStyle w:val="TableColHeadingCenter"/>
              <w:rPr>
                <w:bdr w:val="none" w:sz="0" w:space="0" w:color="auto" w:frame="1"/>
              </w:rPr>
            </w:pPr>
            <w:r w:rsidRPr="00A06F1E">
              <w:rPr>
                <w:bdr w:val="none" w:sz="0" w:space="0" w:color="auto" w:frame="1"/>
              </w:rPr>
              <w:t xml:space="preserve">Areas for </w:t>
            </w:r>
            <w:r w:rsidR="002C6E1C" w:rsidRPr="00A06F1E">
              <w:rPr>
                <w:bdr w:val="none" w:sz="0" w:space="0" w:color="auto" w:frame="1"/>
              </w:rPr>
              <w:t>growth</w:t>
            </w:r>
          </w:p>
        </w:tc>
      </w:tr>
      <w:tr w:rsidR="00B827DE" w:rsidRPr="00A06F1E" w14:paraId="192A22C5" w14:textId="77777777" w:rsidTr="00B827DE">
        <w:trPr>
          <w:cnfStyle w:val="000000100000" w:firstRow="0" w:lastRow="0" w:firstColumn="0" w:lastColumn="0" w:oddVBand="0" w:evenVBand="0" w:oddHBand="1" w:evenHBand="0" w:firstRowFirstColumn="0" w:firstRowLastColumn="0" w:lastRowFirstColumn="0" w:lastRowLastColumn="0"/>
        </w:trPr>
        <w:tc>
          <w:tcPr>
            <w:tcW w:w="912" w:type="pct"/>
          </w:tcPr>
          <w:p w14:paraId="0E8000C3" w14:textId="2C4FD1ED" w:rsidR="00B827DE" w:rsidRPr="00A06F1E" w:rsidRDefault="00000000" w:rsidP="005D13E7">
            <w:pPr>
              <w:pStyle w:val="TableSubheading"/>
              <w:rPr>
                <w:bdr w:val="none" w:sz="0" w:space="0" w:color="auto" w:frame="1"/>
              </w:rPr>
            </w:pPr>
            <w:hyperlink w:anchor="_Safe_and_Supportive" w:history="1">
              <w:r w:rsidR="00B827DE" w:rsidRPr="00A06F1E">
                <w:rPr>
                  <w:rStyle w:val="Hyperlink"/>
                  <w:bdr w:val="none" w:sz="0" w:space="0" w:color="auto" w:frame="1"/>
                </w:rPr>
                <w:t xml:space="preserve">Safe and </w:t>
              </w:r>
              <w:r w:rsidR="002C6E1C" w:rsidRPr="00A06F1E">
                <w:rPr>
                  <w:rStyle w:val="Hyperlink"/>
                  <w:bdr w:val="none" w:sz="0" w:space="0" w:color="auto" w:frame="1"/>
                </w:rPr>
                <w:t>s</w:t>
              </w:r>
              <w:r w:rsidR="00B827DE" w:rsidRPr="00A06F1E">
                <w:rPr>
                  <w:rStyle w:val="Hyperlink"/>
                  <w:bdr w:val="none" w:sz="0" w:space="0" w:color="auto" w:frame="1"/>
                </w:rPr>
                <w:t xml:space="preserve">upportive </w:t>
              </w:r>
              <w:r w:rsidR="002C6E1C" w:rsidRPr="00A06F1E">
                <w:rPr>
                  <w:rStyle w:val="Hyperlink"/>
                  <w:bdr w:val="none" w:sz="0" w:space="0" w:color="auto" w:frame="1"/>
                </w:rPr>
                <w:t>s</w:t>
              </w:r>
              <w:r w:rsidR="00B827DE" w:rsidRPr="00A06F1E">
                <w:rPr>
                  <w:rStyle w:val="Hyperlink"/>
                  <w:bdr w:val="none" w:sz="0" w:space="0" w:color="auto" w:frame="1"/>
                </w:rPr>
                <w:t xml:space="preserve">chool </w:t>
              </w:r>
              <w:r w:rsidR="002C6E1C" w:rsidRPr="00A06F1E">
                <w:rPr>
                  <w:rStyle w:val="Hyperlink"/>
                  <w:bdr w:val="none" w:sz="0" w:space="0" w:color="auto" w:frame="1"/>
                </w:rPr>
                <w:t>c</w:t>
              </w:r>
              <w:r w:rsidR="00B827DE" w:rsidRPr="00A06F1E">
                <w:rPr>
                  <w:rStyle w:val="Hyperlink"/>
                  <w:bdr w:val="none" w:sz="0" w:space="0" w:color="auto" w:frame="1"/>
                </w:rPr>
                <w:t xml:space="preserve">limate and </w:t>
              </w:r>
              <w:r w:rsidR="002C6E1C" w:rsidRPr="00A06F1E">
                <w:rPr>
                  <w:rStyle w:val="Hyperlink"/>
                  <w:bdr w:val="none" w:sz="0" w:space="0" w:color="auto" w:frame="1"/>
                </w:rPr>
                <w:t>c</w:t>
              </w:r>
              <w:r w:rsidR="00B827DE" w:rsidRPr="00A06F1E">
                <w:rPr>
                  <w:rStyle w:val="Hyperlink"/>
                  <w:bdr w:val="none" w:sz="0" w:space="0" w:color="auto" w:frame="1"/>
                </w:rPr>
                <w:t>ulture</w:t>
              </w:r>
            </w:hyperlink>
          </w:p>
        </w:tc>
        <w:tc>
          <w:tcPr>
            <w:tcW w:w="2117" w:type="pct"/>
          </w:tcPr>
          <w:p w14:paraId="132C8480" w14:textId="27B0BBED" w:rsidR="00B827DE" w:rsidRPr="00A06F1E" w:rsidRDefault="5D51B2C9" w:rsidP="007D69BA">
            <w:pPr>
              <w:pStyle w:val="TableBullet1"/>
            </w:pPr>
            <w:r w:rsidRPr="00A06F1E">
              <w:t xml:space="preserve">The </w:t>
            </w:r>
            <w:r w:rsidR="008C1B9D" w:rsidRPr="00A06F1E">
              <w:t xml:space="preserve">superintendency union </w:t>
            </w:r>
            <w:r w:rsidRPr="00A06F1E">
              <w:t xml:space="preserve">has </w:t>
            </w:r>
            <w:r w:rsidR="002B2ECC" w:rsidRPr="00A06F1E">
              <w:t xml:space="preserve">clear </w:t>
            </w:r>
            <w:r w:rsidRPr="00A06F1E">
              <w:t>priorities identified that focus on social</w:t>
            </w:r>
            <w:r w:rsidR="00654C63" w:rsidRPr="00A06F1E">
              <w:t>-</w:t>
            </w:r>
            <w:r w:rsidRPr="00A06F1E">
              <w:t>emotional learning, equity, access, and inclusion.</w:t>
            </w:r>
          </w:p>
        </w:tc>
        <w:tc>
          <w:tcPr>
            <w:tcW w:w="1971" w:type="pct"/>
          </w:tcPr>
          <w:p w14:paraId="2DE3D9E0" w14:textId="108E685A" w:rsidR="00B827DE" w:rsidRPr="00A06F1E" w:rsidRDefault="00A42233" w:rsidP="007D69BA">
            <w:pPr>
              <w:pStyle w:val="TableBullet1"/>
            </w:pPr>
            <w:r w:rsidRPr="00A42233">
              <w:t xml:space="preserve">Consistently implementing positive behavioral support systems and practices aimed at creating supportive environments for all students </w:t>
            </w:r>
          </w:p>
        </w:tc>
      </w:tr>
      <w:tr w:rsidR="00B827DE" w:rsidRPr="00A06F1E" w14:paraId="491E4833" w14:textId="77777777" w:rsidTr="00B827DE">
        <w:tc>
          <w:tcPr>
            <w:tcW w:w="912" w:type="pct"/>
          </w:tcPr>
          <w:p w14:paraId="0084A27B" w14:textId="4765C52B" w:rsidR="00B827DE" w:rsidRPr="00A06F1E" w:rsidRDefault="00000000" w:rsidP="005D13E7">
            <w:pPr>
              <w:pStyle w:val="TableSubheading"/>
              <w:rPr>
                <w:bdr w:val="none" w:sz="0" w:space="0" w:color="auto" w:frame="1"/>
              </w:rPr>
            </w:pPr>
            <w:hyperlink w:anchor="_Tiered_Systems_of" w:history="1">
              <w:r w:rsidR="00B827DE" w:rsidRPr="00A06F1E">
                <w:rPr>
                  <w:rStyle w:val="Hyperlink"/>
                  <w:bdr w:val="none" w:sz="0" w:space="0" w:color="auto" w:frame="1"/>
                </w:rPr>
                <w:t xml:space="preserve">Tiered </w:t>
              </w:r>
              <w:r w:rsidR="002C6E1C" w:rsidRPr="00A06F1E">
                <w:rPr>
                  <w:rStyle w:val="Hyperlink"/>
                  <w:bdr w:val="none" w:sz="0" w:space="0" w:color="auto" w:frame="1"/>
                </w:rPr>
                <w:t>s</w:t>
              </w:r>
              <w:r w:rsidR="00B827DE" w:rsidRPr="00A06F1E">
                <w:rPr>
                  <w:rStyle w:val="Hyperlink"/>
                  <w:bdr w:val="none" w:sz="0" w:space="0" w:color="auto" w:frame="1"/>
                </w:rPr>
                <w:t xml:space="preserve">ystems of </w:t>
              </w:r>
              <w:r w:rsidR="002C6E1C" w:rsidRPr="00A06F1E">
                <w:rPr>
                  <w:rStyle w:val="Hyperlink"/>
                  <w:bdr w:val="none" w:sz="0" w:space="0" w:color="auto" w:frame="1"/>
                </w:rPr>
                <w:t>s</w:t>
              </w:r>
              <w:r w:rsidR="00B827DE" w:rsidRPr="00A06F1E">
                <w:rPr>
                  <w:rStyle w:val="Hyperlink"/>
                  <w:bdr w:val="none" w:sz="0" w:space="0" w:color="auto" w:frame="1"/>
                </w:rPr>
                <w:t>upport</w:t>
              </w:r>
            </w:hyperlink>
          </w:p>
        </w:tc>
        <w:tc>
          <w:tcPr>
            <w:tcW w:w="2117" w:type="pct"/>
          </w:tcPr>
          <w:p w14:paraId="7B5A0406" w14:textId="073537C1" w:rsidR="00B827DE" w:rsidRPr="00A06F1E" w:rsidRDefault="00CE4506" w:rsidP="00992170">
            <w:pPr>
              <w:pStyle w:val="TableBullet1"/>
            </w:pPr>
            <w:r>
              <w:t>The superintendency union has a wide array of tiered support initiatives in place</w:t>
            </w:r>
            <w:r w:rsidR="2FFDFC28">
              <w:t xml:space="preserve"> </w:t>
            </w:r>
            <w:r w:rsidR="00917DBC">
              <w:t>to meet</w:t>
            </w:r>
            <w:r w:rsidR="2FFDFC28">
              <w:t xml:space="preserve"> students’ nonacademic needs</w:t>
            </w:r>
            <w:r>
              <w:t>.</w:t>
            </w:r>
            <w:r w:rsidR="6BF599B0">
              <w:t xml:space="preserve"> </w:t>
            </w:r>
          </w:p>
        </w:tc>
        <w:tc>
          <w:tcPr>
            <w:tcW w:w="1971" w:type="pct"/>
          </w:tcPr>
          <w:p w14:paraId="475954FD" w14:textId="66F7E281" w:rsidR="00C10B4D" w:rsidRPr="00A06F1E" w:rsidRDefault="003A0E42" w:rsidP="007D69BA">
            <w:pPr>
              <w:pStyle w:val="TableBullet1"/>
            </w:pPr>
            <w:r>
              <w:rPr>
                <w:spacing w:val="-2"/>
              </w:rPr>
              <w:t>Refining</w:t>
            </w:r>
            <w:r w:rsidR="00492A23" w:rsidRPr="00E45CA4">
              <w:rPr>
                <w:spacing w:val="-2"/>
              </w:rPr>
              <w:t xml:space="preserve"> tiered academic supports</w:t>
            </w:r>
            <w:r w:rsidRPr="00E45CA4">
              <w:rPr>
                <w:spacing w:val="-2"/>
              </w:rPr>
              <w:t xml:space="preserve"> across schools</w:t>
            </w:r>
            <w:r w:rsidR="00492A23" w:rsidRPr="00E45CA4">
              <w:rPr>
                <w:spacing w:val="-2"/>
              </w:rPr>
              <w:t>, particularly at the elementary level</w:t>
            </w:r>
            <w:r w:rsidRPr="00E45CA4">
              <w:rPr>
                <w:spacing w:val="-2"/>
              </w:rPr>
              <w:t>,</w:t>
            </w:r>
            <w:r>
              <w:rPr>
                <w:spacing w:val="-2"/>
              </w:rPr>
              <w:t xml:space="preserve"> to create a more coherent system across tiers</w:t>
            </w:r>
          </w:p>
        </w:tc>
      </w:tr>
      <w:tr w:rsidR="00B827DE" w:rsidRPr="00A06F1E" w14:paraId="0200B2F0" w14:textId="77777777" w:rsidTr="00B827DE">
        <w:trPr>
          <w:cnfStyle w:val="000000100000" w:firstRow="0" w:lastRow="0" w:firstColumn="0" w:lastColumn="0" w:oddVBand="0" w:evenVBand="0" w:oddHBand="1" w:evenHBand="0" w:firstRowFirstColumn="0" w:firstRowLastColumn="0" w:lastRowFirstColumn="0" w:lastRowLastColumn="0"/>
        </w:trPr>
        <w:tc>
          <w:tcPr>
            <w:tcW w:w="912" w:type="pct"/>
          </w:tcPr>
          <w:p w14:paraId="29C4A1A6" w14:textId="24604B8A" w:rsidR="00B827DE" w:rsidRPr="00A06F1E" w:rsidRDefault="00000000" w:rsidP="005D13E7">
            <w:pPr>
              <w:pStyle w:val="TableSubheading"/>
              <w:rPr>
                <w:bdr w:val="none" w:sz="0" w:space="0" w:color="auto" w:frame="1"/>
              </w:rPr>
            </w:pPr>
            <w:hyperlink w:anchor="_Family,_Student,_and" w:history="1">
              <w:r w:rsidR="00B827DE" w:rsidRPr="00A06F1E">
                <w:rPr>
                  <w:rStyle w:val="Hyperlink"/>
                  <w:bdr w:val="none" w:sz="0" w:space="0" w:color="auto" w:frame="1"/>
                </w:rPr>
                <w:t xml:space="preserve">Family, </w:t>
              </w:r>
              <w:r w:rsidR="002C6E1C" w:rsidRPr="00A06F1E">
                <w:rPr>
                  <w:rStyle w:val="Hyperlink"/>
                  <w:bdr w:val="none" w:sz="0" w:space="0" w:color="auto" w:frame="1"/>
                </w:rPr>
                <w:t>s</w:t>
              </w:r>
              <w:r w:rsidR="00B827DE" w:rsidRPr="00A06F1E">
                <w:rPr>
                  <w:rStyle w:val="Hyperlink"/>
                  <w:bdr w:val="none" w:sz="0" w:space="0" w:color="auto" w:frame="1"/>
                </w:rPr>
                <w:t xml:space="preserve">tudent, and </w:t>
              </w:r>
              <w:r w:rsidR="002C6E1C" w:rsidRPr="00A06F1E">
                <w:rPr>
                  <w:rStyle w:val="Hyperlink"/>
                  <w:bdr w:val="none" w:sz="0" w:space="0" w:color="auto" w:frame="1"/>
                </w:rPr>
                <w:t>c</w:t>
              </w:r>
              <w:r w:rsidR="00B827DE" w:rsidRPr="00A06F1E">
                <w:rPr>
                  <w:rStyle w:val="Hyperlink"/>
                  <w:bdr w:val="none" w:sz="0" w:space="0" w:color="auto" w:frame="1"/>
                </w:rPr>
                <w:t xml:space="preserve">ommunity </w:t>
              </w:r>
              <w:r w:rsidR="002C6E1C" w:rsidRPr="00A06F1E">
                <w:rPr>
                  <w:rStyle w:val="Hyperlink"/>
                  <w:bdr w:val="none" w:sz="0" w:space="0" w:color="auto" w:frame="1"/>
                </w:rPr>
                <w:t>e</w:t>
              </w:r>
              <w:r w:rsidR="00B827DE" w:rsidRPr="00A06F1E">
                <w:rPr>
                  <w:rStyle w:val="Hyperlink"/>
                  <w:bdr w:val="none" w:sz="0" w:space="0" w:color="auto" w:frame="1"/>
                </w:rPr>
                <w:t xml:space="preserve">ngagement and </w:t>
              </w:r>
              <w:r w:rsidR="002C6E1C" w:rsidRPr="00A06F1E">
                <w:rPr>
                  <w:rStyle w:val="Hyperlink"/>
                  <w:bdr w:val="none" w:sz="0" w:space="0" w:color="auto" w:frame="1"/>
                </w:rPr>
                <w:t>p</w:t>
              </w:r>
              <w:r w:rsidR="00B827DE" w:rsidRPr="00A06F1E">
                <w:rPr>
                  <w:rStyle w:val="Hyperlink"/>
                  <w:bdr w:val="none" w:sz="0" w:space="0" w:color="auto" w:frame="1"/>
                </w:rPr>
                <w:t>artnerships</w:t>
              </w:r>
            </w:hyperlink>
          </w:p>
        </w:tc>
        <w:tc>
          <w:tcPr>
            <w:tcW w:w="2117" w:type="pct"/>
          </w:tcPr>
          <w:p w14:paraId="777A1DF7" w14:textId="02D85DC3" w:rsidR="00B827DE" w:rsidRPr="00A06F1E" w:rsidRDefault="00492A23" w:rsidP="007D69BA">
            <w:pPr>
              <w:pStyle w:val="TableBullet1"/>
              <w:rPr>
                <w:bdr w:val="none" w:sz="0" w:space="0" w:color="auto" w:frame="1"/>
              </w:rPr>
            </w:pPr>
            <w:r w:rsidRPr="00A06F1E">
              <w:rPr>
                <w:bdr w:val="none" w:sz="0" w:space="0" w:color="auto" w:frame="1"/>
              </w:rPr>
              <w:t xml:space="preserve">The </w:t>
            </w:r>
            <w:r w:rsidR="00785ED6" w:rsidRPr="00A06F1E">
              <w:rPr>
                <w:bdr w:val="none" w:sz="0" w:space="0" w:color="auto" w:frame="1"/>
              </w:rPr>
              <w:t xml:space="preserve">superintendency union </w:t>
            </w:r>
            <w:r w:rsidRPr="00A06F1E">
              <w:rPr>
                <w:bdr w:val="none" w:sz="0" w:space="0" w:color="auto" w:frame="1"/>
              </w:rPr>
              <w:t>has several opportunities for student voice.</w:t>
            </w:r>
          </w:p>
        </w:tc>
        <w:tc>
          <w:tcPr>
            <w:tcW w:w="1971" w:type="pct"/>
          </w:tcPr>
          <w:p w14:paraId="00B02ED1" w14:textId="4245F1E1" w:rsidR="00B827DE" w:rsidRPr="00A06F1E" w:rsidRDefault="005F3F3B" w:rsidP="007D69BA">
            <w:pPr>
              <w:pStyle w:val="TableBullet1"/>
            </w:pPr>
            <w:r w:rsidRPr="00A06F1E">
              <w:rPr>
                <w:bdr w:val="none" w:sz="0" w:space="0" w:color="auto" w:frame="1"/>
              </w:rPr>
              <w:t xml:space="preserve">Creating more frequent and accessible opportunities </w:t>
            </w:r>
            <w:r>
              <w:t xml:space="preserve">for </w:t>
            </w:r>
            <w:r w:rsidR="00292F74">
              <w:t xml:space="preserve">two-way communication between parents and schools, </w:t>
            </w:r>
            <w:r w:rsidR="544A41D9">
              <w:t>specifically</w:t>
            </w:r>
            <w:r w:rsidR="00292F74">
              <w:t xml:space="preserve"> </w:t>
            </w:r>
            <w:r>
              <w:t>for</w:t>
            </w:r>
            <w:r w:rsidRPr="00A06F1E">
              <w:rPr>
                <w:bdr w:val="none" w:sz="0" w:space="0" w:color="auto" w:frame="1"/>
              </w:rPr>
              <w:t xml:space="preserve"> parents to provide feedback to the </w:t>
            </w:r>
            <w:r w:rsidR="00785ED6" w:rsidRPr="00A06F1E">
              <w:rPr>
                <w:bdr w:val="none" w:sz="0" w:space="0" w:color="auto" w:frame="1"/>
              </w:rPr>
              <w:t>superintendency union</w:t>
            </w:r>
          </w:p>
        </w:tc>
      </w:tr>
    </w:tbl>
    <w:p w14:paraId="6FDD5EB4" w14:textId="3A48E896" w:rsidR="00B827DE" w:rsidRPr="00A06F1E" w:rsidRDefault="00B827DE" w:rsidP="00B827DE">
      <w:pPr>
        <w:pStyle w:val="Heading3"/>
      </w:pPr>
      <w:bookmarkStart w:id="60" w:name="_Safe_and_Supportive"/>
      <w:bookmarkEnd w:id="60"/>
      <w:r w:rsidRPr="00A06F1E">
        <w:lastRenderedPageBreak/>
        <w:t>Safe and Supportive School Climate and Culture</w:t>
      </w:r>
    </w:p>
    <w:p w14:paraId="3669E84B" w14:textId="34CAEA9B" w:rsidR="006C1DC9" w:rsidRPr="00A06F1E" w:rsidRDefault="000D6A8E" w:rsidP="004608F7">
      <w:pPr>
        <w:pStyle w:val="BodyTextposthead"/>
      </w:pPr>
      <w:r>
        <w:t>RCM &amp; SU 73</w:t>
      </w:r>
      <w:r w:rsidR="00040362" w:rsidRPr="00A06F1E">
        <w:t>’</w:t>
      </w:r>
      <w:r w:rsidR="00061696" w:rsidRPr="00A06F1E">
        <w:t xml:space="preserve">s plan for forming a safe and supportive school climate and culture focuses on three district priorities: social-emotional learning, equity, and access and inclusion. </w:t>
      </w:r>
      <w:r w:rsidR="00C50323" w:rsidRPr="00A06F1E">
        <w:t xml:space="preserve">Central office </w:t>
      </w:r>
      <w:r w:rsidR="00061696" w:rsidRPr="00A06F1E">
        <w:t xml:space="preserve">and school leaders agreed that these are major focus areas for the </w:t>
      </w:r>
      <w:r w:rsidR="00C50323" w:rsidRPr="00A06F1E">
        <w:t>superintendency union</w:t>
      </w:r>
      <w:r w:rsidR="00061696" w:rsidRPr="00A06F1E">
        <w:t xml:space="preserve">: </w:t>
      </w:r>
      <w:r w:rsidR="00040362" w:rsidRPr="00A06F1E">
        <w:t>“</w:t>
      </w:r>
      <w:r w:rsidR="00061696" w:rsidRPr="00A06F1E">
        <w:t>We</w:t>
      </w:r>
      <w:r w:rsidR="00040362" w:rsidRPr="00A06F1E">
        <w:t>’</w:t>
      </w:r>
      <w:r w:rsidR="00061696" w:rsidRPr="00A06F1E">
        <w:t xml:space="preserve">re really looking to kind of level the playing field for all students and going through that </w:t>
      </w:r>
      <w:r w:rsidR="04282C78" w:rsidRPr="00A06F1E">
        <w:t>[</w:t>
      </w:r>
      <w:r w:rsidR="007159AB">
        <w:t>strategic</w:t>
      </w:r>
      <w:r w:rsidR="04282C78" w:rsidRPr="00A06F1E">
        <w:t xml:space="preserve"> planning] </w:t>
      </w:r>
      <w:r w:rsidR="00061696" w:rsidRPr="00A06F1E">
        <w:t>process.</w:t>
      </w:r>
      <w:r w:rsidR="00040362" w:rsidRPr="00A06F1E">
        <w:t>”</w:t>
      </w:r>
      <w:r w:rsidR="00061696" w:rsidRPr="00A06F1E">
        <w:t xml:space="preserve"> </w:t>
      </w:r>
      <w:r w:rsidR="00C50323" w:rsidRPr="00A06F1E">
        <w:t>Central office</w:t>
      </w:r>
      <w:r w:rsidR="00061696" w:rsidRPr="00A06F1E">
        <w:t xml:space="preserve"> and school staff described several strategies</w:t>
      </w:r>
      <w:r w:rsidR="00C23721">
        <w:t xml:space="preserve"> used throughout the superintendency union</w:t>
      </w:r>
      <w:r w:rsidR="00061696" w:rsidRPr="00A06F1E">
        <w:t xml:space="preserve">, including revisions to curricula that </w:t>
      </w:r>
      <w:r w:rsidR="00040362" w:rsidRPr="00A06F1E">
        <w:t>“</w:t>
      </w:r>
      <w:r w:rsidR="00FB11BD" w:rsidRPr="00A06F1E">
        <w:t>[</w:t>
      </w:r>
      <w:r w:rsidR="00061696" w:rsidRPr="00A06F1E">
        <w:t>build</w:t>
      </w:r>
      <w:r w:rsidR="00FB11BD" w:rsidRPr="00A06F1E">
        <w:t>]</w:t>
      </w:r>
      <w:r w:rsidR="00061696" w:rsidRPr="00A06F1E">
        <w:t xml:space="preserve"> those CASEL </w:t>
      </w:r>
      <w:r w:rsidR="00B919CB" w:rsidRPr="00A06F1E">
        <w:t>[</w:t>
      </w:r>
      <w:r w:rsidR="00EF206C" w:rsidRPr="00A06F1E">
        <w:t>Collaborative for Academic, Social, and Emotional Learning</w:t>
      </w:r>
      <w:r w:rsidR="00B919CB" w:rsidRPr="00A06F1E">
        <w:t>]</w:t>
      </w:r>
      <w:r w:rsidR="00061696" w:rsidRPr="00A06F1E">
        <w:t xml:space="preserve"> competencies into </w:t>
      </w:r>
      <w:r w:rsidR="67BF5B01" w:rsidRPr="00A06F1E">
        <w:t>[everyday instruction]</w:t>
      </w:r>
      <w:r w:rsidR="00040362" w:rsidRPr="00A06F1E">
        <w:t>“</w:t>
      </w:r>
      <w:r w:rsidR="00061696" w:rsidRPr="00A06F1E">
        <w:t xml:space="preserve"> implementing restorative practices such as restorative circles, and hosting new student and grade transition meetings.</w:t>
      </w:r>
    </w:p>
    <w:p w14:paraId="63423877" w14:textId="2611F154" w:rsidR="006C1DC9" w:rsidRPr="00E45CA4" w:rsidRDefault="00061696" w:rsidP="004608F7">
      <w:pPr>
        <w:pStyle w:val="BodyText"/>
      </w:pPr>
      <w:r w:rsidRPr="00E45CA4">
        <w:t xml:space="preserve">Generally, the </w:t>
      </w:r>
      <w:r w:rsidR="00DB5013">
        <w:t xml:space="preserve">districts in </w:t>
      </w:r>
      <w:r w:rsidR="000D6A8E">
        <w:t>RCM &amp; SU 73</w:t>
      </w:r>
      <w:r w:rsidR="00DB5013">
        <w:t xml:space="preserve"> have several </w:t>
      </w:r>
      <w:r w:rsidR="009C5A3F">
        <w:t>efforts in place to try and</w:t>
      </w:r>
      <w:r w:rsidR="00C50323" w:rsidRPr="00E45CA4">
        <w:t xml:space="preserve"> </w:t>
      </w:r>
      <w:r w:rsidRPr="00E45CA4">
        <w:t>foster welcoming and supportive learning environment</w:t>
      </w:r>
      <w:r w:rsidR="009C5A3F">
        <w:t>s</w:t>
      </w:r>
      <w:r w:rsidR="00D920D6">
        <w:t xml:space="preserve">, though these may not be implemented consistently across all </w:t>
      </w:r>
      <w:r w:rsidR="001F6BD9" w:rsidRPr="00E45CA4">
        <w:t>three schools</w:t>
      </w:r>
      <w:r w:rsidRPr="00E45CA4">
        <w:t xml:space="preserve">. For instance, </w:t>
      </w:r>
      <w:proofErr w:type="spellStart"/>
      <w:r w:rsidR="00652B48">
        <w:t>Petersham</w:t>
      </w:r>
      <w:proofErr w:type="spellEnd"/>
      <w:r w:rsidR="00652B48">
        <w:t xml:space="preserve"> Center</w:t>
      </w:r>
      <w:r w:rsidRPr="00E45CA4">
        <w:t xml:space="preserve"> helps students develop social and emotional competencies through their positive behavior incentive initiative, Fox </w:t>
      </w:r>
      <w:proofErr w:type="spellStart"/>
      <w:r w:rsidRPr="00E45CA4">
        <w:t>Bucks.</w:t>
      </w:r>
      <w:proofErr w:type="spellEnd"/>
      <w:r w:rsidRPr="00E45CA4">
        <w:t xml:space="preserve"> According to </w:t>
      </w:r>
      <w:r w:rsidR="0076085F">
        <w:t>one</w:t>
      </w:r>
      <w:r w:rsidRPr="00E45CA4">
        <w:t xml:space="preserve"> </w:t>
      </w:r>
      <w:proofErr w:type="spellStart"/>
      <w:r w:rsidR="00652B48">
        <w:t>Petersham</w:t>
      </w:r>
      <w:proofErr w:type="spellEnd"/>
      <w:r w:rsidR="00652B48">
        <w:t xml:space="preserve"> Center</w:t>
      </w:r>
      <w:r w:rsidR="0058436F" w:rsidRPr="00E45CA4">
        <w:t xml:space="preserve"> staff</w:t>
      </w:r>
      <w:r w:rsidR="009C5A3F">
        <w:t xml:space="preserve"> member</w:t>
      </w:r>
      <w:r w:rsidRPr="00E45CA4">
        <w:t xml:space="preserve">, this </w:t>
      </w:r>
      <w:r w:rsidR="00CA41CB" w:rsidRPr="00E45CA4">
        <w:t xml:space="preserve">is a schoolwide behavioral program </w:t>
      </w:r>
      <w:r w:rsidR="006D0497" w:rsidRPr="00E45CA4">
        <w:t>in which</w:t>
      </w:r>
      <w:r w:rsidR="00CA41CB" w:rsidRPr="00E45CA4">
        <w:t xml:space="preserve"> students</w:t>
      </w:r>
      <w:r w:rsidR="00F85C20">
        <w:t>,</w:t>
      </w:r>
      <w:r w:rsidR="00CA41CB" w:rsidRPr="00E45CA4">
        <w:t xml:space="preserve"> as a class</w:t>
      </w:r>
      <w:r w:rsidR="00F85C20">
        <w:t>,</w:t>
      </w:r>
      <w:r w:rsidR="00CA41CB" w:rsidRPr="00E45CA4">
        <w:t xml:space="preserve"> can earn tickets for exhibiting appropriate behavior, classroom teamwork, and efforts in their academic work. </w:t>
      </w:r>
      <w:r w:rsidR="00F04814" w:rsidRPr="00E45CA4">
        <w:t xml:space="preserve">The program </w:t>
      </w:r>
      <w:r w:rsidRPr="00E45CA4">
        <w:t xml:space="preserve">encourages kindness between adults and students across all grade levels. </w:t>
      </w:r>
      <w:r w:rsidR="006D0497" w:rsidRPr="00E45CA4">
        <w:t>In addition</w:t>
      </w:r>
      <w:r w:rsidRPr="00E45CA4">
        <w:t xml:space="preserve">, </w:t>
      </w:r>
      <w:proofErr w:type="spellStart"/>
      <w:r w:rsidR="00652B48">
        <w:t>Petersham</w:t>
      </w:r>
      <w:proofErr w:type="spellEnd"/>
      <w:r w:rsidR="00652B48">
        <w:t xml:space="preserve"> Center</w:t>
      </w:r>
      <w:r w:rsidRPr="00E45CA4">
        <w:t xml:space="preserve"> guidance counselors teach a course that helps students learn how to work together as a team and assist teachers with their weekly </w:t>
      </w:r>
      <w:r w:rsidR="001110A7" w:rsidRPr="00E45CA4">
        <w:t>social-emotional learning</w:t>
      </w:r>
      <w:r w:rsidRPr="00E45CA4">
        <w:t xml:space="preserve"> lessons. However, </w:t>
      </w:r>
      <w:r w:rsidR="00CF4F71">
        <w:t>Fisher Hill</w:t>
      </w:r>
      <w:r w:rsidRPr="00E45CA4">
        <w:t xml:space="preserve"> teachers expressed concerns about the consistency of opportunities for students to develop social-emotional competencies</w:t>
      </w:r>
      <w:r w:rsidR="00B838E1" w:rsidRPr="00E45CA4">
        <w:t xml:space="preserve"> in their school</w:t>
      </w:r>
      <w:r w:rsidRPr="00E45CA4">
        <w:t xml:space="preserve">. One </w:t>
      </w:r>
      <w:r w:rsidR="00CF4F71">
        <w:t>Fisher Hill</w:t>
      </w:r>
      <w:r w:rsidR="00B838E1" w:rsidRPr="00E45CA4">
        <w:t xml:space="preserve"> staff member</w:t>
      </w:r>
      <w:r w:rsidRPr="00E45CA4">
        <w:t xml:space="preserve"> noted, </w:t>
      </w:r>
      <w:r w:rsidR="00040362" w:rsidRPr="00E45CA4">
        <w:t>“</w:t>
      </w:r>
      <w:r w:rsidRPr="00E45CA4">
        <w:t>We used to have morning meetings, but now only the younger grades have it</w:t>
      </w:r>
      <w:r w:rsidR="00E3032A">
        <w:t>.</w:t>
      </w:r>
      <w:r w:rsidR="00C23721">
        <w:t>.</w:t>
      </w:r>
      <w:r w:rsidRPr="00E45CA4">
        <w:t>.</w:t>
      </w:r>
      <w:r w:rsidR="00040362" w:rsidRPr="00E45CA4">
        <w:t>”</w:t>
      </w:r>
      <w:r w:rsidRPr="00E45CA4">
        <w:t xml:space="preserve"> </w:t>
      </w:r>
      <w:r w:rsidR="00CF4F71">
        <w:t>Fisher Hill</w:t>
      </w:r>
      <w:r w:rsidR="0072651F" w:rsidRPr="00E45CA4">
        <w:t xml:space="preserve"> </w:t>
      </w:r>
      <w:r w:rsidR="00217876" w:rsidRPr="00E45CA4">
        <w:t>t</w:t>
      </w:r>
      <w:r w:rsidRPr="00E45CA4">
        <w:t xml:space="preserve">eachers also described participating in some professional development to understand trauma and how to speak to children, but several noted that building administration </w:t>
      </w:r>
      <w:r w:rsidR="00784D6F" w:rsidRPr="00E45CA4">
        <w:t>did</w:t>
      </w:r>
      <w:r w:rsidRPr="00E45CA4">
        <w:t xml:space="preserve"> not attend </w:t>
      </w:r>
      <w:r w:rsidR="00784D6F" w:rsidRPr="00E45CA4">
        <w:t>that</w:t>
      </w:r>
      <w:r w:rsidRPr="00E45CA4">
        <w:t xml:space="preserve"> professional development or offer implementation support. </w:t>
      </w:r>
      <w:r w:rsidR="00BE25A7" w:rsidRPr="00E45CA4">
        <w:t>At</w:t>
      </w:r>
      <w:r w:rsidRPr="00E45CA4">
        <w:t xml:space="preserve"> Mahar Regional</w:t>
      </w:r>
      <w:r w:rsidR="00C62555" w:rsidRPr="00E45CA4">
        <w:t>,</w:t>
      </w:r>
      <w:r w:rsidRPr="00E45CA4">
        <w:t xml:space="preserve"> teachers explained that not only do students participate in monthly advisory blocks but</w:t>
      </w:r>
      <w:r w:rsidR="00C7798F" w:rsidRPr="00E45CA4">
        <w:t xml:space="preserve">, </w:t>
      </w:r>
      <w:r w:rsidR="001E6A12" w:rsidRPr="00E45CA4">
        <w:t xml:space="preserve">at the middle school level, </w:t>
      </w:r>
      <w:r w:rsidRPr="00E45CA4">
        <w:t>a school psychologist comes in once a week to conduct a social skills group with students.</w:t>
      </w:r>
    </w:p>
    <w:p w14:paraId="093082B9" w14:textId="4886AACD" w:rsidR="00061696" w:rsidRPr="00E45CA4" w:rsidRDefault="00FF7EF9" w:rsidP="004608F7">
      <w:pPr>
        <w:pStyle w:val="BodyText"/>
      </w:pPr>
      <w:r>
        <w:t xml:space="preserve">In terms of the effectiveness of these efforts, various data points paint a mixed picture </w:t>
      </w:r>
      <w:r w:rsidR="00A23722">
        <w:t>of</w:t>
      </w:r>
      <w:r>
        <w:t xml:space="preserve"> the districts in </w:t>
      </w:r>
      <w:r w:rsidR="000D6A8E">
        <w:t>RCM &amp; SU 73</w:t>
      </w:r>
      <w:r>
        <w:t xml:space="preserve">. </w:t>
      </w:r>
      <w:r w:rsidR="007640AF" w:rsidRPr="00E45CA4">
        <w:t xml:space="preserve">Data collected in observations in the three schools within </w:t>
      </w:r>
      <w:r w:rsidR="000D6A8E">
        <w:t>RCM &amp; SU 73</w:t>
      </w:r>
      <w:r w:rsidR="007640AF" w:rsidRPr="00E45CA4">
        <w:t xml:space="preserve"> reveal</w:t>
      </w:r>
      <w:r w:rsidR="007640AF">
        <w:t>ed</w:t>
      </w:r>
      <w:r w:rsidR="007640AF" w:rsidRPr="00E45CA4">
        <w:t xml:space="preserve"> positive ratings for behavior management across all grade spans (Grades K-5, 6.2; Grades 6-8, 6.5; Grades 9-12, 6.3). These ratings suggest that teachers </w:t>
      </w:r>
      <w:r w:rsidR="00F40B00">
        <w:t>in observed classrooms were</w:t>
      </w:r>
      <w:r w:rsidR="007640AF" w:rsidRPr="00E45CA4">
        <w:t xml:space="preserve"> effectively setting clear behavior expectations and employing success</w:t>
      </w:r>
      <w:r w:rsidR="007640AF">
        <w:t>ful</w:t>
      </w:r>
      <w:r w:rsidR="007640AF" w:rsidRPr="00E45CA4">
        <w:t xml:space="preserve"> methods to prevent and redirect misbehavior</w:t>
      </w:r>
      <w:r w:rsidR="00B87F6B">
        <w:t xml:space="preserve"> across all schools and grade bands</w:t>
      </w:r>
      <w:r w:rsidR="007640AF" w:rsidRPr="00E45CA4">
        <w:t xml:space="preserve">. </w:t>
      </w:r>
      <w:r w:rsidR="00A06D3D">
        <w:t>In focus groups, h</w:t>
      </w:r>
      <w:r w:rsidR="72010880" w:rsidRPr="00E45CA4">
        <w:t>igh school</w:t>
      </w:r>
      <w:r w:rsidR="008733E5" w:rsidRPr="00E45CA4">
        <w:t xml:space="preserve"> </w:t>
      </w:r>
      <w:r w:rsidR="00061696" w:rsidRPr="00E45CA4">
        <w:t xml:space="preserve">students described how they </w:t>
      </w:r>
      <w:r w:rsidR="00040362" w:rsidRPr="00E45CA4">
        <w:t>“</w:t>
      </w:r>
      <w:r w:rsidR="00061696" w:rsidRPr="00E45CA4">
        <w:t>feel fully safe every day at school</w:t>
      </w:r>
      <w:r w:rsidR="00040362" w:rsidRPr="00E45CA4">
        <w:t>”</w:t>
      </w:r>
      <w:r w:rsidR="00061696" w:rsidRPr="00E45CA4">
        <w:t xml:space="preserve"> and that </w:t>
      </w:r>
      <w:r w:rsidR="00040362" w:rsidRPr="00E45CA4">
        <w:t>“</w:t>
      </w:r>
      <w:r w:rsidR="00061696" w:rsidRPr="00E45CA4">
        <w:t xml:space="preserve">if there was ever something that was wrong, </w:t>
      </w:r>
      <w:r w:rsidR="1EF36D9E" w:rsidRPr="00E45CA4">
        <w:t xml:space="preserve">[a student] </w:t>
      </w:r>
      <w:r w:rsidR="00061696" w:rsidRPr="00E45CA4">
        <w:t>could go to a counselor, go to a teache</w:t>
      </w:r>
      <w:r w:rsidR="12699E37" w:rsidRPr="00E45CA4">
        <w:t>r</w:t>
      </w:r>
      <w:r w:rsidR="007B0CAD" w:rsidRPr="00E45CA4">
        <w:t>,</w:t>
      </w:r>
      <w:r w:rsidR="00040362" w:rsidRPr="00E45CA4">
        <w:t>”</w:t>
      </w:r>
      <w:r w:rsidR="00061696" w:rsidRPr="00E45CA4">
        <w:t xml:space="preserve"> yet </w:t>
      </w:r>
      <w:r w:rsidR="35C4587E" w:rsidRPr="00E45CA4">
        <w:t>middle school</w:t>
      </w:r>
      <w:r w:rsidR="3276A4AD" w:rsidRPr="00E45CA4">
        <w:t xml:space="preserve"> </w:t>
      </w:r>
      <w:r w:rsidR="00BE7F24" w:rsidRPr="00E45CA4">
        <w:t>students</w:t>
      </w:r>
      <w:r w:rsidR="00061696" w:rsidRPr="00E45CA4">
        <w:t xml:space="preserve"> still expressed concerns over behavior management. One </w:t>
      </w:r>
      <w:r w:rsidR="00BE7F24" w:rsidRPr="00E45CA4">
        <w:t xml:space="preserve">middle school </w:t>
      </w:r>
      <w:r w:rsidR="00061696" w:rsidRPr="00E45CA4">
        <w:t xml:space="preserve">student explained, </w:t>
      </w:r>
      <w:r w:rsidR="00040362" w:rsidRPr="00E45CA4">
        <w:t>“</w:t>
      </w:r>
      <w:r w:rsidR="00061696" w:rsidRPr="00E45CA4">
        <w:t>Sometimes students just will ignore the teacher or cause more problems for the teacher</w:t>
      </w:r>
      <w:r w:rsidR="00E41825" w:rsidRPr="00E45CA4">
        <w:t>.</w:t>
      </w:r>
      <w:r w:rsidR="005940F1">
        <w:t>.</w:t>
      </w:r>
      <w:r w:rsidR="00E41825" w:rsidRPr="00E45CA4">
        <w:t xml:space="preserve">. </w:t>
      </w:r>
      <w:r w:rsidR="00061696" w:rsidRPr="00E45CA4">
        <w:t>And sometimes the teacher is also not helping the situation.</w:t>
      </w:r>
      <w:r w:rsidR="00040362" w:rsidRPr="00E45CA4">
        <w:t>”</w:t>
      </w:r>
      <w:r w:rsidR="00061696" w:rsidRPr="00E45CA4">
        <w:t xml:space="preserve"> </w:t>
      </w:r>
      <w:r w:rsidR="003F561E">
        <w:t>In line with students at Mahar Regional expressing mixed experiences, suspension rates at the school are</w:t>
      </w:r>
      <w:r w:rsidR="00F24B23">
        <w:t xml:space="preserve"> higher than </w:t>
      </w:r>
      <w:r w:rsidR="008E646E">
        <w:t xml:space="preserve">in </w:t>
      </w:r>
      <w:r w:rsidR="00F24B23">
        <w:t xml:space="preserve">some peer districts. In 2022-23, </w:t>
      </w:r>
      <w:r w:rsidR="000951AE">
        <w:t>almost 10</w:t>
      </w:r>
      <w:r w:rsidR="00CA355B">
        <w:t xml:space="preserve"> percent</w:t>
      </w:r>
      <w:r w:rsidR="000951AE">
        <w:t xml:space="preserve"> of students received an out-of-school suspension, including approximately 10</w:t>
      </w:r>
      <w:r w:rsidR="00CA355B">
        <w:t xml:space="preserve"> percent</w:t>
      </w:r>
      <w:r w:rsidR="000951AE">
        <w:t xml:space="preserve"> of White students, 11</w:t>
      </w:r>
      <w:r w:rsidR="00CA355B">
        <w:t xml:space="preserve"> percent</w:t>
      </w:r>
      <w:r w:rsidR="000951AE">
        <w:t xml:space="preserve"> of male students</w:t>
      </w:r>
      <w:r w:rsidR="0047219F">
        <w:t>, 14</w:t>
      </w:r>
      <w:r w:rsidR="00CA355B">
        <w:t xml:space="preserve"> percent</w:t>
      </w:r>
      <w:r w:rsidR="0047219F">
        <w:t xml:space="preserve"> of student</w:t>
      </w:r>
      <w:r w:rsidR="008E646E">
        <w:t>s</w:t>
      </w:r>
      <w:r w:rsidR="0047219F">
        <w:t xml:space="preserve"> classified as high needs, and 17</w:t>
      </w:r>
      <w:r w:rsidR="00CA355B">
        <w:t xml:space="preserve"> percent</w:t>
      </w:r>
      <w:r w:rsidR="0047219F">
        <w:t xml:space="preserve"> of students with disabilities. </w:t>
      </w:r>
      <w:r w:rsidR="00B123B4">
        <w:t>Consistently implementing</w:t>
      </w:r>
      <w:r w:rsidR="00761F9F">
        <w:t xml:space="preserve"> positive behavioral </w:t>
      </w:r>
      <w:r w:rsidR="00761F9F">
        <w:lastRenderedPageBreak/>
        <w:t>support systems and</w:t>
      </w:r>
      <w:r w:rsidR="00B123B4" w:rsidRPr="00E45CA4">
        <w:t xml:space="preserve"> </w:t>
      </w:r>
      <w:r w:rsidR="00E933A8">
        <w:t xml:space="preserve">practices aimed at creating </w:t>
      </w:r>
      <w:r w:rsidR="00412486" w:rsidRPr="00E45CA4">
        <w:t xml:space="preserve">supportive environments </w:t>
      </w:r>
      <w:r w:rsidR="00E933A8" w:rsidRPr="00A06F1E">
        <w:t>for</w:t>
      </w:r>
      <w:r w:rsidR="00412486" w:rsidRPr="00E45CA4">
        <w:t xml:space="preserve"> all </w:t>
      </w:r>
      <w:r w:rsidR="00E933A8" w:rsidRPr="00A06F1E">
        <w:t>students</w:t>
      </w:r>
      <w:r w:rsidR="00412486" w:rsidRPr="00E45CA4">
        <w:t xml:space="preserve"> is an area </w:t>
      </w:r>
      <w:r w:rsidR="00F82473" w:rsidRPr="00E45CA4">
        <w:t>for</w:t>
      </w:r>
      <w:r w:rsidR="00412486" w:rsidRPr="00E45CA4">
        <w:t xml:space="preserve"> growth for the superintendency union.</w:t>
      </w:r>
    </w:p>
    <w:p w14:paraId="145B3895" w14:textId="68363B4E" w:rsidR="00B827DE" w:rsidRPr="00A06F1E" w:rsidRDefault="00B827DE" w:rsidP="00B827DE">
      <w:pPr>
        <w:pStyle w:val="Heading3"/>
      </w:pPr>
      <w:bookmarkStart w:id="61" w:name="_Tiered_Systems_of"/>
      <w:bookmarkEnd w:id="61"/>
      <w:r w:rsidRPr="00E45CA4">
        <w:t>Tiered Systems of Support</w:t>
      </w:r>
    </w:p>
    <w:p w14:paraId="06A8DB9A" w14:textId="2A84ED12" w:rsidR="006C1DC9" w:rsidRPr="00A06F1E" w:rsidRDefault="000D6A8E" w:rsidP="00D27AD8">
      <w:pPr>
        <w:pStyle w:val="BodyTextposthead"/>
      </w:pPr>
      <w:r>
        <w:t>RCM &amp; SU 73</w:t>
      </w:r>
      <w:r w:rsidR="00D27AD8" w:rsidRPr="00A06F1E">
        <w:t xml:space="preserve"> has structures and systems in place to support the academic, behavioral, and social-emotional needs of all students. The District Curriculum Accommodation Plan explicitly delineates the supports in place across all schools to address students</w:t>
      </w:r>
      <w:r w:rsidR="00040362" w:rsidRPr="00A06F1E">
        <w:t>’</w:t>
      </w:r>
      <w:r w:rsidR="00D27AD8" w:rsidRPr="00A06F1E">
        <w:t xml:space="preserve"> academic, behavioral, and social-emotional needs. Each school uses the </w:t>
      </w:r>
      <w:r w:rsidR="00DC2B54" w:rsidRPr="00A06F1E">
        <w:t>District Curriculum Accommodation Plan</w:t>
      </w:r>
      <w:r w:rsidR="00D27AD8" w:rsidRPr="00A06F1E">
        <w:t>, which outlines Tier</w:t>
      </w:r>
      <w:r w:rsidR="00457657" w:rsidRPr="00A06F1E">
        <w:t> </w:t>
      </w:r>
      <w:r w:rsidR="00D27AD8" w:rsidRPr="00A06F1E">
        <w:t>1 accommodations and strategies for differentiation to support inclusive learning environments. These supports include systems for data-based decision</w:t>
      </w:r>
      <w:r w:rsidR="004E0ECD" w:rsidRPr="00A06F1E">
        <w:t xml:space="preserve"> </w:t>
      </w:r>
      <w:r w:rsidR="00D27AD8" w:rsidRPr="00A06F1E">
        <w:t xml:space="preserve">making to inform the matching of students with evidence-based supports and services. According to interviews with student support specialists, dedicated Title 1 reading and math interventionists are available at both elementary schools to conduct pull-outs with students. Each school also has a </w:t>
      </w:r>
      <w:r w:rsidR="004857CE" w:rsidRPr="00A06F1E">
        <w:t>s</w:t>
      </w:r>
      <w:r w:rsidR="00D27AD8" w:rsidRPr="00A06F1E">
        <w:t xml:space="preserve">tudent </w:t>
      </w:r>
      <w:r w:rsidR="004857CE" w:rsidRPr="00A06F1E">
        <w:t>s</w:t>
      </w:r>
      <w:r w:rsidR="00D27AD8" w:rsidRPr="00A06F1E">
        <w:t xml:space="preserve">upport </w:t>
      </w:r>
      <w:r w:rsidR="004857CE" w:rsidRPr="00A06F1E">
        <w:t>t</w:t>
      </w:r>
      <w:r w:rsidR="00D27AD8" w:rsidRPr="00A06F1E">
        <w:t xml:space="preserve">eam that uses multiple sources of data to match students with evidence-based supports and services based on their unique academic, behavioral, or social needs. </w:t>
      </w:r>
      <w:r w:rsidR="008528DA" w:rsidRPr="00A06F1E">
        <w:t xml:space="preserve">According to the </w:t>
      </w:r>
      <w:r>
        <w:t>RCM &amp; SU 73</w:t>
      </w:r>
      <w:r w:rsidR="008528DA" w:rsidRPr="00A06F1E">
        <w:t xml:space="preserve"> </w:t>
      </w:r>
      <w:r w:rsidR="008528DA" w:rsidRPr="00A06F1E">
        <w:rPr>
          <w:i/>
          <w:iCs/>
        </w:rPr>
        <w:t xml:space="preserve">Student Support Team Guidelines </w:t>
      </w:r>
      <w:r w:rsidR="008528DA" w:rsidRPr="00A06F1E">
        <w:t xml:space="preserve">document, </w:t>
      </w:r>
      <w:r w:rsidR="004E0ECD" w:rsidRPr="00A06F1E">
        <w:t>when</w:t>
      </w:r>
      <w:r w:rsidR="007C57C7" w:rsidRPr="00A06F1E">
        <w:t xml:space="preserve"> a student has been referred to the </w:t>
      </w:r>
      <w:r w:rsidR="004857CE" w:rsidRPr="00A06F1E">
        <w:t>student support team</w:t>
      </w:r>
      <w:r w:rsidR="007C57C7" w:rsidRPr="00A06F1E">
        <w:t xml:space="preserve">, members </w:t>
      </w:r>
      <w:r w:rsidR="000C2356" w:rsidRPr="00A06F1E">
        <w:t xml:space="preserve">develop strategies to assist the student, which the classroom teacher implements with the support staff and in consultation with appropriate </w:t>
      </w:r>
      <w:r w:rsidR="0057416F" w:rsidRPr="00A06F1E">
        <w:t xml:space="preserve">specialists. </w:t>
      </w:r>
      <w:r w:rsidR="004E0ECD" w:rsidRPr="00A06F1E">
        <w:t>In addition</w:t>
      </w:r>
      <w:r w:rsidR="00D27AD8" w:rsidRPr="00A06F1E">
        <w:t>, special educators and Title 1 paraprofessionals support intervention groups</w:t>
      </w:r>
      <w:r w:rsidR="006D327A" w:rsidRPr="00A06F1E">
        <w:t xml:space="preserve"> within the classroom</w:t>
      </w:r>
      <w:r w:rsidR="00D27AD8" w:rsidRPr="00A06F1E">
        <w:t>.</w:t>
      </w:r>
    </w:p>
    <w:p w14:paraId="6CCD4802" w14:textId="0C9318DD" w:rsidR="00D93593" w:rsidRDefault="00D27AD8" w:rsidP="004608F7">
      <w:pPr>
        <w:pStyle w:val="BodyText"/>
        <w:rPr>
          <w:spacing w:val="-2"/>
        </w:rPr>
      </w:pPr>
      <w:r w:rsidRPr="00A06F1E">
        <w:rPr>
          <w:spacing w:val="-2"/>
        </w:rPr>
        <w:t xml:space="preserve">According to interviews with </w:t>
      </w:r>
      <w:r w:rsidR="00CF4F71">
        <w:rPr>
          <w:spacing w:val="-2"/>
        </w:rPr>
        <w:t>Fisher Hill</w:t>
      </w:r>
      <w:r w:rsidR="00005445" w:rsidRPr="00A06F1E">
        <w:rPr>
          <w:spacing w:val="-2"/>
        </w:rPr>
        <w:t xml:space="preserve"> </w:t>
      </w:r>
      <w:r w:rsidRPr="00A06F1E">
        <w:rPr>
          <w:spacing w:val="-2"/>
        </w:rPr>
        <w:t xml:space="preserve">student support staff, students receive targeted skill interventions (Tier 2) based on their benchmark data. One </w:t>
      </w:r>
      <w:r w:rsidR="00CF4F71">
        <w:rPr>
          <w:spacing w:val="-2"/>
        </w:rPr>
        <w:t>Fisher Hill</w:t>
      </w:r>
      <w:r w:rsidR="00E96CB4" w:rsidRPr="00A06F1E">
        <w:rPr>
          <w:spacing w:val="-2"/>
        </w:rPr>
        <w:t xml:space="preserve"> </w:t>
      </w:r>
      <w:r w:rsidRPr="00A06F1E">
        <w:rPr>
          <w:spacing w:val="-2"/>
        </w:rPr>
        <w:t xml:space="preserve">student support staff member highlighted an area for growth in the scheduling of tiered supports, explaining that </w:t>
      </w:r>
      <w:r w:rsidR="00040362" w:rsidRPr="00A06F1E">
        <w:rPr>
          <w:spacing w:val="-2"/>
        </w:rPr>
        <w:t>“</w:t>
      </w:r>
      <w:r w:rsidRPr="00A06F1E">
        <w:rPr>
          <w:spacing w:val="-2"/>
        </w:rPr>
        <w:t>there</w:t>
      </w:r>
      <w:r w:rsidR="00040362" w:rsidRPr="00A06F1E">
        <w:rPr>
          <w:spacing w:val="-2"/>
        </w:rPr>
        <w:t>’</w:t>
      </w:r>
      <w:r w:rsidRPr="00A06F1E">
        <w:rPr>
          <w:spacing w:val="-2"/>
        </w:rPr>
        <w:t>s a big weakness and flaw in the structure we have right now</w:t>
      </w:r>
      <w:r w:rsidR="005B0FE4" w:rsidRPr="00A06F1E">
        <w:rPr>
          <w:spacing w:val="-2"/>
        </w:rPr>
        <w:t>. . . . S</w:t>
      </w:r>
      <w:r w:rsidRPr="00A06F1E">
        <w:rPr>
          <w:spacing w:val="-2"/>
        </w:rPr>
        <w:t>tudents are being pulled out of their Tier 1 instruction to receive Tier 2 instruction during the Tier 1 time.</w:t>
      </w:r>
      <w:r w:rsidR="00040362" w:rsidRPr="00A06F1E">
        <w:rPr>
          <w:spacing w:val="-2"/>
        </w:rPr>
        <w:t>”</w:t>
      </w:r>
      <w:r w:rsidRPr="00A06F1E">
        <w:rPr>
          <w:spacing w:val="-2"/>
        </w:rPr>
        <w:t xml:space="preserve"> Another </w:t>
      </w:r>
      <w:r w:rsidR="00CF4F71">
        <w:rPr>
          <w:spacing w:val="-2"/>
        </w:rPr>
        <w:t>Fisher Hill</w:t>
      </w:r>
      <w:r w:rsidR="008F6E06" w:rsidRPr="00A06F1E">
        <w:rPr>
          <w:spacing w:val="-2"/>
        </w:rPr>
        <w:t xml:space="preserve"> </w:t>
      </w:r>
      <w:r w:rsidRPr="00A06F1E">
        <w:rPr>
          <w:spacing w:val="-2"/>
        </w:rPr>
        <w:t xml:space="preserve">student support staff member described a similar issue with Tier 3 supports, noting that Tier 3 interventions at the elementary level </w:t>
      </w:r>
      <w:r w:rsidR="00D12656" w:rsidRPr="00A06F1E">
        <w:rPr>
          <w:spacing w:val="-2"/>
        </w:rPr>
        <w:t xml:space="preserve">do </w:t>
      </w:r>
      <w:r w:rsidRPr="00A06F1E">
        <w:rPr>
          <w:spacing w:val="-2"/>
        </w:rPr>
        <w:t xml:space="preserve">not completely align with the curriculum. </w:t>
      </w:r>
      <w:r w:rsidR="00CF4F71">
        <w:rPr>
          <w:spacing w:val="-2"/>
        </w:rPr>
        <w:t>Fisher Hill</w:t>
      </w:r>
      <w:r w:rsidR="00005445" w:rsidRPr="00A06F1E">
        <w:rPr>
          <w:spacing w:val="-2"/>
        </w:rPr>
        <w:t xml:space="preserve"> teachers </w:t>
      </w:r>
      <w:r w:rsidR="00CA43A1" w:rsidRPr="00A06F1E">
        <w:rPr>
          <w:spacing w:val="-2"/>
        </w:rPr>
        <w:t xml:space="preserve">also </w:t>
      </w:r>
      <w:r w:rsidR="00005445" w:rsidRPr="00A06F1E">
        <w:rPr>
          <w:spacing w:val="-2"/>
        </w:rPr>
        <w:t xml:space="preserve">noted that although they have a lot of Tier 2 supports available to choose from, they have concerns that the implementation of these supports is less consistent. For instance, one </w:t>
      </w:r>
      <w:r w:rsidR="00CF4F71">
        <w:rPr>
          <w:spacing w:val="-2"/>
        </w:rPr>
        <w:t>Fisher Hill</w:t>
      </w:r>
      <w:r w:rsidR="00005445" w:rsidRPr="00A06F1E">
        <w:rPr>
          <w:spacing w:val="-2"/>
        </w:rPr>
        <w:t xml:space="preserve"> teacher described how Title 1 teachers were pulled from classes to support MCAS testing. Another</w:t>
      </w:r>
      <w:r w:rsidR="0079491B" w:rsidRPr="00A06F1E">
        <w:rPr>
          <w:spacing w:val="-2"/>
        </w:rPr>
        <w:t xml:space="preserve"> </w:t>
      </w:r>
      <w:r w:rsidR="00CF4F71">
        <w:rPr>
          <w:spacing w:val="-2"/>
        </w:rPr>
        <w:t>Fisher Hill</w:t>
      </w:r>
      <w:r w:rsidR="00005445" w:rsidRPr="00A06F1E">
        <w:rPr>
          <w:spacing w:val="-2"/>
        </w:rPr>
        <w:t xml:space="preserve"> teacher explained that students were assigned Tier 2 supports but were not receiving supports for a portion of the year</w:t>
      </w:r>
      <w:r w:rsidR="0079491B" w:rsidRPr="00A06F1E">
        <w:rPr>
          <w:spacing w:val="-2"/>
        </w:rPr>
        <w:t xml:space="preserve">. </w:t>
      </w:r>
      <w:proofErr w:type="spellStart"/>
      <w:r w:rsidR="00652B48">
        <w:rPr>
          <w:spacing w:val="-2"/>
        </w:rPr>
        <w:t>Petersham</w:t>
      </w:r>
      <w:proofErr w:type="spellEnd"/>
      <w:r w:rsidR="00652B48">
        <w:rPr>
          <w:spacing w:val="-2"/>
        </w:rPr>
        <w:t xml:space="preserve"> Center</w:t>
      </w:r>
      <w:r w:rsidR="0079491B" w:rsidRPr="00A06F1E">
        <w:rPr>
          <w:spacing w:val="-2"/>
        </w:rPr>
        <w:t xml:space="preserve"> teachers explained that paraprofessionals are used in every classroom and that students are provided with both targeted skill interventions (Tier 2) and intensive, individualized interventions (Tier 3).</w:t>
      </w:r>
      <w:r w:rsidR="00754CAB" w:rsidRPr="00A06F1E">
        <w:rPr>
          <w:spacing w:val="-2"/>
        </w:rPr>
        <w:t xml:space="preserve"> </w:t>
      </w:r>
      <w:r w:rsidR="00D93593">
        <w:rPr>
          <w:spacing w:val="-2"/>
        </w:rPr>
        <w:t>Refining</w:t>
      </w:r>
      <w:r w:rsidR="00D93593" w:rsidRPr="00E45CA4">
        <w:rPr>
          <w:spacing w:val="-2"/>
        </w:rPr>
        <w:t xml:space="preserve"> </w:t>
      </w:r>
      <w:r w:rsidR="00D11D49">
        <w:rPr>
          <w:spacing w:val="-2"/>
        </w:rPr>
        <w:t xml:space="preserve">delivery of </w:t>
      </w:r>
      <w:r w:rsidR="00D93593" w:rsidRPr="00E45CA4">
        <w:rPr>
          <w:spacing w:val="-2"/>
        </w:rPr>
        <w:t>tiered academic supports across schools, particularly at the elementary level,</w:t>
      </w:r>
      <w:r w:rsidR="00D93593">
        <w:rPr>
          <w:spacing w:val="-2"/>
        </w:rPr>
        <w:t xml:space="preserve"> to create a more </w:t>
      </w:r>
      <w:r w:rsidR="003A0E42">
        <w:rPr>
          <w:spacing w:val="-2"/>
        </w:rPr>
        <w:t>coherent system across tiers</w:t>
      </w:r>
      <w:r w:rsidR="00D93593" w:rsidRPr="00E45CA4">
        <w:rPr>
          <w:spacing w:val="-2"/>
        </w:rPr>
        <w:t xml:space="preserve"> is an area for growth for the superintendency union.</w:t>
      </w:r>
    </w:p>
    <w:p w14:paraId="0F85A4D2" w14:textId="03B251CB" w:rsidR="006C1DC9" w:rsidRPr="00E45CA4" w:rsidRDefault="00FB4B50" w:rsidP="004608F7">
      <w:pPr>
        <w:pStyle w:val="BodyText"/>
      </w:pPr>
      <w:r w:rsidRPr="00A06F1E">
        <w:rPr>
          <w:spacing w:val="-2"/>
        </w:rPr>
        <w:t>Mahar Regional teachers at the middle school level shared that a Title 1 math</w:t>
      </w:r>
      <w:r w:rsidR="00263929" w:rsidRPr="00A06F1E">
        <w:rPr>
          <w:spacing w:val="-2"/>
        </w:rPr>
        <w:t>ematics</w:t>
      </w:r>
      <w:r w:rsidRPr="00A06F1E">
        <w:rPr>
          <w:spacing w:val="-2"/>
        </w:rPr>
        <w:t xml:space="preserve"> paraprofessional and an academic coach are available to support students. Mahar</w:t>
      </w:r>
      <w:r w:rsidR="00240BAE" w:rsidRPr="00A06F1E">
        <w:rPr>
          <w:spacing w:val="-2"/>
        </w:rPr>
        <w:t xml:space="preserve"> Regional</w:t>
      </w:r>
      <w:r w:rsidRPr="00A06F1E">
        <w:rPr>
          <w:spacing w:val="-2"/>
        </w:rPr>
        <w:t xml:space="preserve"> middle school teachers also noted that remediation is built into their instruction, they often conduct coteaching, and they offer afterschool tutoring as supports for students. Mahar </w:t>
      </w:r>
      <w:r w:rsidR="00240BAE" w:rsidRPr="00A06F1E">
        <w:rPr>
          <w:spacing w:val="-2"/>
        </w:rPr>
        <w:t>Regional</w:t>
      </w:r>
      <w:r w:rsidRPr="00A06F1E">
        <w:rPr>
          <w:spacing w:val="-2"/>
        </w:rPr>
        <w:t xml:space="preserve"> high school teachers explained that all teachers are </w:t>
      </w:r>
      <w:r w:rsidRPr="00E45CA4">
        <w:rPr>
          <w:spacing w:val="-2"/>
        </w:rPr>
        <w:t>available to students every Monday and Tuesday after school to provide academic support</w:t>
      </w:r>
      <w:r w:rsidR="00157E40">
        <w:t>,</w:t>
      </w:r>
      <w:r w:rsidRPr="00E45CA4">
        <w:rPr>
          <w:spacing w:val="-2"/>
        </w:rPr>
        <w:t xml:space="preserve"> and that peer tutoring is available in the library. </w:t>
      </w:r>
    </w:p>
    <w:p w14:paraId="744EA0E0" w14:textId="165C11DD" w:rsidR="006C1DC9" w:rsidRPr="00A06F1E" w:rsidRDefault="00D27AD8" w:rsidP="004608F7">
      <w:pPr>
        <w:pStyle w:val="BodyText"/>
      </w:pPr>
      <w:r w:rsidRPr="00A06F1E">
        <w:lastRenderedPageBreak/>
        <w:t>For students</w:t>
      </w:r>
      <w:r w:rsidR="00040362" w:rsidRPr="00A06F1E">
        <w:t>’</w:t>
      </w:r>
      <w:r w:rsidRPr="00A06F1E">
        <w:t xml:space="preserve"> </w:t>
      </w:r>
      <w:r w:rsidR="005928F3">
        <w:t>nonacademic</w:t>
      </w:r>
      <w:r w:rsidRPr="00A06F1E">
        <w:t xml:space="preserve"> needs, the </w:t>
      </w:r>
      <w:r w:rsidR="001D2683" w:rsidRPr="00A06F1E">
        <w:t>superinten</w:t>
      </w:r>
      <w:r w:rsidR="003407FF" w:rsidRPr="00A06F1E">
        <w:t>dency union</w:t>
      </w:r>
      <w:r w:rsidR="001D2683" w:rsidRPr="00A06F1E">
        <w:t xml:space="preserve"> </w:t>
      </w:r>
      <w:r w:rsidR="005928F3">
        <w:t xml:space="preserve">has </w:t>
      </w:r>
      <w:r w:rsidR="00AB2258">
        <w:t>a</w:t>
      </w:r>
      <w:r w:rsidR="00CE4506">
        <w:t xml:space="preserve"> wide</w:t>
      </w:r>
      <w:r w:rsidR="00AB2258">
        <w:t xml:space="preserve"> array of</w:t>
      </w:r>
      <w:r w:rsidR="005928F3">
        <w:t xml:space="preserve"> </w:t>
      </w:r>
      <w:r w:rsidR="009F2653">
        <w:t xml:space="preserve">tiered </w:t>
      </w:r>
      <w:r w:rsidR="005928F3">
        <w:t>support</w:t>
      </w:r>
      <w:r w:rsidR="004B3A28">
        <w:t xml:space="preserve"> initiatives</w:t>
      </w:r>
      <w:r w:rsidR="005928F3">
        <w:t xml:space="preserve"> in place</w:t>
      </w:r>
      <w:r w:rsidR="00AB2258">
        <w:t>, which is a strength</w:t>
      </w:r>
      <w:r>
        <w:t>.</w:t>
      </w:r>
      <w:r w:rsidRPr="00A06F1E">
        <w:t xml:space="preserve"> According to </w:t>
      </w:r>
      <w:r w:rsidR="0089782E" w:rsidRPr="00A06F1E">
        <w:t xml:space="preserve">central office </w:t>
      </w:r>
      <w:r w:rsidRPr="00A06F1E">
        <w:t xml:space="preserve">staff, </w:t>
      </w:r>
      <w:r w:rsidR="000D6A8E">
        <w:t>RCM &amp; SU 73</w:t>
      </w:r>
      <w:r w:rsidR="0089782E" w:rsidRPr="00A06F1E">
        <w:t xml:space="preserve"> </w:t>
      </w:r>
      <w:r w:rsidRPr="00A06F1E">
        <w:t>has recently implemented</w:t>
      </w:r>
      <w:r w:rsidR="00A85045" w:rsidRPr="00A06F1E">
        <w:t xml:space="preserve"> several strategies at the elementary level </w:t>
      </w:r>
      <w:r w:rsidR="005928F3">
        <w:t>to provide tiers of social-emotional intervention,</w:t>
      </w:r>
      <w:r w:rsidR="00A85045" w:rsidRPr="00A06F1E">
        <w:t xml:space="preserve"> including</w:t>
      </w:r>
      <w:r w:rsidRPr="00A06F1E">
        <w:t xml:space="preserve"> a crisis team, </w:t>
      </w:r>
      <w:r w:rsidR="00040362" w:rsidRPr="00A06F1E">
        <w:t>“</w:t>
      </w:r>
      <w:r w:rsidRPr="00A06F1E">
        <w:t>cool rooms</w:t>
      </w:r>
      <w:r w:rsidR="00040362" w:rsidRPr="00A06F1E">
        <w:t>”</w:t>
      </w:r>
      <w:r w:rsidRPr="00A06F1E">
        <w:t xml:space="preserve"> for students to de-escalate, zones of regulation</w:t>
      </w:r>
      <w:r w:rsidR="00A85045" w:rsidRPr="00A06F1E">
        <w:t xml:space="preserve"> lessons</w:t>
      </w:r>
      <w:r w:rsidRPr="00A06F1E">
        <w:t xml:space="preserve">, and individual check-ins with students. One </w:t>
      </w:r>
      <w:r w:rsidR="00CF4F71">
        <w:t>Fisher Hill</w:t>
      </w:r>
      <w:r w:rsidR="00155C0B" w:rsidRPr="00A06F1E">
        <w:t xml:space="preserve"> </w:t>
      </w:r>
      <w:r w:rsidRPr="00A06F1E">
        <w:t xml:space="preserve">student support staff member explained that these strategies are </w:t>
      </w:r>
      <w:r w:rsidR="00040362" w:rsidRPr="00A06F1E">
        <w:t>“</w:t>
      </w:r>
      <w:r w:rsidRPr="00A06F1E">
        <w:t>really key to managing a lot of the behaviors</w:t>
      </w:r>
      <w:r w:rsidR="002A7AE7">
        <w:t>.</w:t>
      </w:r>
      <w:r w:rsidR="00040362">
        <w:t>”</w:t>
      </w:r>
      <w:r w:rsidRPr="00E45CA4">
        <w:t xml:space="preserve"> At </w:t>
      </w:r>
      <w:r w:rsidR="007A5000" w:rsidRPr="00E45CA4">
        <w:t>both elementary schools</w:t>
      </w:r>
      <w:r w:rsidRPr="00E45CA4">
        <w:t xml:space="preserve">, students receive weekly </w:t>
      </w:r>
      <w:r w:rsidR="00BE3E32" w:rsidRPr="00E45CA4">
        <w:t>social-emotional learning</w:t>
      </w:r>
      <w:r w:rsidRPr="00E45CA4">
        <w:t xml:space="preserve"> lessons using the Second Step curriculum</w:t>
      </w:r>
      <w:r w:rsidR="009E013D" w:rsidRPr="00E45CA4">
        <w:t xml:space="preserve">. </w:t>
      </w:r>
      <w:r w:rsidR="00C32F9D" w:rsidRPr="00E45CA4">
        <w:t xml:space="preserve">Students at </w:t>
      </w:r>
      <w:proofErr w:type="spellStart"/>
      <w:r w:rsidR="00652B48">
        <w:t>Petersham</w:t>
      </w:r>
      <w:proofErr w:type="spellEnd"/>
      <w:r w:rsidR="00652B48">
        <w:t xml:space="preserve"> Center</w:t>
      </w:r>
      <w:r w:rsidR="00C32F9D" w:rsidRPr="00E45CA4">
        <w:t xml:space="preserve"> also </w:t>
      </w:r>
      <w:r w:rsidRPr="00E45CA4">
        <w:t xml:space="preserve">have lunch bunches with the school guidance counselor. </w:t>
      </w:r>
      <w:r w:rsidR="003F7CFC">
        <w:t>H</w:t>
      </w:r>
      <w:r w:rsidR="00CF0D25">
        <w:t xml:space="preserve">owever, </w:t>
      </w:r>
      <w:r w:rsidR="00CF4F71">
        <w:t>Fisher Hill</w:t>
      </w:r>
      <w:r w:rsidR="00763C83">
        <w:t xml:space="preserve"> </w:t>
      </w:r>
      <w:r w:rsidR="00CF0D25">
        <w:t xml:space="preserve">staff reported that </w:t>
      </w:r>
      <w:r w:rsidR="00CF0D25" w:rsidRPr="00A06F1E">
        <w:t xml:space="preserve">the implementation of these initiatives </w:t>
      </w:r>
      <w:r w:rsidR="002A7AE7">
        <w:t>is not systematically coordinated as a tiered system.</w:t>
      </w:r>
      <w:r w:rsidR="00CF0D25" w:rsidRPr="00E45CA4">
        <w:t xml:space="preserve"> </w:t>
      </w:r>
      <w:r w:rsidRPr="00E45CA4">
        <w:t xml:space="preserve">At </w:t>
      </w:r>
      <w:r w:rsidR="005C0CE1" w:rsidRPr="00E45CA4">
        <w:t xml:space="preserve">Mahar </w:t>
      </w:r>
      <w:r w:rsidR="0092501B" w:rsidRPr="00E45CA4">
        <w:t>Regional,</w:t>
      </w:r>
      <w:r w:rsidRPr="00E45CA4">
        <w:t xml:space="preserve"> middle and high school students have access to guidance counselors</w:t>
      </w:r>
      <w:r w:rsidR="00566002" w:rsidRPr="00E45CA4">
        <w:t xml:space="preserve"> and</w:t>
      </w:r>
      <w:r w:rsidRPr="00E45CA4">
        <w:t xml:space="preserve"> school psychologists</w:t>
      </w:r>
      <w:r w:rsidR="5F419779">
        <w:t>, and 10</w:t>
      </w:r>
      <w:r w:rsidR="5F419779" w:rsidRPr="5B73E931">
        <w:rPr>
          <w:vertAlign w:val="superscript"/>
        </w:rPr>
        <w:t>th</w:t>
      </w:r>
      <w:r w:rsidR="5F419779">
        <w:t xml:space="preserve"> graders receive a curriculum around identifying the signs for suicide</w:t>
      </w:r>
      <w:r w:rsidR="6A1E5C51">
        <w:t xml:space="preserve"> and specialists monitor and refer</w:t>
      </w:r>
      <w:r w:rsidR="007009D4" w:rsidRPr="00E45CA4">
        <w:t xml:space="preserve"> students </w:t>
      </w:r>
      <w:r w:rsidR="6A1E5C51">
        <w:t xml:space="preserve">through the program. </w:t>
      </w:r>
      <w:r w:rsidRPr="00E45CA4">
        <w:t xml:space="preserve"> </w:t>
      </w:r>
      <w:r w:rsidR="00826CB0" w:rsidRPr="00E45CA4">
        <w:t>In addition</w:t>
      </w:r>
      <w:r w:rsidRPr="00E45CA4">
        <w:t xml:space="preserve">, Mahar Regional has a partnership with Haywood Hospital to provide telehealth </w:t>
      </w:r>
      <w:r>
        <w:t>services to students</w:t>
      </w:r>
      <w:r w:rsidR="76D16162">
        <w:t xml:space="preserve"> in need of mental health support</w:t>
      </w:r>
      <w:r>
        <w:t>.</w:t>
      </w:r>
      <w:r w:rsidR="4B43B072">
        <w:t xml:space="preserve"> High school students also are assigned guidance counselors who reach out to students, discuss their plans, and connect them with courses they may be interested in.</w:t>
      </w:r>
    </w:p>
    <w:p w14:paraId="59695C6E" w14:textId="5E22B38A" w:rsidR="00B827DE" w:rsidRPr="00A06F1E" w:rsidRDefault="00B827DE" w:rsidP="00B827DE">
      <w:pPr>
        <w:pStyle w:val="Heading3"/>
      </w:pPr>
      <w:r w:rsidRPr="00A06F1E">
        <w:t>Family, Student, and Community Engagement and Partnerships</w:t>
      </w:r>
    </w:p>
    <w:p w14:paraId="28A66EE2" w14:textId="7D43D52A" w:rsidR="006F4188" w:rsidRPr="00CA355B" w:rsidRDefault="000D6A8E" w:rsidP="00CA355B">
      <w:pPr>
        <w:pStyle w:val="BodyText"/>
        <w:rPr>
          <w:spacing w:val="-2"/>
        </w:rPr>
      </w:pPr>
      <w:r>
        <w:t>RCM &amp; SU 73</w:t>
      </w:r>
      <w:r w:rsidR="00462357" w:rsidRPr="00A06F1E">
        <w:t xml:space="preserve"> has several means of engaging families and communities, such as the Special Education Parent Advisory Council, parent-teacher organizations, and school site council</w:t>
      </w:r>
      <w:r w:rsidR="00372C3E">
        <w:t>s</w:t>
      </w:r>
      <w:r w:rsidR="00462357" w:rsidRPr="00A06F1E">
        <w:t>. Student support staff noted that they have recently rebuilt a connection with the Special Education Parent Advisory Council to offer training and advertise to every parent in the</w:t>
      </w:r>
      <w:r w:rsidR="00160BBF" w:rsidRPr="00A06F1E">
        <w:t xml:space="preserve"> member</w:t>
      </w:r>
      <w:r w:rsidR="00462357" w:rsidRPr="00A06F1E">
        <w:t xml:space="preserve"> district</w:t>
      </w:r>
      <w:r w:rsidR="00160BBF" w:rsidRPr="00A06F1E">
        <w:t>s</w:t>
      </w:r>
      <w:r w:rsidR="00462357" w:rsidRPr="00A06F1E">
        <w:t xml:space="preserve">. Staff stated that </w:t>
      </w:r>
      <w:r w:rsidR="00040362" w:rsidRPr="00A06F1E">
        <w:t>“</w:t>
      </w:r>
      <w:r w:rsidR="00462357" w:rsidRPr="00A06F1E">
        <w:t>it</w:t>
      </w:r>
      <w:r w:rsidR="00040362" w:rsidRPr="00A06F1E">
        <w:t>’</w:t>
      </w:r>
      <w:r w:rsidR="00462357" w:rsidRPr="00A06F1E">
        <w:t>s not always easy to get parents to come to those kinds of generic meetings</w:t>
      </w:r>
      <w:r w:rsidR="00826CB0" w:rsidRPr="00A06F1E">
        <w:t>,</w:t>
      </w:r>
      <w:r w:rsidR="00040362" w:rsidRPr="00A06F1E">
        <w:t>”</w:t>
      </w:r>
      <w:r w:rsidR="00462357" w:rsidRPr="00A06F1E">
        <w:t xml:space="preserve"> so they created advocacy parent groups to increase family engagement and offer additional support </w:t>
      </w:r>
      <w:r w:rsidR="0080519A" w:rsidRPr="00A06F1E">
        <w:t xml:space="preserve">to students </w:t>
      </w:r>
      <w:r w:rsidR="00042854" w:rsidRPr="00A06F1E">
        <w:t>and parents</w:t>
      </w:r>
      <w:r w:rsidR="0028163E" w:rsidRPr="00A06F1E">
        <w:t xml:space="preserve"> </w:t>
      </w:r>
      <w:r w:rsidR="00462357" w:rsidRPr="00CA355B">
        <w:rPr>
          <w:spacing w:val="-2"/>
        </w:rPr>
        <w:t xml:space="preserve">outside of the school environment. </w:t>
      </w:r>
    </w:p>
    <w:p w14:paraId="491454F4" w14:textId="223E2960" w:rsidR="00934AC4" w:rsidRPr="00CA355B" w:rsidRDefault="0024773D" w:rsidP="00CA355B">
      <w:pPr>
        <w:pStyle w:val="BodyText"/>
        <w:rPr>
          <w:spacing w:val="-2"/>
        </w:rPr>
      </w:pPr>
      <w:r w:rsidRPr="00A06F1E">
        <w:rPr>
          <w:spacing w:val="-2"/>
        </w:rPr>
        <w:t>Focus groups with central office and school-based staff highlighted the superintendency union</w:t>
      </w:r>
      <w:r w:rsidR="00040362" w:rsidRPr="00A06F1E">
        <w:rPr>
          <w:spacing w:val="-2"/>
        </w:rPr>
        <w:t>’</w:t>
      </w:r>
      <w:r w:rsidRPr="00A06F1E">
        <w:rPr>
          <w:spacing w:val="-2"/>
        </w:rPr>
        <w:t xml:space="preserve">s efforts to engage </w:t>
      </w:r>
      <w:r w:rsidR="00E819ED" w:rsidRPr="00A06F1E">
        <w:rPr>
          <w:spacing w:val="-2"/>
        </w:rPr>
        <w:t>families and partner with community organizations to enhance student supports.</w:t>
      </w:r>
      <w:r w:rsidRPr="00A06F1E">
        <w:rPr>
          <w:spacing w:val="-2"/>
        </w:rPr>
        <w:t xml:space="preserve"> </w:t>
      </w:r>
      <w:r w:rsidR="000B1FF4" w:rsidRPr="00A06F1E">
        <w:rPr>
          <w:spacing w:val="-2"/>
        </w:rPr>
        <w:t xml:space="preserve">Administrators and teachers explained that families are involved in the </w:t>
      </w:r>
      <w:r w:rsidR="004857CE" w:rsidRPr="00A06F1E">
        <w:rPr>
          <w:spacing w:val="-2"/>
        </w:rPr>
        <w:t>student support team</w:t>
      </w:r>
      <w:r w:rsidR="000B1FF4" w:rsidRPr="00A06F1E">
        <w:rPr>
          <w:spacing w:val="-2"/>
        </w:rPr>
        <w:t xml:space="preserve"> process: </w:t>
      </w:r>
      <w:r w:rsidR="008224AA" w:rsidRPr="00A06F1E">
        <w:rPr>
          <w:spacing w:val="-2"/>
        </w:rPr>
        <w:t>A</w:t>
      </w:r>
      <w:r w:rsidR="000B1FF4" w:rsidRPr="00A06F1E">
        <w:rPr>
          <w:spacing w:val="-2"/>
        </w:rPr>
        <w:t xml:space="preserve">djustment counselors reach out to parents, schedule individualized parent meetings, offer training and workshops, and connect families to outside services and supports. </w:t>
      </w:r>
      <w:r w:rsidR="00773DF5">
        <w:t xml:space="preserve">For example, </w:t>
      </w:r>
      <w:proofErr w:type="spellStart"/>
      <w:r w:rsidR="00652B48">
        <w:t>Petersham</w:t>
      </w:r>
      <w:proofErr w:type="spellEnd"/>
      <w:r w:rsidR="00652B48">
        <w:t xml:space="preserve"> Center</w:t>
      </w:r>
      <w:r w:rsidR="00773DF5" w:rsidRPr="00A06F1E">
        <w:t xml:space="preserve"> has partnerships with Haywood Hospital to provide crisis support to students and partnerships with local preschool programs to ensure quality transitions from early intervention services to preschool services</w:t>
      </w:r>
      <w:r w:rsidR="00773DF5">
        <w:t xml:space="preserve">. </w:t>
      </w:r>
      <w:r w:rsidR="00A3714D">
        <w:t xml:space="preserve">In addition, </w:t>
      </w:r>
      <w:r w:rsidR="002A0B9A">
        <w:t>a</w:t>
      </w:r>
      <w:r w:rsidR="00A3714D" w:rsidRPr="00A06F1E">
        <w:t xml:space="preserve">dvocacy groups and local community organizations conduct home visits, </w:t>
      </w:r>
      <w:r w:rsidR="00A3714D" w:rsidRPr="00CA355B">
        <w:rPr>
          <w:spacing w:val="-2"/>
        </w:rPr>
        <w:t>match students to mentors, send board-certified behavior analysts into homes, and help parents structure their schedules.</w:t>
      </w:r>
    </w:p>
    <w:p w14:paraId="74E7893A" w14:textId="7498C689" w:rsidR="006C1DC9" w:rsidRPr="00CA355B" w:rsidRDefault="008530D0" w:rsidP="00CA355B">
      <w:pPr>
        <w:pStyle w:val="BodyText"/>
        <w:rPr>
          <w:spacing w:val="-2"/>
        </w:rPr>
      </w:pPr>
      <w:r w:rsidRPr="00CA355B">
        <w:rPr>
          <w:spacing w:val="-2"/>
        </w:rPr>
        <w:t xml:space="preserve">Staff described several efforts to communicate with and involve parents beyond the community services </w:t>
      </w:r>
      <w:r w:rsidR="00EE7902" w:rsidRPr="00CA355B">
        <w:rPr>
          <w:spacing w:val="-2"/>
        </w:rPr>
        <w:t xml:space="preserve">support process. </w:t>
      </w:r>
      <w:r w:rsidR="00EC2E52" w:rsidRPr="00CA355B">
        <w:rPr>
          <w:spacing w:val="-2"/>
        </w:rPr>
        <w:t xml:space="preserve">Staff at </w:t>
      </w:r>
      <w:proofErr w:type="spellStart"/>
      <w:r w:rsidR="00652B48">
        <w:rPr>
          <w:spacing w:val="-2"/>
        </w:rPr>
        <w:t>Petersham</w:t>
      </w:r>
      <w:proofErr w:type="spellEnd"/>
      <w:r w:rsidR="00652B48">
        <w:rPr>
          <w:spacing w:val="-2"/>
        </w:rPr>
        <w:t xml:space="preserve"> Center</w:t>
      </w:r>
      <w:r w:rsidR="00EC2E52" w:rsidRPr="00CA355B">
        <w:rPr>
          <w:spacing w:val="-2"/>
        </w:rPr>
        <w:t xml:space="preserve"> </w:t>
      </w:r>
      <w:r w:rsidR="00CE78A9" w:rsidRPr="00CA355B">
        <w:rPr>
          <w:spacing w:val="-2"/>
        </w:rPr>
        <w:t>described family events like a family dance, field trips, and</w:t>
      </w:r>
      <w:r w:rsidR="006A5282" w:rsidRPr="00CA355B">
        <w:rPr>
          <w:spacing w:val="-2"/>
        </w:rPr>
        <w:t xml:space="preserve"> popsicles on the playground event for families and students. Mahar Regional conducts open house nights</w:t>
      </w:r>
      <w:r w:rsidR="00647170" w:rsidRPr="00CA355B">
        <w:rPr>
          <w:spacing w:val="-2"/>
        </w:rPr>
        <w:t xml:space="preserve"> and </w:t>
      </w:r>
      <w:r w:rsidR="00647170">
        <w:rPr>
          <w:spacing w:val="-2"/>
        </w:rPr>
        <w:t>e</w:t>
      </w:r>
      <w:r w:rsidR="000B1FF4" w:rsidRPr="00A06F1E">
        <w:rPr>
          <w:spacing w:val="-2"/>
        </w:rPr>
        <w:t xml:space="preserve">ach school </w:t>
      </w:r>
      <w:r w:rsidR="000B1FF4" w:rsidRPr="00E45CA4">
        <w:rPr>
          <w:spacing w:val="-2"/>
        </w:rPr>
        <w:t xml:space="preserve">sends out a newsletter to families that includes information about facility maintenance, parent resources, and awards given to students. </w:t>
      </w:r>
      <w:r w:rsidR="0091276F" w:rsidRPr="00E45CA4">
        <w:rPr>
          <w:spacing w:val="-2"/>
        </w:rPr>
        <w:t xml:space="preserve">However, parents expressed that </w:t>
      </w:r>
      <w:r w:rsidR="006118AD">
        <w:rPr>
          <w:spacing w:val="-2"/>
        </w:rPr>
        <w:t xml:space="preserve">more opportunities for </w:t>
      </w:r>
      <w:r w:rsidR="0091276F" w:rsidRPr="00E45CA4">
        <w:rPr>
          <w:spacing w:val="-2"/>
        </w:rPr>
        <w:t xml:space="preserve">two-way communication </w:t>
      </w:r>
      <w:r w:rsidR="00ED4B28" w:rsidRPr="00E45CA4">
        <w:rPr>
          <w:spacing w:val="-2"/>
        </w:rPr>
        <w:t xml:space="preserve">between families </w:t>
      </w:r>
      <w:r w:rsidR="006118AD">
        <w:rPr>
          <w:spacing w:val="-2"/>
        </w:rPr>
        <w:t>and schools</w:t>
      </w:r>
      <w:r w:rsidR="00ED4B28" w:rsidRPr="00E45CA4">
        <w:rPr>
          <w:spacing w:val="-2"/>
        </w:rPr>
        <w:t xml:space="preserve"> </w:t>
      </w:r>
      <w:r w:rsidR="0091276F" w:rsidRPr="00E45CA4">
        <w:rPr>
          <w:spacing w:val="-2"/>
        </w:rPr>
        <w:t>is needed</w:t>
      </w:r>
      <w:r w:rsidR="0091276F" w:rsidRPr="00E45CA4" w:rsidDel="00773DF5">
        <w:rPr>
          <w:spacing w:val="-2"/>
        </w:rPr>
        <w:t>.</w:t>
      </w:r>
      <w:r w:rsidR="006C1DC9" w:rsidRPr="00E45CA4">
        <w:rPr>
          <w:spacing w:val="-2"/>
        </w:rPr>
        <w:t xml:space="preserve"> </w:t>
      </w:r>
      <w:r w:rsidR="4DADE251" w:rsidRPr="00E45CA4">
        <w:rPr>
          <w:spacing w:val="-2"/>
        </w:rPr>
        <w:t xml:space="preserve">Families reported that they received more communication from parent-teacher organizations rather than their </w:t>
      </w:r>
      <w:r w:rsidR="4DADE251" w:rsidRPr="00E45CA4">
        <w:rPr>
          <w:spacing w:val="-2"/>
        </w:rPr>
        <w:lastRenderedPageBreak/>
        <w:t>child</w:t>
      </w:r>
      <w:r w:rsidR="00040362" w:rsidRPr="00E45CA4">
        <w:rPr>
          <w:spacing w:val="-2"/>
        </w:rPr>
        <w:t>’</w:t>
      </w:r>
      <w:r w:rsidR="4DADE251" w:rsidRPr="00E45CA4">
        <w:rPr>
          <w:spacing w:val="-2"/>
        </w:rPr>
        <w:t xml:space="preserve">s school or the </w:t>
      </w:r>
      <w:r w:rsidR="000D6A8E">
        <w:rPr>
          <w:spacing w:val="-2"/>
        </w:rPr>
        <w:t>RCM &amp; SU 73</w:t>
      </w:r>
      <w:r w:rsidR="4DADE251" w:rsidRPr="00E45CA4">
        <w:rPr>
          <w:spacing w:val="-2"/>
        </w:rPr>
        <w:t xml:space="preserve"> central office and that their children</w:t>
      </w:r>
      <w:r w:rsidR="00040362" w:rsidRPr="00E45CA4">
        <w:rPr>
          <w:spacing w:val="-2"/>
        </w:rPr>
        <w:t>’</w:t>
      </w:r>
      <w:r w:rsidR="4DADE251" w:rsidRPr="00E45CA4">
        <w:rPr>
          <w:spacing w:val="-2"/>
        </w:rPr>
        <w:t xml:space="preserve">s school relies too much on social media to communicate. Parent focus group participants also explained that there are too few opportunities for them to provide feedback to </w:t>
      </w:r>
      <w:r w:rsidR="006E03B1">
        <w:rPr>
          <w:spacing w:val="-2"/>
        </w:rPr>
        <w:t xml:space="preserve">school or </w:t>
      </w:r>
      <w:r w:rsidR="000D6A8E">
        <w:rPr>
          <w:spacing w:val="-2"/>
        </w:rPr>
        <w:t>RCM &amp; SU 73</w:t>
      </w:r>
      <w:r w:rsidR="00EB279A">
        <w:rPr>
          <w:spacing w:val="-2"/>
        </w:rPr>
        <w:t xml:space="preserve"> </w:t>
      </w:r>
      <w:r w:rsidR="00934AC4" w:rsidRPr="00E45CA4">
        <w:rPr>
          <w:spacing w:val="-2"/>
        </w:rPr>
        <w:t>administrator</w:t>
      </w:r>
      <w:r w:rsidR="00934AC4">
        <w:rPr>
          <w:spacing w:val="-2"/>
        </w:rPr>
        <w:t>s</w:t>
      </w:r>
      <w:r w:rsidR="006E03B1">
        <w:rPr>
          <w:spacing w:val="-2"/>
        </w:rPr>
        <w:t>,</w:t>
      </w:r>
      <w:r w:rsidR="4DADE251" w:rsidRPr="00E45CA4">
        <w:rPr>
          <w:spacing w:val="-2"/>
        </w:rPr>
        <w:t xml:space="preserve"> and that </w:t>
      </w:r>
      <w:r w:rsidR="00040362" w:rsidRPr="00E45CA4">
        <w:rPr>
          <w:spacing w:val="-2"/>
        </w:rPr>
        <w:t>“</w:t>
      </w:r>
      <w:r w:rsidR="4DADE251" w:rsidRPr="00E45CA4">
        <w:rPr>
          <w:spacing w:val="-2"/>
        </w:rPr>
        <w:t>it doesn</w:t>
      </w:r>
      <w:r w:rsidR="00040362" w:rsidRPr="00E45CA4">
        <w:rPr>
          <w:spacing w:val="-2"/>
        </w:rPr>
        <w:t>’</w:t>
      </w:r>
      <w:r w:rsidR="4DADE251" w:rsidRPr="00E45CA4">
        <w:rPr>
          <w:spacing w:val="-2"/>
        </w:rPr>
        <w:t>t seem like it</w:t>
      </w:r>
      <w:r w:rsidR="00040362" w:rsidRPr="00E45CA4">
        <w:rPr>
          <w:spacing w:val="-2"/>
        </w:rPr>
        <w:t>’</w:t>
      </w:r>
      <w:r w:rsidR="4DADE251" w:rsidRPr="00E45CA4">
        <w:rPr>
          <w:spacing w:val="-2"/>
        </w:rPr>
        <w:t>s taken very well when there is feedback.</w:t>
      </w:r>
      <w:r w:rsidR="00040362" w:rsidRPr="00E45CA4">
        <w:rPr>
          <w:spacing w:val="-2"/>
        </w:rPr>
        <w:t>”</w:t>
      </w:r>
      <w:r w:rsidR="4DADE251" w:rsidRPr="00E45CA4">
        <w:rPr>
          <w:spacing w:val="-2"/>
        </w:rPr>
        <w:t xml:space="preserve"> </w:t>
      </w:r>
      <w:r w:rsidR="00560DC2" w:rsidRPr="00E45CA4">
        <w:rPr>
          <w:spacing w:val="-2"/>
        </w:rPr>
        <w:t xml:space="preserve">They expressed a desire for more frequent and accessible opportunities to provide feedback, which is an area for growth for </w:t>
      </w:r>
      <w:r w:rsidR="000D6A8E">
        <w:rPr>
          <w:spacing w:val="-2"/>
        </w:rPr>
        <w:t>RCM &amp; SU 73</w:t>
      </w:r>
      <w:r w:rsidR="00560DC2">
        <w:rPr>
          <w:spacing w:val="-2"/>
        </w:rPr>
        <w:t>.</w:t>
      </w:r>
    </w:p>
    <w:p w14:paraId="5F154068" w14:textId="00BC80EF" w:rsidR="006C1DC9" w:rsidRPr="00A06F1E" w:rsidRDefault="000D6A8E" w:rsidP="004608F7">
      <w:pPr>
        <w:pStyle w:val="BodyText"/>
      </w:pPr>
      <w:r>
        <w:rPr>
          <w:spacing w:val="-2"/>
        </w:rPr>
        <w:t>RCM &amp; SU 73</w:t>
      </w:r>
      <w:r w:rsidR="00CD6D71" w:rsidRPr="00CA355B">
        <w:rPr>
          <w:spacing w:val="-2"/>
        </w:rPr>
        <w:t xml:space="preserve"> has </w:t>
      </w:r>
      <w:r w:rsidR="00492A23" w:rsidRPr="00CA355B">
        <w:rPr>
          <w:spacing w:val="-2"/>
        </w:rPr>
        <w:t>several</w:t>
      </w:r>
      <w:r w:rsidR="00CD6D71" w:rsidRPr="00CA355B">
        <w:rPr>
          <w:spacing w:val="-2"/>
        </w:rPr>
        <w:t xml:space="preserve"> </w:t>
      </w:r>
      <w:r w:rsidR="007A7F9E" w:rsidRPr="00CA355B">
        <w:rPr>
          <w:spacing w:val="-2"/>
        </w:rPr>
        <w:t>opportunities</w:t>
      </w:r>
      <w:r w:rsidR="00CD6D71" w:rsidRPr="00CA355B">
        <w:rPr>
          <w:spacing w:val="-2"/>
        </w:rPr>
        <w:t xml:space="preserve"> for student voice</w:t>
      </w:r>
      <w:r w:rsidR="00492A23" w:rsidRPr="00CA355B">
        <w:rPr>
          <w:spacing w:val="-2"/>
        </w:rPr>
        <w:t xml:space="preserve">, which is a strength of the </w:t>
      </w:r>
      <w:r w:rsidR="009C08F9" w:rsidRPr="00CA355B">
        <w:rPr>
          <w:spacing w:val="-2"/>
        </w:rPr>
        <w:t>superintendency union</w:t>
      </w:r>
      <w:r w:rsidR="00CD6D71" w:rsidRPr="00CA355B">
        <w:rPr>
          <w:spacing w:val="-2"/>
        </w:rPr>
        <w:t xml:space="preserve">. </w:t>
      </w:r>
      <w:r w:rsidR="00DB2831" w:rsidRPr="00CA355B">
        <w:rPr>
          <w:spacing w:val="-2"/>
        </w:rPr>
        <w:t xml:space="preserve">For example, </w:t>
      </w:r>
      <w:r w:rsidR="00BC2317" w:rsidRPr="00CA355B">
        <w:rPr>
          <w:spacing w:val="-2"/>
        </w:rPr>
        <w:t xml:space="preserve">when developing the newly updated improvement plan, the superintendent </w:t>
      </w:r>
      <w:r w:rsidR="007A7F9E" w:rsidRPr="00CA355B">
        <w:rPr>
          <w:spacing w:val="-2"/>
        </w:rPr>
        <w:t xml:space="preserve">conducted </w:t>
      </w:r>
      <w:r w:rsidR="005935BD" w:rsidRPr="00CA355B">
        <w:rPr>
          <w:spacing w:val="-2"/>
        </w:rPr>
        <w:t xml:space="preserve">focus groups with </w:t>
      </w:r>
      <w:r w:rsidR="007A7F9E" w:rsidRPr="00CA355B">
        <w:rPr>
          <w:spacing w:val="-2"/>
        </w:rPr>
        <w:t>pare</w:t>
      </w:r>
      <w:r w:rsidR="007A7F9E" w:rsidRPr="00E45CA4">
        <w:t>nts a</w:t>
      </w:r>
      <w:r w:rsidR="005935BD" w:rsidRPr="00E45CA4">
        <w:t>nd</w:t>
      </w:r>
      <w:r w:rsidR="007A7F9E" w:rsidRPr="00E45CA4">
        <w:t xml:space="preserve"> student</w:t>
      </w:r>
      <w:r w:rsidR="005935BD" w:rsidRPr="00E45CA4">
        <w:t xml:space="preserve">s. </w:t>
      </w:r>
      <w:r w:rsidR="008611CD" w:rsidRPr="00E45CA4">
        <w:t>The superintendent reported</w:t>
      </w:r>
      <w:r w:rsidR="0048429C" w:rsidRPr="00E45CA4">
        <w:t xml:space="preserve"> that </w:t>
      </w:r>
      <w:r w:rsidR="00040362" w:rsidRPr="00E45CA4">
        <w:t>“</w:t>
      </w:r>
      <w:r w:rsidR="0048429C" w:rsidRPr="00E45CA4">
        <w:t>when the students came in, they looked, and again we had posted the mission and the vision</w:t>
      </w:r>
      <w:r w:rsidR="00055246" w:rsidRPr="00E45CA4">
        <w:t xml:space="preserve"> . . . </w:t>
      </w:r>
      <w:r w:rsidR="0048429C" w:rsidRPr="00E45CA4">
        <w:t>and the students are like</w:t>
      </w:r>
      <w:r w:rsidR="00055246" w:rsidRPr="00E45CA4">
        <w:t xml:space="preserve"> . . . </w:t>
      </w:r>
      <w:r w:rsidR="0048429C" w:rsidRPr="00E45CA4">
        <w:t>it</w:t>
      </w:r>
      <w:r w:rsidR="00040362" w:rsidRPr="00E45CA4">
        <w:t>’</w:t>
      </w:r>
      <w:r w:rsidR="0048429C" w:rsidRPr="00E45CA4">
        <w:t xml:space="preserve">s missing social justice. And it really was the kids that drove </w:t>
      </w:r>
      <w:r w:rsidR="000C1FD5" w:rsidRPr="00E45CA4">
        <w:t>[the inclusion</w:t>
      </w:r>
      <w:r w:rsidR="000C1FD5" w:rsidRPr="00A06F1E">
        <w:t xml:space="preserve"> of] </w:t>
      </w:r>
      <w:r w:rsidR="0048429C" w:rsidRPr="00A06F1E">
        <w:t>that.</w:t>
      </w:r>
      <w:r w:rsidR="00040362" w:rsidRPr="00A06F1E">
        <w:t>”</w:t>
      </w:r>
      <w:r w:rsidR="0048429C" w:rsidRPr="00A06F1E">
        <w:t xml:space="preserve"> </w:t>
      </w:r>
      <w:r w:rsidR="00C44891" w:rsidRPr="00A06F1E">
        <w:t xml:space="preserve">Middle school students </w:t>
      </w:r>
      <w:r w:rsidR="00523977" w:rsidRPr="00A06F1E">
        <w:t xml:space="preserve">shared that they </w:t>
      </w:r>
      <w:r w:rsidR="00C43584" w:rsidRPr="00A06F1E">
        <w:t xml:space="preserve">have </w:t>
      </w:r>
      <w:r w:rsidR="00A0343E" w:rsidRPr="00A06F1E">
        <w:t>been involved in the school committee</w:t>
      </w:r>
      <w:r w:rsidR="00B30699" w:rsidRPr="00A06F1E">
        <w:t xml:space="preserve"> </w:t>
      </w:r>
      <w:r w:rsidR="00A0343E" w:rsidRPr="00A06F1E">
        <w:t xml:space="preserve">and </w:t>
      </w:r>
      <w:r w:rsidR="00B30699" w:rsidRPr="00A06F1E">
        <w:t xml:space="preserve">that </w:t>
      </w:r>
      <w:r w:rsidR="00A0343E" w:rsidRPr="00A06F1E">
        <w:t xml:space="preserve">they have </w:t>
      </w:r>
      <w:r w:rsidR="00C43584" w:rsidRPr="00A06F1E">
        <w:t>opportunities to participate in school council</w:t>
      </w:r>
      <w:r w:rsidR="005A78FC" w:rsidRPr="00A06F1E">
        <w:t>, the National Honor Society,</w:t>
      </w:r>
      <w:r w:rsidR="00A0343E" w:rsidRPr="00A06F1E">
        <w:t xml:space="preserve"> and JROTC</w:t>
      </w:r>
      <w:r w:rsidR="00F267F4" w:rsidRPr="00A06F1E">
        <w:t>, all of which provide leadership opportunities</w:t>
      </w:r>
      <w:r w:rsidR="00A0343E" w:rsidRPr="00A06F1E">
        <w:t xml:space="preserve">. </w:t>
      </w:r>
      <w:r w:rsidR="00E67906" w:rsidRPr="00A06F1E">
        <w:t xml:space="preserve">High school students </w:t>
      </w:r>
      <w:r w:rsidR="003F52E0" w:rsidRPr="00A06F1E">
        <w:t xml:space="preserve">also </w:t>
      </w:r>
      <w:r w:rsidR="00D83C19" w:rsidRPr="00A06F1E">
        <w:t xml:space="preserve">explained that they </w:t>
      </w:r>
      <w:r w:rsidR="003F52E0" w:rsidRPr="00A06F1E">
        <w:t>participate in various clubs</w:t>
      </w:r>
      <w:r w:rsidR="00363BAC" w:rsidRPr="00A06F1E">
        <w:t xml:space="preserve">, career fairs, </w:t>
      </w:r>
      <w:r w:rsidR="003F52E0" w:rsidRPr="00A06F1E">
        <w:t xml:space="preserve">and </w:t>
      </w:r>
      <w:r w:rsidR="00363BAC" w:rsidRPr="00A06F1E">
        <w:t xml:space="preserve">the </w:t>
      </w:r>
      <w:r w:rsidR="003F52E0" w:rsidRPr="00A06F1E">
        <w:t xml:space="preserve">school council. </w:t>
      </w:r>
      <w:r w:rsidR="00C9744D" w:rsidRPr="00A06F1E">
        <w:t xml:space="preserve">According to school committee meeting agendas and reports from Mahar </w:t>
      </w:r>
      <w:r w:rsidR="00055246" w:rsidRPr="00A06F1E">
        <w:t xml:space="preserve">Regional </w:t>
      </w:r>
      <w:r w:rsidR="00C9744D" w:rsidRPr="00A06F1E">
        <w:t xml:space="preserve">school committee members, student council members provide a report </w:t>
      </w:r>
      <w:r w:rsidR="00346568" w:rsidRPr="00A06F1E">
        <w:t xml:space="preserve">during school committee meetings. </w:t>
      </w:r>
      <w:r w:rsidR="003F52E0" w:rsidRPr="00A06F1E">
        <w:t>One high school student shared that they were able to start their own club, an Outdoor Adventure Club, that</w:t>
      </w:r>
      <w:r w:rsidR="00C6566C" w:rsidRPr="00A06F1E">
        <w:t xml:space="preserve"> i</w:t>
      </w:r>
      <w:r w:rsidR="003F52E0" w:rsidRPr="00A06F1E">
        <w:t xml:space="preserve">s </w:t>
      </w:r>
      <w:r w:rsidR="0022717F" w:rsidRPr="00A06F1E">
        <w:t>still active at the school</w:t>
      </w:r>
      <w:r w:rsidR="00061B39" w:rsidRPr="00A06F1E">
        <w:t xml:space="preserve">, as an example of students having input into school </w:t>
      </w:r>
      <w:r w:rsidR="005E6483" w:rsidRPr="00A06F1E">
        <w:t>structures and activities</w:t>
      </w:r>
      <w:r w:rsidR="0022717F" w:rsidRPr="00A06F1E">
        <w:t>.</w:t>
      </w:r>
    </w:p>
    <w:p w14:paraId="6F5D797E" w14:textId="268F35F2" w:rsidR="002B4CEF" w:rsidRPr="00A06F1E" w:rsidRDefault="002B4CEF" w:rsidP="002B4CEF">
      <w:pPr>
        <w:pStyle w:val="Heading3"/>
      </w:pPr>
      <w:r w:rsidRPr="00A06F1E">
        <w:t>DESE Recommendations</w:t>
      </w:r>
    </w:p>
    <w:p w14:paraId="01F6407D" w14:textId="5D3604AD" w:rsidR="00C9164F" w:rsidRPr="00F65BD3" w:rsidRDefault="00C9164F" w:rsidP="00B827DE">
      <w:pPr>
        <w:pStyle w:val="Bullet1"/>
        <w:rPr>
          <w:i/>
        </w:rPr>
      </w:pPr>
      <w:r w:rsidRPr="00F65BD3">
        <w:rPr>
          <w:i/>
        </w:rPr>
        <w:t xml:space="preserve">The superintendency union should </w:t>
      </w:r>
      <w:r w:rsidR="001A362D">
        <w:rPr>
          <w:bCs/>
          <w:i/>
          <w:iCs/>
        </w:rPr>
        <w:t>analyze</w:t>
      </w:r>
      <w:r w:rsidR="00F276D4">
        <w:rPr>
          <w:bCs/>
          <w:i/>
          <w:iCs/>
        </w:rPr>
        <w:t xml:space="preserve"> the root causes of its</w:t>
      </w:r>
      <w:r w:rsidR="00445C0B">
        <w:rPr>
          <w:bCs/>
          <w:i/>
          <w:iCs/>
        </w:rPr>
        <w:t xml:space="preserve"> high suspension rates and</w:t>
      </w:r>
      <w:r w:rsidR="00966D69">
        <w:rPr>
          <w:bCs/>
          <w:i/>
          <w:iCs/>
        </w:rPr>
        <w:t xml:space="preserve"> student reports of ineffective behavior management </w:t>
      </w:r>
      <w:r w:rsidR="00477CDC">
        <w:rPr>
          <w:bCs/>
          <w:i/>
          <w:iCs/>
        </w:rPr>
        <w:t>to</w:t>
      </w:r>
      <w:r w:rsidR="00966D69">
        <w:rPr>
          <w:bCs/>
          <w:i/>
          <w:iCs/>
        </w:rPr>
        <w:t xml:space="preserve"> develop positive behavioral support systems that improve overall culture and climate across its schools.</w:t>
      </w:r>
      <w:r w:rsidR="00F276D4">
        <w:rPr>
          <w:bCs/>
          <w:i/>
          <w:iCs/>
        </w:rPr>
        <w:t xml:space="preserve"> </w:t>
      </w:r>
    </w:p>
    <w:p w14:paraId="2075BC88" w14:textId="456BAA34" w:rsidR="002B4CEF" w:rsidRPr="00A06F1E" w:rsidRDefault="002C338A" w:rsidP="00B827DE">
      <w:pPr>
        <w:pStyle w:val="Bullet1"/>
        <w:rPr>
          <w:bCs/>
        </w:rPr>
      </w:pPr>
      <w:r>
        <w:rPr>
          <w:i/>
          <w:iCs/>
        </w:rPr>
        <w:t xml:space="preserve">The superintendency union should work with </w:t>
      </w:r>
      <w:r w:rsidR="00242AF9">
        <w:rPr>
          <w:i/>
          <w:iCs/>
        </w:rPr>
        <w:t xml:space="preserve">its </w:t>
      </w:r>
      <w:r>
        <w:rPr>
          <w:i/>
          <w:iCs/>
        </w:rPr>
        <w:t>elementary school leaders to</w:t>
      </w:r>
      <w:r w:rsidR="00C9164F">
        <w:rPr>
          <w:i/>
          <w:iCs/>
        </w:rPr>
        <w:t xml:space="preserve"> </w:t>
      </w:r>
      <w:r w:rsidR="008B5470">
        <w:rPr>
          <w:i/>
          <w:iCs/>
        </w:rPr>
        <w:t>create greater consistency in its</w:t>
      </w:r>
      <w:r w:rsidR="00F87159">
        <w:rPr>
          <w:i/>
          <w:iCs/>
        </w:rPr>
        <w:t xml:space="preserve"> tiered supports, including </w:t>
      </w:r>
      <w:r w:rsidR="00C9164F">
        <w:rPr>
          <w:i/>
          <w:iCs/>
        </w:rPr>
        <w:t>rearrang</w:t>
      </w:r>
      <w:r w:rsidR="009E4526">
        <w:rPr>
          <w:i/>
          <w:iCs/>
        </w:rPr>
        <w:t>ing</w:t>
      </w:r>
      <w:r w:rsidR="00C9164F">
        <w:rPr>
          <w:i/>
          <w:iCs/>
        </w:rPr>
        <w:t xml:space="preserve"> schedules </w:t>
      </w:r>
      <w:r w:rsidR="00C653F2">
        <w:rPr>
          <w:i/>
          <w:iCs/>
        </w:rPr>
        <w:t xml:space="preserve">so that </w:t>
      </w:r>
      <w:r w:rsidR="00D07CC6">
        <w:rPr>
          <w:i/>
          <w:iCs/>
        </w:rPr>
        <w:t>students do not miss Tier 1 instruction</w:t>
      </w:r>
      <w:r w:rsidR="00F16982">
        <w:rPr>
          <w:i/>
          <w:iCs/>
        </w:rPr>
        <w:t xml:space="preserve">, </w:t>
      </w:r>
      <w:r w:rsidR="008B5470">
        <w:rPr>
          <w:i/>
          <w:iCs/>
        </w:rPr>
        <w:t xml:space="preserve">aligning Tier 2 and 3 curricula, </w:t>
      </w:r>
      <w:r w:rsidR="00C9164F">
        <w:rPr>
          <w:i/>
          <w:iCs/>
        </w:rPr>
        <w:t xml:space="preserve">and </w:t>
      </w:r>
      <w:r w:rsidR="008B5470">
        <w:rPr>
          <w:i/>
          <w:iCs/>
        </w:rPr>
        <w:t xml:space="preserve">ensuring sufficient </w:t>
      </w:r>
      <w:r w:rsidR="00C9164F">
        <w:rPr>
          <w:i/>
          <w:iCs/>
        </w:rPr>
        <w:t>staff</w:t>
      </w:r>
      <w:r w:rsidR="00EA09E2">
        <w:rPr>
          <w:i/>
          <w:iCs/>
        </w:rPr>
        <w:t>ing</w:t>
      </w:r>
      <w:r w:rsidR="00C9164F">
        <w:rPr>
          <w:i/>
          <w:iCs/>
        </w:rPr>
        <w:t xml:space="preserve">. </w:t>
      </w:r>
    </w:p>
    <w:p w14:paraId="03F54D95" w14:textId="2967E0EA" w:rsidR="007D5C9E" w:rsidRPr="00DE6033" w:rsidRDefault="00B158D5" w:rsidP="00DE6033">
      <w:pPr>
        <w:pStyle w:val="Bullet1"/>
        <w:rPr>
          <w:bCs/>
          <w:i/>
          <w:iCs/>
        </w:rPr>
      </w:pPr>
      <w:r w:rsidRPr="007D5C9E">
        <w:rPr>
          <w:i/>
        </w:rPr>
        <w:t xml:space="preserve">The </w:t>
      </w:r>
      <w:r w:rsidR="00A42233">
        <w:rPr>
          <w:i/>
        </w:rPr>
        <w:t>superintendency union</w:t>
      </w:r>
      <w:r w:rsidRPr="007D5C9E">
        <w:rPr>
          <w:i/>
        </w:rPr>
        <w:t xml:space="preserve"> should develop </w:t>
      </w:r>
      <w:r w:rsidR="00D10BD0" w:rsidRPr="007D5C9E">
        <w:rPr>
          <w:i/>
        </w:rPr>
        <w:t>and implement</w:t>
      </w:r>
      <w:r w:rsidRPr="007D5C9E">
        <w:rPr>
          <w:i/>
        </w:rPr>
        <w:t xml:space="preserve"> a plan </w:t>
      </w:r>
      <w:r w:rsidR="007A3043">
        <w:rPr>
          <w:i/>
        </w:rPr>
        <w:t>to increase</w:t>
      </w:r>
      <w:r w:rsidRPr="007D5C9E">
        <w:rPr>
          <w:i/>
        </w:rPr>
        <w:t xml:space="preserve"> two-way communication with families </w:t>
      </w:r>
      <w:r w:rsidR="007A3043">
        <w:rPr>
          <w:bCs/>
          <w:i/>
          <w:iCs/>
        </w:rPr>
        <w:t xml:space="preserve">so that </w:t>
      </w:r>
      <w:r w:rsidR="00C54C22">
        <w:rPr>
          <w:bCs/>
          <w:i/>
          <w:iCs/>
        </w:rPr>
        <w:t xml:space="preserve">families </w:t>
      </w:r>
      <w:r w:rsidR="00607CA7">
        <w:rPr>
          <w:bCs/>
          <w:i/>
          <w:iCs/>
        </w:rPr>
        <w:t>have consistent</w:t>
      </w:r>
      <w:r w:rsidR="00C54C22">
        <w:rPr>
          <w:bCs/>
          <w:i/>
          <w:iCs/>
        </w:rPr>
        <w:t xml:space="preserve"> opportunities to communicate with their child(ren)’s teacher</w:t>
      </w:r>
      <w:r w:rsidR="000265E6">
        <w:rPr>
          <w:bCs/>
          <w:i/>
          <w:iCs/>
        </w:rPr>
        <w:t>(s)</w:t>
      </w:r>
      <w:r w:rsidR="00C54C22">
        <w:rPr>
          <w:bCs/>
          <w:i/>
          <w:iCs/>
        </w:rPr>
        <w:t xml:space="preserve"> and school administrators</w:t>
      </w:r>
      <w:r w:rsidR="0001424C">
        <w:rPr>
          <w:bCs/>
          <w:i/>
          <w:iCs/>
        </w:rPr>
        <w:t xml:space="preserve"> and provide feedback to the superintendency union</w:t>
      </w:r>
      <w:r w:rsidR="00C54C22">
        <w:rPr>
          <w:bCs/>
          <w:i/>
          <w:iCs/>
        </w:rPr>
        <w:t>.</w:t>
      </w:r>
    </w:p>
    <w:p w14:paraId="4A6A5268" w14:textId="77777777" w:rsidR="008D6102" w:rsidRPr="00A06F1E" w:rsidRDefault="008D6102" w:rsidP="008D6102">
      <w:pPr>
        <w:pStyle w:val="Heading2"/>
      </w:pPr>
      <w:bookmarkStart w:id="62" w:name="_Financial_and_Asset"/>
      <w:bookmarkStart w:id="63" w:name="_Toc170701359"/>
      <w:bookmarkStart w:id="64" w:name="_Toc170896582"/>
      <w:bookmarkEnd w:id="62"/>
      <w:r w:rsidRPr="00A06F1E">
        <w:lastRenderedPageBreak/>
        <w:t>Financial and Asset Management</w:t>
      </w:r>
      <w:bookmarkEnd w:id="58"/>
      <w:bookmarkEnd w:id="63"/>
      <w:bookmarkEnd w:id="64"/>
    </w:p>
    <w:p w14:paraId="4DCEC6F9" w14:textId="6EEEEF03" w:rsidR="00C35E23" w:rsidRPr="00A06F1E" w:rsidRDefault="00C35E23" w:rsidP="00C35E23">
      <w:pPr>
        <w:pStyle w:val="BodyText"/>
        <w:rPr>
          <w:i/>
          <w:iCs/>
        </w:rPr>
      </w:pPr>
      <w:r w:rsidRPr="00A06F1E">
        <w:t xml:space="preserve">The Finance and Operations Department at </w:t>
      </w:r>
      <w:r w:rsidR="000D6A8E">
        <w:t>RCM &amp; SU 73</w:t>
      </w:r>
      <w:r w:rsidRPr="00A06F1E">
        <w:t xml:space="preserve"> supports Mahar</w:t>
      </w:r>
      <w:r w:rsidR="00FC0DFD" w:rsidRPr="00A06F1E">
        <w:t xml:space="preserve"> Regional</w:t>
      </w:r>
      <w:r w:rsidRPr="00A06F1E">
        <w:t xml:space="preserve">, </w:t>
      </w:r>
      <w:r w:rsidR="00CF4F71">
        <w:t>Fisher Hill</w:t>
      </w:r>
      <w:r w:rsidRPr="00A06F1E">
        <w:t xml:space="preserve">, and </w:t>
      </w:r>
      <w:proofErr w:type="spellStart"/>
      <w:r w:rsidR="00652B48">
        <w:t>Petersham</w:t>
      </w:r>
      <w:proofErr w:type="spellEnd"/>
      <w:r w:rsidR="00652B48">
        <w:t xml:space="preserve"> Center</w:t>
      </w:r>
      <w:r w:rsidRPr="00A06F1E">
        <w:t>. The department</w:t>
      </w:r>
      <w:r w:rsidR="00D12656" w:rsidRPr="00A06F1E">
        <w:t>’s leader</w:t>
      </w:r>
      <w:r w:rsidRPr="00A06F1E">
        <w:t xml:space="preserve"> is the </w:t>
      </w:r>
      <w:r w:rsidR="00151D94" w:rsidRPr="00A06F1E">
        <w:t>d</w:t>
      </w:r>
      <w:r w:rsidRPr="00A06F1E">
        <w:t xml:space="preserve">irector of </w:t>
      </w:r>
      <w:r w:rsidR="00151D94" w:rsidRPr="00A06F1E">
        <w:t>f</w:t>
      </w:r>
      <w:r w:rsidRPr="00A06F1E">
        <w:t xml:space="preserve">inance. The team includes a </w:t>
      </w:r>
      <w:r w:rsidR="00D9614B" w:rsidRPr="00A06F1E">
        <w:rPr>
          <w:spacing w:val="-2"/>
        </w:rPr>
        <w:t>human resources</w:t>
      </w:r>
      <w:r w:rsidRPr="00A06F1E">
        <w:t xml:space="preserve"> </w:t>
      </w:r>
      <w:r w:rsidR="00572AC0">
        <w:t>specialist</w:t>
      </w:r>
      <w:r w:rsidRPr="00A06F1E">
        <w:t xml:space="preserve">, a </w:t>
      </w:r>
      <w:r w:rsidR="00151D94" w:rsidRPr="00A06F1E">
        <w:t>p</w:t>
      </w:r>
      <w:r w:rsidRPr="00A06F1E">
        <w:t xml:space="preserve">ayroll </w:t>
      </w:r>
      <w:r w:rsidR="00151D94" w:rsidRPr="00A06F1E">
        <w:t>c</w:t>
      </w:r>
      <w:r w:rsidRPr="00A06F1E">
        <w:t xml:space="preserve">lerk, an </w:t>
      </w:r>
      <w:r w:rsidR="00151D94" w:rsidRPr="00A06F1E">
        <w:t>a</w:t>
      </w:r>
      <w:r w:rsidRPr="00A06F1E">
        <w:t xml:space="preserve">ccountant who also serves as a </w:t>
      </w:r>
      <w:r w:rsidR="00151D94" w:rsidRPr="00A06F1E">
        <w:t>g</w:t>
      </w:r>
      <w:r w:rsidRPr="00A06F1E">
        <w:t xml:space="preserve">rants </w:t>
      </w:r>
      <w:r w:rsidR="00151D94" w:rsidRPr="00A06F1E">
        <w:t>m</w:t>
      </w:r>
      <w:r w:rsidRPr="00A06F1E">
        <w:t xml:space="preserve">anager, and an </w:t>
      </w:r>
      <w:r w:rsidR="00151D94" w:rsidRPr="00A06F1E">
        <w:t>a</w:t>
      </w:r>
      <w:r w:rsidRPr="00A06F1E">
        <w:t xml:space="preserve">ccounts </w:t>
      </w:r>
      <w:r w:rsidR="00151D94" w:rsidRPr="00A06F1E">
        <w:t>p</w:t>
      </w:r>
      <w:r w:rsidRPr="00A06F1E">
        <w:t xml:space="preserve">ayable </w:t>
      </w:r>
      <w:r w:rsidR="00151D94" w:rsidRPr="00A06F1E">
        <w:t>c</w:t>
      </w:r>
      <w:r w:rsidRPr="00A06F1E">
        <w:t xml:space="preserve">oordinator. In addition to the finance-specific positions, the operational division of the department includes a </w:t>
      </w:r>
      <w:r w:rsidR="00151D94" w:rsidRPr="00A06F1E">
        <w:t>d</w:t>
      </w:r>
      <w:r w:rsidRPr="00A06F1E">
        <w:t xml:space="preserve">irector of </w:t>
      </w:r>
      <w:r w:rsidR="00151D94" w:rsidRPr="00A06F1E">
        <w:t>f</w:t>
      </w:r>
      <w:r w:rsidRPr="00A06F1E">
        <w:t xml:space="preserve">acilities and a </w:t>
      </w:r>
      <w:r w:rsidR="00151D94" w:rsidRPr="00A06F1E">
        <w:t>f</w:t>
      </w:r>
      <w:r w:rsidRPr="00A06F1E">
        <w:t xml:space="preserve">ood </w:t>
      </w:r>
      <w:r w:rsidR="00151D94" w:rsidRPr="00A06F1E">
        <w:t>s</w:t>
      </w:r>
      <w:r w:rsidRPr="00A06F1E">
        <w:t xml:space="preserve">ervice </w:t>
      </w:r>
      <w:r w:rsidR="00151D94" w:rsidRPr="00A06F1E">
        <w:t>d</w:t>
      </w:r>
      <w:r w:rsidRPr="00A06F1E">
        <w:t>irector.</w:t>
      </w:r>
    </w:p>
    <w:p w14:paraId="2E1198D3" w14:textId="272A4119" w:rsidR="006C1DC9" w:rsidRPr="00A06F1E" w:rsidRDefault="00077DF6" w:rsidP="003466A4">
      <w:pPr>
        <w:pStyle w:val="BodyText"/>
      </w:pPr>
      <w:r w:rsidRPr="00A06F1E">
        <w:t xml:space="preserve">The </w:t>
      </w:r>
      <w:r w:rsidR="00151D94" w:rsidRPr="00A06F1E">
        <w:t>d</w:t>
      </w:r>
      <w:r w:rsidRPr="00A06F1E">
        <w:t xml:space="preserve">irector of </w:t>
      </w:r>
      <w:r w:rsidR="00151D94" w:rsidRPr="00A06F1E">
        <w:t>f</w:t>
      </w:r>
      <w:r w:rsidRPr="00A06F1E">
        <w:t xml:space="preserve">inance and </w:t>
      </w:r>
      <w:r w:rsidR="00151D94" w:rsidRPr="00A06F1E">
        <w:t>o</w:t>
      </w:r>
      <w:r w:rsidRPr="00A06F1E">
        <w:t>perations manages budget development, requisitions, purchase orders, and invoices. They prepare monthly reports for Mahar</w:t>
      </w:r>
      <w:r w:rsidR="00151D94" w:rsidRPr="00A06F1E">
        <w:t xml:space="preserve"> Regional</w:t>
      </w:r>
      <w:r w:rsidRPr="00A06F1E">
        <w:t xml:space="preserve">, </w:t>
      </w:r>
      <w:r w:rsidR="00CF4F71">
        <w:t>Fisher Hill</w:t>
      </w:r>
      <w:r w:rsidRPr="00A06F1E">
        <w:t xml:space="preserve">, and </w:t>
      </w:r>
      <w:proofErr w:type="spellStart"/>
      <w:r w:rsidR="00652B48">
        <w:t>Petersham</w:t>
      </w:r>
      <w:proofErr w:type="spellEnd"/>
      <w:r w:rsidR="00652B48">
        <w:t xml:space="preserve"> Center</w:t>
      </w:r>
      <w:r w:rsidRPr="00A06F1E">
        <w:t xml:space="preserve">, which are reviewed by </w:t>
      </w:r>
      <w:r w:rsidR="007E67AC" w:rsidRPr="00A06F1E">
        <w:t>the respective</w:t>
      </w:r>
      <w:r w:rsidRPr="00A06F1E">
        <w:t xml:space="preserve"> </w:t>
      </w:r>
      <w:r w:rsidR="0029211F" w:rsidRPr="00A06F1E">
        <w:t>school committees</w:t>
      </w:r>
      <w:r w:rsidRPr="00A06F1E">
        <w:t>. These reports cover expenditures, grants, finances, enrollment, and staffing, ensuring transparency and public access to budget information</w:t>
      </w:r>
      <w:r w:rsidR="00CC1F05" w:rsidRPr="00A06F1E">
        <w:t xml:space="preserve">. </w:t>
      </w:r>
      <w:r w:rsidRPr="00A06F1E">
        <w:t xml:space="preserve">However, economic constraints </w:t>
      </w:r>
      <w:r w:rsidR="00151D94" w:rsidRPr="00A06F1E">
        <w:t>at</w:t>
      </w:r>
      <w:r w:rsidRPr="00A06F1E">
        <w:t xml:space="preserve"> </w:t>
      </w:r>
      <w:r w:rsidR="00CF4F71">
        <w:t>Fisher Hill</w:t>
      </w:r>
      <w:r w:rsidR="007E73A3" w:rsidRPr="00A06F1E">
        <w:t xml:space="preserve"> </w:t>
      </w:r>
      <w:r w:rsidRPr="00A06F1E">
        <w:t xml:space="preserve">and </w:t>
      </w:r>
      <w:proofErr w:type="spellStart"/>
      <w:r w:rsidR="00652B48">
        <w:t>Petersham</w:t>
      </w:r>
      <w:proofErr w:type="spellEnd"/>
      <w:r w:rsidR="00652B48">
        <w:t xml:space="preserve"> Center</w:t>
      </w:r>
      <w:r w:rsidRPr="00A06F1E">
        <w:t xml:space="preserve"> present challenges, with tight budgets and limited financial resources</w:t>
      </w:r>
      <w:r w:rsidR="007E67AC" w:rsidRPr="00A06F1E">
        <w:t xml:space="preserve"> meaning </w:t>
      </w:r>
      <w:r w:rsidR="003D4820" w:rsidRPr="00A06F1E">
        <w:t xml:space="preserve">that </w:t>
      </w:r>
      <w:r w:rsidR="00CC1F05" w:rsidRPr="00A06F1E">
        <w:t>the process can be protracted and often involve reductions to original proposals</w:t>
      </w:r>
      <w:r w:rsidRPr="00A06F1E">
        <w:t>.</w:t>
      </w:r>
    </w:p>
    <w:p w14:paraId="078FA7B0" w14:textId="7AB9BBE3" w:rsidR="006C1DC9" w:rsidRPr="00E45CA4" w:rsidRDefault="00D576B3" w:rsidP="003466A4">
      <w:pPr>
        <w:pStyle w:val="BodyText"/>
      </w:pPr>
      <w:r w:rsidRPr="00A06F1E">
        <w:t xml:space="preserve">The financial oversight process at </w:t>
      </w:r>
      <w:r w:rsidR="000D6A8E">
        <w:t>RCM &amp; SU 73</w:t>
      </w:r>
      <w:r w:rsidRPr="00A06F1E">
        <w:t xml:space="preserve"> is thorough, with the </w:t>
      </w:r>
      <w:r w:rsidR="003D4820" w:rsidRPr="00A06F1E">
        <w:t>d</w:t>
      </w:r>
      <w:r w:rsidRPr="00A06F1E">
        <w:t xml:space="preserve">irector of </w:t>
      </w:r>
      <w:r w:rsidR="003D4820" w:rsidRPr="00A06F1E">
        <w:t>f</w:t>
      </w:r>
      <w:r w:rsidRPr="00A06F1E">
        <w:t xml:space="preserve">inance managing budget development, requisitions, purchase orders, and invoices across three districts. Monthly reports for expenditures, grants, and finances are reviewed by the Resources and Capacity subcommittees and shared with </w:t>
      </w:r>
      <w:r w:rsidR="00914A10" w:rsidRPr="00A06F1E">
        <w:t xml:space="preserve">their respective </w:t>
      </w:r>
      <w:r w:rsidRPr="00A06F1E">
        <w:t xml:space="preserve">school committees and the public. </w:t>
      </w:r>
      <w:r w:rsidR="00784BE9" w:rsidRPr="00A06F1E">
        <w:t xml:space="preserve">A </w:t>
      </w:r>
      <w:r w:rsidR="003D4820" w:rsidRPr="00A06F1E">
        <w:t>g</w:t>
      </w:r>
      <w:r w:rsidRPr="00A06F1E">
        <w:t xml:space="preserve">rants </w:t>
      </w:r>
      <w:r w:rsidR="003D4820" w:rsidRPr="00A06F1E">
        <w:t>m</w:t>
      </w:r>
      <w:r w:rsidRPr="00A06F1E">
        <w:t xml:space="preserve">anager </w:t>
      </w:r>
      <w:r w:rsidR="00784BE9" w:rsidRPr="00A06F1E">
        <w:t xml:space="preserve">monitors </w:t>
      </w:r>
      <w:r w:rsidRPr="00A06F1E">
        <w:t xml:space="preserve">compliance and </w:t>
      </w:r>
      <w:r w:rsidRPr="00E45CA4">
        <w:t xml:space="preserve">effective use of funds. End-of-year reporting includes independent audits, which have not identified significant issues but provided recommendations for improvement. The </w:t>
      </w:r>
      <w:r w:rsidRPr="00E45CA4">
        <w:rPr>
          <w:i/>
          <w:iCs/>
        </w:rPr>
        <w:t>FY24 Facilities Plan</w:t>
      </w:r>
      <w:r w:rsidRPr="00E45CA4">
        <w:t xml:space="preserve"> includes safety and efficiency upgrades, with funding from various sources. However, the towns of Orange and </w:t>
      </w:r>
      <w:proofErr w:type="spellStart"/>
      <w:r w:rsidRPr="00E45CA4">
        <w:t>Petersham</w:t>
      </w:r>
      <w:proofErr w:type="spellEnd"/>
      <w:r w:rsidRPr="00E45CA4">
        <w:t xml:space="preserve"> face financial constraints, impacting their ability to maintain robust stabilization funds</w:t>
      </w:r>
      <w:r w:rsidR="004E5E06">
        <w:t xml:space="preserve">. </w:t>
      </w:r>
      <w:r w:rsidR="00474B0D" w:rsidRPr="00E45CA4">
        <w:t xml:space="preserve">Mahar </w:t>
      </w:r>
      <w:r w:rsidR="000A177F">
        <w:t>Regional</w:t>
      </w:r>
      <w:r w:rsidR="00474B0D" w:rsidRPr="00E45CA4">
        <w:t xml:space="preserve"> has such a stabilization fund</w:t>
      </w:r>
      <w:r w:rsidRPr="00E45CA4">
        <w:t>.</w:t>
      </w:r>
    </w:p>
    <w:p w14:paraId="542F10D1" w14:textId="48A1F061" w:rsidR="00494638" w:rsidRPr="00A06F1E" w:rsidRDefault="00494638" w:rsidP="00B827DE">
      <w:pPr>
        <w:pStyle w:val="BodyText"/>
      </w:pPr>
      <w:r w:rsidRPr="00E45CA4">
        <w:t xml:space="preserve">Table </w:t>
      </w:r>
      <w:r w:rsidR="008C36C6" w:rsidRPr="00E45CA4">
        <w:t xml:space="preserve">7 </w:t>
      </w:r>
      <w:r w:rsidRPr="00E45CA4">
        <w:t>summarizes key strengths and areas for growth in financial and asset management.</w:t>
      </w:r>
    </w:p>
    <w:p w14:paraId="1DF76729" w14:textId="77777777" w:rsidR="004608F7" w:rsidRPr="00A06F1E" w:rsidRDefault="004608F7">
      <w:pPr>
        <w:spacing w:line="240" w:lineRule="auto"/>
        <w:rPr>
          <w:rFonts w:ascii="Franklin Gothic Demi" w:hAnsi="Franklin Gothic Demi"/>
        </w:rPr>
      </w:pPr>
      <w:r w:rsidRPr="00A06F1E">
        <w:br w:type="page"/>
      </w:r>
    </w:p>
    <w:p w14:paraId="127D9DF7" w14:textId="105EBFF9" w:rsidR="00B827DE" w:rsidRPr="00A06F1E" w:rsidRDefault="00B827DE" w:rsidP="00B827DE">
      <w:pPr>
        <w:pStyle w:val="TableTitle0"/>
      </w:pPr>
      <w:bookmarkStart w:id="65" w:name="_Toc170701906"/>
      <w:r w:rsidRPr="00A06F1E">
        <w:lastRenderedPageBreak/>
        <w:t xml:space="preserve">Table </w:t>
      </w:r>
      <w:r w:rsidR="008C36C6" w:rsidRPr="00A06F1E">
        <w:t>7</w:t>
      </w:r>
      <w:r w:rsidRPr="00A06F1E">
        <w:t xml:space="preserve">. Summary of </w:t>
      </w:r>
      <w:r w:rsidR="00494638" w:rsidRPr="00A06F1E">
        <w:t xml:space="preserve">Key Strengths </w:t>
      </w:r>
      <w:r w:rsidRPr="00A06F1E">
        <w:t xml:space="preserve">and </w:t>
      </w:r>
      <w:r w:rsidR="00494638" w:rsidRPr="00A06F1E">
        <w:t xml:space="preserve">Areas </w:t>
      </w:r>
      <w:r w:rsidRPr="00A06F1E">
        <w:t xml:space="preserve">for </w:t>
      </w:r>
      <w:r w:rsidR="00494638" w:rsidRPr="00A06F1E">
        <w:t>Growth:</w:t>
      </w:r>
      <w:r w:rsidRPr="00A06F1E">
        <w:t xml:space="preserve"> Financial and Asset Management</w:t>
      </w:r>
      <w:r w:rsidR="00494638" w:rsidRPr="00A06F1E">
        <w:t xml:space="preserve"> Standard</w:t>
      </w:r>
      <w:bookmarkEnd w:id="65"/>
    </w:p>
    <w:tbl>
      <w:tblPr>
        <w:tblStyle w:val="MSVTable1"/>
        <w:tblW w:w="5000" w:type="pct"/>
        <w:tblLook w:val="04A0" w:firstRow="1" w:lastRow="0" w:firstColumn="1" w:lastColumn="0" w:noHBand="0" w:noVBand="1"/>
      </w:tblPr>
      <w:tblGrid>
        <w:gridCol w:w="2425"/>
        <w:gridCol w:w="3507"/>
        <w:gridCol w:w="3412"/>
      </w:tblGrid>
      <w:tr w:rsidR="00B827DE" w:rsidRPr="00A06F1E" w14:paraId="32BDE053" w14:textId="77777777" w:rsidTr="00B827DE">
        <w:trPr>
          <w:cnfStyle w:val="100000000000" w:firstRow="1" w:lastRow="0" w:firstColumn="0" w:lastColumn="0" w:oddVBand="0" w:evenVBand="0" w:oddHBand="0" w:evenHBand="0" w:firstRowFirstColumn="0" w:firstRowLastColumn="0" w:lastRowFirstColumn="0" w:lastRowLastColumn="0"/>
        </w:trPr>
        <w:tc>
          <w:tcPr>
            <w:tcW w:w="1297" w:type="pct"/>
          </w:tcPr>
          <w:p w14:paraId="7821BEB4" w14:textId="79665343" w:rsidR="00B827DE" w:rsidRPr="00DF7902" w:rsidRDefault="00B827DE" w:rsidP="00B827DE">
            <w:pPr>
              <w:pStyle w:val="TableColHeadingCenter"/>
              <w:rPr>
                <w:bdr w:val="none" w:sz="0" w:space="0" w:color="auto" w:frame="1"/>
              </w:rPr>
            </w:pPr>
            <w:r w:rsidRPr="00DF7902">
              <w:rPr>
                <w:bdr w:val="none" w:sz="0" w:space="0" w:color="auto" w:frame="1"/>
              </w:rPr>
              <w:t>Indicator</w:t>
            </w:r>
          </w:p>
        </w:tc>
        <w:tc>
          <w:tcPr>
            <w:tcW w:w="1876" w:type="pct"/>
          </w:tcPr>
          <w:p w14:paraId="419E0583" w14:textId="77777777" w:rsidR="00B827DE" w:rsidRPr="00A06F1E" w:rsidRDefault="00B827DE" w:rsidP="00B827DE">
            <w:pPr>
              <w:pStyle w:val="TableColHeadingCenter"/>
              <w:rPr>
                <w:bdr w:val="none" w:sz="0" w:space="0" w:color="auto" w:frame="1"/>
              </w:rPr>
            </w:pPr>
            <w:r w:rsidRPr="00A06F1E">
              <w:rPr>
                <w:bdr w:val="none" w:sz="0" w:space="0" w:color="auto" w:frame="1"/>
              </w:rPr>
              <w:t>Strengths</w:t>
            </w:r>
          </w:p>
        </w:tc>
        <w:tc>
          <w:tcPr>
            <w:tcW w:w="1826" w:type="pct"/>
          </w:tcPr>
          <w:p w14:paraId="664651D2" w14:textId="0C40A2BC" w:rsidR="00B827DE" w:rsidRPr="00A06F1E" w:rsidRDefault="00B827DE" w:rsidP="00B827DE">
            <w:pPr>
              <w:pStyle w:val="TableColHeadingCenter"/>
              <w:rPr>
                <w:bdr w:val="none" w:sz="0" w:space="0" w:color="auto" w:frame="1"/>
              </w:rPr>
            </w:pPr>
            <w:r w:rsidRPr="00A06F1E">
              <w:rPr>
                <w:bdr w:val="none" w:sz="0" w:space="0" w:color="auto" w:frame="1"/>
              </w:rPr>
              <w:t xml:space="preserve">Areas for </w:t>
            </w:r>
            <w:r w:rsidR="00494638" w:rsidRPr="00A06F1E">
              <w:rPr>
                <w:bdr w:val="none" w:sz="0" w:space="0" w:color="auto" w:frame="1"/>
              </w:rPr>
              <w:t>growth</w:t>
            </w:r>
          </w:p>
        </w:tc>
      </w:tr>
      <w:tr w:rsidR="00B827DE" w:rsidRPr="00A06F1E" w14:paraId="6A18501A"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39538D5F" w14:textId="7B8F6186" w:rsidR="00B827DE" w:rsidRPr="00A06F1E" w:rsidRDefault="00000000" w:rsidP="005D13E7">
            <w:pPr>
              <w:pStyle w:val="TableSubheading"/>
              <w:rPr>
                <w:bdr w:val="none" w:sz="0" w:space="0" w:color="auto" w:frame="1"/>
              </w:rPr>
            </w:pPr>
            <w:hyperlink w:anchor="_Budget_Documentation_and" w:history="1">
              <w:r w:rsidR="00B827DE" w:rsidRPr="00A06F1E">
                <w:rPr>
                  <w:rStyle w:val="Hyperlink"/>
                  <w:bdr w:val="none" w:sz="0" w:space="0" w:color="auto" w:frame="1"/>
                </w:rPr>
                <w:t xml:space="preserve">Budget </w:t>
              </w:r>
              <w:r w:rsidR="00494638" w:rsidRPr="00A06F1E">
                <w:rPr>
                  <w:rStyle w:val="Hyperlink"/>
                  <w:bdr w:val="none" w:sz="0" w:space="0" w:color="auto" w:frame="1"/>
                </w:rPr>
                <w:t>d</w:t>
              </w:r>
              <w:r w:rsidR="00B827DE" w:rsidRPr="00A06F1E">
                <w:rPr>
                  <w:rStyle w:val="Hyperlink"/>
                  <w:bdr w:val="none" w:sz="0" w:space="0" w:color="auto" w:frame="1"/>
                </w:rPr>
                <w:t xml:space="preserve">ocumentation and </w:t>
              </w:r>
              <w:r w:rsidR="00494638" w:rsidRPr="00A06F1E">
                <w:rPr>
                  <w:rStyle w:val="Hyperlink"/>
                  <w:bdr w:val="none" w:sz="0" w:space="0" w:color="auto" w:frame="1"/>
                </w:rPr>
                <w:t>r</w:t>
              </w:r>
              <w:r w:rsidR="00B827DE" w:rsidRPr="00A06F1E">
                <w:rPr>
                  <w:rStyle w:val="Hyperlink"/>
                  <w:bdr w:val="none" w:sz="0" w:space="0" w:color="auto" w:frame="1"/>
                </w:rPr>
                <w:t>eporting</w:t>
              </w:r>
            </w:hyperlink>
          </w:p>
        </w:tc>
        <w:tc>
          <w:tcPr>
            <w:tcW w:w="1876" w:type="pct"/>
          </w:tcPr>
          <w:p w14:paraId="55633859" w14:textId="3EE43F36" w:rsidR="00B827DE" w:rsidRPr="00A06F1E" w:rsidRDefault="000D6A8E" w:rsidP="007D69BA">
            <w:pPr>
              <w:pStyle w:val="TableBullet1"/>
              <w:rPr>
                <w:bdr w:val="none" w:sz="0" w:space="0" w:color="auto" w:frame="1"/>
              </w:rPr>
            </w:pPr>
            <w:r>
              <w:t>RCM &amp; SU 73</w:t>
            </w:r>
            <w:r w:rsidR="00040362" w:rsidRPr="00A06F1E">
              <w:t>’</w:t>
            </w:r>
            <w:r w:rsidR="008A4C4E" w:rsidRPr="00A06F1E">
              <w:t xml:space="preserve">s commitment to transparency and communication is evident in </w:t>
            </w:r>
            <w:r w:rsidR="007742DC">
              <w:t>its</w:t>
            </w:r>
            <w:r w:rsidR="007742DC" w:rsidRPr="00A06F1E">
              <w:t xml:space="preserve"> </w:t>
            </w:r>
            <w:r w:rsidR="008A4C4E" w:rsidRPr="00A06F1E">
              <w:t>efforts to make budget presentations and reports accessible and clearly communicated to the public and other stakeholders across multiple constituencies</w:t>
            </w:r>
            <w:r w:rsidR="006A03AD" w:rsidRPr="00A06F1E">
              <w:t>.</w:t>
            </w:r>
          </w:p>
        </w:tc>
        <w:tc>
          <w:tcPr>
            <w:tcW w:w="1826" w:type="pct"/>
          </w:tcPr>
          <w:p w14:paraId="5A758912" w14:textId="69B83F9A" w:rsidR="00B827DE" w:rsidRPr="00A06F1E" w:rsidRDefault="00B827DE" w:rsidP="004608F7">
            <w:pPr>
              <w:pStyle w:val="TableBullet1"/>
              <w:numPr>
                <w:ilvl w:val="0"/>
                <w:numId w:val="0"/>
              </w:numPr>
              <w:ind w:left="360"/>
              <w:rPr>
                <w:bdr w:val="none" w:sz="0" w:space="0" w:color="auto" w:frame="1"/>
              </w:rPr>
            </w:pPr>
          </w:p>
        </w:tc>
      </w:tr>
      <w:tr w:rsidR="00B827DE" w:rsidRPr="00A06F1E" w14:paraId="0ADE789F" w14:textId="77777777" w:rsidTr="00B827DE">
        <w:tc>
          <w:tcPr>
            <w:tcW w:w="1297" w:type="pct"/>
          </w:tcPr>
          <w:p w14:paraId="41C5EA1C" w14:textId="5B2759CD" w:rsidR="00B827DE" w:rsidRPr="00A06F1E" w:rsidRDefault="00000000" w:rsidP="005D13E7">
            <w:pPr>
              <w:pStyle w:val="TableSubheading"/>
              <w:rPr>
                <w:bdr w:val="none" w:sz="0" w:space="0" w:color="auto" w:frame="1"/>
              </w:rPr>
            </w:pPr>
            <w:hyperlink w:anchor="_Adequate_Budget" w:history="1">
              <w:r w:rsidR="00B827DE" w:rsidRPr="00A06F1E">
                <w:rPr>
                  <w:rStyle w:val="Hyperlink"/>
                  <w:bdr w:val="none" w:sz="0" w:space="0" w:color="auto" w:frame="1"/>
                </w:rPr>
                <w:t xml:space="preserve">Adequate </w:t>
              </w:r>
              <w:r w:rsidR="00494638" w:rsidRPr="00A06F1E">
                <w:rPr>
                  <w:rStyle w:val="Hyperlink"/>
                  <w:bdr w:val="none" w:sz="0" w:space="0" w:color="auto" w:frame="1"/>
                </w:rPr>
                <w:t>b</w:t>
              </w:r>
              <w:r w:rsidR="00B827DE" w:rsidRPr="00A06F1E">
                <w:rPr>
                  <w:rStyle w:val="Hyperlink"/>
                  <w:bdr w:val="none" w:sz="0" w:space="0" w:color="auto" w:frame="1"/>
                </w:rPr>
                <w:t>udget</w:t>
              </w:r>
            </w:hyperlink>
          </w:p>
        </w:tc>
        <w:tc>
          <w:tcPr>
            <w:tcW w:w="1876" w:type="pct"/>
          </w:tcPr>
          <w:p w14:paraId="60B306E4" w14:textId="154BD362" w:rsidR="00B827DE" w:rsidRPr="00A06F1E" w:rsidRDefault="00B827DE" w:rsidP="004608F7">
            <w:pPr>
              <w:pStyle w:val="TableBullet1"/>
              <w:numPr>
                <w:ilvl w:val="0"/>
                <w:numId w:val="0"/>
              </w:numPr>
              <w:ind w:left="360"/>
            </w:pPr>
          </w:p>
        </w:tc>
        <w:tc>
          <w:tcPr>
            <w:tcW w:w="1826" w:type="pct"/>
          </w:tcPr>
          <w:p w14:paraId="4F1C470C" w14:textId="543A8064" w:rsidR="00B827DE" w:rsidRPr="00A06F1E" w:rsidRDefault="004E5FBF" w:rsidP="007D69BA">
            <w:pPr>
              <w:pStyle w:val="TableBullet1"/>
              <w:rPr>
                <w:bdr w:val="none" w:sz="0" w:space="0" w:color="auto" w:frame="1"/>
              </w:rPr>
            </w:pPr>
            <w:r w:rsidRPr="00A06F1E">
              <w:t xml:space="preserve">Addressing concerns about </w:t>
            </w:r>
            <w:r w:rsidR="006B6AD5" w:rsidRPr="00A06F1E">
              <w:t>the adequacy of the budget</w:t>
            </w:r>
            <w:r w:rsidRPr="00A06F1E">
              <w:t>, including disagreements between towns,</w:t>
            </w:r>
            <w:r w:rsidR="006B6AD5" w:rsidRPr="00A06F1E">
              <w:t xml:space="preserve"> </w:t>
            </w:r>
            <w:r w:rsidR="00990249" w:rsidRPr="00A06F1E">
              <w:t xml:space="preserve">that result in </w:t>
            </w:r>
            <w:r w:rsidR="003E52E9" w:rsidRPr="00A06F1E">
              <w:t>frequent annual reductions or uncertainty</w:t>
            </w:r>
          </w:p>
        </w:tc>
      </w:tr>
      <w:tr w:rsidR="00B827DE" w:rsidRPr="00A06F1E" w14:paraId="178D87DE"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13C61666" w14:textId="23D1F1A1" w:rsidR="00B827DE" w:rsidRPr="00A06F1E" w:rsidRDefault="00000000" w:rsidP="005D13E7">
            <w:pPr>
              <w:pStyle w:val="TableSubheading"/>
              <w:rPr>
                <w:bdr w:val="none" w:sz="0" w:space="0" w:color="auto" w:frame="1"/>
              </w:rPr>
            </w:pPr>
            <w:hyperlink w:anchor="_Financial_Tracking,_Forecasting," w:history="1">
              <w:r w:rsidR="00B827DE" w:rsidRPr="00A06F1E">
                <w:rPr>
                  <w:rStyle w:val="Hyperlink"/>
                  <w:bdr w:val="none" w:sz="0" w:space="0" w:color="auto" w:frame="1"/>
                </w:rPr>
                <w:t xml:space="preserve">Financial </w:t>
              </w:r>
              <w:r w:rsidR="00494638" w:rsidRPr="00A06F1E">
                <w:rPr>
                  <w:rStyle w:val="Hyperlink"/>
                  <w:bdr w:val="none" w:sz="0" w:space="0" w:color="auto" w:frame="1"/>
                </w:rPr>
                <w:t>t</w:t>
              </w:r>
              <w:r w:rsidR="00B827DE" w:rsidRPr="00A06F1E">
                <w:rPr>
                  <w:rStyle w:val="Hyperlink"/>
                  <w:bdr w:val="none" w:sz="0" w:space="0" w:color="auto" w:frame="1"/>
                </w:rPr>
                <w:t xml:space="preserve">racking, </w:t>
              </w:r>
              <w:r w:rsidR="00494638" w:rsidRPr="00A06F1E">
                <w:rPr>
                  <w:rStyle w:val="Hyperlink"/>
                  <w:bdr w:val="none" w:sz="0" w:space="0" w:color="auto" w:frame="1"/>
                </w:rPr>
                <w:t>f</w:t>
              </w:r>
              <w:r w:rsidR="00B827DE" w:rsidRPr="00A06F1E">
                <w:rPr>
                  <w:rStyle w:val="Hyperlink"/>
                  <w:bdr w:val="none" w:sz="0" w:space="0" w:color="auto" w:frame="1"/>
                </w:rPr>
                <w:t xml:space="preserve">orecasting, </w:t>
              </w:r>
              <w:r w:rsidR="00494638" w:rsidRPr="00A06F1E">
                <w:rPr>
                  <w:rStyle w:val="Hyperlink"/>
                  <w:bdr w:val="none" w:sz="0" w:space="0" w:color="auto" w:frame="1"/>
                </w:rPr>
                <w:t>c</w:t>
              </w:r>
              <w:r w:rsidR="00B827DE" w:rsidRPr="00A06F1E">
                <w:rPr>
                  <w:rStyle w:val="Hyperlink"/>
                  <w:bdr w:val="none" w:sz="0" w:space="0" w:color="auto" w:frame="1"/>
                </w:rPr>
                <w:t xml:space="preserve">ontrols, and </w:t>
              </w:r>
              <w:r w:rsidR="00494638" w:rsidRPr="00A06F1E">
                <w:rPr>
                  <w:rStyle w:val="Hyperlink"/>
                  <w:bdr w:val="none" w:sz="0" w:space="0" w:color="auto" w:frame="1"/>
                </w:rPr>
                <w:t>a</w:t>
              </w:r>
              <w:r w:rsidR="00B827DE" w:rsidRPr="00A06F1E">
                <w:rPr>
                  <w:rStyle w:val="Hyperlink"/>
                  <w:bdr w:val="none" w:sz="0" w:space="0" w:color="auto" w:frame="1"/>
                </w:rPr>
                <w:t>udits</w:t>
              </w:r>
            </w:hyperlink>
          </w:p>
        </w:tc>
        <w:tc>
          <w:tcPr>
            <w:tcW w:w="1876" w:type="pct"/>
          </w:tcPr>
          <w:p w14:paraId="312ACB22" w14:textId="5A05AC07" w:rsidR="00B827DE" w:rsidRPr="00A06F1E" w:rsidRDefault="006B6AD5" w:rsidP="007D69BA">
            <w:pPr>
              <w:pStyle w:val="TableBullet1"/>
              <w:rPr>
                <w:bdr w:val="none" w:sz="0" w:space="0" w:color="auto" w:frame="1"/>
              </w:rPr>
            </w:pPr>
            <w:r w:rsidRPr="00A06F1E">
              <w:t>The financial oversight process includes thorough review processes</w:t>
            </w:r>
            <w:r w:rsidR="000D6244" w:rsidRPr="00A06F1E">
              <w:t>.</w:t>
            </w:r>
          </w:p>
          <w:p w14:paraId="31560818" w14:textId="74632537" w:rsidR="006B6AD5" w:rsidRPr="00A06F1E" w:rsidRDefault="006B6AD5" w:rsidP="007D69BA">
            <w:pPr>
              <w:pStyle w:val="TableBullet1"/>
            </w:pPr>
            <w:r w:rsidRPr="00A06F1E">
              <w:t xml:space="preserve">Grant funding management at </w:t>
            </w:r>
            <w:r w:rsidR="000D6A8E">
              <w:t>RCM &amp; SU 73</w:t>
            </w:r>
            <w:r w:rsidRPr="00A06F1E">
              <w:t xml:space="preserve"> is </w:t>
            </w:r>
            <w:r w:rsidR="0060791A">
              <w:t>characterized by strategic use of both federal and state grants</w:t>
            </w:r>
            <w:r w:rsidRPr="00A06F1E">
              <w:t>.</w:t>
            </w:r>
          </w:p>
        </w:tc>
        <w:tc>
          <w:tcPr>
            <w:tcW w:w="1826" w:type="pct"/>
          </w:tcPr>
          <w:p w14:paraId="4C814DAB" w14:textId="236FAEA3" w:rsidR="00B827DE" w:rsidRPr="00A06F1E" w:rsidRDefault="00B827DE" w:rsidP="004608F7">
            <w:pPr>
              <w:pStyle w:val="TableBullet1"/>
              <w:numPr>
                <w:ilvl w:val="0"/>
                <w:numId w:val="0"/>
              </w:numPr>
              <w:ind w:left="360"/>
            </w:pPr>
          </w:p>
        </w:tc>
      </w:tr>
      <w:tr w:rsidR="00B827DE" w:rsidRPr="00A06F1E" w14:paraId="671ADB7B" w14:textId="77777777" w:rsidTr="00B827DE">
        <w:tc>
          <w:tcPr>
            <w:tcW w:w="1297" w:type="pct"/>
          </w:tcPr>
          <w:p w14:paraId="2BA214F5" w14:textId="3B380C07" w:rsidR="00B827DE" w:rsidRPr="00A06F1E" w:rsidRDefault="00000000" w:rsidP="005D13E7">
            <w:pPr>
              <w:pStyle w:val="TableSubheading"/>
              <w:rPr>
                <w:bdr w:val="none" w:sz="0" w:space="0" w:color="auto" w:frame="1"/>
              </w:rPr>
            </w:pPr>
            <w:hyperlink w:anchor="_Capital_Planning_and" w:history="1">
              <w:r w:rsidR="00B827DE" w:rsidRPr="00A06F1E">
                <w:rPr>
                  <w:rStyle w:val="Hyperlink"/>
                  <w:bdr w:val="none" w:sz="0" w:space="0" w:color="auto" w:frame="1"/>
                </w:rPr>
                <w:t xml:space="preserve">Capital </w:t>
              </w:r>
              <w:r w:rsidR="00494638" w:rsidRPr="00A06F1E">
                <w:rPr>
                  <w:rStyle w:val="Hyperlink"/>
                  <w:bdr w:val="none" w:sz="0" w:space="0" w:color="auto" w:frame="1"/>
                </w:rPr>
                <w:t>p</w:t>
              </w:r>
              <w:r w:rsidR="00B827DE" w:rsidRPr="00A06F1E">
                <w:rPr>
                  <w:rStyle w:val="Hyperlink"/>
                  <w:bdr w:val="none" w:sz="0" w:space="0" w:color="auto" w:frame="1"/>
                </w:rPr>
                <w:t xml:space="preserve">lanning and </w:t>
              </w:r>
              <w:r w:rsidR="00494638" w:rsidRPr="00A06F1E">
                <w:rPr>
                  <w:rStyle w:val="Hyperlink"/>
                  <w:bdr w:val="none" w:sz="0" w:space="0" w:color="auto" w:frame="1"/>
                </w:rPr>
                <w:t>f</w:t>
              </w:r>
              <w:r w:rsidR="00B827DE" w:rsidRPr="00A06F1E">
                <w:rPr>
                  <w:rStyle w:val="Hyperlink"/>
                  <w:bdr w:val="none" w:sz="0" w:space="0" w:color="auto" w:frame="1"/>
                </w:rPr>
                <w:t xml:space="preserve">acility </w:t>
              </w:r>
              <w:r w:rsidR="00494638" w:rsidRPr="00A06F1E">
                <w:rPr>
                  <w:rStyle w:val="Hyperlink"/>
                  <w:bdr w:val="none" w:sz="0" w:space="0" w:color="auto" w:frame="1"/>
                </w:rPr>
                <w:t>m</w:t>
              </w:r>
              <w:r w:rsidR="00B827DE" w:rsidRPr="00A06F1E">
                <w:rPr>
                  <w:rStyle w:val="Hyperlink"/>
                  <w:bdr w:val="none" w:sz="0" w:space="0" w:color="auto" w:frame="1"/>
                </w:rPr>
                <w:t>aintenance</w:t>
              </w:r>
            </w:hyperlink>
          </w:p>
        </w:tc>
        <w:tc>
          <w:tcPr>
            <w:tcW w:w="1876" w:type="pct"/>
          </w:tcPr>
          <w:p w14:paraId="2C05789C" w14:textId="43E1412B" w:rsidR="00B827DE" w:rsidRPr="00557D2A" w:rsidRDefault="000D6A8E" w:rsidP="007D69BA">
            <w:pPr>
              <w:pStyle w:val="TableBullet1"/>
              <w:rPr>
                <w:bdr w:val="none" w:sz="0" w:space="0" w:color="auto" w:frame="1"/>
              </w:rPr>
            </w:pPr>
            <w:r>
              <w:t>RCM &amp; SU 73</w:t>
            </w:r>
            <w:r w:rsidR="006B6AD5" w:rsidRPr="00A06F1E">
              <w:t xml:space="preserve"> employs a strategic approach to long-term planning and </w:t>
            </w:r>
            <w:r w:rsidR="006B6AD5" w:rsidRPr="00557D2A">
              <w:t>budgeting for facility management</w:t>
            </w:r>
            <w:r w:rsidR="000D6244" w:rsidRPr="00557D2A">
              <w:t>.</w:t>
            </w:r>
          </w:p>
          <w:p w14:paraId="040AD585" w14:textId="07025807" w:rsidR="00B41EB7" w:rsidRPr="00A06F1E" w:rsidRDefault="00B41EB7" w:rsidP="007D69BA">
            <w:pPr>
              <w:pStyle w:val="TableBullet1"/>
              <w:rPr>
                <w:bdr w:val="none" w:sz="0" w:space="0" w:color="auto" w:frame="1"/>
              </w:rPr>
            </w:pPr>
            <w:r w:rsidRPr="00557D2A">
              <w:t xml:space="preserve">Mahar </w:t>
            </w:r>
            <w:r w:rsidR="000A177F">
              <w:t>Regional</w:t>
            </w:r>
            <w:r w:rsidR="007163D9" w:rsidRPr="00557D2A">
              <w:t xml:space="preserve"> </w:t>
            </w:r>
            <w:r w:rsidRPr="00557D2A">
              <w:t xml:space="preserve">has an adequate budget </w:t>
            </w:r>
            <w:r w:rsidR="00D12656" w:rsidRPr="00557D2A">
              <w:t>and</w:t>
            </w:r>
            <w:r w:rsidRPr="00557D2A">
              <w:t xml:space="preserve"> establish</w:t>
            </w:r>
            <w:r w:rsidR="00D12656" w:rsidRPr="00557D2A">
              <w:t>ed</w:t>
            </w:r>
            <w:r w:rsidRPr="00557D2A">
              <w:t xml:space="preserve"> a </w:t>
            </w:r>
            <w:r w:rsidR="00350DAE" w:rsidRPr="00557D2A">
              <w:t>stabilization</w:t>
            </w:r>
            <w:r w:rsidRPr="00557D2A">
              <w:t xml:space="preserve"> fund</w:t>
            </w:r>
            <w:r w:rsidRPr="00A06F1E">
              <w:t xml:space="preserve"> for future unanticipated capital expenses.</w:t>
            </w:r>
          </w:p>
        </w:tc>
        <w:tc>
          <w:tcPr>
            <w:tcW w:w="1826" w:type="pct"/>
          </w:tcPr>
          <w:p w14:paraId="2EAE12FA" w14:textId="7060B974" w:rsidR="00B827DE" w:rsidRPr="00A06F1E" w:rsidRDefault="008374E3" w:rsidP="007D69BA">
            <w:pPr>
              <w:pStyle w:val="TableBullet1"/>
              <w:rPr>
                <w:bdr w:val="none" w:sz="0" w:space="0" w:color="auto" w:frame="1"/>
              </w:rPr>
            </w:pPr>
            <w:r>
              <w:t>Securing</w:t>
            </w:r>
            <w:r w:rsidRPr="00A06F1E">
              <w:t xml:space="preserve"> </w:t>
            </w:r>
            <w:r w:rsidR="006B6AD5" w:rsidRPr="00A06F1E">
              <w:t>funds for capital needs</w:t>
            </w:r>
            <w:r w:rsidR="004E5FBF" w:rsidRPr="00A06F1E">
              <w:t xml:space="preserve"> in all member towns and districts</w:t>
            </w:r>
          </w:p>
        </w:tc>
      </w:tr>
    </w:tbl>
    <w:p w14:paraId="0C62F5A6" w14:textId="68363B4E" w:rsidR="00B827DE" w:rsidRPr="00A06F1E" w:rsidRDefault="00B827DE" w:rsidP="00B827DE">
      <w:pPr>
        <w:pStyle w:val="Heading3"/>
      </w:pPr>
      <w:bookmarkStart w:id="66" w:name="_Budget_Documentation_and"/>
      <w:bookmarkEnd w:id="66"/>
      <w:r w:rsidRPr="00A06F1E">
        <w:t>Budget Documentation and Reporting</w:t>
      </w:r>
    </w:p>
    <w:p w14:paraId="7BFFC87F" w14:textId="67B6D60B" w:rsidR="006C1DC9" w:rsidRPr="00A06F1E" w:rsidRDefault="00321D46" w:rsidP="004608F7">
      <w:pPr>
        <w:pStyle w:val="BodyTextposthead"/>
      </w:pPr>
      <w:r w:rsidRPr="00A06F1E">
        <w:t xml:space="preserve">The </w:t>
      </w:r>
      <w:r w:rsidR="007163D9" w:rsidRPr="00A06F1E">
        <w:t>d</w:t>
      </w:r>
      <w:r w:rsidR="00EC7627" w:rsidRPr="00A06F1E">
        <w:t xml:space="preserve">irector of </w:t>
      </w:r>
      <w:r w:rsidR="007163D9" w:rsidRPr="00A06F1E">
        <w:t>f</w:t>
      </w:r>
      <w:r w:rsidR="00EC7627" w:rsidRPr="00A06F1E">
        <w:t xml:space="preserve">inance and </w:t>
      </w:r>
      <w:r w:rsidR="007163D9" w:rsidRPr="00A06F1E">
        <w:t>o</w:t>
      </w:r>
      <w:r w:rsidR="00EC7627" w:rsidRPr="00A06F1E">
        <w:t xml:space="preserve">perations is responsible for managing budget information and reports at </w:t>
      </w:r>
      <w:r w:rsidR="000D6A8E">
        <w:t>RCM &amp; SU 73</w:t>
      </w:r>
      <w:r w:rsidRPr="00A06F1E">
        <w:t xml:space="preserve">. This role includes developing the budget, approving requisitions and purchase orders, and signing off on every invoice. As </w:t>
      </w:r>
      <w:r w:rsidR="00C1784B" w:rsidRPr="00A06F1E">
        <w:t xml:space="preserve">one district respondent </w:t>
      </w:r>
      <w:r w:rsidRPr="00A06F1E">
        <w:t>state</w:t>
      </w:r>
      <w:r w:rsidR="00EB5207" w:rsidRPr="00A06F1E">
        <w:t>d</w:t>
      </w:r>
      <w:r w:rsidRPr="00A06F1E">
        <w:t>,</w:t>
      </w:r>
    </w:p>
    <w:p w14:paraId="46504ADD" w14:textId="5B98D09B" w:rsidR="00623C64" w:rsidRPr="00A06F1E" w:rsidRDefault="00A154FF" w:rsidP="004608F7">
      <w:pPr>
        <w:pStyle w:val="BlockQuote"/>
      </w:pPr>
      <w:r w:rsidRPr="00A06F1E">
        <w:t xml:space="preserve">[The </w:t>
      </w:r>
      <w:r w:rsidR="00EB5207" w:rsidRPr="00A06F1E">
        <w:t>f</w:t>
      </w:r>
      <w:r w:rsidRPr="00A06F1E">
        <w:t xml:space="preserve">inance </w:t>
      </w:r>
      <w:r w:rsidR="00EB5207" w:rsidRPr="00A06F1E">
        <w:t>d</w:t>
      </w:r>
      <w:r w:rsidRPr="00A06F1E">
        <w:t>irector</w:t>
      </w:r>
      <w:r w:rsidR="00EB5207" w:rsidRPr="00A06F1E">
        <w:t xml:space="preserve"> and</w:t>
      </w:r>
      <w:r w:rsidRPr="00A06F1E">
        <w:t xml:space="preserve">] </w:t>
      </w:r>
      <w:r w:rsidR="00321D46" w:rsidRPr="00A06F1E">
        <w:t xml:space="preserve">I approve requisitions and purchase orders, so </w:t>
      </w:r>
      <w:r w:rsidRPr="00A06F1E">
        <w:t xml:space="preserve">[they] </w:t>
      </w:r>
      <w:r w:rsidR="00321D46" w:rsidRPr="00A06F1E">
        <w:t xml:space="preserve">know what </w:t>
      </w:r>
      <w:r w:rsidRPr="00A06F1E">
        <w:t xml:space="preserve">[is] </w:t>
      </w:r>
      <w:r w:rsidR="00321D46" w:rsidRPr="00A06F1E">
        <w:t xml:space="preserve">budgeted. </w:t>
      </w:r>
      <w:r w:rsidRPr="00A06F1E">
        <w:t xml:space="preserve">[The </w:t>
      </w:r>
      <w:r w:rsidR="00EB5207" w:rsidRPr="00A06F1E">
        <w:t>f</w:t>
      </w:r>
      <w:r w:rsidRPr="00A06F1E">
        <w:t xml:space="preserve">inance </w:t>
      </w:r>
      <w:r w:rsidR="00EB5207" w:rsidRPr="00A06F1E">
        <w:t>d</w:t>
      </w:r>
      <w:r w:rsidRPr="00A06F1E">
        <w:t xml:space="preserve">irector] </w:t>
      </w:r>
      <w:r w:rsidR="00321D46" w:rsidRPr="00A06F1E">
        <w:t>know</w:t>
      </w:r>
      <w:r w:rsidRPr="00A06F1E">
        <w:t>s</w:t>
      </w:r>
      <w:r w:rsidR="00321D46" w:rsidRPr="00A06F1E">
        <w:t xml:space="preserve"> what the detail is; the principals know; they also keep track of it, too. So once it gets approved by </w:t>
      </w:r>
      <w:r w:rsidRPr="00A06F1E">
        <w:t xml:space="preserve">[the </w:t>
      </w:r>
      <w:r w:rsidR="00EB5207" w:rsidRPr="00A06F1E">
        <w:t>d</w:t>
      </w:r>
      <w:r w:rsidRPr="00A06F1E">
        <w:t>irector]</w:t>
      </w:r>
      <w:r w:rsidR="00321D46" w:rsidRPr="00A06F1E">
        <w:t xml:space="preserve">, it can be ordered and then paid for. </w:t>
      </w:r>
      <w:r w:rsidR="00FD6105" w:rsidRPr="00A06F1E">
        <w:t xml:space="preserve">[They] </w:t>
      </w:r>
      <w:r w:rsidR="00321D46" w:rsidRPr="00A06F1E">
        <w:t>look at every invoice</w:t>
      </w:r>
      <w:r w:rsidR="00863F90" w:rsidRPr="00A06F1E">
        <w:t>;</w:t>
      </w:r>
      <w:r w:rsidR="00321D46" w:rsidRPr="00A06F1E">
        <w:t xml:space="preserve"> sign off on every invoice.</w:t>
      </w:r>
    </w:p>
    <w:p w14:paraId="1749897C" w14:textId="2FCC6D28" w:rsidR="00FA792D" w:rsidRPr="00E45CA4" w:rsidRDefault="002F7699" w:rsidP="004608F7">
      <w:pPr>
        <w:pStyle w:val="BodyText"/>
      </w:pPr>
      <w:r w:rsidRPr="00A06F1E">
        <w:t xml:space="preserve">The </w:t>
      </w:r>
      <w:r w:rsidR="00E45CA4">
        <w:t>finance director</w:t>
      </w:r>
      <w:r w:rsidRPr="00A06F1E">
        <w:t xml:space="preserve"> prepares three separate monthly reports</w:t>
      </w:r>
      <w:r w:rsidR="007218D7" w:rsidRPr="00A06F1E">
        <w:t>—</w:t>
      </w:r>
      <w:r w:rsidRPr="00A06F1E">
        <w:t xml:space="preserve">one </w:t>
      </w:r>
      <w:r w:rsidR="00130274" w:rsidRPr="00A06F1E">
        <w:t xml:space="preserve">each </w:t>
      </w:r>
      <w:r w:rsidRPr="00A06F1E">
        <w:t>for Mahar</w:t>
      </w:r>
      <w:r w:rsidR="004E4287" w:rsidRPr="00A06F1E">
        <w:t xml:space="preserve"> Regional</w:t>
      </w:r>
      <w:r w:rsidRPr="00A06F1E">
        <w:t xml:space="preserve">, </w:t>
      </w:r>
      <w:r w:rsidR="00CF4F71">
        <w:t>Fisher Hill</w:t>
      </w:r>
      <w:r w:rsidRPr="00A06F1E">
        <w:t xml:space="preserve">, and </w:t>
      </w:r>
      <w:proofErr w:type="spellStart"/>
      <w:r w:rsidR="00652B48">
        <w:t>Petersham</w:t>
      </w:r>
      <w:proofErr w:type="spellEnd"/>
      <w:r w:rsidR="00652B48">
        <w:t xml:space="preserve"> Center</w:t>
      </w:r>
      <w:r w:rsidR="007218D7" w:rsidRPr="00A06F1E">
        <w:t>—</w:t>
      </w:r>
      <w:r w:rsidRPr="00A06F1E">
        <w:t>for the Resources and Capacity subcommittee</w:t>
      </w:r>
      <w:r w:rsidR="0040024F" w:rsidRPr="00A06F1E">
        <w:t>s</w:t>
      </w:r>
      <w:r w:rsidR="007218D7" w:rsidRPr="00A06F1E">
        <w:t xml:space="preserve">, which </w:t>
      </w:r>
      <w:r w:rsidRPr="00A06F1E">
        <w:t xml:space="preserve">serve as the </w:t>
      </w:r>
      <w:r w:rsidR="00CB6640" w:rsidRPr="00A06F1E">
        <w:t xml:space="preserve">regional </w:t>
      </w:r>
      <w:r w:rsidRPr="00A06F1E">
        <w:t xml:space="preserve">finance </w:t>
      </w:r>
      <w:r w:rsidR="00CB6640" w:rsidRPr="00A06F1E">
        <w:t>sub</w:t>
      </w:r>
      <w:r w:rsidRPr="00A06F1E">
        <w:t>committee</w:t>
      </w:r>
      <w:r w:rsidR="0040024F" w:rsidRPr="00A06F1E">
        <w:t>s</w:t>
      </w:r>
      <w:r w:rsidR="00A31DBC" w:rsidRPr="00A06F1E">
        <w:t>,</w:t>
      </w:r>
      <w:r w:rsidRPr="00A06F1E">
        <w:t xml:space="preserve"> </w:t>
      </w:r>
      <w:r w:rsidR="00CC7F28" w:rsidRPr="00A06F1E">
        <w:t>which</w:t>
      </w:r>
      <w:r w:rsidRPr="00A06F1E">
        <w:t xml:space="preserve"> cover expenditures, grants, finances, enrollment, and staffing</w:t>
      </w:r>
      <w:r w:rsidR="005B311D" w:rsidRPr="00A06F1E">
        <w:t xml:space="preserve"> for the three school committees</w:t>
      </w:r>
      <w:r w:rsidRPr="00A06F1E">
        <w:t>.</w:t>
      </w:r>
      <w:r w:rsidR="00F942C6" w:rsidRPr="00A06F1E">
        <w:t xml:space="preserve"> According to one committee member</w:t>
      </w:r>
      <w:r w:rsidR="002F5D5F" w:rsidRPr="00A06F1E">
        <w:t>,</w:t>
      </w:r>
      <w:r w:rsidR="00321D46" w:rsidRPr="00A06F1E">
        <w:t xml:space="preserve"> </w:t>
      </w:r>
      <w:r w:rsidR="00040362" w:rsidRPr="00A06F1E">
        <w:t>“</w:t>
      </w:r>
      <w:r w:rsidR="00321D46" w:rsidRPr="00A06F1E">
        <w:t>So</w:t>
      </w:r>
      <w:r w:rsidR="00992D4A" w:rsidRPr="00A06F1E">
        <w:t>,</w:t>
      </w:r>
      <w:r w:rsidR="00321D46" w:rsidRPr="00A06F1E">
        <w:t xml:space="preserve"> </w:t>
      </w:r>
      <w:r w:rsidR="00437C8D" w:rsidRPr="00A06F1E">
        <w:t xml:space="preserve">[the </w:t>
      </w:r>
      <w:r w:rsidR="00437C8D" w:rsidRPr="00A06F1E">
        <w:lastRenderedPageBreak/>
        <w:t xml:space="preserve">subcommittee] </w:t>
      </w:r>
      <w:r w:rsidR="00321D46" w:rsidRPr="00A06F1E">
        <w:t>meet</w:t>
      </w:r>
      <w:r w:rsidR="00437C8D" w:rsidRPr="00A06F1E">
        <w:t>s</w:t>
      </w:r>
      <w:r w:rsidR="00321D46" w:rsidRPr="00A06F1E">
        <w:t xml:space="preserve"> monthly from September through June. And every month</w:t>
      </w:r>
      <w:r w:rsidR="00992D4A" w:rsidRPr="00A06F1E">
        <w:t>,</w:t>
      </w:r>
      <w:r w:rsidR="00321D46" w:rsidRPr="00A06F1E">
        <w:t xml:space="preserve"> </w:t>
      </w:r>
      <w:r w:rsidR="00F942C6" w:rsidRPr="00A06F1E">
        <w:t>[</w:t>
      </w:r>
      <w:r w:rsidR="00437C8D" w:rsidRPr="00A06F1E">
        <w:t xml:space="preserve">they </w:t>
      </w:r>
      <w:r w:rsidR="00CE16E1" w:rsidRPr="00A06F1E">
        <w:t>get]</w:t>
      </w:r>
      <w:r w:rsidR="00321D46" w:rsidRPr="00A06F1E">
        <w:t xml:space="preserve"> </w:t>
      </w:r>
      <w:r w:rsidR="00992D4A" w:rsidRPr="00A06F1E">
        <w:t>an updated expenditure</w:t>
      </w:r>
      <w:r w:rsidR="00321D46" w:rsidRPr="00A06F1E">
        <w:t xml:space="preserve"> budget.</w:t>
      </w:r>
      <w:r w:rsidR="00040362" w:rsidRPr="00A06F1E">
        <w:t>”</w:t>
      </w:r>
      <w:r w:rsidR="00321D46" w:rsidRPr="00A06F1E">
        <w:t xml:space="preserve"> </w:t>
      </w:r>
      <w:r w:rsidR="0079199D" w:rsidRPr="00E45CA4">
        <w:t xml:space="preserve">According to </w:t>
      </w:r>
      <w:r w:rsidR="00437C8D" w:rsidRPr="00E45CA4">
        <w:t xml:space="preserve">district staff, </w:t>
      </w:r>
      <w:r w:rsidR="00040362" w:rsidRPr="00E45CA4">
        <w:t>“</w:t>
      </w:r>
      <w:r w:rsidR="00FA792D" w:rsidRPr="00E45CA4">
        <w:t xml:space="preserve">We have three </w:t>
      </w:r>
      <w:r w:rsidR="00877C00" w:rsidRPr="00E45CA4">
        <w:t>R</w:t>
      </w:r>
      <w:r w:rsidR="00FA792D" w:rsidRPr="00E45CA4">
        <w:t xml:space="preserve">esources and </w:t>
      </w:r>
      <w:r w:rsidR="00877C00" w:rsidRPr="00E45CA4">
        <w:t>C</w:t>
      </w:r>
      <w:r w:rsidR="00FA792D" w:rsidRPr="00E45CA4">
        <w:t>apacity committees</w:t>
      </w:r>
      <w:r w:rsidR="002F5D5F" w:rsidRPr="00E45CA4">
        <w:t>. . . .</w:t>
      </w:r>
      <w:r w:rsidR="00FA792D" w:rsidRPr="00E45CA4">
        <w:t xml:space="preserve"> And then, those subcommittees report back to their school committees.</w:t>
      </w:r>
      <w:r w:rsidR="00040362" w:rsidRPr="00E45CA4">
        <w:t>”</w:t>
      </w:r>
    </w:p>
    <w:p w14:paraId="7B74684B" w14:textId="2E71C2E7" w:rsidR="006C1DC9" w:rsidRPr="00E45CA4" w:rsidRDefault="000D6A8E" w:rsidP="004608F7">
      <w:pPr>
        <w:pStyle w:val="BodyText"/>
      </w:pPr>
      <w:r>
        <w:t>RCM &amp; SU 73</w:t>
      </w:r>
      <w:r w:rsidR="00040362" w:rsidRPr="00E45CA4">
        <w:t>’</w:t>
      </w:r>
      <w:r w:rsidR="00610FB2" w:rsidRPr="00E45CA4">
        <w:t xml:space="preserve">s commitment to transparency </w:t>
      </w:r>
      <w:r w:rsidR="00A35D89" w:rsidRPr="00E45CA4">
        <w:t>and communication</w:t>
      </w:r>
      <w:r w:rsidR="00610FB2" w:rsidRPr="00E45CA4">
        <w:t xml:space="preserve"> is evident in </w:t>
      </w:r>
      <w:r w:rsidR="0065727A">
        <w:t>its</w:t>
      </w:r>
      <w:r w:rsidR="0065727A" w:rsidRPr="00E45CA4">
        <w:t xml:space="preserve"> </w:t>
      </w:r>
      <w:r w:rsidR="00610FB2" w:rsidRPr="00E45CA4">
        <w:t>efforts to make budget presentations and reports accessible</w:t>
      </w:r>
      <w:r w:rsidR="008E5735" w:rsidRPr="00E45CA4">
        <w:t xml:space="preserve"> and clearly communicated to the public and other stakeholders across multiple constituencies</w:t>
      </w:r>
      <w:r w:rsidR="00610FB2" w:rsidRPr="00E45CA4">
        <w:t>, which is a strength. The finance department regularly posts these documents on the district</w:t>
      </w:r>
      <w:r w:rsidR="00040362" w:rsidRPr="00E45CA4">
        <w:t>’</w:t>
      </w:r>
      <w:r w:rsidR="00610FB2" w:rsidRPr="00E45CA4">
        <w:t xml:space="preserve">s website and ensures </w:t>
      </w:r>
      <w:r w:rsidR="003945E0" w:rsidRPr="00E45CA4">
        <w:t xml:space="preserve">that </w:t>
      </w:r>
      <w:r w:rsidR="00610FB2" w:rsidRPr="00E45CA4">
        <w:t xml:space="preserve">they are updated with the latest information on </w:t>
      </w:r>
      <w:r w:rsidR="00D67676" w:rsidRPr="00E45CA4">
        <w:t>revenue</w:t>
      </w:r>
      <w:r w:rsidR="00F80A2A" w:rsidRPr="00E45CA4">
        <w:t>,</w:t>
      </w:r>
      <w:r w:rsidR="00610FB2" w:rsidRPr="00E45CA4">
        <w:t xml:space="preserve"> expenditures</w:t>
      </w:r>
      <w:r w:rsidR="00F80A2A" w:rsidRPr="00E45CA4">
        <w:t>,</w:t>
      </w:r>
      <w:r w:rsidR="00610FB2" w:rsidRPr="00E45CA4">
        <w:t xml:space="preserve"> and the budget. </w:t>
      </w:r>
      <w:r w:rsidR="003945E0" w:rsidRPr="00E45CA4">
        <w:t>In addition</w:t>
      </w:r>
      <w:r w:rsidR="00610FB2" w:rsidRPr="00E45CA4">
        <w:t xml:space="preserve">, </w:t>
      </w:r>
      <w:r w:rsidR="00C54C95" w:rsidRPr="00E45CA4">
        <w:t>district respondents</w:t>
      </w:r>
      <w:r w:rsidR="00610FB2" w:rsidRPr="00E45CA4">
        <w:t xml:space="preserve"> highlighted that the public is invited to attend public hearings and that agendas for all school committee and subcommittee meetings are posted to encourage community participation:</w:t>
      </w:r>
    </w:p>
    <w:p w14:paraId="728381D3" w14:textId="26F40BC6" w:rsidR="00321D46" w:rsidRPr="00E45CA4" w:rsidRDefault="00610FB2" w:rsidP="004608F7">
      <w:pPr>
        <w:pStyle w:val="BlockQuote"/>
      </w:pPr>
      <w:r w:rsidRPr="00E45CA4">
        <w:t>We try to post [budget reports] on the [district] website and keep that up to date as far as expenditures and the budget. [The public] also gets invited to the public hearings. They have the agendas posted for every school committee and subcommittee that we have so that they can attend, too.</w:t>
      </w:r>
    </w:p>
    <w:p w14:paraId="44CD1A18" w14:textId="371BC2AE" w:rsidR="006C1DC9" w:rsidRPr="00A06F1E" w:rsidRDefault="00414AD0" w:rsidP="004608F7">
      <w:pPr>
        <w:pStyle w:val="BodyText"/>
      </w:pPr>
      <w:r w:rsidRPr="00E45CA4">
        <w:t xml:space="preserve">The </w:t>
      </w:r>
      <w:r w:rsidR="009737E2" w:rsidRPr="00E45CA4">
        <w:t>fiscal year</w:t>
      </w:r>
      <w:r w:rsidRPr="00E45CA4">
        <w:t xml:space="preserve"> 2024 budget presentations for Mahar</w:t>
      </w:r>
      <w:r w:rsidR="00855B0F" w:rsidRPr="00E45CA4">
        <w:t xml:space="preserve"> Regional</w:t>
      </w:r>
      <w:r w:rsidRPr="00E45CA4">
        <w:t xml:space="preserve">, </w:t>
      </w:r>
      <w:r w:rsidR="00CF4F71">
        <w:t>Fisher Hill</w:t>
      </w:r>
      <w:r w:rsidRPr="00E45CA4">
        <w:t xml:space="preserve">, and </w:t>
      </w:r>
      <w:proofErr w:type="spellStart"/>
      <w:r w:rsidR="00652B48">
        <w:t>Petersham</w:t>
      </w:r>
      <w:proofErr w:type="spellEnd"/>
      <w:r w:rsidR="00652B48">
        <w:t xml:space="preserve"> Center</w:t>
      </w:r>
      <w:r w:rsidRPr="00E45CA4">
        <w:t xml:space="preserve"> are clear and </w:t>
      </w:r>
      <w:r w:rsidR="0065727A">
        <w:t>user-friendly</w:t>
      </w:r>
      <w:r w:rsidRPr="00E45CA4">
        <w:t xml:space="preserve">, following a structured format that includes an introduction, school achievements, curriculum and assessment data, enrollment figures, revenue sources, unbudgeted needs, expenses, and a summary. Each presentation </w:t>
      </w:r>
      <w:r w:rsidR="00C3790E" w:rsidRPr="00E45CA4">
        <w:t xml:space="preserve">outlines </w:t>
      </w:r>
      <w:r w:rsidRPr="00E45CA4">
        <w:t>steps from adopting budget goals to final approval. They include key dates and principles focused on responsible budgeting. Detailed data on academic performance</w:t>
      </w:r>
      <w:r w:rsidRPr="00A06F1E">
        <w:t>, such as MCAS scores and special education trends, along with specific financial needs</w:t>
      </w:r>
      <w:r w:rsidR="000E21E9" w:rsidRPr="00A06F1E">
        <w:t>, such as</w:t>
      </w:r>
      <w:r w:rsidRPr="00A06F1E">
        <w:t xml:space="preserve"> additional curriculum funding and special education requirements, are presented clearly. The presentations also highlight new developments, such as curriculum updates and infrastructure projects, and provide precise figures for enrollment and revenue.</w:t>
      </w:r>
    </w:p>
    <w:p w14:paraId="1ECCF473" w14:textId="0C4B6E24" w:rsidR="00B827DE" w:rsidRPr="00A06F1E" w:rsidRDefault="00B827DE" w:rsidP="00B827DE">
      <w:pPr>
        <w:pStyle w:val="Heading3"/>
      </w:pPr>
      <w:bookmarkStart w:id="67" w:name="_Adequate_Budget"/>
      <w:bookmarkEnd w:id="67"/>
      <w:r w:rsidRPr="00A06F1E">
        <w:t>Adequate Budget</w:t>
      </w:r>
    </w:p>
    <w:p w14:paraId="2CDA1DF8" w14:textId="50C2A1EE" w:rsidR="006C1DC9" w:rsidRPr="00A06F1E" w:rsidRDefault="005F6BF1" w:rsidP="00FF4995">
      <w:pPr>
        <w:pStyle w:val="BodyTextposthead"/>
      </w:pPr>
      <w:r w:rsidRPr="00A06F1E">
        <w:t>T</w:t>
      </w:r>
      <w:r w:rsidR="00FF4995" w:rsidRPr="00A06F1E">
        <w:t xml:space="preserve">he </w:t>
      </w:r>
      <w:r w:rsidR="008815F4" w:rsidRPr="00A06F1E">
        <w:t>Mahar</w:t>
      </w:r>
      <w:r w:rsidR="00270EC9" w:rsidRPr="00A06F1E">
        <w:t xml:space="preserve"> Regional</w:t>
      </w:r>
      <w:r w:rsidR="002B72B2" w:rsidRPr="00A06F1E">
        <w:t xml:space="preserve">, </w:t>
      </w:r>
      <w:r w:rsidR="00CF4F71">
        <w:t>Fisher Hill</w:t>
      </w:r>
      <w:r w:rsidR="008815F4" w:rsidRPr="00A06F1E">
        <w:t xml:space="preserve">, and </w:t>
      </w:r>
      <w:proofErr w:type="spellStart"/>
      <w:r w:rsidR="00652B48">
        <w:t>Petersham</w:t>
      </w:r>
      <w:proofErr w:type="spellEnd"/>
      <w:r w:rsidR="00652B48">
        <w:t xml:space="preserve"> Center</w:t>
      </w:r>
      <w:r w:rsidR="002B72B2" w:rsidRPr="00A06F1E">
        <w:t xml:space="preserve"> </w:t>
      </w:r>
      <w:r w:rsidR="00827C3F" w:rsidRPr="00A06F1E">
        <w:t>district and school</w:t>
      </w:r>
      <w:r w:rsidR="001C3F45" w:rsidRPr="00A06F1E">
        <w:t xml:space="preserve"> </w:t>
      </w:r>
      <w:r w:rsidR="008815F4" w:rsidRPr="00A06F1E">
        <w:t xml:space="preserve">budgets </w:t>
      </w:r>
      <w:r w:rsidR="00FF4995" w:rsidRPr="00A06F1E">
        <w:t>emphasi</w:t>
      </w:r>
      <w:r w:rsidRPr="00A06F1E">
        <w:t>ze</w:t>
      </w:r>
      <w:r w:rsidR="00FF4995" w:rsidRPr="00A06F1E">
        <w:t xml:space="preserve"> enhancing educational quality, infrastructure, and support services. Each budget reflects </w:t>
      </w:r>
      <w:r w:rsidR="0094161E" w:rsidRPr="00A06F1E">
        <w:t xml:space="preserve">technology, transportation, and maintenance investments </w:t>
      </w:r>
      <w:r w:rsidR="00FF4995" w:rsidRPr="00A06F1E">
        <w:t>to support the schools</w:t>
      </w:r>
      <w:r w:rsidR="00040362" w:rsidRPr="00A06F1E">
        <w:t>’</w:t>
      </w:r>
      <w:r w:rsidR="00FF4995" w:rsidRPr="00A06F1E">
        <w:t xml:space="preserve"> strategic objectives and improve overall operations.</w:t>
      </w:r>
    </w:p>
    <w:p w14:paraId="569C9D7F" w14:textId="34452791" w:rsidR="00FF4995" w:rsidRPr="00A06F1E" w:rsidRDefault="00B97237" w:rsidP="004608F7">
      <w:pPr>
        <w:pStyle w:val="BodyText"/>
      </w:pPr>
      <w:r w:rsidRPr="00A06F1E">
        <w:t xml:space="preserve">The </w:t>
      </w:r>
      <w:r w:rsidR="009737E2" w:rsidRPr="00A06F1E">
        <w:t>fiscal year</w:t>
      </w:r>
      <w:r w:rsidRPr="00A06F1E">
        <w:t xml:space="preserve"> 2023 budget for </w:t>
      </w:r>
      <w:r w:rsidR="00CF4F71">
        <w:t>Fisher Hill</w:t>
      </w:r>
      <w:r w:rsidRPr="00A06F1E">
        <w:t xml:space="preserve"> is $7,551,563, marking a 10.77</w:t>
      </w:r>
      <w:r w:rsidR="00CA355B">
        <w:t xml:space="preserve"> percent</w:t>
      </w:r>
      <w:r w:rsidRPr="00A06F1E">
        <w:t xml:space="preserve"> increase from the previous fiscal year</w:t>
      </w:r>
      <w:r w:rsidR="00C40C94">
        <w:t xml:space="preserve">, which </w:t>
      </w:r>
      <w:r w:rsidR="0077562E">
        <w:t>reflects significant</w:t>
      </w:r>
      <w:r w:rsidR="00C40C94">
        <w:t xml:space="preserve"> increases to </w:t>
      </w:r>
      <w:r w:rsidR="0077562E">
        <w:t>general</w:t>
      </w:r>
      <w:r w:rsidR="006D333C">
        <w:t xml:space="preserve"> education IT and </w:t>
      </w:r>
      <w:r w:rsidR="00A0798C">
        <w:t xml:space="preserve">special education out-of-district </w:t>
      </w:r>
      <w:r w:rsidR="00AB5A9D">
        <w:t>budget needs</w:t>
      </w:r>
      <w:r w:rsidRPr="00A06F1E">
        <w:t xml:space="preserve">. </w:t>
      </w:r>
      <w:r w:rsidR="00FF4995" w:rsidRPr="00A06F1E">
        <w:t xml:space="preserve">The </w:t>
      </w:r>
      <w:r w:rsidR="009737E2" w:rsidRPr="00A06F1E">
        <w:t>fiscal year</w:t>
      </w:r>
      <w:r w:rsidR="00FF4995" w:rsidRPr="00A06F1E">
        <w:t xml:space="preserve"> 2023 budget for </w:t>
      </w:r>
      <w:proofErr w:type="spellStart"/>
      <w:r w:rsidR="00652B48">
        <w:t>Petersham</w:t>
      </w:r>
      <w:proofErr w:type="spellEnd"/>
      <w:r w:rsidR="00652B48">
        <w:t xml:space="preserve"> Center</w:t>
      </w:r>
      <w:r w:rsidR="00FF4995" w:rsidRPr="00A06F1E">
        <w:t xml:space="preserve"> shows a total of $2,120,059, reflecting a 4.01</w:t>
      </w:r>
      <w:r w:rsidR="00CA355B">
        <w:t xml:space="preserve"> percent</w:t>
      </w:r>
      <w:r w:rsidR="00FF4995" w:rsidRPr="00A06F1E">
        <w:t xml:space="preserve"> increase from the previous fiscal year. Similarly, the </w:t>
      </w:r>
      <w:r w:rsidR="009737E2" w:rsidRPr="00A06F1E">
        <w:t>fiscal year</w:t>
      </w:r>
      <w:r w:rsidR="00FF4995" w:rsidRPr="00A06F1E">
        <w:t xml:space="preserve"> 202</w:t>
      </w:r>
      <w:r w:rsidR="43A35522" w:rsidRPr="00A06F1E">
        <w:t>3</w:t>
      </w:r>
      <w:r w:rsidR="00FF4995" w:rsidRPr="00A06F1E">
        <w:t xml:space="preserve"> budget for Mahar </w:t>
      </w:r>
      <w:r w:rsidR="00FB5D3B" w:rsidRPr="00A06F1E">
        <w:t>Regional</w:t>
      </w:r>
      <w:r w:rsidR="00FF4995" w:rsidRPr="00A06F1E">
        <w:t xml:space="preserve"> totals $14,848,233, representing a 3.98</w:t>
      </w:r>
      <w:r w:rsidR="00CA355B">
        <w:t xml:space="preserve"> percent</w:t>
      </w:r>
      <w:r w:rsidR="00FF4995" w:rsidRPr="00A06F1E">
        <w:t xml:space="preserve"> increase from the previous year. </w:t>
      </w:r>
    </w:p>
    <w:p w14:paraId="4CA499B7" w14:textId="35C911BD" w:rsidR="00AB57BA" w:rsidRPr="00E45CA4" w:rsidRDefault="008C4BA1" w:rsidP="004608F7">
      <w:pPr>
        <w:pStyle w:val="BodyText"/>
      </w:pPr>
      <w:r w:rsidRPr="00A06F1E">
        <w:t>S</w:t>
      </w:r>
      <w:r w:rsidR="004654C0" w:rsidRPr="00A06F1E">
        <w:t xml:space="preserve">hared expenses </w:t>
      </w:r>
      <w:r w:rsidR="002536D7" w:rsidRPr="00A06F1E">
        <w:t xml:space="preserve">between </w:t>
      </w:r>
      <w:proofErr w:type="spellStart"/>
      <w:r w:rsidR="00652B48">
        <w:t>Petersham</w:t>
      </w:r>
      <w:proofErr w:type="spellEnd"/>
      <w:r w:rsidR="00652B48">
        <w:t xml:space="preserve"> Center</w:t>
      </w:r>
      <w:r w:rsidR="00575F96" w:rsidRPr="00A06F1E">
        <w:t xml:space="preserve">, </w:t>
      </w:r>
      <w:r w:rsidR="00CF4F71">
        <w:t>Fisher Hill</w:t>
      </w:r>
      <w:r w:rsidR="002536D7" w:rsidRPr="00A06F1E">
        <w:t xml:space="preserve">, and </w:t>
      </w:r>
      <w:r w:rsidR="001C3F45" w:rsidRPr="00A06F1E">
        <w:t xml:space="preserve">Mahar </w:t>
      </w:r>
      <w:r w:rsidR="00FB5D3B" w:rsidRPr="00A06F1E">
        <w:t>Regional</w:t>
      </w:r>
      <w:r w:rsidR="001C3F45" w:rsidRPr="00A06F1E">
        <w:t xml:space="preserve"> </w:t>
      </w:r>
      <w:r w:rsidR="002536D7" w:rsidRPr="00A06F1E">
        <w:t xml:space="preserve">reflect </w:t>
      </w:r>
      <w:r w:rsidR="004654C0" w:rsidRPr="00A06F1E">
        <w:t xml:space="preserve">a collaborative approach to managing districtwide resources </w:t>
      </w:r>
      <w:r w:rsidR="00DE7ADE" w:rsidRPr="00A06F1E">
        <w:t xml:space="preserve">in </w:t>
      </w:r>
      <w:r w:rsidR="000D6A8E">
        <w:t>RCM &amp; SU 73</w:t>
      </w:r>
      <w:r w:rsidR="004654C0" w:rsidRPr="00A06F1E">
        <w:t>, with various administrative and support roles being shared based on enrollment percentages.</w:t>
      </w:r>
      <w:r w:rsidR="0005119A" w:rsidRPr="00A06F1E">
        <w:t xml:space="preserve"> </w:t>
      </w:r>
      <w:r w:rsidR="00FF4995" w:rsidRPr="00A06F1E">
        <w:t>These roles</w:t>
      </w:r>
      <w:r w:rsidR="00657ACC" w:rsidRPr="00A06F1E">
        <w:t xml:space="preserve"> include </w:t>
      </w:r>
      <w:r w:rsidR="00FF4995" w:rsidRPr="00A06F1E">
        <w:t xml:space="preserve">the </w:t>
      </w:r>
      <w:r w:rsidR="00270EC9" w:rsidRPr="00A06F1E">
        <w:t>s</w:t>
      </w:r>
      <w:r w:rsidR="00FF4995" w:rsidRPr="00A06F1E">
        <w:t xml:space="preserve">uperintendent, </w:t>
      </w:r>
      <w:r w:rsidR="00270EC9" w:rsidRPr="00A06F1E">
        <w:t>d</w:t>
      </w:r>
      <w:r w:rsidR="00FF4995" w:rsidRPr="00A06F1E">
        <w:t xml:space="preserve">irector of </w:t>
      </w:r>
      <w:r w:rsidR="00270EC9" w:rsidRPr="00A06F1E">
        <w:t>f</w:t>
      </w:r>
      <w:r w:rsidR="00FF4995" w:rsidRPr="00A06F1E">
        <w:t xml:space="preserve">inance, </w:t>
      </w:r>
      <w:r w:rsidR="00D9614B" w:rsidRPr="00A06F1E">
        <w:rPr>
          <w:spacing w:val="-2"/>
        </w:rPr>
        <w:t>human resources</w:t>
      </w:r>
      <w:r w:rsidR="00FF4995" w:rsidRPr="00A06F1E">
        <w:t xml:space="preserve"> </w:t>
      </w:r>
      <w:r w:rsidR="00A4010F">
        <w:t>specialist</w:t>
      </w:r>
      <w:r w:rsidR="00270EC9" w:rsidRPr="00A06F1E">
        <w:t>, payroll assistant, office assistant, accountant and grants manager, as well as directors of student support services and curriculum</w:t>
      </w:r>
      <w:r w:rsidR="00FF4995" w:rsidRPr="00A06F1E">
        <w:t xml:space="preserve">. The cost of these shared positions is distributed based on enrollment percentages, with </w:t>
      </w:r>
      <w:proofErr w:type="spellStart"/>
      <w:r w:rsidR="00652B48">
        <w:t>Petersham</w:t>
      </w:r>
      <w:proofErr w:type="spellEnd"/>
      <w:r w:rsidR="00652B48">
        <w:t xml:space="preserve"> </w:t>
      </w:r>
      <w:r w:rsidR="00652B48">
        <w:lastRenderedPageBreak/>
        <w:t>Center</w:t>
      </w:r>
      <w:r w:rsidR="00FF4995" w:rsidRPr="00A06F1E">
        <w:t xml:space="preserve"> covering approximately 10</w:t>
      </w:r>
      <w:r w:rsidR="00CA355B">
        <w:t xml:space="preserve"> percent</w:t>
      </w:r>
      <w:r w:rsidR="00AC3C7B" w:rsidRPr="00A06F1E">
        <w:t xml:space="preserve">, </w:t>
      </w:r>
      <w:r w:rsidR="00CF4F71">
        <w:t>Fisher Hill</w:t>
      </w:r>
      <w:r w:rsidR="00510E65" w:rsidRPr="00E45CA4">
        <w:t xml:space="preserve"> </w:t>
      </w:r>
      <w:r w:rsidR="00995107" w:rsidRPr="00E45CA4">
        <w:t>about</w:t>
      </w:r>
      <w:r w:rsidR="00FF4995" w:rsidRPr="00E45CA4">
        <w:t xml:space="preserve"> 4</w:t>
      </w:r>
      <w:r w:rsidR="391B223D">
        <w:t>5</w:t>
      </w:r>
      <w:r w:rsidR="00CA355B">
        <w:t xml:space="preserve"> percent</w:t>
      </w:r>
      <w:r w:rsidR="00AC3C7B" w:rsidRPr="00E45CA4">
        <w:t xml:space="preserve">, </w:t>
      </w:r>
      <w:r w:rsidR="00FF4995" w:rsidRPr="00E45CA4">
        <w:t xml:space="preserve">and </w:t>
      </w:r>
      <w:r w:rsidR="008B66C7" w:rsidRPr="00E45CA4">
        <w:t>Mahar Regional</w:t>
      </w:r>
      <w:r w:rsidR="00FF4995" w:rsidRPr="00E45CA4">
        <w:t xml:space="preserve"> about 4</w:t>
      </w:r>
      <w:r w:rsidR="0C259C88">
        <w:t>5</w:t>
      </w:r>
      <w:r w:rsidR="00CA355B">
        <w:t xml:space="preserve"> percent</w:t>
      </w:r>
      <w:r w:rsidR="00AC3C7B" w:rsidRPr="00E45CA4">
        <w:t xml:space="preserve">. </w:t>
      </w:r>
    </w:p>
    <w:p w14:paraId="3CCB9A51" w14:textId="2B49777A" w:rsidR="006C1DC9" w:rsidRPr="00E45CA4" w:rsidRDefault="0029406D" w:rsidP="004608F7">
      <w:pPr>
        <w:pStyle w:val="BodyText"/>
      </w:pPr>
      <w:r w:rsidRPr="00E45CA4">
        <w:t xml:space="preserve">Focus group responses reveal significant concerns about the adequacy of the budget for the </w:t>
      </w:r>
      <w:r w:rsidR="0033451E" w:rsidRPr="00E45CA4">
        <w:t>t</w:t>
      </w:r>
      <w:r w:rsidRPr="00E45CA4">
        <w:t xml:space="preserve">owns of Orange and </w:t>
      </w:r>
      <w:proofErr w:type="spellStart"/>
      <w:r w:rsidRPr="00E45CA4">
        <w:t>Petersham</w:t>
      </w:r>
      <w:proofErr w:type="spellEnd"/>
      <w:r w:rsidRPr="00E45CA4">
        <w:t xml:space="preserve">, primarily </w:t>
      </w:r>
      <w:r w:rsidR="00D12656" w:rsidRPr="00E45CA4">
        <w:t>caused by</w:t>
      </w:r>
      <w:r w:rsidRPr="00E45CA4">
        <w:t xml:space="preserve"> economic constraints, which</w:t>
      </w:r>
      <w:r w:rsidR="00EC6919" w:rsidRPr="00E45CA4">
        <w:t xml:space="preserve"> frequently result in cuts, uncertainty, and delays in approvals</w:t>
      </w:r>
      <w:r w:rsidR="00990249" w:rsidRPr="00E45CA4">
        <w:t>; these impacts collectively represent</w:t>
      </w:r>
      <w:r w:rsidRPr="00E45CA4">
        <w:t xml:space="preserve"> an area for growth. School committee members reveal</w:t>
      </w:r>
      <w:r w:rsidR="0033451E" w:rsidRPr="00E45CA4">
        <w:t>ed</w:t>
      </w:r>
      <w:r w:rsidRPr="00E45CA4">
        <w:t xml:space="preserve"> that </w:t>
      </w:r>
      <w:r w:rsidR="00040362" w:rsidRPr="00E45CA4">
        <w:t>“</w:t>
      </w:r>
      <w:r w:rsidR="0033451E" w:rsidRPr="00E45CA4">
        <w:t>b</w:t>
      </w:r>
      <w:r w:rsidRPr="00E45CA4">
        <w:t>udget is always [a top concern]</w:t>
      </w:r>
      <w:r w:rsidR="00040362" w:rsidRPr="00E45CA4">
        <w:t>”</w:t>
      </w:r>
      <w:r w:rsidRPr="00E45CA4">
        <w:t xml:space="preserve"> in the </w:t>
      </w:r>
      <w:r w:rsidR="0033451E" w:rsidRPr="00E45CA4">
        <w:t>t</w:t>
      </w:r>
      <w:r w:rsidRPr="00E45CA4">
        <w:t xml:space="preserve">own of Orange primarily </w:t>
      </w:r>
      <w:r w:rsidR="0033451E" w:rsidRPr="00E45CA4">
        <w:t>because of</w:t>
      </w:r>
      <w:r w:rsidRPr="00E45CA4">
        <w:t xml:space="preserve"> its economic conditions, which limit available financial resources to support the </w:t>
      </w:r>
      <w:r w:rsidR="00E92FCD" w:rsidRPr="00E45CA4">
        <w:t xml:space="preserve">local and regional </w:t>
      </w:r>
      <w:r w:rsidRPr="00E45CA4">
        <w:t>school</w:t>
      </w:r>
      <w:r w:rsidR="00E92FCD" w:rsidRPr="00E45CA4">
        <w:t>s</w:t>
      </w:r>
      <w:r w:rsidRPr="00E45CA4">
        <w:t>. One</w:t>
      </w:r>
      <w:r w:rsidR="00710A6E" w:rsidRPr="00E45CA4">
        <w:t xml:space="preserve"> </w:t>
      </w:r>
      <w:r w:rsidRPr="00E45CA4">
        <w:t>school committee member shared,</w:t>
      </w:r>
    </w:p>
    <w:p w14:paraId="746D763A" w14:textId="715E914A" w:rsidR="0029406D" w:rsidRPr="00E45CA4" w:rsidRDefault="0029406D" w:rsidP="004608F7">
      <w:pPr>
        <w:pStyle w:val="BlockQuote"/>
      </w:pPr>
      <w:r w:rsidRPr="00E45CA4">
        <w:t>There</w:t>
      </w:r>
      <w:r w:rsidR="00040362" w:rsidRPr="00E45CA4">
        <w:t>’</w:t>
      </w:r>
      <w:r w:rsidRPr="00E45CA4">
        <w:t>s not a lot of money flowing around. And [</w:t>
      </w:r>
      <w:r w:rsidR="00CF4F71">
        <w:t>Fisher Hill</w:t>
      </w:r>
      <w:r w:rsidRPr="00E45CA4">
        <w:t xml:space="preserve">] is such a centerpiece of </w:t>
      </w:r>
      <w:r w:rsidR="004157D4" w:rsidRPr="00E45CA4">
        <w:t>[the]</w:t>
      </w:r>
      <w:r w:rsidRPr="00E45CA4">
        <w:t xml:space="preserve"> district, but</w:t>
      </w:r>
      <w:r w:rsidR="001B6C3C" w:rsidRPr="00E45CA4">
        <w:t> . . .</w:t>
      </w:r>
      <w:r w:rsidRPr="00E45CA4">
        <w:t xml:space="preserve"> it doesn</w:t>
      </w:r>
      <w:r w:rsidR="00040362" w:rsidRPr="00E45CA4">
        <w:t>’</w:t>
      </w:r>
      <w:r w:rsidRPr="00E45CA4">
        <w:t>t mean that there</w:t>
      </w:r>
      <w:r w:rsidR="00040362" w:rsidRPr="00E45CA4">
        <w:t>’</w:t>
      </w:r>
      <w:r w:rsidRPr="00E45CA4">
        <w:t xml:space="preserve">s money to support it. Every year, the </w:t>
      </w:r>
      <w:r w:rsidR="001B6C3C" w:rsidRPr="00E45CA4">
        <w:t>t</w:t>
      </w:r>
      <w:r w:rsidRPr="00E45CA4">
        <w:t xml:space="preserve">own of Orange has come back to </w:t>
      </w:r>
      <w:r w:rsidR="000D6A8E">
        <w:t>RCM &amp; SU 73</w:t>
      </w:r>
      <w:r w:rsidRPr="00E45CA4">
        <w:t xml:space="preserve"> administration and said, </w:t>
      </w:r>
      <w:r w:rsidR="001B6C3C" w:rsidRPr="00E45CA4">
        <w:t>“</w:t>
      </w:r>
      <w:r w:rsidRPr="00E45CA4">
        <w:t>We can</w:t>
      </w:r>
      <w:r w:rsidR="00040362" w:rsidRPr="00E45CA4">
        <w:t>’</w:t>
      </w:r>
      <w:r w:rsidRPr="00E45CA4">
        <w:t>t afford that.</w:t>
      </w:r>
      <w:r w:rsidR="001B6C3C" w:rsidRPr="00E45CA4">
        <w:t>”</w:t>
      </w:r>
      <w:r w:rsidRPr="00E45CA4">
        <w:t xml:space="preserve"> So, budget probably is [</w:t>
      </w:r>
      <w:r w:rsidR="00CF4F71">
        <w:t>Fisher Hill</w:t>
      </w:r>
      <w:r w:rsidRPr="00E45CA4">
        <w:t>]</w:t>
      </w:r>
      <w:r w:rsidR="00040362" w:rsidRPr="00E45CA4">
        <w:t>’</w:t>
      </w:r>
      <w:r w:rsidRPr="00E45CA4">
        <w:t>s biggest concern.</w:t>
      </w:r>
    </w:p>
    <w:p w14:paraId="6D430534" w14:textId="49B8D2E3" w:rsidR="0029406D" w:rsidRPr="00E45CA4" w:rsidRDefault="0029406D" w:rsidP="004608F7">
      <w:pPr>
        <w:pStyle w:val="BodyText"/>
      </w:pPr>
      <w:r w:rsidRPr="00E45CA4">
        <w:t xml:space="preserve">Another </w:t>
      </w:r>
      <w:r w:rsidR="00290445" w:rsidRPr="00E45CA4">
        <w:t>respondent</w:t>
      </w:r>
      <w:r w:rsidRPr="00E45CA4">
        <w:t xml:space="preserve"> highlight</w:t>
      </w:r>
      <w:r w:rsidR="00290445" w:rsidRPr="00E45CA4">
        <w:t>ed</w:t>
      </w:r>
      <w:r w:rsidRPr="00E45CA4">
        <w:t xml:space="preserve"> that in the </w:t>
      </w:r>
      <w:r w:rsidR="00ED00D7" w:rsidRPr="00E45CA4">
        <w:t>t</w:t>
      </w:r>
      <w:r w:rsidRPr="00E45CA4">
        <w:t xml:space="preserve">own of Orange, </w:t>
      </w:r>
      <w:r w:rsidR="00040362" w:rsidRPr="00E45CA4">
        <w:t>“</w:t>
      </w:r>
      <w:r w:rsidR="00ED00D7" w:rsidRPr="00E45CA4">
        <w:t>t</w:t>
      </w:r>
      <w:r w:rsidRPr="00E45CA4">
        <w:t>here is no fluff</w:t>
      </w:r>
      <w:r w:rsidR="00ED00D7" w:rsidRPr="00E45CA4">
        <w:t>. . . .</w:t>
      </w:r>
      <w:r w:rsidRPr="00E45CA4">
        <w:t xml:space="preserve"> There</w:t>
      </w:r>
      <w:r w:rsidR="00040362" w:rsidRPr="00E45CA4">
        <w:t>’</w:t>
      </w:r>
      <w:r w:rsidRPr="00E45CA4">
        <w:t>s just no wiggle room</w:t>
      </w:r>
      <w:r w:rsidR="00ED00D7" w:rsidRPr="00E45CA4">
        <w:t> . . .</w:t>
      </w:r>
      <w:r w:rsidRPr="00E45CA4">
        <w:t xml:space="preserve"> for really any town departments, and it</w:t>
      </w:r>
      <w:r w:rsidR="00040362" w:rsidRPr="00E45CA4">
        <w:t>’</w:t>
      </w:r>
      <w:r w:rsidRPr="00E45CA4">
        <w:t>s only an environment of scarcity and competition between departments,</w:t>
      </w:r>
      <w:r w:rsidR="00040362" w:rsidRPr="00E45CA4">
        <w:t>”</w:t>
      </w:r>
      <w:r w:rsidRPr="00E45CA4">
        <w:t xml:space="preserve"> suggesting that the budget is extremely tight with </w:t>
      </w:r>
      <w:r w:rsidR="00205A46">
        <w:t>little</w:t>
      </w:r>
      <w:r w:rsidR="00205A46" w:rsidRPr="00E45CA4">
        <w:t xml:space="preserve"> </w:t>
      </w:r>
      <w:r w:rsidRPr="00E45CA4">
        <w:t>room for flexibility.</w:t>
      </w:r>
    </w:p>
    <w:p w14:paraId="0D8F07DC" w14:textId="4C86F404" w:rsidR="006C1DC9" w:rsidRPr="00E45CA4" w:rsidRDefault="00290445" w:rsidP="004608F7">
      <w:pPr>
        <w:pStyle w:val="BodyText"/>
      </w:pPr>
      <w:r w:rsidRPr="00E45CA4">
        <w:t>Respondents from</w:t>
      </w:r>
      <w:r w:rsidR="0029406D" w:rsidRPr="00E45CA4">
        <w:t xml:space="preserve"> </w:t>
      </w:r>
      <w:proofErr w:type="spellStart"/>
      <w:r w:rsidR="00652B48">
        <w:t>Petersham</w:t>
      </w:r>
      <w:proofErr w:type="spellEnd"/>
      <w:r w:rsidR="00652B48">
        <w:t xml:space="preserve"> Center</w:t>
      </w:r>
      <w:r w:rsidR="0029406D" w:rsidRPr="00E45CA4">
        <w:t xml:space="preserve"> expressed similar budget concerns, reflecting </w:t>
      </w:r>
      <w:r w:rsidR="002B35EC" w:rsidRPr="00E45CA4">
        <w:t xml:space="preserve">what they characterized as </w:t>
      </w:r>
      <w:r w:rsidR="0029406D" w:rsidRPr="00E45CA4">
        <w:t xml:space="preserve">the broader issues faced by </w:t>
      </w:r>
      <w:r w:rsidRPr="00E45CA4">
        <w:t>small</w:t>
      </w:r>
      <w:r w:rsidR="0029406D" w:rsidRPr="00E45CA4">
        <w:t xml:space="preserve"> towns. They often </w:t>
      </w:r>
      <w:r w:rsidR="0DABFCEF" w:rsidRPr="00E45CA4">
        <w:t>must</w:t>
      </w:r>
      <w:r w:rsidR="0029406D" w:rsidRPr="00E45CA4">
        <w:t xml:space="preserve"> make difficult decisions to prioritize spending within limited resources. </w:t>
      </w:r>
      <w:r w:rsidR="00710A6E" w:rsidRPr="00E45CA4">
        <w:t>A</w:t>
      </w:r>
      <w:r w:rsidR="00982D38">
        <w:t xml:space="preserve"> </w:t>
      </w:r>
      <w:proofErr w:type="spellStart"/>
      <w:r w:rsidR="00F076F6">
        <w:t>Petersham</w:t>
      </w:r>
      <w:proofErr w:type="spellEnd"/>
      <w:r w:rsidR="0029406D" w:rsidRPr="00E45CA4">
        <w:t xml:space="preserve"> school committee member said,</w:t>
      </w:r>
    </w:p>
    <w:p w14:paraId="6B21D029" w14:textId="082E6143" w:rsidR="0029406D" w:rsidRPr="00E45CA4" w:rsidRDefault="0029406D" w:rsidP="004608F7">
      <w:pPr>
        <w:pStyle w:val="BlockQuote"/>
      </w:pPr>
      <w:r w:rsidRPr="00E45CA4">
        <w:t>No town has enough money to send to their schools. So, it just comes to prioritizing. And we have to trust that we</w:t>
      </w:r>
      <w:r w:rsidR="00040362" w:rsidRPr="00E45CA4">
        <w:t>’</w:t>
      </w:r>
      <w:r w:rsidRPr="00E45CA4">
        <w:t>re being told the right story and that [</w:t>
      </w:r>
      <w:r w:rsidR="000D6A8E">
        <w:t>RCM &amp; SU 73</w:t>
      </w:r>
      <w:r w:rsidR="00040362" w:rsidRPr="00E45CA4">
        <w:t>’</w:t>
      </w:r>
      <w:r w:rsidRPr="00E45CA4">
        <w:t>s] vision aligns with what we feel is important</w:t>
      </w:r>
      <w:r w:rsidR="00F41E00" w:rsidRPr="00E45CA4">
        <w:t>. . . .</w:t>
      </w:r>
      <w:r w:rsidRPr="00E45CA4">
        <w:t xml:space="preserve"> We have to trust that</w:t>
      </w:r>
      <w:r w:rsidR="00F41E00" w:rsidRPr="00E45CA4">
        <w:t> . . .</w:t>
      </w:r>
      <w:r w:rsidRPr="00E45CA4">
        <w:t xml:space="preserve"> [the budget] is in the best interest of the student population.</w:t>
      </w:r>
    </w:p>
    <w:p w14:paraId="157F1BCD" w14:textId="5BDD1196" w:rsidR="00077AFB" w:rsidRPr="00E45CA4" w:rsidRDefault="000D6A8E" w:rsidP="00BC061B">
      <w:pPr>
        <w:pStyle w:val="BodyText"/>
      </w:pPr>
      <w:r>
        <w:t>RCM &amp; SU 73</w:t>
      </w:r>
      <w:r w:rsidR="00EB2260" w:rsidRPr="00E45CA4">
        <w:t xml:space="preserve"> leaders</w:t>
      </w:r>
      <w:r w:rsidR="0029406D" w:rsidRPr="00E45CA4">
        <w:t xml:space="preserve"> described the thorough process of creating detailed budget presentations for each district, which include academic data, special education needs, and other typical budgetary components. Despite this thoroughness, the superintendent acknowledges the constant need for cuts and adjustments, stating, </w:t>
      </w:r>
      <w:r w:rsidR="00040362" w:rsidRPr="00E45CA4">
        <w:t>“</w:t>
      </w:r>
      <w:r w:rsidR="0029406D" w:rsidRPr="00E45CA4">
        <w:t>[The towns] want us to cut. I don</w:t>
      </w:r>
      <w:r w:rsidR="00040362" w:rsidRPr="00E45CA4">
        <w:t>’</w:t>
      </w:r>
      <w:r w:rsidR="0029406D" w:rsidRPr="00E45CA4">
        <w:t>t</w:t>
      </w:r>
      <w:r w:rsidR="00C34349" w:rsidRPr="00E45CA4">
        <w:t xml:space="preserve"> [always</w:t>
      </w:r>
      <w:r w:rsidR="00245CA1" w:rsidRPr="00E45CA4">
        <w:t>]</w:t>
      </w:r>
      <w:r w:rsidR="0029406D" w:rsidRPr="00E45CA4">
        <w:t xml:space="preserve"> know how much</w:t>
      </w:r>
      <w:r w:rsidR="00077AFB" w:rsidRPr="00E45CA4">
        <w:t>;</w:t>
      </w:r>
      <w:r w:rsidR="0029406D" w:rsidRPr="00E45CA4">
        <w:t xml:space="preserve"> I don</w:t>
      </w:r>
      <w:r w:rsidR="00040362" w:rsidRPr="00E45CA4">
        <w:t>’</w:t>
      </w:r>
      <w:r w:rsidR="0029406D" w:rsidRPr="00E45CA4">
        <w:t>t know where.</w:t>
      </w:r>
      <w:r w:rsidR="00040362" w:rsidRPr="00E45CA4">
        <w:t>”</w:t>
      </w:r>
      <w:r w:rsidR="0029406D" w:rsidRPr="00E45CA4">
        <w:t xml:space="preserve"> </w:t>
      </w:r>
      <w:r w:rsidR="00433740" w:rsidRPr="00E45CA4">
        <w:t xml:space="preserve">Another central office respondent similarly </w:t>
      </w:r>
      <w:r w:rsidR="00F87821" w:rsidRPr="00E45CA4">
        <w:t>characterized the fiscal situation as t</w:t>
      </w:r>
      <w:r w:rsidR="00843DC0" w:rsidRPr="00E45CA4">
        <w:t>ight:</w:t>
      </w:r>
    </w:p>
    <w:p w14:paraId="4D89CB94" w14:textId="1DEE7028" w:rsidR="00077AFB" w:rsidRPr="00E45CA4" w:rsidRDefault="0029406D" w:rsidP="00077AFB">
      <w:pPr>
        <w:pStyle w:val="BlockQuote"/>
      </w:pPr>
      <w:r w:rsidRPr="00E45CA4">
        <w:t>We make do with what we have. The towns are on board. They understand that we need to increase it</w:t>
      </w:r>
      <w:r w:rsidR="00077AFB" w:rsidRPr="00E45CA4">
        <w:t>. . . .</w:t>
      </w:r>
      <w:r w:rsidRPr="00E45CA4">
        <w:t xml:space="preserve"> In a perfect world, we</w:t>
      </w:r>
      <w:r w:rsidR="00040362" w:rsidRPr="00E45CA4">
        <w:t>’</w:t>
      </w:r>
      <w:r w:rsidRPr="00E45CA4">
        <w:t>d love to get as much money as we can to provide a great education, but that isn</w:t>
      </w:r>
      <w:r w:rsidR="00040362" w:rsidRPr="00E45CA4">
        <w:t>’</w:t>
      </w:r>
      <w:r w:rsidRPr="00E45CA4">
        <w:t>t done.</w:t>
      </w:r>
    </w:p>
    <w:p w14:paraId="37C75649" w14:textId="32AAA3F8" w:rsidR="006C1DC9" w:rsidRPr="00E45CA4" w:rsidRDefault="00B11E25" w:rsidP="00BC061B">
      <w:pPr>
        <w:pStyle w:val="BodyText"/>
      </w:pPr>
      <w:r w:rsidRPr="00E45CA4">
        <w:t xml:space="preserve">As discussed in the Budget Development section, these factors </w:t>
      </w:r>
      <w:r w:rsidR="00BA701F">
        <w:t>create an environment where</w:t>
      </w:r>
      <w:r w:rsidR="00BA701F" w:rsidRPr="00E45CA4">
        <w:t xml:space="preserve"> </w:t>
      </w:r>
      <w:r w:rsidR="004B4B32" w:rsidRPr="00E45CA4">
        <w:t xml:space="preserve">unexpected </w:t>
      </w:r>
      <w:r w:rsidRPr="00E45CA4">
        <w:t>changes in town</w:t>
      </w:r>
      <w:r w:rsidR="004B4B32" w:rsidRPr="00E45CA4">
        <w:t xml:space="preserve"> finances—such as the additional students or </w:t>
      </w:r>
      <w:r w:rsidR="00F27E2E">
        <w:t>the fraudulent municipal invoices</w:t>
      </w:r>
      <w:r w:rsidR="008835EA">
        <w:t xml:space="preserve"> (see </w:t>
      </w:r>
      <w:r w:rsidR="0007197B">
        <w:t xml:space="preserve">Leadership and Governance: </w:t>
      </w:r>
      <w:r w:rsidR="008835EA">
        <w:t>Budget Development)</w:t>
      </w:r>
      <w:r w:rsidR="004B4B32" w:rsidRPr="00E45CA4">
        <w:t>—</w:t>
      </w:r>
      <w:r w:rsidR="00BA701F">
        <w:t>can</w:t>
      </w:r>
      <w:r w:rsidR="004B4B32" w:rsidRPr="00E45CA4">
        <w:t xml:space="preserve"> exacerbate what respondents described as an already challenging fiscal environment.</w:t>
      </w:r>
    </w:p>
    <w:p w14:paraId="73AB2726" w14:textId="46FB7514" w:rsidR="00B827DE" w:rsidRPr="00E45CA4" w:rsidRDefault="00B827DE" w:rsidP="00B827DE">
      <w:pPr>
        <w:pStyle w:val="Heading3"/>
      </w:pPr>
      <w:r w:rsidRPr="00E45CA4">
        <w:t>Financial Tracking, Forecasting, Controls, and Audits</w:t>
      </w:r>
    </w:p>
    <w:p w14:paraId="663093A9" w14:textId="3E51FFD7" w:rsidR="006C1DC9" w:rsidRPr="00E45CA4" w:rsidRDefault="000B10CD" w:rsidP="00BC061B">
      <w:pPr>
        <w:pStyle w:val="BodyTextposthead"/>
      </w:pPr>
      <w:r w:rsidRPr="00E45CA4">
        <w:t xml:space="preserve">The financial oversight process includes thorough review and approval processes, which are strengths in maintaining disciplined financial management. </w:t>
      </w:r>
      <w:r w:rsidR="00432C3C" w:rsidRPr="00E45CA4">
        <w:t xml:space="preserve">In </w:t>
      </w:r>
      <w:r w:rsidR="000D6A8E">
        <w:t>RCM &amp; SU 73</w:t>
      </w:r>
      <w:r w:rsidR="00432C3C" w:rsidRPr="00E45CA4">
        <w:t xml:space="preserve">, the </w:t>
      </w:r>
      <w:r w:rsidR="00D541AE" w:rsidRPr="00E45CA4">
        <w:t>d</w:t>
      </w:r>
      <w:r w:rsidR="00432C3C" w:rsidRPr="00E45CA4">
        <w:t xml:space="preserve">irector of </w:t>
      </w:r>
      <w:r w:rsidR="00D541AE" w:rsidRPr="00E45CA4">
        <w:t>f</w:t>
      </w:r>
      <w:r w:rsidR="00432C3C" w:rsidRPr="00E45CA4">
        <w:t xml:space="preserve">inance </w:t>
      </w:r>
      <w:r w:rsidR="00432C3C" w:rsidRPr="00E45CA4">
        <w:lastRenderedPageBreak/>
        <w:t xml:space="preserve">and </w:t>
      </w:r>
      <w:r w:rsidR="00D541AE" w:rsidRPr="00E45CA4">
        <w:t>o</w:t>
      </w:r>
      <w:r w:rsidR="00432C3C" w:rsidRPr="00E45CA4">
        <w:t xml:space="preserve">perations </w:t>
      </w:r>
      <w:proofErr w:type="spellStart"/>
      <w:r w:rsidR="00432C3C" w:rsidRPr="00E45CA4">
        <w:t>oversees</w:t>
      </w:r>
      <w:proofErr w:type="spellEnd"/>
      <w:r w:rsidR="00432C3C" w:rsidRPr="00E45CA4">
        <w:t xml:space="preserve"> financial tracking across three districts: Mahar</w:t>
      </w:r>
      <w:r w:rsidR="00D541AE" w:rsidRPr="00E45CA4">
        <w:t xml:space="preserve"> Regional</w:t>
      </w:r>
      <w:r w:rsidR="00432C3C" w:rsidRPr="00E45CA4">
        <w:t xml:space="preserve">, </w:t>
      </w:r>
      <w:r w:rsidR="00CF4F71">
        <w:t>Fisher Hill</w:t>
      </w:r>
      <w:r w:rsidR="06B0D109" w:rsidRPr="00E45CA4">
        <w:t xml:space="preserve">, </w:t>
      </w:r>
      <w:r w:rsidR="00CF70A0" w:rsidRPr="00E45CA4">
        <w:t xml:space="preserve">and </w:t>
      </w:r>
      <w:proofErr w:type="spellStart"/>
      <w:r w:rsidR="00652B48">
        <w:t>Petersham</w:t>
      </w:r>
      <w:proofErr w:type="spellEnd"/>
      <w:r w:rsidR="00652B48">
        <w:t xml:space="preserve"> Center</w:t>
      </w:r>
      <w:r w:rsidR="06B0D109" w:rsidRPr="00E45CA4">
        <w:t>.</w:t>
      </w:r>
      <w:r w:rsidR="00432C3C" w:rsidRPr="00E45CA4">
        <w:t xml:space="preserve"> According to </w:t>
      </w:r>
      <w:r w:rsidR="00573624" w:rsidRPr="00E45CA4">
        <w:t>district respondents</w:t>
      </w:r>
      <w:r w:rsidR="00432C3C" w:rsidRPr="00E45CA4">
        <w:t xml:space="preserve">, financial oversight includes a thorough review and approval </w:t>
      </w:r>
      <w:r w:rsidR="008A65FB">
        <w:t>process</w:t>
      </w:r>
      <w:r w:rsidR="008A65FB" w:rsidRPr="00E45CA4">
        <w:t xml:space="preserve"> </w:t>
      </w:r>
      <w:r w:rsidR="000259AA" w:rsidRPr="00E45CA4">
        <w:t>for all invoices and requests.</w:t>
      </w:r>
    </w:p>
    <w:p w14:paraId="051EF59B" w14:textId="6047FD9B" w:rsidR="006C1DC9" w:rsidRPr="00A06F1E" w:rsidRDefault="00432C3C" w:rsidP="00BC061B">
      <w:pPr>
        <w:pStyle w:val="BodyText"/>
      </w:pPr>
      <w:r w:rsidRPr="00E45CA4">
        <w:t>Budget progress reporting involves a structured process that</w:t>
      </w:r>
      <w:r w:rsidRPr="00A06F1E">
        <w:t xml:space="preserve"> engages various stakeholders, including the </w:t>
      </w:r>
      <w:r w:rsidR="00CF70A0" w:rsidRPr="00A06F1E">
        <w:t>s</w:t>
      </w:r>
      <w:r w:rsidRPr="00A06F1E">
        <w:t xml:space="preserve">uperintendent, </w:t>
      </w:r>
      <w:r w:rsidR="000259AA" w:rsidRPr="00A06F1E">
        <w:t xml:space="preserve">three </w:t>
      </w:r>
      <w:r w:rsidR="00CF70A0" w:rsidRPr="00A06F1E">
        <w:t>s</w:t>
      </w:r>
      <w:r w:rsidRPr="00A06F1E">
        <w:t xml:space="preserve">chool </w:t>
      </w:r>
      <w:r w:rsidR="00CF70A0" w:rsidRPr="00A06F1E">
        <w:t>c</w:t>
      </w:r>
      <w:r w:rsidRPr="00A06F1E">
        <w:t xml:space="preserve">ommittees, schools, and the community. The Resources and Capacity subcommittee, functioning like a finance </w:t>
      </w:r>
      <w:r w:rsidR="000259AA" w:rsidRPr="00A06F1E">
        <w:t>sub</w:t>
      </w:r>
      <w:r w:rsidRPr="00A06F1E">
        <w:t xml:space="preserve">committee, plays a role in this process. </w:t>
      </w:r>
      <w:r w:rsidR="00404B75" w:rsidRPr="00A06F1E">
        <w:t xml:space="preserve">A district staff </w:t>
      </w:r>
      <w:r w:rsidR="7EE42FC5" w:rsidRPr="00A06F1E">
        <w:t>member</w:t>
      </w:r>
      <w:r w:rsidR="00404B75" w:rsidRPr="00A06F1E">
        <w:t xml:space="preserve"> </w:t>
      </w:r>
      <w:r w:rsidRPr="00A06F1E">
        <w:t xml:space="preserve">shared, </w:t>
      </w:r>
      <w:r w:rsidR="00040362" w:rsidRPr="00A06F1E">
        <w:t>“</w:t>
      </w:r>
      <w:r w:rsidR="00383310" w:rsidRPr="00A06F1E">
        <w:t xml:space="preserve">[The </w:t>
      </w:r>
      <w:r w:rsidR="00CF70A0" w:rsidRPr="00A06F1E">
        <w:t>f</w:t>
      </w:r>
      <w:r w:rsidR="00383310" w:rsidRPr="00A06F1E">
        <w:t xml:space="preserve">inance </w:t>
      </w:r>
      <w:r w:rsidR="00CF70A0" w:rsidRPr="00A06F1E">
        <w:t>d</w:t>
      </w:r>
      <w:r w:rsidR="00383310" w:rsidRPr="00A06F1E">
        <w:t xml:space="preserve">irector] </w:t>
      </w:r>
      <w:r w:rsidRPr="00A06F1E">
        <w:t>meet</w:t>
      </w:r>
      <w:r w:rsidR="00383310" w:rsidRPr="00A06F1E">
        <w:t>s</w:t>
      </w:r>
      <w:r w:rsidRPr="00A06F1E">
        <w:t xml:space="preserve"> </w:t>
      </w:r>
      <w:r w:rsidR="008F4B01" w:rsidRPr="00A06F1E">
        <w:t xml:space="preserve">[with the subcommittee] </w:t>
      </w:r>
      <w:r w:rsidRPr="00A06F1E">
        <w:t>monthly from September through June</w:t>
      </w:r>
      <w:r w:rsidR="005B0070" w:rsidRPr="00A06F1E">
        <w:t>. . . .</w:t>
      </w:r>
      <w:r w:rsidRPr="00A06F1E">
        <w:t xml:space="preserve"> </w:t>
      </w:r>
      <w:r w:rsidR="005B0070" w:rsidRPr="00A06F1E">
        <w:t>E</w:t>
      </w:r>
      <w:r w:rsidRPr="00A06F1E">
        <w:t xml:space="preserve">very month </w:t>
      </w:r>
      <w:r w:rsidRPr="00FB0C2D">
        <w:t>they get an updated expenditures</w:t>
      </w:r>
      <w:r w:rsidR="00FB0C2D" w:rsidRPr="00FB0C2D">
        <w:t>-</w:t>
      </w:r>
      <w:r w:rsidRPr="00FB0C2D">
        <w:t>to</w:t>
      </w:r>
      <w:r w:rsidR="00FB0C2D" w:rsidRPr="00FB0C2D">
        <w:t>-</w:t>
      </w:r>
      <w:r w:rsidRPr="00FB0C2D">
        <w:t>budget</w:t>
      </w:r>
      <w:r w:rsidR="00FB0C2D" w:rsidRPr="00FB0C2D">
        <w:t>-</w:t>
      </w:r>
      <w:r w:rsidRPr="00FB0C2D">
        <w:t>report</w:t>
      </w:r>
      <w:r w:rsidRPr="00A06F1E">
        <w:t>, grants report, and more.</w:t>
      </w:r>
      <w:r w:rsidR="00040362" w:rsidRPr="00A06F1E">
        <w:t>”</w:t>
      </w:r>
      <w:r w:rsidRPr="00A06F1E">
        <w:t xml:space="preserve"> </w:t>
      </w:r>
      <w:r w:rsidR="00E414B1" w:rsidRPr="00A06F1E">
        <w:t xml:space="preserve">Focus group responses also suggest that </w:t>
      </w:r>
      <w:r w:rsidR="00040362" w:rsidRPr="00A06F1E">
        <w:t>“</w:t>
      </w:r>
      <w:r w:rsidR="00E414B1" w:rsidRPr="00A06F1E">
        <w:t>[</w:t>
      </w:r>
      <w:r w:rsidR="005B0070" w:rsidRPr="00A06F1E">
        <w:t>a</w:t>
      </w:r>
      <w:r w:rsidR="00E414B1" w:rsidRPr="00A06F1E">
        <w:t xml:space="preserve"> </w:t>
      </w:r>
      <w:r w:rsidR="005B0070" w:rsidRPr="00A06F1E">
        <w:t>t</w:t>
      </w:r>
      <w:r w:rsidR="00E414B1" w:rsidRPr="00A06F1E">
        <w:t xml:space="preserve">own </w:t>
      </w:r>
      <w:r w:rsidR="005B0070" w:rsidRPr="00A06F1E">
        <w:t>m</w:t>
      </w:r>
      <w:r w:rsidR="00E414B1" w:rsidRPr="00A06F1E">
        <w:t>anager] goes to the [full] school committee meetings</w:t>
      </w:r>
      <w:r w:rsidR="00462523" w:rsidRPr="00A06F1E">
        <w:t> . . .</w:t>
      </w:r>
      <w:r w:rsidR="00E414B1" w:rsidRPr="00A06F1E">
        <w:t xml:space="preserve"> so, [they] can report back</w:t>
      </w:r>
      <w:r w:rsidR="001C7BEF" w:rsidRPr="00A06F1E">
        <w:t xml:space="preserve"> [to their town]</w:t>
      </w:r>
      <w:r w:rsidR="00E414B1" w:rsidRPr="00A06F1E">
        <w:t>.</w:t>
      </w:r>
      <w:r w:rsidR="00040362" w:rsidRPr="00A06F1E">
        <w:t>”</w:t>
      </w:r>
      <w:r w:rsidR="00E414B1" w:rsidRPr="00A06F1E">
        <w:t xml:space="preserve"> </w:t>
      </w:r>
      <w:r w:rsidRPr="00A06F1E">
        <w:t xml:space="preserve">Comprehensive reports are provided to the </w:t>
      </w:r>
      <w:r w:rsidR="00462523" w:rsidRPr="00A06F1E">
        <w:t>s</w:t>
      </w:r>
      <w:r w:rsidRPr="00A06F1E">
        <w:t xml:space="preserve">chool </w:t>
      </w:r>
      <w:r w:rsidR="00462523" w:rsidRPr="00A06F1E">
        <w:t>c</w:t>
      </w:r>
      <w:r w:rsidRPr="00A06F1E">
        <w:t>ommittee and made accessible to the public, maintaining continuous financial oversight.</w:t>
      </w:r>
      <w:r w:rsidR="005D555B" w:rsidRPr="00A06F1E">
        <w:t xml:space="preserve"> A review of </w:t>
      </w:r>
      <w:r w:rsidR="005D34B6" w:rsidRPr="00A06F1E">
        <w:t>Mahar</w:t>
      </w:r>
      <w:r w:rsidR="00462523" w:rsidRPr="00A06F1E">
        <w:t xml:space="preserve"> Regional</w:t>
      </w:r>
      <w:r w:rsidR="00040362" w:rsidRPr="00A06F1E">
        <w:t>’</w:t>
      </w:r>
      <w:r w:rsidR="005D34B6" w:rsidRPr="00A06F1E">
        <w:t xml:space="preserve">s </w:t>
      </w:r>
      <w:r w:rsidR="005D555B" w:rsidRPr="00A06F1E">
        <w:t xml:space="preserve">Resources </w:t>
      </w:r>
      <w:r w:rsidR="00462523" w:rsidRPr="00A06F1E">
        <w:t>and</w:t>
      </w:r>
      <w:r w:rsidR="005D555B" w:rsidRPr="00A06F1E">
        <w:t xml:space="preserve"> Capacity </w:t>
      </w:r>
      <w:r w:rsidR="00E43B6F" w:rsidRPr="00A06F1E">
        <w:t>s</w:t>
      </w:r>
      <w:r w:rsidR="005D555B" w:rsidRPr="00A06F1E">
        <w:t>ub</w:t>
      </w:r>
      <w:r w:rsidR="00E43B6F" w:rsidRPr="00A06F1E">
        <w:t>c</w:t>
      </w:r>
      <w:r w:rsidR="005D555B" w:rsidRPr="00A06F1E">
        <w:t xml:space="preserve">ommittee </w:t>
      </w:r>
      <w:r w:rsidR="005D34B6" w:rsidRPr="00A06F1E">
        <w:t xml:space="preserve">meeting agenda </w:t>
      </w:r>
      <w:r w:rsidR="00342734" w:rsidRPr="00A06F1E">
        <w:t>su</w:t>
      </w:r>
      <w:r w:rsidR="00D06EF9" w:rsidRPr="00A06F1E">
        <w:t>g</w:t>
      </w:r>
      <w:r w:rsidR="00342734" w:rsidRPr="00A06F1E">
        <w:t xml:space="preserve">gests that </w:t>
      </w:r>
      <w:r w:rsidR="00DD4766" w:rsidRPr="00A06F1E">
        <w:t xml:space="preserve">meetings are </w:t>
      </w:r>
      <w:r w:rsidR="005D555B" w:rsidRPr="00A06F1E">
        <w:t>virtual</w:t>
      </w:r>
      <w:r w:rsidR="00FC7563" w:rsidRPr="00A06F1E">
        <w:t>, and t</w:t>
      </w:r>
      <w:r w:rsidR="005D555B" w:rsidRPr="00A06F1E">
        <w:t xml:space="preserve">he agenda </w:t>
      </w:r>
      <w:r w:rsidR="00FC7563" w:rsidRPr="00A06F1E">
        <w:t xml:space="preserve">typically </w:t>
      </w:r>
      <w:r w:rsidR="005D555B" w:rsidRPr="00A06F1E">
        <w:t>includes a facilities update, grants update, and a review of finances covering expenses to budget, revenue, and salary budget analysis.</w:t>
      </w:r>
    </w:p>
    <w:p w14:paraId="09629E4C" w14:textId="583632D0" w:rsidR="00432C3C" w:rsidRPr="00A06F1E" w:rsidRDefault="00CA0816" w:rsidP="00BC061B">
      <w:pPr>
        <w:pStyle w:val="BodyText"/>
      </w:pPr>
      <w:r>
        <w:t xml:space="preserve">Managing grant funds in </w:t>
      </w:r>
      <w:r w:rsidR="000D6A8E">
        <w:t>RCM &amp; SU 73</w:t>
      </w:r>
      <w:r w:rsidR="00432C3C" w:rsidRPr="00FB0C2D">
        <w:t xml:space="preserve"> is </w:t>
      </w:r>
      <w:r w:rsidR="004B38B2" w:rsidRPr="00FB0C2D">
        <w:t>another strength</w:t>
      </w:r>
      <w:r w:rsidR="00943CA8">
        <w:t>, characterized by</w:t>
      </w:r>
      <w:r w:rsidR="0060791A">
        <w:t xml:space="preserve"> </w:t>
      </w:r>
      <w:r w:rsidR="00943CA8">
        <w:t>strategic use of both federal and state grants, including the former Elementary and Secondary School Emergency Relief (ESSER) funds and other competitive grants</w:t>
      </w:r>
      <w:r w:rsidR="009443C1" w:rsidRPr="00FB0C2D">
        <w:t>. L</w:t>
      </w:r>
      <w:r w:rsidR="00432C3C" w:rsidRPr="00FB0C2D">
        <w:t xml:space="preserve">ed by the </w:t>
      </w:r>
      <w:r w:rsidR="00E43B6F" w:rsidRPr="00FB0C2D">
        <w:t>accountant and grants manager, in collaboration with the director of finance and operations</w:t>
      </w:r>
      <w:r w:rsidR="009443C1" w:rsidRPr="00FB0C2D">
        <w:t>,</w:t>
      </w:r>
      <w:r w:rsidR="00432C3C" w:rsidRPr="00A06F1E">
        <w:t xml:space="preserve"> </w:t>
      </w:r>
      <w:r w:rsidR="009443C1" w:rsidRPr="00A06F1E">
        <w:t xml:space="preserve">the </w:t>
      </w:r>
      <w:r w:rsidR="000D6A8E">
        <w:t>RCM &amp; SU 73</w:t>
      </w:r>
      <w:r w:rsidR="009443C1" w:rsidRPr="00A06F1E">
        <w:t xml:space="preserve"> finance office</w:t>
      </w:r>
      <w:r w:rsidR="00432C3C" w:rsidRPr="00A06F1E">
        <w:t xml:space="preserve"> handles both federal and state grants, including </w:t>
      </w:r>
      <w:r>
        <w:t xml:space="preserve">the former </w:t>
      </w:r>
      <w:r w:rsidR="008A6C44" w:rsidRPr="00A06F1E">
        <w:t>Elementary and Secondary School Emergency Relief (</w:t>
      </w:r>
      <w:r w:rsidR="00432C3C" w:rsidRPr="00A06F1E">
        <w:t>ESSER</w:t>
      </w:r>
      <w:r w:rsidR="008A6C44" w:rsidRPr="00A06F1E">
        <w:t>)</w:t>
      </w:r>
      <w:r w:rsidR="00432C3C" w:rsidRPr="00A06F1E">
        <w:t xml:space="preserve"> </w:t>
      </w:r>
      <w:r>
        <w:t xml:space="preserve">grant </w:t>
      </w:r>
      <w:r w:rsidR="00432C3C" w:rsidRPr="00A06F1E">
        <w:t xml:space="preserve">and other competitive </w:t>
      </w:r>
      <w:r>
        <w:t>funds</w:t>
      </w:r>
      <w:r w:rsidR="00432C3C" w:rsidRPr="00A06F1E">
        <w:t xml:space="preserve">. The </w:t>
      </w:r>
      <w:r w:rsidR="001443ED" w:rsidRPr="00A06F1E">
        <w:t>a</w:t>
      </w:r>
      <w:r w:rsidR="00432C3C" w:rsidRPr="00A06F1E">
        <w:t xml:space="preserve">ccountant and </w:t>
      </w:r>
      <w:r w:rsidR="001443ED" w:rsidRPr="00A06F1E">
        <w:t>g</w:t>
      </w:r>
      <w:r w:rsidR="00432C3C" w:rsidRPr="00A06F1E">
        <w:t xml:space="preserve">rants </w:t>
      </w:r>
      <w:r w:rsidR="001443ED" w:rsidRPr="00A06F1E">
        <w:t>m</w:t>
      </w:r>
      <w:r w:rsidR="00432C3C" w:rsidRPr="00A06F1E">
        <w:t xml:space="preserve">anager understands the specific requirements associated with each grant, which allows for appropriate and compliant use of funds. </w:t>
      </w:r>
      <w:r w:rsidR="00C44F89">
        <w:t xml:space="preserve">A district respondent noted, </w:t>
      </w:r>
      <w:r w:rsidR="00040362" w:rsidRPr="00A06F1E">
        <w:t>“</w:t>
      </w:r>
      <w:r w:rsidR="00432C3C" w:rsidRPr="00A06F1E">
        <w:t xml:space="preserve">Our </w:t>
      </w:r>
      <w:r w:rsidR="001443ED" w:rsidRPr="00A06F1E">
        <w:t>a</w:t>
      </w:r>
      <w:r w:rsidR="00432C3C" w:rsidRPr="00A06F1E">
        <w:t>ccountant [and] grants manager does a phenomenal job. She knows the rules of the grants, what they</w:t>
      </w:r>
      <w:r w:rsidR="00040362" w:rsidRPr="00A06F1E">
        <w:t>’</w:t>
      </w:r>
      <w:r w:rsidR="00432C3C" w:rsidRPr="00A06F1E">
        <w:t xml:space="preserve">re being spent on, and they get signed off by [the </w:t>
      </w:r>
      <w:r w:rsidR="001443ED" w:rsidRPr="00A06F1E">
        <w:t>d</w:t>
      </w:r>
      <w:r w:rsidR="00432C3C" w:rsidRPr="00A06F1E">
        <w:t xml:space="preserve">irector of </w:t>
      </w:r>
      <w:r w:rsidR="001443ED" w:rsidRPr="00A06F1E">
        <w:t>c</w:t>
      </w:r>
      <w:r w:rsidR="00432C3C" w:rsidRPr="00A06F1E">
        <w:t>urriculum] and myself</w:t>
      </w:r>
      <w:r w:rsidR="00C44F89">
        <w:t>.</w:t>
      </w:r>
      <w:r w:rsidR="00040362" w:rsidRPr="00A06F1E">
        <w:t>”</w:t>
      </w:r>
      <w:r w:rsidR="00C44F89">
        <w:t xml:space="preserve"> </w:t>
      </w:r>
      <w:r w:rsidR="00432C3C" w:rsidRPr="00A06F1E">
        <w:t xml:space="preserve">The </w:t>
      </w:r>
      <w:r w:rsidR="001443ED" w:rsidRPr="00A06F1E">
        <w:t>g</w:t>
      </w:r>
      <w:r w:rsidR="00432C3C" w:rsidRPr="00A06F1E">
        <w:t xml:space="preserve">rants </w:t>
      </w:r>
      <w:r w:rsidR="001443ED" w:rsidRPr="00A06F1E">
        <w:t>m</w:t>
      </w:r>
      <w:r w:rsidR="00432C3C" w:rsidRPr="00A06F1E">
        <w:t>anager generates monthly reports to provide financial updates and qualitative insights into the impact of the grants on various projects and initiatives within the district. These reports are reviewed by the school committee</w:t>
      </w:r>
      <w:r w:rsidR="00E470A2" w:rsidRPr="00A06F1E">
        <w:t>s</w:t>
      </w:r>
      <w:r w:rsidR="00432C3C" w:rsidRPr="00A06F1E">
        <w:t xml:space="preserve"> and are made accessible to the public, maintaining transparency and accountability. </w:t>
      </w:r>
      <w:r w:rsidR="002C200C" w:rsidRPr="00A06F1E">
        <w:t xml:space="preserve">A review of budget information presented to school committees reveals updates regarding grant funds and revenues. For example, for </w:t>
      </w:r>
      <w:proofErr w:type="spellStart"/>
      <w:r w:rsidR="00652B48">
        <w:t>Petersham</w:t>
      </w:r>
      <w:proofErr w:type="spellEnd"/>
      <w:r w:rsidR="00652B48">
        <w:t xml:space="preserve"> Center</w:t>
      </w:r>
      <w:r w:rsidR="002C200C" w:rsidRPr="00A06F1E">
        <w:t xml:space="preserve">, the </w:t>
      </w:r>
      <w:r w:rsidR="009737E2" w:rsidRPr="00A06F1E">
        <w:t>fiscal year 20</w:t>
      </w:r>
      <w:r w:rsidR="002C200C" w:rsidRPr="00A06F1E">
        <w:t xml:space="preserve">24 budget includes partial salary coverage for an interventionist through Title I and IV grants </w:t>
      </w:r>
      <w:r w:rsidR="00B16D85" w:rsidRPr="00A06F1E">
        <w:t>as well as</w:t>
      </w:r>
      <w:r w:rsidR="002C200C" w:rsidRPr="00A06F1E">
        <w:t xml:space="preserve"> Circuit Breaker funds used to offset out-of-district tuition expenses. For </w:t>
      </w:r>
      <w:r w:rsidR="00CF4F71">
        <w:t>Fisher Hill</w:t>
      </w:r>
      <w:r w:rsidR="002C200C" w:rsidRPr="00A06F1E">
        <w:t xml:space="preserve">, the </w:t>
      </w:r>
      <w:r w:rsidR="009737E2" w:rsidRPr="00A06F1E">
        <w:t>fiscal year 20</w:t>
      </w:r>
      <w:r w:rsidR="002C200C" w:rsidRPr="00A06F1E">
        <w:t>24 budget shows a 6.66</w:t>
      </w:r>
      <w:r w:rsidR="00AC3C7B" w:rsidRPr="00A06F1E">
        <w:t xml:space="preserve"> percent </w:t>
      </w:r>
      <w:r w:rsidR="002C200C" w:rsidRPr="00A06F1E">
        <w:t>increase in expenses over the prior year, with grant-funded positions including those covered by Title I, ESSER, and TAG/REAP funds. The budget also leverages Circuit Breaker funds to offset high special education costs. At Mahar</w:t>
      </w:r>
      <w:r w:rsidR="00046970" w:rsidRPr="00A06F1E">
        <w:t xml:space="preserve"> Regional</w:t>
      </w:r>
      <w:r w:rsidR="002C200C" w:rsidRPr="00A06F1E">
        <w:t xml:space="preserve">, the </w:t>
      </w:r>
      <w:r w:rsidR="009737E2" w:rsidRPr="00A06F1E">
        <w:t>fiscal year 20</w:t>
      </w:r>
      <w:r w:rsidR="002C200C" w:rsidRPr="00A06F1E">
        <w:t>24 budget highlights the use of grants to support various initiatives and the impact of these funds on overall budget planning, reflecting the district</w:t>
      </w:r>
      <w:r w:rsidR="00040362" w:rsidRPr="00A06F1E">
        <w:t>’</w:t>
      </w:r>
      <w:r w:rsidR="002C200C" w:rsidRPr="00A06F1E">
        <w:t>s strategic utilization of external funding sources to enhance educational programs and manage operational costs.</w:t>
      </w:r>
    </w:p>
    <w:p w14:paraId="71031741" w14:textId="67CE513E" w:rsidR="005F78F8" w:rsidRPr="00A06F1E" w:rsidRDefault="00432C3C" w:rsidP="00BC061B">
      <w:pPr>
        <w:pStyle w:val="BodyText"/>
      </w:pPr>
      <w:r w:rsidRPr="00A06F1E">
        <w:t xml:space="preserve">The end-of-year reporting process at </w:t>
      </w:r>
      <w:r w:rsidR="000D6A8E">
        <w:t>RCM &amp; SU 73</w:t>
      </w:r>
      <w:r w:rsidRPr="00A06F1E">
        <w:t xml:space="preserve"> involves comprehensive financial assessments and the fulfillment of audit requirements, documenting and reporting all financial activities. The </w:t>
      </w:r>
      <w:r w:rsidR="00046970" w:rsidRPr="00A06F1E">
        <w:t>d</w:t>
      </w:r>
      <w:r w:rsidRPr="00A06F1E">
        <w:t xml:space="preserve">irector of </w:t>
      </w:r>
      <w:r w:rsidR="00046970" w:rsidRPr="00A06F1E">
        <w:t>f</w:t>
      </w:r>
      <w:r w:rsidRPr="00A06F1E">
        <w:t xml:space="preserve">inance and </w:t>
      </w:r>
      <w:r w:rsidR="00046970" w:rsidRPr="00A06F1E">
        <w:t>o</w:t>
      </w:r>
      <w:r w:rsidRPr="00A06F1E">
        <w:t>perations manages the preparation and submission of three separate end-of-year reports for Mahar</w:t>
      </w:r>
      <w:r w:rsidR="00B430E4" w:rsidRPr="00A06F1E">
        <w:t xml:space="preserve"> Regional</w:t>
      </w:r>
      <w:r w:rsidRPr="00A06F1E">
        <w:t xml:space="preserve"> and </w:t>
      </w:r>
      <w:r w:rsidR="00B430E4" w:rsidRPr="00A06F1E">
        <w:t>all</w:t>
      </w:r>
      <w:r w:rsidRPr="00A06F1E">
        <w:t xml:space="preserve"> of </w:t>
      </w:r>
      <w:r w:rsidR="000D6A8E">
        <w:t>RCM &amp; SU 73</w:t>
      </w:r>
      <w:r w:rsidRPr="00A06F1E">
        <w:t xml:space="preserve">. Each report is prepared to reflect the </w:t>
      </w:r>
      <w:r w:rsidRPr="00A06F1E">
        <w:lastRenderedPageBreak/>
        <w:t xml:space="preserve">financial status and activities of the respective </w:t>
      </w:r>
      <w:r w:rsidR="00FB3FCC" w:rsidRPr="00A06F1E">
        <w:t>member</w:t>
      </w:r>
      <w:r w:rsidR="0040716C" w:rsidRPr="00A06F1E">
        <w:t xml:space="preserve"> </w:t>
      </w:r>
      <w:r w:rsidRPr="00A06F1E">
        <w:t xml:space="preserve">districts, providing a picture of the fiscal operations for the year. In addition to </w:t>
      </w:r>
      <w:r w:rsidR="00E46A3C" w:rsidRPr="00A06F1E">
        <w:t xml:space="preserve">handling </w:t>
      </w:r>
      <w:r w:rsidRPr="00A06F1E">
        <w:t xml:space="preserve">the internal preparation of these reports, </w:t>
      </w:r>
      <w:r w:rsidR="000D6A8E">
        <w:t>RCM &amp; SU 73</w:t>
      </w:r>
      <w:r w:rsidRPr="00A06F1E">
        <w:t xml:space="preserve"> engages independent auditors to review and verify the financial statements, providing external validation of the district</w:t>
      </w:r>
      <w:r w:rsidR="00040362" w:rsidRPr="00A06F1E">
        <w:t>’</w:t>
      </w:r>
      <w:r w:rsidRPr="00A06F1E">
        <w:t xml:space="preserve">s financial practices. </w:t>
      </w:r>
      <w:r w:rsidR="00040362" w:rsidRPr="00A06F1E">
        <w:t>“</w:t>
      </w:r>
      <w:r w:rsidRPr="00A06F1E">
        <w:t>We</w:t>
      </w:r>
      <w:r w:rsidR="00040362" w:rsidRPr="00A06F1E">
        <w:t>’</w:t>
      </w:r>
      <w:r w:rsidRPr="00A06F1E">
        <w:t>ve had the same one for the last few years</w:t>
      </w:r>
      <w:r w:rsidR="00440A37" w:rsidRPr="00A06F1E">
        <w:t xml:space="preserve">. . . . </w:t>
      </w:r>
      <w:r w:rsidRPr="00A06F1E">
        <w:t xml:space="preserve">We probably do </w:t>
      </w:r>
      <w:r w:rsidR="00A65093">
        <w:t xml:space="preserve">[procure </w:t>
      </w:r>
      <w:r w:rsidR="00805226">
        <w:t xml:space="preserve">independent auditors] </w:t>
      </w:r>
      <w:r w:rsidRPr="00A06F1E">
        <w:t>that every five years,</w:t>
      </w:r>
      <w:r w:rsidR="00040362" w:rsidRPr="00A06F1E">
        <w:t>”</w:t>
      </w:r>
      <w:r w:rsidRPr="00A06F1E">
        <w:t xml:space="preserve"> said </w:t>
      </w:r>
      <w:r w:rsidR="0040716C" w:rsidRPr="00A06F1E">
        <w:t>one district respondent</w:t>
      </w:r>
      <w:r w:rsidRPr="00A06F1E">
        <w:t>. The independent audits help maintain compliance with generally accepted accounting principles and verify the accuracy and integrity of financial reporting. The auditors assess the district</w:t>
      </w:r>
      <w:r w:rsidR="00040362" w:rsidRPr="00A06F1E">
        <w:t>’</w:t>
      </w:r>
      <w:r w:rsidRPr="00A06F1E">
        <w:t xml:space="preserve">s adherence to financial regulations and standards and offer recommendations for areas of improvement, as illustrated in district documents </w:t>
      </w:r>
      <w:r w:rsidR="00440A37" w:rsidRPr="00A06F1E">
        <w:t xml:space="preserve">that </w:t>
      </w:r>
      <w:r w:rsidRPr="00A06F1E">
        <w:t>provide suggestions for strengthening internal controls and operating efficiency</w:t>
      </w:r>
      <w:r w:rsidRPr="00A06F1E">
        <w:rPr>
          <w:rFonts w:ascii="Arial" w:hAnsi="Arial" w:cs="Arial"/>
        </w:rPr>
        <w:t>.</w:t>
      </w:r>
      <w:r w:rsidRPr="00A06F1E">
        <w:t xml:space="preserve"> The end-of-year reports and audit findings are presented to the school committee, keeping all stakeholders informed about the district</w:t>
      </w:r>
      <w:r w:rsidR="00040362" w:rsidRPr="00A06F1E">
        <w:t>’</w:t>
      </w:r>
      <w:r w:rsidRPr="00A06F1E">
        <w:t xml:space="preserve">s financial status. Furthermore, the insights gained from the end-of-year assessments and audits inform future financial planning and </w:t>
      </w:r>
      <w:r w:rsidR="001F28DB">
        <w:t>decision-making</w:t>
      </w:r>
      <w:r w:rsidRPr="00A06F1E">
        <w:t xml:space="preserve">. </w:t>
      </w:r>
      <w:r w:rsidR="00DB7FE4" w:rsidRPr="00A06F1E">
        <w:t xml:space="preserve">The auditors did not identify issues in their review </w:t>
      </w:r>
      <w:r w:rsidR="006F3E51" w:rsidRPr="00A06F1E">
        <w:t xml:space="preserve">of </w:t>
      </w:r>
      <w:r w:rsidR="000D6A8E">
        <w:t>RCM &amp; SU 73</w:t>
      </w:r>
      <w:r w:rsidR="006F29BE" w:rsidRPr="00A06F1E">
        <w:t xml:space="preserve"> </w:t>
      </w:r>
      <w:r w:rsidR="00CB13E5" w:rsidRPr="00A06F1E">
        <w:t xml:space="preserve">in </w:t>
      </w:r>
      <w:r w:rsidR="00DB7FE4" w:rsidRPr="00A06F1E">
        <w:t xml:space="preserve">2022. </w:t>
      </w:r>
      <w:r w:rsidR="00CB13E5" w:rsidRPr="00A06F1E">
        <w:t>Specifically, t</w:t>
      </w:r>
      <w:r w:rsidR="00DB7FE4" w:rsidRPr="00A06F1E">
        <w:t>hey noted no deficiencies in internal control that they considered to be material weaknesses. However, they reiterated prior year recommendations, including adding an additional signatory to bank accounts and recording warrants payable at the end of the fiscal year. The district has addressed these recommendations by voting to make the superintendent an additional authorized signer on bank accounts and by reviewing the process for recording warrants payable.</w:t>
      </w:r>
    </w:p>
    <w:p w14:paraId="6ED883F5" w14:textId="02F6ED06" w:rsidR="008E5E28" w:rsidRPr="00A06F1E" w:rsidRDefault="00AB0BB6" w:rsidP="00BC061B">
      <w:pPr>
        <w:pStyle w:val="BodyText"/>
      </w:pPr>
      <w:bookmarkStart w:id="68" w:name="_Capital_Planning_and"/>
      <w:bookmarkEnd w:id="68"/>
      <w:r w:rsidRPr="00A06F1E">
        <w:t>Interview responses suggest that t</w:t>
      </w:r>
      <w:r w:rsidR="008E5E28" w:rsidRPr="00A06F1E">
        <w:t xml:space="preserve">he finance director </w:t>
      </w:r>
      <w:r w:rsidR="005C3455" w:rsidRPr="00A06F1E">
        <w:t xml:space="preserve">uses </w:t>
      </w:r>
      <w:r w:rsidR="008E5E28" w:rsidRPr="00A06F1E">
        <w:t xml:space="preserve">historical trends and data to project budgetary needs five to </w:t>
      </w:r>
      <w:r w:rsidR="005C3455" w:rsidRPr="00A06F1E">
        <w:t>10</w:t>
      </w:r>
      <w:r w:rsidR="008E5E28" w:rsidRPr="00A06F1E">
        <w:t xml:space="preserve"> years into the future. </w:t>
      </w:r>
      <w:r w:rsidR="00B5118D" w:rsidRPr="00A06F1E">
        <w:t>F</w:t>
      </w:r>
      <w:r w:rsidR="008E5E28" w:rsidRPr="00A06F1E">
        <w:t xml:space="preserve">orecasting includes a baseline budget established in November or December each year, which is then adjusted based on actual state revenue, such as Chapter 70 funds. </w:t>
      </w:r>
      <w:r w:rsidR="00005E2F" w:rsidRPr="00A06F1E">
        <w:t xml:space="preserve">However, long-term forecasting of budgetary needs and revenue is </w:t>
      </w:r>
      <w:r w:rsidR="00D565EF">
        <w:t xml:space="preserve">difficult to do in </w:t>
      </w:r>
      <w:r w:rsidR="000D6A8E">
        <w:t>RCM &amp; SU 73</w:t>
      </w:r>
      <w:r w:rsidR="00005E2F" w:rsidRPr="00A06F1E">
        <w:t xml:space="preserve">; instead, the forecasting appears to be </w:t>
      </w:r>
      <w:r w:rsidR="008A05E0" w:rsidRPr="00A06F1E">
        <w:t xml:space="preserve">largely </w:t>
      </w:r>
      <w:r w:rsidR="00005E2F" w:rsidRPr="00A06F1E">
        <w:t xml:space="preserve">limited to a year-to-year basis. </w:t>
      </w:r>
      <w:r w:rsidRPr="00A06F1E">
        <w:t xml:space="preserve">District staff </w:t>
      </w:r>
      <w:r w:rsidR="008E5E28" w:rsidRPr="00A06F1E">
        <w:t>acknowledge</w:t>
      </w:r>
      <w:r w:rsidR="008A05E0" w:rsidRPr="00A06F1E">
        <w:t>d</w:t>
      </w:r>
      <w:r w:rsidR="008E5E28" w:rsidRPr="00A06F1E">
        <w:t xml:space="preserve"> that unexpected factors, </w:t>
      </w:r>
      <w:r w:rsidR="004B19C3" w:rsidRPr="00A06F1E">
        <w:t xml:space="preserve">such as </w:t>
      </w:r>
      <w:r w:rsidR="008E5E28" w:rsidRPr="00A06F1E">
        <w:t>inflation, can impact these projections but emphasize</w:t>
      </w:r>
      <w:r w:rsidR="008A05E0" w:rsidRPr="00A06F1E">
        <w:t>d</w:t>
      </w:r>
      <w:r w:rsidR="008E5E28" w:rsidRPr="00A06F1E">
        <w:t xml:space="preserve"> the importance of presenting these historical trends during budget presentations to guide adjustments and </w:t>
      </w:r>
      <w:r w:rsidR="00A65499">
        <w:t>decision-making</w:t>
      </w:r>
      <w:r w:rsidR="008E5E28" w:rsidRPr="00A06F1E">
        <w:t xml:space="preserve">. </w:t>
      </w:r>
    </w:p>
    <w:p w14:paraId="22E56B0C" w14:textId="5344B8DB" w:rsidR="00B827DE" w:rsidRPr="00A06F1E" w:rsidRDefault="00B827DE" w:rsidP="00B827DE">
      <w:pPr>
        <w:pStyle w:val="Heading3"/>
      </w:pPr>
      <w:r w:rsidRPr="00A06F1E">
        <w:t>Capital Planning and Facility Maintenance</w:t>
      </w:r>
    </w:p>
    <w:p w14:paraId="0B215BD6" w14:textId="2DC79477" w:rsidR="006C1DC9" w:rsidRPr="00297CBC" w:rsidRDefault="000D6A8E" w:rsidP="00BC061B">
      <w:pPr>
        <w:pStyle w:val="BodyTextposthead"/>
      </w:pPr>
      <w:r>
        <w:t>RCM &amp; SU 73</w:t>
      </w:r>
      <w:r w:rsidR="007A2F1D" w:rsidRPr="00297CBC">
        <w:t xml:space="preserve"> employs a strategic approach to long-term planning and budgeting for facility management, which is a strength. </w:t>
      </w:r>
      <w:r w:rsidR="00994675" w:rsidRPr="00297CBC">
        <w:t>Mahar</w:t>
      </w:r>
      <w:r w:rsidR="00297CBC">
        <w:t xml:space="preserve"> </w:t>
      </w:r>
      <w:r w:rsidR="000A177F">
        <w:t>Regional’s</w:t>
      </w:r>
      <w:r w:rsidR="00994675" w:rsidRPr="00297CBC">
        <w:t xml:space="preserve"> FY24 Facilities Plan details improvements for safety, efficiency, and educational environments. Key projects include </w:t>
      </w:r>
      <w:r w:rsidR="00442A37" w:rsidRPr="00297CBC">
        <w:t xml:space="preserve">heating, ventilation, and air-conditioning </w:t>
      </w:r>
      <w:r w:rsidR="00994675" w:rsidRPr="00297CBC">
        <w:t>upgrades in the cafeteria and gymnasium (ESSER</w:t>
      </w:r>
      <w:r w:rsidR="00C425DF" w:rsidRPr="00297CBC">
        <w:t xml:space="preserve"> </w:t>
      </w:r>
      <w:r w:rsidR="00994675" w:rsidRPr="00297CBC">
        <w:t>funded)</w:t>
      </w:r>
      <w:r w:rsidR="00442A37" w:rsidRPr="00297CBC">
        <w:t>;</w:t>
      </w:r>
      <w:r w:rsidR="00994675" w:rsidRPr="00297CBC">
        <w:t xml:space="preserve"> library furniture upgrades</w:t>
      </w:r>
      <w:r w:rsidR="00442A37" w:rsidRPr="00297CBC">
        <w:t>;</w:t>
      </w:r>
      <w:r w:rsidR="00994675" w:rsidRPr="00297CBC">
        <w:t xml:space="preserve"> and new heating system controllers. Safety upgrades include replacing carpets, creating life skills classrooms, installing maintenance doors, and upgrading athletic field fencing. Ecological projects involve replacing water bubblers with bottle fillers. Major future projects include a boiler plant design replacement, roof replacement, and turf/track replacement, with funding from </w:t>
      </w:r>
      <w:r w:rsidR="00DF7156" w:rsidRPr="00297CBC">
        <w:t xml:space="preserve">the </w:t>
      </w:r>
      <w:r w:rsidR="003E194E" w:rsidRPr="00297CBC">
        <w:t>Massachusetts School Building Authority</w:t>
      </w:r>
      <w:r w:rsidR="00994675" w:rsidRPr="00297CBC">
        <w:t>, bonds, and grants.</w:t>
      </w:r>
    </w:p>
    <w:p w14:paraId="27D6F4EF" w14:textId="7F4E8B0E" w:rsidR="006C1DC9" w:rsidRPr="00297CBC" w:rsidRDefault="00F0224F" w:rsidP="00BC061B">
      <w:pPr>
        <w:pStyle w:val="BodyText"/>
      </w:pPr>
      <w:r w:rsidRPr="00297CBC">
        <w:t xml:space="preserve">District respondents </w:t>
      </w:r>
      <w:r w:rsidR="007A2F1D" w:rsidRPr="00297CBC">
        <w:t xml:space="preserve">acknowledged the role </w:t>
      </w:r>
      <w:r w:rsidR="00C266FD" w:rsidRPr="00297CBC">
        <w:t xml:space="preserve">that </w:t>
      </w:r>
      <w:r w:rsidR="007A2F1D" w:rsidRPr="00297CBC">
        <w:t xml:space="preserve">the </w:t>
      </w:r>
      <w:r w:rsidR="00FB0C2D" w:rsidRPr="00297CBC">
        <w:t>facil</w:t>
      </w:r>
      <w:r w:rsidR="00297CBC" w:rsidRPr="00297CBC">
        <w:t xml:space="preserve">ities </w:t>
      </w:r>
      <w:r w:rsidR="00C266FD" w:rsidRPr="00297CBC">
        <w:t>d</w:t>
      </w:r>
      <w:r w:rsidR="007A2F1D" w:rsidRPr="00297CBC">
        <w:t>irector play</w:t>
      </w:r>
      <w:r w:rsidR="35955CD7" w:rsidRPr="00297CBC">
        <w:t>s</w:t>
      </w:r>
      <w:r w:rsidR="007A2F1D" w:rsidRPr="00297CBC">
        <w:t xml:space="preserve"> in managing and planning for the school</w:t>
      </w:r>
      <w:r w:rsidR="00040362" w:rsidRPr="00297CBC">
        <w:t>’</w:t>
      </w:r>
      <w:r w:rsidR="007A2F1D" w:rsidRPr="00297CBC">
        <w:t xml:space="preserve">s infrastructure needs. This role involves creating and implementing a budget and maintenance plan that spans several years. For instance, </w:t>
      </w:r>
      <w:r w:rsidR="000D6A8E">
        <w:t>RCM &amp; SU 73</w:t>
      </w:r>
      <w:r w:rsidR="00D4794D">
        <w:t xml:space="preserve"> central office</w:t>
      </w:r>
      <w:r w:rsidRPr="00297CBC">
        <w:t xml:space="preserve"> staff </w:t>
      </w:r>
      <w:r w:rsidR="007A2F1D" w:rsidRPr="00297CBC">
        <w:t xml:space="preserve">noted, </w:t>
      </w:r>
      <w:r w:rsidR="00040362" w:rsidRPr="00297CBC">
        <w:t>“</w:t>
      </w:r>
      <w:r w:rsidR="007A2F1D" w:rsidRPr="00297CBC">
        <w:t xml:space="preserve">[The </w:t>
      </w:r>
      <w:r w:rsidR="00C266FD" w:rsidRPr="00297CBC">
        <w:t>f</w:t>
      </w:r>
      <w:r w:rsidR="007A2F1D" w:rsidRPr="00297CBC">
        <w:t xml:space="preserve">acilities </w:t>
      </w:r>
      <w:r w:rsidR="00C266FD" w:rsidRPr="00297CBC">
        <w:t>d</w:t>
      </w:r>
      <w:r w:rsidR="007A2F1D" w:rsidRPr="00297CBC">
        <w:t>irector] came up with a plan for doing the hot water heater and when he was doing the hot water heater, we</w:t>
      </w:r>
      <w:r w:rsidR="00040362" w:rsidRPr="00297CBC">
        <w:t>’</w:t>
      </w:r>
      <w:r w:rsidR="007A2F1D" w:rsidRPr="00297CBC">
        <w:t>re also switching over to propane where we had heating oil. That</w:t>
      </w:r>
      <w:r w:rsidR="00040362" w:rsidRPr="00297CBC">
        <w:t>’</w:t>
      </w:r>
      <w:r w:rsidR="007A2F1D" w:rsidRPr="00297CBC">
        <w:t>s going to save us money in the long run.</w:t>
      </w:r>
      <w:r w:rsidR="00040362" w:rsidRPr="00297CBC">
        <w:t>”</w:t>
      </w:r>
    </w:p>
    <w:p w14:paraId="3FADB076" w14:textId="77777777" w:rsidR="006C1DC9" w:rsidRPr="00297CBC" w:rsidRDefault="007A2F1D" w:rsidP="00BC061B">
      <w:pPr>
        <w:pStyle w:val="BodyText"/>
      </w:pPr>
      <w:r w:rsidRPr="00297CBC">
        <w:lastRenderedPageBreak/>
        <w:t xml:space="preserve">Moreover, </w:t>
      </w:r>
      <w:r w:rsidR="00E108F8" w:rsidRPr="00297CBC">
        <w:t>Mahar Regional</w:t>
      </w:r>
      <w:r w:rsidRPr="00297CBC">
        <w:t xml:space="preserve"> has established a capital stabilization fund to address unexpected major expenses. This fund has already been instrumental in managing unforeseen issues, such as replacing a hot water heater. </w:t>
      </w:r>
      <w:r w:rsidR="00E108F8" w:rsidRPr="00297CBC">
        <w:t>One district respondent</w:t>
      </w:r>
      <w:r w:rsidRPr="00297CBC">
        <w:t xml:space="preserve"> stated,</w:t>
      </w:r>
    </w:p>
    <w:p w14:paraId="209B8E99" w14:textId="2E384A66" w:rsidR="006C31F7" w:rsidRPr="00A06F1E" w:rsidRDefault="007A2F1D" w:rsidP="00BC061B">
      <w:pPr>
        <w:pStyle w:val="BlockQuote"/>
      </w:pPr>
      <w:r w:rsidRPr="00297CBC">
        <w:t>We do have a capital plan for Mahar. The only major things we have</w:t>
      </w:r>
      <w:r w:rsidR="00D10B07" w:rsidRPr="00297CBC">
        <w:t> . . .</w:t>
      </w:r>
      <w:r w:rsidRPr="00297CBC">
        <w:t xml:space="preserve"> we are looking at replacing</w:t>
      </w:r>
      <w:r w:rsidR="00D10B07" w:rsidRPr="00297CBC">
        <w:t>. . . .</w:t>
      </w:r>
      <w:r w:rsidRPr="00297CBC">
        <w:t xml:space="preserve"> We replaced </w:t>
      </w:r>
      <w:r w:rsidR="484DC80E" w:rsidRPr="00297CBC">
        <w:t>the hot</w:t>
      </w:r>
      <w:r w:rsidRPr="00297CBC">
        <w:t xml:space="preserve"> water</w:t>
      </w:r>
      <w:r w:rsidRPr="00A06F1E">
        <w:t xml:space="preserve"> heater. We also had one of the </w:t>
      </w:r>
      <w:r w:rsidR="1232BE14" w:rsidRPr="00A06F1E">
        <w:t>three</w:t>
      </w:r>
      <w:r w:rsidRPr="00A06F1E">
        <w:t xml:space="preserve"> heating </w:t>
      </w:r>
      <w:r w:rsidR="00C415C5" w:rsidRPr="00A06F1E">
        <w:t>[units</w:t>
      </w:r>
      <w:r w:rsidR="2E420F5D" w:rsidRPr="00A06F1E">
        <w:t>]</w:t>
      </w:r>
      <w:r w:rsidRPr="00A06F1E">
        <w:t xml:space="preserve"> go down. So we got capital stabilization to replace that. Our hope is to do that, the other two, this fall, so that</w:t>
      </w:r>
      <w:r w:rsidR="00040362" w:rsidRPr="00A06F1E">
        <w:t>’</w:t>
      </w:r>
      <w:r w:rsidRPr="00A06F1E">
        <w:t>s done. After that, the only major things we have</w:t>
      </w:r>
      <w:r w:rsidR="00D10B07" w:rsidRPr="00A06F1E">
        <w:t> . . .</w:t>
      </w:r>
      <w:r w:rsidRPr="00A06F1E">
        <w:t xml:space="preserve"> the roof</w:t>
      </w:r>
      <w:r w:rsidR="00D10B07" w:rsidRPr="00A06F1E">
        <w:t> . . .</w:t>
      </w:r>
      <w:r w:rsidRPr="00A06F1E">
        <w:t xml:space="preserve"> we have four and a half acres of roof. We had a renovation in 2005, so we</w:t>
      </w:r>
      <w:r w:rsidR="00040362" w:rsidRPr="00A06F1E">
        <w:t>’</w:t>
      </w:r>
      <w:r w:rsidRPr="00A06F1E">
        <w:t>re looking at 20 years. We have a plan for that over the next several years.</w:t>
      </w:r>
    </w:p>
    <w:p w14:paraId="167C88F6" w14:textId="5312C686" w:rsidR="007A2F1D" w:rsidRPr="00A06F1E" w:rsidRDefault="000D6A8E" w:rsidP="00BC061B">
      <w:pPr>
        <w:pStyle w:val="BodyText"/>
      </w:pPr>
      <w:r>
        <w:t>RCM &amp; SU 73</w:t>
      </w:r>
      <w:r w:rsidR="00CD2660" w:rsidRPr="00A06F1E">
        <w:t xml:space="preserve"> central office staff</w:t>
      </w:r>
      <w:r w:rsidR="007A2F1D" w:rsidRPr="00A06F1E">
        <w:t xml:space="preserve"> also highlighted the </w:t>
      </w:r>
      <w:r w:rsidR="00CD2660" w:rsidRPr="00A06F1E">
        <w:t xml:space="preserve">regional </w:t>
      </w:r>
      <w:r w:rsidR="007A2F1D" w:rsidRPr="00A06F1E">
        <w:t>district</w:t>
      </w:r>
      <w:r w:rsidR="00040362" w:rsidRPr="00A06F1E">
        <w:t>’</w:t>
      </w:r>
      <w:r w:rsidR="007A2F1D" w:rsidRPr="00A06F1E">
        <w:t>s focus on maintaining a balanced budget and avoiding large financial spikes. This is achieved by spreading out capital expenses over several years. For example, they have planned for a gradual replacement of the school</w:t>
      </w:r>
      <w:r w:rsidR="00040362" w:rsidRPr="00A06F1E">
        <w:t>’</w:t>
      </w:r>
      <w:r w:rsidR="007A2F1D" w:rsidRPr="00A06F1E">
        <w:t xml:space="preserve">s heating system and roof to avoid large, onetime expenditures. </w:t>
      </w:r>
      <w:r w:rsidR="00741CC1" w:rsidRPr="00A06F1E">
        <w:t>A district respondent</w:t>
      </w:r>
      <w:r w:rsidR="007A2F1D" w:rsidRPr="00A06F1E">
        <w:t xml:space="preserve"> explained, </w:t>
      </w:r>
      <w:r w:rsidR="00040362" w:rsidRPr="00A06F1E">
        <w:t>“</w:t>
      </w:r>
      <w:r w:rsidR="007E2667" w:rsidRPr="00A06F1E">
        <w:t>We</w:t>
      </w:r>
      <w:r w:rsidR="00040362" w:rsidRPr="00A06F1E">
        <w:t>’</w:t>
      </w:r>
      <w:r w:rsidR="007E2667" w:rsidRPr="00A06F1E">
        <w:t xml:space="preserve">re </w:t>
      </w:r>
      <w:r w:rsidR="007A2F1D" w:rsidRPr="00A06F1E">
        <w:t xml:space="preserve">coming up with a timeline </w:t>
      </w:r>
      <w:r w:rsidR="002363FE" w:rsidRPr="00A06F1E">
        <w:t>[for capital improvements]</w:t>
      </w:r>
      <w:r w:rsidR="00901795" w:rsidRPr="00A06F1E">
        <w:t>. . . .</w:t>
      </w:r>
      <w:r w:rsidR="002363FE" w:rsidRPr="00A06F1E">
        <w:t xml:space="preserve"> </w:t>
      </w:r>
      <w:r w:rsidR="00901795" w:rsidRPr="00A06F1E">
        <w:t>W</w:t>
      </w:r>
      <w:r w:rsidR="007A2F1D" w:rsidRPr="00A06F1E">
        <w:t>e spread it out where again that budget is not a spike but we do something every year.</w:t>
      </w:r>
      <w:r w:rsidR="00040362" w:rsidRPr="00A06F1E">
        <w:t>”</w:t>
      </w:r>
      <w:r w:rsidR="000D42D1">
        <w:t xml:space="preserve"> </w:t>
      </w:r>
    </w:p>
    <w:p w14:paraId="55A5A59C" w14:textId="77C0CD02" w:rsidR="0043560D" w:rsidRPr="00A06F1E" w:rsidRDefault="00716B25" w:rsidP="00BC061B">
      <w:pPr>
        <w:pStyle w:val="BodyText"/>
      </w:pPr>
      <w:r w:rsidRPr="00A06F1E">
        <w:t xml:space="preserve">Officials from the </w:t>
      </w:r>
      <w:r w:rsidR="00901795" w:rsidRPr="00A06F1E">
        <w:t>t</w:t>
      </w:r>
      <w:r w:rsidRPr="00A06F1E">
        <w:t xml:space="preserve">own of </w:t>
      </w:r>
      <w:proofErr w:type="spellStart"/>
      <w:r w:rsidR="00EF5AC1" w:rsidRPr="00A06F1E">
        <w:t>Petersham</w:t>
      </w:r>
      <w:proofErr w:type="spellEnd"/>
      <w:r w:rsidR="00EF5AC1" w:rsidRPr="00A06F1E">
        <w:t xml:space="preserve"> </w:t>
      </w:r>
      <w:r w:rsidR="007A2F1D" w:rsidRPr="00A06F1E">
        <w:t xml:space="preserve">described the collaborative approach between the town and Mahar </w:t>
      </w:r>
      <w:r w:rsidRPr="00A06F1E">
        <w:t>Regional</w:t>
      </w:r>
      <w:r w:rsidR="007A2F1D" w:rsidRPr="00A06F1E">
        <w:t xml:space="preserve"> to address capital needs, highlighting the work of the Capital Improvement Planning Committee (CIPC). </w:t>
      </w:r>
      <w:r w:rsidR="003D03DC" w:rsidRPr="00A06F1E">
        <w:t>One respondent</w:t>
      </w:r>
      <w:r w:rsidR="007A2F1D" w:rsidRPr="00A06F1E">
        <w:t xml:space="preserve"> explained,</w:t>
      </w:r>
    </w:p>
    <w:p w14:paraId="690B8A55" w14:textId="7B4F2C1A" w:rsidR="0043560D" w:rsidRPr="00A06F1E" w:rsidRDefault="007A2F1D" w:rsidP="0043560D">
      <w:pPr>
        <w:pStyle w:val="BlockQuote"/>
      </w:pPr>
      <w:r w:rsidRPr="00A06F1E">
        <w:t>If it comes into the budget, we discuss it. We also have a CIPC, which maybe all towns have, and so they put in some capital improvements that they can</w:t>
      </w:r>
      <w:r w:rsidR="00040362" w:rsidRPr="00A06F1E">
        <w:t>’</w:t>
      </w:r>
      <w:r w:rsidRPr="00A06F1E">
        <w:t>t cover in their budget and ask the town for any excess monies that we would have.</w:t>
      </w:r>
    </w:p>
    <w:p w14:paraId="5D10FF87" w14:textId="788B5D2C" w:rsidR="00605F2A" w:rsidRPr="00284018" w:rsidRDefault="00E02DC1" w:rsidP="00BC061B">
      <w:pPr>
        <w:pStyle w:val="BodyText"/>
      </w:pPr>
      <w:r w:rsidRPr="00A06F1E">
        <w:t xml:space="preserve">A town official </w:t>
      </w:r>
      <w:r w:rsidR="00EF263E" w:rsidRPr="00A06F1E">
        <w:t>shared</w:t>
      </w:r>
      <w:r w:rsidRPr="00A06F1E">
        <w:t xml:space="preserve"> that the town</w:t>
      </w:r>
      <w:r w:rsidR="00EF263E" w:rsidRPr="00A06F1E">
        <w:t xml:space="preserve"> of Orange</w:t>
      </w:r>
      <w:r w:rsidRPr="00A06F1E">
        <w:t xml:space="preserve"> played </w:t>
      </w:r>
      <w:r w:rsidR="662749D0" w:rsidRPr="00A06F1E">
        <w:t xml:space="preserve">the lead </w:t>
      </w:r>
      <w:r w:rsidRPr="00A06F1E">
        <w:t xml:space="preserve">role in </w:t>
      </w:r>
      <w:r w:rsidR="00EF263E" w:rsidRPr="00A06F1E">
        <w:t xml:space="preserve">renovating </w:t>
      </w:r>
      <w:r w:rsidR="00CF4F71">
        <w:t>Fisher Hill</w:t>
      </w:r>
      <w:r w:rsidRPr="00A06F1E">
        <w:t xml:space="preserve">, stating, </w:t>
      </w:r>
      <w:r w:rsidR="00040362" w:rsidRPr="00A06F1E">
        <w:t>“</w:t>
      </w:r>
      <w:r w:rsidRPr="00A06F1E">
        <w:t>We just had a large remodel at Fisher Hill. And there was a huge part for the town to play. We had to vote on it.</w:t>
      </w:r>
      <w:r w:rsidR="00040362" w:rsidRPr="00A06F1E">
        <w:t>”</w:t>
      </w:r>
      <w:r w:rsidRPr="00A06F1E">
        <w:t xml:space="preserve"> They further explained that this remodel involved consolidating students from </w:t>
      </w:r>
      <w:r w:rsidRPr="00284018">
        <w:t xml:space="preserve">Dexter Park into </w:t>
      </w:r>
      <w:r w:rsidR="00CF4F71">
        <w:t>Fisher Hill</w:t>
      </w:r>
      <w:r w:rsidRPr="00284018">
        <w:t>, noting</w:t>
      </w:r>
      <w:r w:rsidR="009C334B" w:rsidRPr="00284018">
        <w:t xml:space="preserve"> that</w:t>
      </w:r>
      <w:r w:rsidRPr="00284018">
        <w:t xml:space="preserve"> </w:t>
      </w:r>
      <w:r w:rsidR="00040362" w:rsidRPr="00284018">
        <w:t>“</w:t>
      </w:r>
      <w:r w:rsidRPr="00284018">
        <w:t>last year was when they</w:t>
      </w:r>
      <w:r w:rsidR="009C334B" w:rsidRPr="00284018">
        <w:t> . . .</w:t>
      </w:r>
      <w:r w:rsidRPr="00284018">
        <w:t xml:space="preserve"> got everybody out of Dexter Park</w:t>
      </w:r>
      <w:r w:rsidR="009C334B" w:rsidRPr="00284018">
        <w:t>. . . .</w:t>
      </w:r>
      <w:r w:rsidRPr="00284018">
        <w:t xml:space="preserve"> </w:t>
      </w:r>
      <w:r w:rsidR="009C334B" w:rsidRPr="00284018">
        <w:t>T</w:t>
      </w:r>
      <w:r w:rsidRPr="00284018">
        <w:t>hey remodeled</w:t>
      </w:r>
      <w:r w:rsidR="009C334B" w:rsidRPr="00284018">
        <w:t> . . .</w:t>
      </w:r>
      <w:r w:rsidRPr="00284018">
        <w:t xml:space="preserve"> and they officially moved everybody last year.</w:t>
      </w:r>
      <w:r w:rsidR="00040362" w:rsidRPr="00284018">
        <w:t>”</w:t>
      </w:r>
    </w:p>
    <w:p w14:paraId="1C17DC9B" w14:textId="5D3F00D9" w:rsidR="005F1499" w:rsidRPr="00284018" w:rsidRDefault="007A2F1D" w:rsidP="00BC061B">
      <w:pPr>
        <w:pStyle w:val="BodyText"/>
      </w:pPr>
      <w:r w:rsidRPr="00284018">
        <w:t xml:space="preserve">However, </w:t>
      </w:r>
      <w:r w:rsidR="007519D4" w:rsidRPr="00284018">
        <w:t xml:space="preserve">respondents from </w:t>
      </w:r>
      <w:r w:rsidR="009C334B" w:rsidRPr="00284018">
        <w:t xml:space="preserve">the towns of </w:t>
      </w:r>
      <w:r w:rsidR="007519D4" w:rsidRPr="00284018">
        <w:t xml:space="preserve">Orange and </w:t>
      </w:r>
      <w:proofErr w:type="spellStart"/>
      <w:r w:rsidR="007519D4" w:rsidRPr="00284018">
        <w:t>Petersham</w:t>
      </w:r>
      <w:proofErr w:type="spellEnd"/>
      <w:r w:rsidRPr="00284018">
        <w:t xml:space="preserve"> expressed concern about </w:t>
      </w:r>
      <w:r w:rsidR="009E206A" w:rsidRPr="00284018">
        <w:t>each</w:t>
      </w:r>
      <w:r w:rsidRPr="00284018">
        <w:t xml:space="preserve"> town</w:t>
      </w:r>
      <w:r w:rsidR="00040362" w:rsidRPr="00284018">
        <w:t>’</w:t>
      </w:r>
      <w:r w:rsidRPr="00284018">
        <w:t>s financial constraints, impacting their ability</w:t>
      </w:r>
      <w:r w:rsidR="00864959">
        <w:t>, in some cases, to address</w:t>
      </w:r>
      <w:r w:rsidR="00B64C25">
        <w:t xml:space="preserve"> all</w:t>
      </w:r>
      <w:r w:rsidRPr="00284018">
        <w:t xml:space="preserve"> </w:t>
      </w:r>
      <w:r w:rsidR="00A33FF9" w:rsidRPr="00284018">
        <w:t xml:space="preserve">capital </w:t>
      </w:r>
      <w:r w:rsidR="009624DE" w:rsidRPr="00284018">
        <w:t>needs</w:t>
      </w:r>
      <w:r w:rsidRPr="00284018">
        <w:t xml:space="preserve">, which is an area for growth. </w:t>
      </w:r>
      <w:r w:rsidR="00AF44F5" w:rsidRPr="00284018">
        <w:t>One town respondent</w:t>
      </w:r>
      <w:r w:rsidRPr="00284018">
        <w:t xml:space="preserve"> said,</w:t>
      </w:r>
    </w:p>
    <w:p w14:paraId="6AE8845E" w14:textId="45F395B7" w:rsidR="005F1499" w:rsidRPr="00284018" w:rsidRDefault="007A2F1D" w:rsidP="005F1499">
      <w:pPr>
        <w:pStyle w:val="BlockQuote"/>
      </w:pPr>
      <w:r w:rsidRPr="00284018">
        <w:t>We have really depleted our stabilization funds. So it is 2</w:t>
      </w:r>
      <w:r w:rsidR="00AC3C7B" w:rsidRPr="00284018">
        <w:t xml:space="preserve"> percent </w:t>
      </w:r>
      <w:r w:rsidRPr="00284018">
        <w:t>of our budget, which is a really low amount, and it</w:t>
      </w:r>
      <w:r w:rsidR="00040362" w:rsidRPr="00284018">
        <w:t>’</w:t>
      </w:r>
      <w:r w:rsidRPr="00284018">
        <w:t>s for strict emergencies. We have a reserve fund each year that</w:t>
      </w:r>
      <w:r w:rsidR="00040362" w:rsidRPr="00284018">
        <w:t>’</w:t>
      </w:r>
      <w:r w:rsidRPr="00284018">
        <w:t>s about $30,000</w:t>
      </w:r>
      <w:r w:rsidR="005F1499" w:rsidRPr="00284018">
        <w:t> . . .</w:t>
      </w:r>
      <w:r w:rsidR="000F730B" w:rsidRPr="00284018">
        <w:t xml:space="preserve"> </w:t>
      </w:r>
      <w:r w:rsidRPr="00284018">
        <w:t>available to the school in case of emergencies.</w:t>
      </w:r>
    </w:p>
    <w:p w14:paraId="754F3B0A" w14:textId="3BFD8E34" w:rsidR="006C1DC9" w:rsidRPr="00A06F1E" w:rsidRDefault="00E10FB3" w:rsidP="00BC061B">
      <w:pPr>
        <w:pStyle w:val="BodyText"/>
      </w:pPr>
      <w:r>
        <w:rPr>
          <w:rFonts w:cs="Roboto-Regular"/>
        </w:rPr>
        <w:t xml:space="preserve">The official </w:t>
      </w:r>
      <w:r w:rsidR="002C629B" w:rsidRPr="00A06F1E">
        <w:rPr>
          <w:rFonts w:cs="Roboto-Regular"/>
        </w:rPr>
        <w:t xml:space="preserve">added, </w:t>
      </w:r>
      <w:r w:rsidR="00040362" w:rsidRPr="00A06F1E">
        <w:rPr>
          <w:rFonts w:cs="Roboto-Regular"/>
        </w:rPr>
        <w:t>“</w:t>
      </w:r>
      <w:r w:rsidR="005F1499" w:rsidRPr="00A06F1E">
        <w:rPr>
          <w:rFonts w:cs="Roboto-Regular"/>
        </w:rPr>
        <w:t>W</w:t>
      </w:r>
      <w:r w:rsidR="002C629B" w:rsidRPr="00A06F1E">
        <w:rPr>
          <w:rFonts w:cs="Roboto-Regular"/>
        </w:rPr>
        <w:t>e don</w:t>
      </w:r>
      <w:r w:rsidR="00040362" w:rsidRPr="00A06F1E">
        <w:rPr>
          <w:rFonts w:cs="Roboto-Regular"/>
        </w:rPr>
        <w:t>’</w:t>
      </w:r>
      <w:r w:rsidR="002C629B" w:rsidRPr="00A06F1E">
        <w:rPr>
          <w:rFonts w:cs="Roboto-Regular"/>
        </w:rPr>
        <w:t xml:space="preserve">t have anything like that </w:t>
      </w:r>
      <w:r w:rsidR="00DB0134">
        <w:rPr>
          <w:rFonts w:cs="Roboto-Regular"/>
        </w:rPr>
        <w:t>[a stabilization fund]</w:t>
      </w:r>
      <w:r w:rsidR="002C629B" w:rsidRPr="00A06F1E">
        <w:rPr>
          <w:rFonts w:cs="Roboto-Regular"/>
        </w:rPr>
        <w:t xml:space="preserve"> here</w:t>
      </w:r>
      <w:r w:rsidR="54F247EB" w:rsidRPr="00A06F1E">
        <w:rPr>
          <w:rFonts w:cs="Roboto-Regular"/>
        </w:rPr>
        <w:t xml:space="preserve"> [in our town district]</w:t>
      </w:r>
      <w:r w:rsidR="00462263" w:rsidRPr="00A06F1E">
        <w:rPr>
          <w:rFonts w:cs="Roboto-Regular"/>
        </w:rPr>
        <w:t> . . .</w:t>
      </w:r>
      <w:r w:rsidR="002C629B" w:rsidRPr="00A06F1E">
        <w:rPr>
          <w:rFonts w:cs="Roboto-Regular"/>
        </w:rPr>
        <w:t xml:space="preserve"> because we</w:t>
      </w:r>
      <w:r w:rsidR="00040362" w:rsidRPr="00A06F1E">
        <w:rPr>
          <w:rFonts w:cs="Roboto-Regular"/>
        </w:rPr>
        <w:t>’</w:t>
      </w:r>
      <w:r w:rsidR="002C629B" w:rsidRPr="00A06F1E">
        <w:rPr>
          <w:rFonts w:cs="Roboto-Regular"/>
        </w:rPr>
        <w:t>ve just been scrambling to meet basic needs.</w:t>
      </w:r>
      <w:r w:rsidR="00040362" w:rsidRPr="00A06F1E">
        <w:rPr>
          <w:rFonts w:cs="Roboto-Regular"/>
        </w:rPr>
        <w:t>”</w:t>
      </w:r>
      <w:r w:rsidR="002C629B" w:rsidRPr="00A06F1E">
        <w:rPr>
          <w:rFonts w:cs="Roboto-Regular"/>
        </w:rPr>
        <w:t xml:space="preserve"> </w:t>
      </w:r>
      <w:r w:rsidR="00051C59" w:rsidRPr="00A06F1E">
        <w:t xml:space="preserve">Another respondent </w:t>
      </w:r>
      <w:r w:rsidR="002023DA" w:rsidRPr="00A06F1E">
        <w:t xml:space="preserve">from a </w:t>
      </w:r>
      <w:r w:rsidR="00C16172" w:rsidRPr="00A06F1E">
        <w:t>town</w:t>
      </w:r>
      <w:r w:rsidR="006A48AE" w:rsidRPr="00A06F1E">
        <w:t xml:space="preserve"> government</w:t>
      </w:r>
      <w:r w:rsidR="00C16172" w:rsidRPr="00A06F1E">
        <w:t xml:space="preserve"> </w:t>
      </w:r>
      <w:r w:rsidR="00051C59" w:rsidRPr="00A06F1E">
        <w:t xml:space="preserve">mentioned the need to replace </w:t>
      </w:r>
      <w:r w:rsidR="00CD5794" w:rsidRPr="00A06F1E">
        <w:t xml:space="preserve">a </w:t>
      </w:r>
      <w:r w:rsidR="00051C59" w:rsidRPr="00A06F1E">
        <w:t>historic</w:t>
      </w:r>
      <w:r w:rsidR="00AE5C17" w:rsidRPr="00A06F1E">
        <w:t xml:space="preserve"> school</w:t>
      </w:r>
      <w:r w:rsidR="00051C59" w:rsidRPr="00A06F1E">
        <w:t xml:space="preserve"> building</w:t>
      </w:r>
      <w:r w:rsidR="00040362" w:rsidRPr="00A06F1E">
        <w:t>’</w:t>
      </w:r>
      <w:r w:rsidR="00051C59" w:rsidRPr="00A06F1E">
        <w:t xml:space="preserve">s wooden gutters, which had to be deferred </w:t>
      </w:r>
      <w:r w:rsidR="00462263" w:rsidRPr="00A06F1E">
        <w:t>because of</w:t>
      </w:r>
      <w:r w:rsidR="00051C59" w:rsidRPr="00A06F1E">
        <w:t xml:space="preserve"> budget constraints</w:t>
      </w:r>
      <w:r w:rsidR="00025613" w:rsidRPr="00A06F1E">
        <w:t xml:space="preserve">: </w:t>
      </w:r>
      <w:r w:rsidR="00040362" w:rsidRPr="00A06F1E">
        <w:t>“</w:t>
      </w:r>
      <w:r w:rsidR="00462263" w:rsidRPr="00A06F1E">
        <w:t>T</w:t>
      </w:r>
      <w:r w:rsidR="00051C59" w:rsidRPr="00A06F1E">
        <w:t>hey</w:t>
      </w:r>
      <w:r w:rsidR="00040362" w:rsidRPr="00A06F1E">
        <w:t>’</w:t>
      </w:r>
      <w:r w:rsidR="00051C59" w:rsidRPr="00A06F1E">
        <w:t>ve asked us for money to replace those gutters, which we don</w:t>
      </w:r>
      <w:r w:rsidR="00040362" w:rsidRPr="00A06F1E">
        <w:t>’</w:t>
      </w:r>
      <w:r w:rsidR="00051C59" w:rsidRPr="00A06F1E">
        <w:t>t have, so we</w:t>
      </w:r>
      <w:r w:rsidR="00040362" w:rsidRPr="00A06F1E">
        <w:t>’</w:t>
      </w:r>
      <w:r w:rsidR="00051C59" w:rsidRPr="00A06F1E">
        <w:t>ve had to put them off.</w:t>
      </w:r>
      <w:r w:rsidR="00040362" w:rsidRPr="00A06F1E">
        <w:t>”</w:t>
      </w:r>
      <w:r w:rsidR="00051C59" w:rsidRPr="00A06F1E">
        <w:t xml:space="preserve"> </w:t>
      </w:r>
      <w:r w:rsidR="000D42D3" w:rsidRPr="00A06F1E">
        <w:t>This same</w:t>
      </w:r>
      <w:r w:rsidR="00051C59" w:rsidRPr="00A06F1E">
        <w:t xml:space="preserve"> </w:t>
      </w:r>
      <w:r w:rsidR="00AF404D" w:rsidRPr="00A06F1E">
        <w:t xml:space="preserve">town respondent </w:t>
      </w:r>
      <w:r w:rsidR="00051C59" w:rsidRPr="00A06F1E">
        <w:t>also discussed the critical function of the school</w:t>
      </w:r>
      <w:r w:rsidR="00040362" w:rsidRPr="00A06F1E">
        <w:t>’</w:t>
      </w:r>
      <w:r w:rsidR="00051C59" w:rsidRPr="00A06F1E">
        <w:t xml:space="preserve">s generator, funded by the town </w:t>
      </w:r>
      <w:r w:rsidR="00462263" w:rsidRPr="00A06F1E">
        <w:t>because of</w:t>
      </w:r>
      <w:r w:rsidR="00051C59" w:rsidRPr="00A06F1E">
        <w:t xml:space="preserve"> </w:t>
      </w:r>
      <w:r w:rsidR="00112210" w:rsidRPr="00A06F1E">
        <w:t>the school building</w:t>
      </w:r>
      <w:r w:rsidR="00040362" w:rsidRPr="00A06F1E">
        <w:t>’</w:t>
      </w:r>
      <w:r w:rsidR="00112210" w:rsidRPr="00A06F1E">
        <w:t xml:space="preserve">s </w:t>
      </w:r>
      <w:r w:rsidR="00051C59" w:rsidRPr="00A06F1E">
        <w:t>role as an emergency shelter</w:t>
      </w:r>
      <w:r w:rsidR="005022E9" w:rsidRPr="00A06F1E">
        <w:t>, and the challenge of sharing those costs</w:t>
      </w:r>
      <w:r w:rsidR="00293402" w:rsidRPr="00A06F1E">
        <w:t xml:space="preserve"> between town and </w:t>
      </w:r>
      <w:r w:rsidR="00293402" w:rsidRPr="00A06F1E">
        <w:lastRenderedPageBreak/>
        <w:t>school sources</w:t>
      </w:r>
      <w:r w:rsidR="005022E9" w:rsidRPr="00A06F1E">
        <w:t xml:space="preserve">. </w:t>
      </w:r>
      <w:r w:rsidR="00295402" w:rsidRPr="00A06F1E">
        <w:t xml:space="preserve">In summary, </w:t>
      </w:r>
      <w:r w:rsidR="005A7AB1">
        <w:t xml:space="preserve">evidence suggests that the fiscal environment makes it difficult for towns to respond to all capital needs. </w:t>
      </w:r>
      <w:r w:rsidR="00725DD0">
        <w:t>W</w:t>
      </w:r>
      <w:r w:rsidR="00B45D0C" w:rsidRPr="00A06F1E">
        <w:t xml:space="preserve">hereas </w:t>
      </w:r>
      <w:r w:rsidR="00731284" w:rsidRPr="00A06F1E">
        <w:t xml:space="preserve">Mahar Regional reported </w:t>
      </w:r>
      <w:r w:rsidR="002E126A">
        <w:t>working to</w:t>
      </w:r>
      <w:r w:rsidR="00731284" w:rsidRPr="00A06F1E">
        <w:t xml:space="preserve"> </w:t>
      </w:r>
      <w:r w:rsidR="00B27C4E" w:rsidRPr="00A06F1E">
        <w:t>establish a stabili</w:t>
      </w:r>
      <w:r w:rsidR="00432817" w:rsidRPr="00A06F1E">
        <w:t>zation fund</w:t>
      </w:r>
      <w:r w:rsidR="006A7B30">
        <w:t xml:space="preserve"> and having a long-term capital plan</w:t>
      </w:r>
      <w:r w:rsidR="00432817" w:rsidRPr="00A06F1E">
        <w:t xml:space="preserve">, </w:t>
      </w:r>
      <w:r w:rsidR="00295402" w:rsidRPr="00A06F1E">
        <w:t xml:space="preserve">representatives from both towns reported </w:t>
      </w:r>
      <w:r w:rsidR="00293402" w:rsidRPr="00A06F1E">
        <w:t>fiscal constraints</w:t>
      </w:r>
      <w:r w:rsidR="00986C06" w:rsidRPr="00A06F1E">
        <w:t xml:space="preserve">, </w:t>
      </w:r>
      <w:r w:rsidR="006A7B30">
        <w:t>making efforts like</w:t>
      </w:r>
      <w:r w:rsidR="00D47557" w:rsidRPr="00A06F1E">
        <w:t xml:space="preserve"> establishing stabilization f</w:t>
      </w:r>
      <w:r w:rsidR="00432817" w:rsidRPr="00A06F1E">
        <w:t>u</w:t>
      </w:r>
      <w:r w:rsidR="00D47557" w:rsidRPr="00A06F1E">
        <w:t>nds and responding to ongoing capital needs</w:t>
      </w:r>
      <w:r w:rsidR="00ED7085" w:rsidRPr="00A06F1E" w:rsidDel="0051464C">
        <w:t xml:space="preserve"> </w:t>
      </w:r>
      <w:r w:rsidR="006A7B30">
        <w:t xml:space="preserve">of the elementary schools a challenge, particularly </w:t>
      </w:r>
      <w:r w:rsidR="00ED7085" w:rsidRPr="00A06F1E" w:rsidDel="0051464C">
        <w:t xml:space="preserve">in </w:t>
      </w:r>
      <w:proofErr w:type="spellStart"/>
      <w:r w:rsidR="00ED7085" w:rsidRPr="00A06F1E" w:rsidDel="0051464C">
        <w:t>Petersham</w:t>
      </w:r>
      <w:proofErr w:type="spellEnd"/>
      <w:r w:rsidR="00D47557" w:rsidRPr="00A06F1E">
        <w:t>.</w:t>
      </w:r>
    </w:p>
    <w:p w14:paraId="6A8BD12D" w14:textId="06B55374" w:rsidR="002B4CEF" w:rsidRPr="00A06F1E" w:rsidRDefault="002B4CEF" w:rsidP="002B4CEF">
      <w:pPr>
        <w:pStyle w:val="Heading3"/>
      </w:pPr>
      <w:r w:rsidRPr="00A06F1E">
        <w:t>DESE Recommendations</w:t>
      </w:r>
    </w:p>
    <w:p w14:paraId="10E4978C" w14:textId="15825367" w:rsidR="002B4CEF" w:rsidRPr="00A06F1E" w:rsidRDefault="009349A0" w:rsidP="002B4CEF">
      <w:pPr>
        <w:pStyle w:val="Bullet1"/>
        <w:rPr>
          <w:bCs/>
        </w:rPr>
      </w:pPr>
      <w:r>
        <w:rPr>
          <w:i/>
          <w:iCs/>
        </w:rPr>
        <w:t xml:space="preserve">The </w:t>
      </w:r>
      <w:r w:rsidR="000173E3">
        <w:rPr>
          <w:i/>
          <w:iCs/>
        </w:rPr>
        <w:t>superintendency union</w:t>
      </w:r>
      <w:r>
        <w:rPr>
          <w:i/>
          <w:iCs/>
        </w:rPr>
        <w:t xml:space="preserve"> should</w:t>
      </w:r>
      <w:r w:rsidR="0090379D">
        <w:rPr>
          <w:i/>
          <w:iCs/>
        </w:rPr>
        <w:t xml:space="preserve"> continue collaborating with its </w:t>
      </w:r>
      <w:r w:rsidR="00DF7FE7">
        <w:rPr>
          <w:i/>
          <w:iCs/>
        </w:rPr>
        <w:t>municipal partners to streamline the budgeting process to</w:t>
      </w:r>
      <w:r w:rsidR="00BE56DE">
        <w:rPr>
          <w:i/>
          <w:iCs/>
        </w:rPr>
        <w:t xml:space="preserve"> minimize confusion and </w:t>
      </w:r>
      <w:r w:rsidR="00573D06">
        <w:rPr>
          <w:i/>
          <w:iCs/>
        </w:rPr>
        <w:t xml:space="preserve">maximize the </w:t>
      </w:r>
      <w:r w:rsidR="003118A5">
        <w:rPr>
          <w:i/>
          <w:iCs/>
        </w:rPr>
        <w:t>efficient use</w:t>
      </w:r>
      <w:r w:rsidR="00573D06">
        <w:rPr>
          <w:i/>
          <w:iCs/>
        </w:rPr>
        <w:t xml:space="preserve"> of</w:t>
      </w:r>
      <w:r w:rsidR="003118A5">
        <w:rPr>
          <w:i/>
          <w:iCs/>
        </w:rPr>
        <w:t xml:space="preserve"> limited </w:t>
      </w:r>
      <w:r w:rsidR="00720D91">
        <w:rPr>
          <w:i/>
          <w:iCs/>
        </w:rPr>
        <w:t xml:space="preserve">financial </w:t>
      </w:r>
      <w:r w:rsidR="003118A5">
        <w:rPr>
          <w:i/>
          <w:iCs/>
        </w:rPr>
        <w:t xml:space="preserve">resources. </w:t>
      </w:r>
    </w:p>
    <w:p w14:paraId="26CC0050" w14:textId="56FB6BDE" w:rsidR="002B4CEF" w:rsidRPr="00A06F1E" w:rsidRDefault="00CE462B" w:rsidP="00841348">
      <w:pPr>
        <w:pStyle w:val="Bullet1"/>
        <w:sectPr w:rsidR="002B4CEF" w:rsidRPr="00A06F1E" w:rsidSect="00D67AD2">
          <w:headerReference w:type="default" r:id="rId26"/>
          <w:footerReference w:type="default" r:id="rId27"/>
          <w:footerReference w:type="first" r:id="rId28"/>
          <w:pgSz w:w="12240" w:h="15840" w:code="1"/>
          <w:pgMar w:top="1440" w:right="1440" w:bottom="1440" w:left="1440" w:header="720" w:footer="720" w:gutter="0"/>
          <w:pgNumType w:start="1"/>
          <w:cols w:space="720"/>
          <w:docGrid w:linePitch="360"/>
        </w:sectPr>
      </w:pPr>
      <w:r w:rsidRPr="006C5FC5">
        <w:rPr>
          <w:i/>
        </w:rPr>
        <w:t>The superintendency union should</w:t>
      </w:r>
      <w:r w:rsidR="00B9753F" w:rsidRPr="006C5FC5">
        <w:rPr>
          <w:i/>
        </w:rPr>
        <w:t xml:space="preserve"> continue working w</w:t>
      </w:r>
      <w:r w:rsidR="006C5FC5" w:rsidRPr="006C5FC5">
        <w:rPr>
          <w:i/>
        </w:rPr>
        <w:t>ith its municipal partners to secure sufficient capital funds to maintain its facilities</w:t>
      </w:r>
      <w:r w:rsidR="00095225">
        <w:rPr>
          <w:i/>
        </w:rPr>
        <w:t>.</w:t>
      </w:r>
    </w:p>
    <w:p w14:paraId="3086BDED" w14:textId="6668ACD0" w:rsidR="008E314D" w:rsidRPr="00A06F1E" w:rsidRDefault="008E314D" w:rsidP="009E578A">
      <w:pPr>
        <w:pStyle w:val="Heading2"/>
      </w:pPr>
      <w:bookmarkStart w:id="69" w:name="_Toc170701360"/>
      <w:bookmarkStart w:id="70" w:name="_Toc170896583"/>
      <w:r w:rsidRPr="00A06F1E">
        <w:lastRenderedPageBreak/>
        <w:t>Appendix A</w:t>
      </w:r>
      <w:r w:rsidR="006A3A0E" w:rsidRPr="00A06F1E">
        <w:t>.</w:t>
      </w:r>
      <w:r w:rsidRPr="00A06F1E">
        <w:t xml:space="preserve"> </w:t>
      </w:r>
      <w:bookmarkEnd w:id="6"/>
      <w:bookmarkEnd w:id="7"/>
      <w:bookmarkEnd w:id="8"/>
      <w:r w:rsidR="00E475E7" w:rsidRPr="00A06F1E">
        <w:t>Summary of Site Visit Activities</w:t>
      </w:r>
      <w:bookmarkEnd w:id="9"/>
      <w:bookmarkEnd w:id="69"/>
      <w:bookmarkEnd w:id="70"/>
    </w:p>
    <w:p w14:paraId="695311DB" w14:textId="07D4D95D" w:rsidR="006C1DC9" w:rsidRPr="00A06F1E" w:rsidRDefault="00B827DE" w:rsidP="00B827DE">
      <w:pPr>
        <w:pStyle w:val="BodyText"/>
      </w:pPr>
      <w:r w:rsidRPr="00A06F1E">
        <w:t xml:space="preserve">The </w:t>
      </w:r>
      <w:r w:rsidR="00494638" w:rsidRPr="00A06F1E">
        <w:t>AIR</w:t>
      </w:r>
      <w:r w:rsidRPr="00A06F1E">
        <w:t xml:space="preserve"> team completed the following activities as part of the district review activities in </w:t>
      </w:r>
      <w:r w:rsidR="000D6A8E">
        <w:t>RCM &amp; SU 73</w:t>
      </w:r>
      <w:r w:rsidR="00191397" w:rsidRPr="00A06F1E">
        <w:t xml:space="preserve"> (specifically</w:t>
      </w:r>
      <w:r w:rsidR="00B45D0C" w:rsidRPr="00A06F1E">
        <w:t>,</w:t>
      </w:r>
      <w:r w:rsidR="00191397" w:rsidRPr="00A06F1E">
        <w:t xml:space="preserve"> Mahar Regional, </w:t>
      </w:r>
      <w:r w:rsidR="00CF4F71">
        <w:t>Fisher Hill</w:t>
      </w:r>
      <w:r w:rsidR="00191397" w:rsidRPr="00A06F1E">
        <w:t xml:space="preserve">, and </w:t>
      </w:r>
      <w:proofErr w:type="spellStart"/>
      <w:r w:rsidR="00652B48">
        <w:t>Petersham</w:t>
      </w:r>
      <w:proofErr w:type="spellEnd"/>
      <w:r w:rsidR="00652B48">
        <w:t xml:space="preserve"> Center</w:t>
      </w:r>
      <w:r w:rsidR="00191397" w:rsidRPr="00A06F1E">
        <w:t>)</w:t>
      </w:r>
      <w:r w:rsidRPr="00A06F1E">
        <w:t>. The team</w:t>
      </w:r>
      <w:r w:rsidR="00457657" w:rsidRPr="00A06F1E">
        <w:t xml:space="preserve"> </w:t>
      </w:r>
      <w:r w:rsidRPr="00A06F1E">
        <w:t>conducted</w:t>
      </w:r>
      <w:r w:rsidR="00457657" w:rsidRPr="00A06F1E">
        <w:t xml:space="preserve"> </w:t>
      </w:r>
      <w:r w:rsidR="00BC19C3" w:rsidRPr="00A06F1E">
        <w:t>56</w:t>
      </w:r>
      <w:r w:rsidR="00457657" w:rsidRPr="00A06F1E">
        <w:t> </w:t>
      </w:r>
      <w:r w:rsidRPr="00A06F1E">
        <w:t xml:space="preserve">classroom observations during the week of </w:t>
      </w:r>
      <w:r w:rsidR="00191397" w:rsidRPr="00A06F1E">
        <w:t>April 29, 2024</w:t>
      </w:r>
      <w:r w:rsidRPr="00A06F1E">
        <w:t xml:space="preserve">, and held interviews and focus groups between </w:t>
      </w:r>
      <w:r w:rsidR="00191397" w:rsidRPr="00A06F1E">
        <w:t>April 29 and May 3, 2024</w:t>
      </w:r>
      <w:r w:rsidRPr="00A06F1E">
        <w:t>. The site visit team conducted interviews and focus groups with the following representatives from the school and the district:</w:t>
      </w:r>
    </w:p>
    <w:p w14:paraId="735B8A2A" w14:textId="77777777" w:rsidR="006C1DC9" w:rsidRPr="00A06F1E" w:rsidRDefault="00B827DE" w:rsidP="00B827DE">
      <w:pPr>
        <w:pStyle w:val="Bullet1"/>
      </w:pPr>
      <w:r w:rsidRPr="00A06F1E">
        <w:t>Superintendent</w:t>
      </w:r>
    </w:p>
    <w:p w14:paraId="3BB607E5" w14:textId="19BF4EB6" w:rsidR="00B827DE" w:rsidRPr="00A06F1E" w:rsidRDefault="00B827DE" w:rsidP="00B827DE">
      <w:pPr>
        <w:pStyle w:val="Bullet1"/>
      </w:pPr>
      <w:r w:rsidRPr="00A06F1E">
        <w:t xml:space="preserve">Other </w:t>
      </w:r>
      <w:r w:rsidR="00191397" w:rsidRPr="00A06F1E">
        <w:t xml:space="preserve">central office </w:t>
      </w:r>
      <w:r w:rsidRPr="00A06F1E">
        <w:t xml:space="preserve">leaders </w:t>
      </w:r>
      <w:r w:rsidR="393B97C4" w:rsidRPr="00A06F1E">
        <w:t xml:space="preserve">from </w:t>
      </w:r>
      <w:r w:rsidR="000D6A8E">
        <w:t>RCM &amp; SU 73</w:t>
      </w:r>
    </w:p>
    <w:p w14:paraId="5159C132" w14:textId="201EE10B" w:rsidR="00B827DE" w:rsidRPr="00A06F1E" w:rsidRDefault="00B827DE" w:rsidP="00B827DE">
      <w:pPr>
        <w:pStyle w:val="Bullet1"/>
      </w:pPr>
      <w:r w:rsidRPr="00A06F1E">
        <w:t xml:space="preserve">School committee members </w:t>
      </w:r>
      <w:r w:rsidR="00191397" w:rsidRPr="00A06F1E">
        <w:t xml:space="preserve">from Mahar </w:t>
      </w:r>
      <w:r w:rsidR="001E4019" w:rsidRPr="00A06F1E">
        <w:t>Regional</w:t>
      </w:r>
      <w:r w:rsidR="00191397" w:rsidRPr="00A06F1E">
        <w:t xml:space="preserve">, </w:t>
      </w:r>
      <w:r w:rsidR="00CF4F71">
        <w:t>Fisher Hill</w:t>
      </w:r>
      <w:r w:rsidR="00191397" w:rsidRPr="00A06F1E">
        <w:t xml:space="preserve">, and </w:t>
      </w:r>
      <w:proofErr w:type="spellStart"/>
      <w:r w:rsidR="00652B48">
        <w:t>Petersham</w:t>
      </w:r>
      <w:proofErr w:type="spellEnd"/>
      <w:r w:rsidR="00652B48">
        <w:t xml:space="preserve"> Center</w:t>
      </w:r>
    </w:p>
    <w:p w14:paraId="7B556F4E" w14:textId="5DDF4455" w:rsidR="00B827DE" w:rsidRPr="00A06F1E" w:rsidRDefault="00B827DE" w:rsidP="00B827DE">
      <w:pPr>
        <w:pStyle w:val="Bullet1"/>
      </w:pPr>
      <w:r w:rsidRPr="00A06F1E">
        <w:t xml:space="preserve">Teachers association members </w:t>
      </w:r>
      <w:r w:rsidR="00191397" w:rsidRPr="00A06F1E">
        <w:t>from Mahar</w:t>
      </w:r>
      <w:r w:rsidR="00FD57BA" w:rsidRPr="00A06F1E">
        <w:t xml:space="preserve"> Regional</w:t>
      </w:r>
      <w:r w:rsidR="00191397" w:rsidRPr="00A06F1E">
        <w:t xml:space="preserve">, </w:t>
      </w:r>
      <w:r w:rsidR="00CF4F71">
        <w:t>Fisher Hill</w:t>
      </w:r>
      <w:r w:rsidR="00191397" w:rsidRPr="00A06F1E">
        <w:t xml:space="preserve">, and </w:t>
      </w:r>
      <w:proofErr w:type="spellStart"/>
      <w:r w:rsidR="00652B48">
        <w:t>Petersham</w:t>
      </w:r>
      <w:proofErr w:type="spellEnd"/>
      <w:r w:rsidR="00652B48">
        <w:t xml:space="preserve"> Center</w:t>
      </w:r>
    </w:p>
    <w:p w14:paraId="3FCFD54D" w14:textId="77777777" w:rsidR="006C1DC9" w:rsidRPr="00A06F1E" w:rsidRDefault="00B827DE" w:rsidP="00B827DE">
      <w:pPr>
        <w:pStyle w:val="Bullet1"/>
      </w:pPr>
      <w:r w:rsidRPr="00A06F1E">
        <w:t>Principals</w:t>
      </w:r>
    </w:p>
    <w:p w14:paraId="7B965EFF" w14:textId="77777777" w:rsidR="006C1DC9" w:rsidRPr="00A06F1E" w:rsidRDefault="00B827DE" w:rsidP="00B827DE">
      <w:pPr>
        <w:pStyle w:val="Bullet1"/>
      </w:pPr>
      <w:r w:rsidRPr="00A06F1E">
        <w:t>Teachers</w:t>
      </w:r>
    </w:p>
    <w:p w14:paraId="1DC1F93D" w14:textId="77777777" w:rsidR="006C1DC9" w:rsidRPr="00A06F1E" w:rsidRDefault="00B827DE" w:rsidP="00B827DE">
      <w:pPr>
        <w:pStyle w:val="Bullet1"/>
      </w:pPr>
      <w:r w:rsidRPr="00A06F1E">
        <w:t>Support specialists</w:t>
      </w:r>
    </w:p>
    <w:p w14:paraId="1B6BA71E" w14:textId="77777777" w:rsidR="006C1DC9" w:rsidRPr="00A06F1E" w:rsidRDefault="00B827DE" w:rsidP="00B827DE">
      <w:pPr>
        <w:pStyle w:val="Bullet1"/>
      </w:pPr>
      <w:r w:rsidRPr="00A06F1E">
        <w:t>Parents</w:t>
      </w:r>
    </w:p>
    <w:p w14:paraId="5257A993" w14:textId="77777777" w:rsidR="006C1DC9" w:rsidRPr="00A06F1E" w:rsidRDefault="00B827DE" w:rsidP="00B827DE">
      <w:pPr>
        <w:pStyle w:val="Bullet1"/>
      </w:pPr>
      <w:r w:rsidRPr="00A06F1E">
        <w:t>Students</w:t>
      </w:r>
    </w:p>
    <w:p w14:paraId="3909D090" w14:textId="42B6DB12" w:rsidR="006C1DC9" w:rsidRPr="00A06F1E" w:rsidRDefault="00B827DE" w:rsidP="00B827DE">
      <w:pPr>
        <w:pStyle w:val="Bullet1"/>
      </w:pPr>
      <w:r w:rsidRPr="00A06F1E">
        <w:t>Town representative</w:t>
      </w:r>
      <w:r w:rsidR="00191397" w:rsidRPr="00A06F1E">
        <w:t xml:space="preserve">s from Orange and </w:t>
      </w:r>
      <w:proofErr w:type="spellStart"/>
      <w:r w:rsidR="00191397" w:rsidRPr="00A06F1E">
        <w:t>Petersham</w:t>
      </w:r>
      <w:proofErr w:type="spellEnd"/>
    </w:p>
    <w:p w14:paraId="4218700A" w14:textId="77777777" w:rsidR="006C1DC9" w:rsidRPr="00A06F1E" w:rsidRDefault="00B827DE" w:rsidP="00B827DE">
      <w:pPr>
        <w:pStyle w:val="BodyText"/>
      </w:pPr>
      <w:r w:rsidRPr="00A06F1E">
        <w:t>The review team analyzed multiple datasets and reviewed numerous documents before and during the site visit, including</w:t>
      </w:r>
      <w:r w:rsidR="00494638" w:rsidRPr="00A06F1E">
        <w:t xml:space="preserve"> the following</w:t>
      </w:r>
      <w:r w:rsidRPr="00A06F1E">
        <w:t>:</w:t>
      </w:r>
    </w:p>
    <w:p w14:paraId="207079BB" w14:textId="48AD796F" w:rsidR="00B827DE" w:rsidRPr="00A06F1E" w:rsidRDefault="00B827DE" w:rsidP="00B827DE">
      <w:pPr>
        <w:pStyle w:val="Bullet1"/>
      </w:pPr>
      <w:r w:rsidRPr="00A06F1E">
        <w:t>Student and school performance data, including achievement and growth, enrollment, graduation, dropout, retention, suspension, and attendance rates</w:t>
      </w:r>
    </w:p>
    <w:p w14:paraId="32A3F974" w14:textId="33FA2765" w:rsidR="006C1DC9" w:rsidRPr="00A06F1E" w:rsidRDefault="00B827DE" w:rsidP="00B827DE">
      <w:pPr>
        <w:pStyle w:val="Bullet1"/>
      </w:pPr>
      <w:r w:rsidRPr="00A06F1E">
        <w:t>Data on the</w:t>
      </w:r>
      <w:r w:rsidR="00191397" w:rsidRPr="00A06F1E">
        <w:t xml:space="preserve"> superintendency union and districts</w:t>
      </w:r>
      <w:r w:rsidR="00040362" w:rsidRPr="00A06F1E">
        <w:t>’</w:t>
      </w:r>
      <w:r w:rsidR="00191397" w:rsidRPr="00A06F1E">
        <w:t xml:space="preserve"> </w:t>
      </w:r>
      <w:r w:rsidRPr="00A06F1E">
        <w:t>staffing and finances</w:t>
      </w:r>
    </w:p>
    <w:p w14:paraId="4DD39A60" w14:textId="45358E61" w:rsidR="00B827DE" w:rsidRPr="00A06F1E" w:rsidRDefault="0054101D" w:rsidP="00B827DE">
      <w:pPr>
        <w:pStyle w:val="Bullet1"/>
      </w:pPr>
      <w:r w:rsidRPr="00A06F1E">
        <w:t xml:space="preserve">Curricular </w:t>
      </w:r>
      <w:r w:rsidR="00B827DE" w:rsidRPr="00A06F1E">
        <w:t>review process and timeline</w:t>
      </w:r>
    </w:p>
    <w:p w14:paraId="49D63455" w14:textId="10C4C53A" w:rsidR="00B827DE" w:rsidRPr="00A06F1E" w:rsidRDefault="000D6A8E" w:rsidP="00B827DE">
      <w:pPr>
        <w:pStyle w:val="Bullet1"/>
      </w:pPr>
      <w:r>
        <w:t>RCM &amp; SU 73</w:t>
      </w:r>
      <w:r w:rsidR="00191397" w:rsidRPr="00A06F1E">
        <w:t xml:space="preserve"> </w:t>
      </w:r>
      <w:r w:rsidR="00B827DE" w:rsidRPr="00A06F1E">
        <w:t>curriculum unit template</w:t>
      </w:r>
    </w:p>
    <w:p w14:paraId="39A28A74" w14:textId="212B18BC" w:rsidR="00B827DE" w:rsidRPr="00A06F1E" w:rsidRDefault="00B827DE" w:rsidP="00B827DE">
      <w:pPr>
        <w:pStyle w:val="Bullet1"/>
      </w:pPr>
      <w:r w:rsidRPr="00A06F1E">
        <w:t>Published educational reports on the district by DESE, the New England Association of Schools and Colleges, and the former Office of Educational Quality and Accountability</w:t>
      </w:r>
    </w:p>
    <w:p w14:paraId="2BA65B5C" w14:textId="08EE3633" w:rsidR="00B827DE" w:rsidRPr="00A06F1E" w:rsidRDefault="000D6A8E" w:rsidP="00B827DE">
      <w:pPr>
        <w:pStyle w:val="Bullet1"/>
      </w:pPr>
      <w:r>
        <w:t>RCM &amp; SU 73</w:t>
      </w:r>
      <w:r w:rsidR="00D46A92" w:rsidRPr="00A06F1E">
        <w:t xml:space="preserve"> </w:t>
      </w:r>
      <w:r w:rsidR="00B827DE" w:rsidRPr="00A06F1E">
        <w:t xml:space="preserve">documents such as </w:t>
      </w:r>
      <w:r w:rsidR="005F2EAD" w:rsidRPr="00A06F1E">
        <w:t>the D</w:t>
      </w:r>
      <w:r w:rsidR="00B827DE" w:rsidRPr="00A06F1E">
        <w:t xml:space="preserve">istrict </w:t>
      </w:r>
      <w:r w:rsidR="005F2EAD" w:rsidRPr="00A06F1E">
        <w:t xml:space="preserve">Improvement Plan </w:t>
      </w:r>
      <w:r w:rsidR="00B827DE" w:rsidRPr="00A06F1E">
        <w:t xml:space="preserve">and </w:t>
      </w:r>
      <w:r w:rsidR="00E42778" w:rsidRPr="00A06F1E">
        <w:t>SIP</w:t>
      </w:r>
      <w:r w:rsidR="00B827DE" w:rsidRPr="00A06F1E">
        <w:t>s, school committee policies, curriculum documents, summaries of student assessments, job descriptions, collective bargaining agreements, evaluation tools for staff, handbooks, school schedules, and the district</w:t>
      </w:r>
      <w:r w:rsidR="00040362" w:rsidRPr="00A06F1E">
        <w:t>’</w:t>
      </w:r>
      <w:r w:rsidR="00B827DE" w:rsidRPr="00A06F1E">
        <w:t>s end-of-year financial reports</w:t>
      </w:r>
    </w:p>
    <w:p w14:paraId="645B15D9" w14:textId="0319EE8D" w:rsidR="00D60F09" w:rsidRPr="00A06F1E" w:rsidRDefault="00B827DE" w:rsidP="00B827DE">
      <w:pPr>
        <w:pStyle w:val="Bullet1"/>
      </w:pPr>
      <w:r w:rsidRPr="00A06F1E">
        <w:t>All completed program and administrator evaluations and a random selection of completed teacher evaluations</w:t>
      </w:r>
    </w:p>
    <w:p w14:paraId="463A5006" w14:textId="131068F2" w:rsidR="008D6102" w:rsidRPr="00A06F1E" w:rsidRDefault="008D6102" w:rsidP="00DA6C44">
      <w:pPr>
        <w:pStyle w:val="Bullet1"/>
        <w:numPr>
          <w:ilvl w:val="0"/>
          <w:numId w:val="0"/>
        </w:numPr>
        <w:ind w:left="720" w:hanging="360"/>
      </w:pPr>
    </w:p>
    <w:p w14:paraId="6A7B59BA" w14:textId="77777777" w:rsidR="006D0B48" w:rsidRPr="00A06F1E" w:rsidRDefault="006D0B48" w:rsidP="006A3A0E">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A06F1E" w:rsidSect="00D67AD2">
          <w:footerReference w:type="default" r:id="rId29"/>
          <w:pgSz w:w="12240" w:h="15840" w:code="1"/>
          <w:pgMar w:top="1440" w:right="1440" w:bottom="1440" w:left="1440" w:header="720" w:footer="720" w:gutter="0"/>
          <w:pgNumType w:start="1"/>
          <w:cols w:space="720"/>
          <w:docGrid w:linePitch="360"/>
        </w:sectPr>
      </w:pPr>
    </w:p>
    <w:p w14:paraId="2A2032DD" w14:textId="77777777" w:rsidR="00486B55" w:rsidRPr="00A06F1E" w:rsidRDefault="00486B55" w:rsidP="00486B55">
      <w:pPr>
        <w:pStyle w:val="Heading2"/>
        <w:pageBreakBefore w:val="0"/>
      </w:pPr>
      <w:bookmarkStart w:id="71" w:name="_Toc101878651"/>
      <w:bookmarkStart w:id="72" w:name="_Toc170896584"/>
      <w:bookmarkStart w:id="73" w:name="_Toc170701361"/>
      <w:bookmarkStart w:id="74" w:name="_Hlk100740908"/>
      <w:bookmarkStart w:id="75" w:name="_Toc101878652"/>
      <w:bookmarkStart w:id="76" w:name="_Toc101878650"/>
      <w:r w:rsidRPr="00A06F1E">
        <w:lastRenderedPageBreak/>
        <w:t>Appendix B. Districtwide Instructional Observation Report</w:t>
      </w:r>
      <w:bookmarkEnd w:id="71"/>
      <w:bookmarkEnd w:id="72"/>
      <w:r w:rsidRPr="00A06F1E">
        <w:t xml:space="preserve"> </w:t>
      </w:r>
      <w:bookmarkEnd w:id="73"/>
    </w:p>
    <w:p w14:paraId="7BF2B701" w14:textId="77777777" w:rsidR="00BC061B" w:rsidRPr="00A06F1E" w:rsidRDefault="00BC061B" w:rsidP="00BC061B">
      <w:pPr>
        <w:pStyle w:val="BodyTextposthead"/>
        <w:sectPr w:rsidR="00BC061B" w:rsidRPr="00A06F1E" w:rsidSect="00D67AD2">
          <w:footerReference w:type="default" r:id="rId30"/>
          <w:pgSz w:w="12240" w:h="15840" w:code="1"/>
          <w:pgMar w:top="1440" w:right="1440" w:bottom="1440" w:left="1440" w:header="720" w:footer="720" w:gutter="0"/>
          <w:pgNumType w:start="1"/>
          <w:cols w:space="720"/>
          <w:docGrid w:linePitch="360"/>
        </w:sectPr>
      </w:pPr>
    </w:p>
    <w:p w14:paraId="438C6064" w14:textId="77777777" w:rsidR="0033262D" w:rsidRPr="00A06F1E" w:rsidRDefault="0033262D">
      <w:pPr>
        <w:pStyle w:val="CoverTopLogo"/>
      </w:pPr>
      <w:r w:rsidRPr="00A06F1E">
        <w:rPr>
          <w:rFonts w:ascii="Times New Roman" w:eastAsia="Calibri" w:hAnsi="Times New Roman" w:cs="Times New Roman"/>
          <w:noProof/>
          <w:sz w:val="20"/>
        </w:rPr>
        <w:lastRenderedPageBreak/>
        <w:drawing>
          <wp:inline distT="0" distB="0" distL="0" distR="0" wp14:anchorId="6D278888" wp14:editId="20ADB4DB">
            <wp:extent cx="2404872" cy="685800"/>
            <wp:effectExtent l="0" t="0" r="0" b="0"/>
            <wp:docPr id="30" name="Picture 30" descr="Logo for DESE; Massachusetts Department of Elementary and Secondary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for DESE; Massachusetts Department of Elementary and Secondary Education. "/>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404872" cy="685800"/>
                    </a:xfrm>
                    <a:prstGeom prst="rect">
                      <a:avLst/>
                    </a:prstGeom>
                  </pic:spPr>
                </pic:pic>
              </a:graphicData>
            </a:graphic>
          </wp:inline>
        </w:drawing>
      </w:r>
      <w:r w:rsidRPr="00A06F1E">
        <w:rPr>
          <w:noProof/>
        </w:rPr>
        <w:drawing>
          <wp:anchor distT="0" distB="0" distL="114300" distR="114300" simplePos="0" relativeHeight="251658240" behindDoc="1" locked="1" layoutInCell="1" allowOverlap="1" wp14:anchorId="42FFFB51" wp14:editId="71593062">
            <wp:simplePos x="0" y="0"/>
            <wp:positionH relativeFrom="column">
              <wp:align>center</wp:align>
            </wp:positionH>
            <wp:positionV relativeFrom="margin">
              <wp:align>top</wp:align>
            </wp:positionV>
            <wp:extent cx="6665976" cy="9134856"/>
            <wp:effectExtent l="0" t="0" r="1905" b="0"/>
            <wp:wrapNone/>
            <wp:docPr id="1262740546" name="Picture 12627405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65976" cy="9134856"/>
                    </a:xfrm>
                    <a:prstGeom prst="rect">
                      <a:avLst/>
                    </a:prstGeom>
                    <a:noFill/>
                  </pic:spPr>
                </pic:pic>
              </a:graphicData>
            </a:graphic>
            <wp14:sizeRelH relativeFrom="margin">
              <wp14:pctWidth>0</wp14:pctWidth>
            </wp14:sizeRelH>
            <wp14:sizeRelV relativeFrom="margin">
              <wp14:pctHeight>0</wp14:pctHeight>
            </wp14:sizeRelV>
          </wp:anchor>
        </w:drawing>
      </w:r>
    </w:p>
    <w:p w14:paraId="7B5AA65B" w14:textId="77777777" w:rsidR="0033262D" w:rsidRPr="00A06F1E" w:rsidRDefault="0033262D">
      <w:pPr>
        <w:pStyle w:val="CoverDistrictName"/>
        <w:ind w:left="4032"/>
      </w:pPr>
      <w:bookmarkStart w:id="77" w:name="District1"/>
      <w:r w:rsidRPr="00A06F1E">
        <w:t>Ralph C. Mahar Regional and School Union 73</w:t>
      </w:r>
      <w:bookmarkEnd w:id="77"/>
      <w:r w:rsidRPr="00A06F1E">
        <w:t xml:space="preserve"> Public Schools</w:t>
      </w:r>
    </w:p>
    <w:p w14:paraId="5FACDC94" w14:textId="77777777" w:rsidR="0033262D" w:rsidRPr="00A06F1E" w:rsidRDefault="0033262D" w:rsidP="0033262D">
      <w:pPr>
        <w:pStyle w:val="CoverSubtitle3"/>
        <w:ind w:left="4032"/>
      </w:pPr>
      <w:r w:rsidRPr="00A06F1E">
        <w:t>Classroom Visits: Summary of Findings</w:t>
      </w:r>
    </w:p>
    <w:p w14:paraId="05970CC9" w14:textId="77777777" w:rsidR="0033262D" w:rsidRPr="00A06F1E" w:rsidRDefault="0033262D" w:rsidP="0033262D">
      <w:pPr>
        <w:pStyle w:val="CoverSubtitle2-SIOR"/>
        <w:shd w:val="clear" w:color="auto" w:fill="2F5597"/>
        <w:spacing w:before="360"/>
        <w:ind w:left="4032"/>
      </w:pPr>
      <w:r w:rsidRPr="00A06F1E">
        <w:t>Districtwide Instructional Observation Report</w:t>
      </w:r>
    </w:p>
    <w:p w14:paraId="0ED22788" w14:textId="77777777" w:rsidR="0033262D" w:rsidRPr="00A06F1E" w:rsidRDefault="0033262D" w:rsidP="0033262D">
      <w:pPr>
        <w:pStyle w:val="CoverDate"/>
        <w:ind w:left="4032"/>
      </w:pPr>
      <w:bookmarkStart w:id="78" w:name="MonthName1"/>
      <w:r w:rsidRPr="00A06F1E">
        <w:t>April</w:t>
      </w:r>
      <w:bookmarkEnd w:id="78"/>
      <w:r w:rsidRPr="00A06F1E">
        <w:t xml:space="preserve"> 2024</w:t>
      </w:r>
    </w:p>
    <w:p w14:paraId="2F433BD6" w14:textId="77777777" w:rsidR="0033262D" w:rsidRPr="00A06F1E" w:rsidRDefault="0033262D">
      <w:pPr>
        <w:pStyle w:val="CoverBottomLogo"/>
        <w:spacing w:before="6200"/>
        <w:ind w:left="450"/>
        <w:sectPr w:rsidR="0033262D" w:rsidRPr="00A06F1E" w:rsidSect="0033262D">
          <w:footerReference w:type="default" r:id="rId33"/>
          <w:pgSz w:w="12240" w:h="15840" w:code="1"/>
          <w:pgMar w:top="720" w:right="1008" w:bottom="720" w:left="1008" w:header="720" w:footer="720" w:gutter="0"/>
          <w:cols w:space="720"/>
          <w:docGrid w:linePitch="360"/>
        </w:sectPr>
      </w:pPr>
    </w:p>
    <w:p w14:paraId="415B59C2" w14:textId="77777777" w:rsidR="0033262D" w:rsidRPr="00A06F1E" w:rsidRDefault="0033262D">
      <w:pPr>
        <w:pStyle w:val="CoverBottomLogo"/>
        <w:spacing w:before="6200"/>
        <w:ind w:left="450"/>
      </w:pPr>
      <w:r w:rsidRPr="00A06F1E">
        <w:rPr>
          <w:noProof/>
        </w:rPr>
        <w:drawing>
          <wp:inline distT="0" distB="0" distL="0" distR="0" wp14:anchorId="05A21744" wp14:editId="0E9BB12D">
            <wp:extent cx="1655064" cy="484632"/>
            <wp:effectExtent l="0" t="0" r="2540" b="0"/>
            <wp:docPr id="29" name="Picture 29" descr="Logo for AIR; American Institutes for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for AIR; American Institutes for Research. "/>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655064" cy="484632"/>
                    </a:xfrm>
                    <a:prstGeom prst="rect">
                      <a:avLst/>
                    </a:prstGeom>
                    <a:ln>
                      <a:noFill/>
                    </a:ln>
                    <a:extLst>
                      <a:ext uri="{53640926-AAD7-44D8-BBD7-CCE9431645EC}">
                        <a14:shadowObscured xmlns:a14="http://schemas.microsoft.com/office/drawing/2010/main"/>
                      </a:ext>
                    </a:extLst>
                  </pic:spPr>
                </pic:pic>
              </a:graphicData>
            </a:graphic>
          </wp:inline>
        </w:drawing>
      </w:r>
    </w:p>
    <w:p w14:paraId="688F3939" w14:textId="77777777" w:rsidR="0033262D" w:rsidRPr="00A06F1E" w:rsidRDefault="0033262D" w:rsidP="0033262D">
      <w:pPr>
        <w:pStyle w:val="Cover-AIRaddress"/>
        <w:spacing w:before="6000"/>
        <w:ind w:left="0"/>
      </w:pPr>
      <w:r w:rsidRPr="00A06F1E">
        <w:br w:type="column"/>
      </w:r>
      <w:r w:rsidRPr="00A06F1E">
        <w:t>201 Jones Road</w:t>
      </w:r>
      <w:r w:rsidRPr="00A06F1E">
        <w:br/>
        <w:t>Waltham, Massachusetts</w:t>
      </w:r>
      <w:r w:rsidRPr="00A06F1E">
        <w:br/>
        <w:t>781-373-7000 | TTY 877.334.3499</w:t>
      </w:r>
    </w:p>
    <w:p w14:paraId="59932010" w14:textId="77777777" w:rsidR="0033262D" w:rsidRPr="00A06F1E" w:rsidRDefault="00000000" w:rsidP="0033262D">
      <w:pPr>
        <w:pStyle w:val="Cover-AIRaddress"/>
        <w:ind w:left="0"/>
        <w:rPr>
          <w:sz w:val="18"/>
        </w:rPr>
        <w:sectPr w:rsidR="0033262D" w:rsidRPr="00A06F1E" w:rsidSect="0033262D">
          <w:type w:val="continuous"/>
          <w:pgSz w:w="12240" w:h="15840" w:code="1"/>
          <w:pgMar w:top="720" w:right="1008" w:bottom="720" w:left="1008" w:header="720" w:footer="720" w:gutter="0"/>
          <w:pgNumType w:fmt="lowerRoman" w:start="1"/>
          <w:cols w:num="2" w:space="0" w:equalWidth="0">
            <w:col w:w="4032" w:space="0"/>
            <w:col w:w="6192"/>
          </w:cols>
          <w:docGrid w:linePitch="360"/>
        </w:sectPr>
      </w:pPr>
      <w:hyperlink r:id="rId35" w:history="1">
        <w:r w:rsidR="0033262D" w:rsidRPr="00A06F1E">
          <w:rPr>
            <w:rStyle w:val="FranklinGothicDemi"/>
            <w:u w:val="single"/>
          </w:rPr>
          <w:t>www.air.org</w:t>
        </w:r>
      </w:hyperlink>
    </w:p>
    <w:p w14:paraId="0991F449" w14:textId="77777777" w:rsidR="0033262D" w:rsidRPr="00A06F1E" w:rsidRDefault="0033262D">
      <w:pPr>
        <w:pStyle w:val="TOCHeading"/>
      </w:pPr>
      <w:r w:rsidRPr="00A06F1E">
        <w:lastRenderedPageBreak/>
        <w:t>Contents</w:t>
      </w:r>
    </w:p>
    <w:p w14:paraId="3F555CFA" w14:textId="77777777" w:rsidR="0033262D" w:rsidRPr="00A06F1E" w:rsidRDefault="0033262D">
      <w:pPr>
        <w:spacing w:after="120"/>
        <w:jc w:val="right"/>
        <w:rPr>
          <w:rFonts w:ascii="Calibri" w:eastAsia="Times New Roman" w:hAnsi="Calibri" w:cs="Calibri"/>
          <w:b/>
          <w:bCs/>
          <w:szCs w:val="20"/>
        </w:rPr>
      </w:pPr>
      <w:r w:rsidRPr="00A06F1E">
        <w:rPr>
          <w:rFonts w:ascii="Calibri" w:eastAsia="Times New Roman" w:hAnsi="Calibri" w:cs="Calibri"/>
          <w:b/>
          <w:bCs/>
          <w:szCs w:val="20"/>
        </w:rPr>
        <w:t>Page</w:t>
      </w:r>
    </w:p>
    <w:p w14:paraId="48DCAF19" w14:textId="07E187DE" w:rsidR="0033262D" w:rsidRPr="00A06F1E" w:rsidRDefault="0033262D">
      <w:pPr>
        <w:pStyle w:val="TOC1"/>
        <w:tabs>
          <w:tab w:val="right" w:leader="dot" w:pos="9350"/>
        </w:tabs>
        <w:rPr>
          <w:rFonts w:eastAsiaTheme="minorEastAsia"/>
          <w:noProof/>
        </w:rPr>
      </w:pPr>
      <w:r w:rsidRPr="00A06F1E">
        <w:rPr>
          <w:rFonts w:ascii="Calibri" w:eastAsia="Times New Roman" w:hAnsi="Calibri" w:cs="Calibri"/>
          <w:b/>
          <w:bCs/>
          <w:szCs w:val="20"/>
        </w:rPr>
        <w:fldChar w:fldCharType="begin"/>
      </w:r>
      <w:r w:rsidRPr="00A06F1E">
        <w:rPr>
          <w:rFonts w:ascii="Calibri" w:eastAsia="Times New Roman" w:hAnsi="Calibri" w:cs="Calibri"/>
          <w:b/>
          <w:bCs/>
          <w:szCs w:val="20"/>
        </w:rPr>
        <w:instrText xml:space="preserve"> TOC \h \z \t "Heading 2 - SIOR,1" </w:instrText>
      </w:r>
      <w:r w:rsidRPr="00A06F1E">
        <w:rPr>
          <w:rFonts w:ascii="Calibri" w:eastAsia="Times New Roman" w:hAnsi="Calibri" w:cs="Calibri"/>
          <w:b/>
          <w:bCs/>
          <w:szCs w:val="20"/>
        </w:rPr>
        <w:fldChar w:fldCharType="separate"/>
      </w:r>
      <w:hyperlink w:anchor="_Toc92194253" w:history="1">
        <w:r w:rsidRPr="00A06F1E">
          <w:rPr>
            <w:rStyle w:val="Hyperlink"/>
            <w:noProof/>
          </w:rPr>
          <w:t>Introduction</w:t>
        </w:r>
        <w:r w:rsidRPr="00A06F1E">
          <w:rPr>
            <w:noProof/>
            <w:webHidden/>
          </w:rPr>
          <w:tab/>
        </w:r>
        <w:r w:rsidRPr="00A06F1E">
          <w:rPr>
            <w:noProof/>
            <w:webHidden/>
          </w:rPr>
          <w:fldChar w:fldCharType="begin"/>
        </w:r>
        <w:r w:rsidRPr="00A06F1E">
          <w:rPr>
            <w:noProof/>
            <w:webHidden/>
          </w:rPr>
          <w:instrText xml:space="preserve"> PAGEREF _Toc92194253 \h </w:instrText>
        </w:r>
        <w:r w:rsidRPr="00A06F1E">
          <w:rPr>
            <w:noProof/>
            <w:webHidden/>
          </w:rPr>
        </w:r>
        <w:r w:rsidRPr="00A06F1E">
          <w:rPr>
            <w:noProof/>
            <w:webHidden/>
          </w:rPr>
          <w:fldChar w:fldCharType="separate"/>
        </w:r>
        <w:r w:rsidR="00847D64">
          <w:rPr>
            <w:noProof/>
            <w:webHidden/>
          </w:rPr>
          <w:t>4</w:t>
        </w:r>
        <w:r w:rsidRPr="00A06F1E">
          <w:rPr>
            <w:noProof/>
            <w:webHidden/>
          </w:rPr>
          <w:fldChar w:fldCharType="end"/>
        </w:r>
      </w:hyperlink>
    </w:p>
    <w:p w14:paraId="55362879" w14:textId="3A5DB140" w:rsidR="0033262D" w:rsidRPr="00A06F1E" w:rsidRDefault="00000000">
      <w:pPr>
        <w:pStyle w:val="TOC1"/>
        <w:tabs>
          <w:tab w:val="right" w:leader="dot" w:pos="9350"/>
        </w:tabs>
        <w:rPr>
          <w:rFonts w:eastAsiaTheme="minorEastAsia"/>
          <w:noProof/>
        </w:rPr>
      </w:pPr>
      <w:hyperlink w:anchor="_Toc92194254" w:history="1">
        <w:r w:rsidR="0033262D" w:rsidRPr="00A06F1E">
          <w:rPr>
            <w:rStyle w:val="Hyperlink"/>
            <w:noProof/>
          </w:rPr>
          <w:t>Positive Climate</w:t>
        </w:r>
        <w:r w:rsidR="0033262D" w:rsidRPr="00A06F1E">
          <w:rPr>
            <w:noProof/>
            <w:webHidden/>
          </w:rPr>
          <w:tab/>
        </w:r>
        <w:r w:rsidR="0033262D" w:rsidRPr="00A06F1E">
          <w:rPr>
            <w:noProof/>
            <w:webHidden/>
          </w:rPr>
          <w:fldChar w:fldCharType="begin"/>
        </w:r>
        <w:r w:rsidR="0033262D" w:rsidRPr="00A06F1E">
          <w:rPr>
            <w:noProof/>
            <w:webHidden/>
          </w:rPr>
          <w:instrText xml:space="preserve"> PAGEREF _Toc92194254 \h </w:instrText>
        </w:r>
        <w:r w:rsidR="0033262D" w:rsidRPr="00A06F1E">
          <w:rPr>
            <w:noProof/>
            <w:webHidden/>
          </w:rPr>
        </w:r>
        <w:r w:rsidR="0033262D" w:rsidRPr="00A06F1E">
          <w:rPr>
            <w:noProof/>
            <w:webHidden/>
          </w:rPr>
          <w:fldChar w:fldCharType="separate"/>
        </w:r>
        <w:r w:rsidR="00847D64">
          <w:rPr>
            <w:noProof/>
            <w:webHidden/>
          </w:rPr>
          <w:t>6</w:t>
        </w:r>
        <w:r w:rsidR="0033262D" w:rsidRPr="00A06F1E">
          <w:rPr>
            <w:noProof/>
            <w:webHidden/>
          </w:rPr>
          <w:fldChar w:fldCharType="end"/>
        </w:r>
      </w:hyperlink>
    </w:p>
    <w:p w14:paraId="19BB945C" w14:textId="5488120B" w:rsidR="0033262D" w:rsidRPr="00A06F1E" w:rsidRDefault="00000000">
      <w:pPr>
        <w:pStyle w:val="TOC1"/>
        <w:tabs>
          <w:tab w:val="right" w:leader="dot" w:pos="9350"/>
        </w:tabs>
        <w:rPr>
          <w:rFonts w:eastAsiaTheme="minorEastAsia"/>
          <w:noProof/>
        </w:rPr>
      </w:pPr>
      <w:hyperlink w:anchor="_Toc92194255" w:history="1">
        <w:r w:rsidR="0033262D" w:rsidRPr="00A06F1E">
          <w:rPr>
            <w:rStyle w:val="Hyperlink"/>
            <w:noProof/>
          </w:rPr>
          <w:t>Teacher Sensitivity</w:t>
        </w:r>
        <w:r w:rsidR="0033262D" w:rsidRPr="00A06F1E">
          <w:rPr>
            <w:noProof/>
            <w:webHidden/>
          </w:rPr>
          <w:tab/>
        </w:r>
        <w:r w:rsidR="0033262D" w:rsidRPr="00A06F1E">
          <w:rPr>
            <w:noProof/>
            <w:webHidden/>
          </w:rPr>
          <w:fldChar w:fldCharType="begin"/>
        </w:r>
        <w:r w:rsidR="0033262D" w:rsidRPr="00A06F1E">
          <w:rPr>
            <w:noProof/>
            <w:webHidden/>
          </w:rPr>
          <w:instrText xml:space="preserve"> PAGEREF _Toc92194255 \h </w:instrText>
        </w:r>
        <w:r w:rsidR="0033262D" w:rsidRPr="00A06F1E">
          <w:rPr>
            <w:noProof/>
            <w:webHidden/>
          </w:rPr>
        </w:r>
        <w:r w:rsidR="0033262D" w:rsidRPr="00A06F1E">
          <w:rPr>
            <w:noProof/>
            <w:webHidden/>
          </w:rPr>
          <w:fldChar w:fldCharType="separate"/>
        </w:r>
        <w:r w:rsidR="00847D64">
          <w:rPr>
            <w:noProof/>
            <w:webHidden/>
          </w:rPr>
          <w:t>7</w:t>
        </w:r>
        <w:r w:rsidR="0033262D" w:rsidRPr="00A06F1E">
          <w:rPr>
            <w:noProof/>
            <w:webHidden/>
          </w:rPr>
          <w:fldChar w:fldCharType="end"/>
        </w:r>
      </w:hyperlink>
    </w:p>
    <w:p w14:paraId="4C373E33" w14:textId="5C257D7A" w:rsidR="0033262D" w:rsidRPr="00A06F1E" w:rsidRDefault="00000000">
      <w:pPr>
        <w:pStyle w:val="TOC1"/>
        <w:tabs>
          <w:tab w:val="right" w:leader="dot" w:pos="9350"/>
        </w:tabs>
        <w:rPr>
          <w:rFonts w:eastAsiaTheme="minorEastAsia"/>
          <w:noProof/>
        </w:rPr>
      </w:pPr>
      <w:hyperlink w:anchor="_Toc92194256" w:history="1">
        <w:r w:rsidR="0033262D" w:rsidRPr="00A06F1E">
          <w:rPr>
            <w:rStyle w:val="Hyperlink"/>
            <w:noProof/>
          </w:rPr>
          <w:t>Regard for Student Perspectives</w:t>
        </w:r>
        <w:r w:rsidR="0033262D" w:rsidRPr="00A06F1E">
          <w:rPr>
            <w:noProof/>
            <w:webHidden/>
          </w:rPr>
          <w:tab/>
        </w:r>
        <w:r w:rsidR="0033262D" w:rsidRPr="00A06F1E">
          <w:rPr>
            <w:noProof/>
            <w:webHidden/>
          </w:rPr>
          <w:fldChar w:fldCharType="begin"/>
        </w:r>
        <w:r w:rsidR="0033262D" w:rsidRPr="00A06F1E">
          <w:rPr>
            <w:noProof/>
            <w:webHidden/>
          </w:rPr>
          <w:instrText xml:space="preserve"> PAGEREF _Toc92194256 \h </w:instrText>
        </w:r>
        <w:r w:rsidR="0033262D" w:rsidRPr="00A06F1E">
          <w:rPr>
            <w:noProof/>
            <w:webHidden/>
          </w:rPr>
        </w:r>
        <w:r w:rsidR="0033262D" w:rsidRPr="00A06F1E">
          <w:rPr>
            <w:noProof/>
            <w:webHidden/>
          </w:rPr>
          <w:fldChar w:fldCharType="separate"/>
        </w:r>
        <w:r w:rsidR="00847D64">
          <w:rPr>
            <w:noProof/>
            <w:webHidden/>
          </w:rPr>
          <w:t>8</w:t>
        </w:r>
        <w:r w:rsidR="0033262D" w:rsidRPr="00A06F1E">
          <w:rPr>
            <w:noProof/>
            <w:webHidden/>
          </w:rPr>
          <w:fldChar w:fldCharType="end"/>
        </w:r>
      </w:hyperlink>
    </w:p>
    <w:p w14:paraId="7E5A0DE1" w14:textId="6003B71A" w:rsidR="0033262D" w:rsidRPr="00A06F1E" w:rsidRDefault="00000000">
      <w:pPr>
        <w:pStyle w:val="TOC1"/>
        <w:tabs>
          <w:tab w:val="right" w:leader="dot" w:pos="9350"/>
        </w:tabs>
        <w:rPr>
          <w:rFonts w:eastAsiaTheme="minorEastAsia"/>
          <w:noProof/>
        </w:rPr>
      </w:pPr>
      <w:hyperlink w:anchor="_Toc92194257" w:history="1">
        <w:r w:rsidR="0033262D" w:rsidRPr="00A06F1E">
          <w:rPr>
            <w:rStyle w:val="Hyperlink"/>
            <w:noProof/>
          </w:rPr>
          <w:t>Negative Climate</w:t>
        </w:r>
        <w:r w:rsidR="0033262D" w:rsidRPr="00A06F1E">
          <w:rPr>
            <w:noProof/>
            <w:webHidden/>
          </w:rPr>
          <w:tab/>
        </w:r>
        <w:r w:rsidR="0033262D" w:rsidRPr="00A06F1E">
          <w:rPr>
            <w:noProof/>
            <w:webHidden/>
          </w:rPr>
          <w:fldChar w:fldCharType="begin"/>
        </w:r>
        <w:r w:rsidR="0033262D" w:rsidRPr="00A06F1E">
          <w:rPr>
            <w:noProof/>
            <w:webHidden/>
          </w:rPr>
          <w:instrText xml:space="preserve"> PAGEREF _Toc92194257 \h </w:instrText>
        </w:r>
        <w:r w:rsidR="0033262D" w:rsidRPr="00A06F1E">
          <w:rPr>
            <w:noProof/>
            <w:webHidden/>
          </w:rPr>
        </w:r>
        <w:r w:rsidR="0033262D" w:rsidRPr="00A06F1E">
          <w:rPr>
            <w:noProof/>
            <w:webHidden/>
          </w:rPr>
          <w:fldChar w:fldCharType="separate"/>
        </w:r>
        <w:r w:rsidR="00847D64">
          <w:rPr>
            <w:noProof/>
            <w:webHidden/>
          </w:rPr>
          <w:t>9</w:t>
        </w:r>
        <w:r w:rsidR="0033262D" w:rsidRPr="00A06F1E">
          <w:rPr>
            <w:noProof/>
            <w:webHidden/>
          </w:rPr>
          <w:fldChar w:fldCharType="end"/>
        </w:r>
      </w:hyperlink>
    </w:p>
    <w:p w14:paraId="5FD36B65" w14:textId="1616F97F" w:rsidR="0033262D" w:rsidRPr="00A06F1E" w:rsidRDefault="00000000">
      <w:pPr>
        <w:pStyle w:val="TOC1"/>
        <w:tabs>
          <w:tab w:val="right" w:leader="dot" w:pos="9350"/>
        </w:tabs>
        <w:rPr>
          <w:rFonts w:eastAsiaTheme="minorEastAsia"/>
          <w:noProof/>
        </w:rPr>
      </w:pPr>
      <w:hyperlink w:anchor="_Toc92194258" w:history="1">
        <w:r w:rsidR="0033262D" w:rsidRPr="00A06F1E">
          <w:rPr>
            <w:rStyle w:val="Hyperlink"/>
            <w:noProof/>
          </w:rPr>
          <w:t>Behavior Management</w:t>
        </w:r>
        <w:r w:rsidR="0033262D" w:rsidRPr="00A06F1E">
          <w:rPr>
            <w:noProof/>
            <w:webHidden/>
          </w:rPr>
          <w:tab/>
        </w:r>
        <w:r w:rsidR="0033262D" w:rsidRPr="00A06F1E">
          <w:rPr>
            <w:noProof/>
            <w:webHidden/>
          </w:rPr>
          <w:fldChar w:fldCharType="begin"/>
        </w:r>
        <w:r w:rsidR="0033262D" w:rsidRPr="00A06F1E">
          <w:rPr>
            <w:noProof/>
            <w:webHidden/>
          </w:rPr>
          <w:instrText xml:space="preserve"> PAGEREF _Toc92194258 \h </w:instrText>
        </w:r>
        <w:r w:rsidR="0033262D" w:rsidRPr="00A06F1E">
          <w:rPr>
            <w:noProof/>
            <w:webHidden/>
          </w:rPr>
        </w:r>
        <w:r w:rsidR="0033262D" w:rsidRPr="00A06F1E">
          <w:rPr>
            <w:noProof/>
            <w:webHidden/>
          </w:rPr>
          <w:fldChar w:fldCharType="separate"/>
        </w:r>
        <w:r w:rsidR="00847D64">
          <w:rPr>
            <w:noProof/>
            <w:webHidden/>
          </w:rPr>
          <w:t>10</w:t>
        </w:r>
        <w:r w:rsidR="0033262D" w:rsidRPr="00A06F1E">
          <w:rPr>
            <w:noProof/>
            <w:webHidden/>
          </w:rPr>
          <w:fldChar w:fldCharType="end"/>
        </w:r>
      </w:hyperlink>
    </w:p>
    <w:p w14:paraId="4CCBE8DE" w14:textId="428D8EB6" w:rsidR="0033262D" w:rsidRPr="00A06F1E" w:rsidRDefault="00000000">
      <w:pPr>
        <w:pStyle w:val="TOC1"/>
        <w:tabs>
          <w:tab w:val="right" w:leader="dot" w:pos="9350"/>
        </w:tabs>
        <w:rPr>
          <w:rFonts w:eastAsiaTheme="minorEastAsia"/>
          <w:noProof/>
        </w:rPr>
      </w:pPr>
      <w:hyperlink w:anchor="_Toc92194259" w:history="1">
        <w:r w:rsidR="0033262D" w:rsidRPr="00A06F1E">
          <w:rPr>
            <w:rStyle w:val="Hyperlink"/>
            <w:noProof/>
          </w:rPr>
          <w:t>Productivity</w:t>
        </w:r>
        <w:r w:rsidR="0033262D" w:rsidRPr="00A06F1E">
          <w:rPr>
            <w:noProof/>
            <w:webHidden/>
          </w:rPr>
          <w:tab/>
        </w:r>
        <w:r w:rsidR="0033262D" w:rsidRPr="00A06F1E">
          <w:rPr>
            <w:noProof/>
            <w:webHidden/>
          </w:rPr>
          <w:fldChar w:fldCharType="begin"/>
        </w:r>
        <w:r w:rsidR="0033262D" w:rsidRPr="00A06F1E">
          <w:rPr>
            <w:noProof/>
            <w:webHidden/>
          </w:rPr>
          <w:instrText xml:space="preserve"> PAGEREF _Toc92194259 \h </w:instrText>
        </w:r>
        <w:r w:rsidR="0033262D" w:rsidRPr="00A06F1E">
          <w:rPr>
            <w:noProof/>
            <w:webHidden/>
          </w:rPr>
        </w:r>
        <w:r w:rsidR="0033262D" w:rsidRPr="00A06F1E">
          <w:rPr>
            <w:noProof/>
            <w:webHidden/>
          </w:rPr>
          <w:fldChar w:fldCharType="separate"/>
        </w:r>
        <w:r w:rsidR="00847D64">
          <w:rPr>
            <w:noProof/>
            <w:webHidden/>
          </w:rPr>
          <w:t>11</w:t>
        </w:r>
        <w:r w:rsidR="0033262D" w:rsidRPr="00A06F1E">
          <w:rPr>
            <w:noProof/>
            <w:webHidden/>
          </w:rPr>
          <w:fldChar w:fldCharType="end"/>
        </w:r>
      </w:hyperlink>
    </w:p>
    <w:p w14:paraId="45B16B0F" w14:textId="24A0CF6D" w:rsidR="0033262D" w:rsidRPr="00A06F1E" w:rsidRDefault="00000000">
      <w:pPr>
        <w:pStyle w:val="TOC1"/>
        <w:tabs>
          <w:tab w:val="right" w:leader="dot" w:pos="9350"/>
        </w:tabs>
        <w:rPr>
          <w:rFonts w:eastAsiaTheme="minorEastAsia"/>
          <w:noProof/>
        </w:rPr>
      </w:pPr>
      <w:hyperlink w:anchor="_Toc92194260" w:history="1">
        <w:r w:rsidR="0033262D" w:rsidRPr="00A06F1E">
          <w:rPr>
            <w:rStyle w:val="Hyperlink"/>
            <w:noProof/>
          </w:rPr>
          <w:t>Instructional Learning Formats</w:t>
        </w:r>
        <w:r w:rsidR="0033262D" w:rsidRPr="00A06F1E">
          <w:rPr>
            <w:noProof/>
            <w:webHidden/>
          </w:rPr>
          <w:tab/>
        </w:r>
        <w:r w:rsidR="0033262D" w:rsidRPr="00A06F1E">
          <w:rPr>
            <w:noProof/>
            <w:webHidden/>
          </w:rPr>
          <w:fldChar w:fldCharType="begin"/>
        </w:r>
        <w:r w:rsidR="0033262D" w:rsidRPr="00A06F1E">
          <w:rPr>
            <w:noProof/>
            <w:webHidden/>
          </w:rPr>
          <w:instrText xml:space="preserve"> PAGEREF _Toc92194260 \h </w:instrText>
        </w:r>
        <w:r w:rsidR="0033262D" w:rsidRPr="00A06F1E">
          <w:rPr>
            <w:noProof/>
            <w:webHidden/>
          </w:rPr>
        </w:r>
        <w:r w:rsidR="0033262D" w:rsidRPr="00A06F1E">
          <w:rPr>
            <w:noProof/>
            <w:webHidden/>
          </w:rPr>
          <w:fldChar w:fldCharType="separate"/>
        </w:r>
        <w:r w:rsidR="00847D64">
          <w:rPr>
            <w:noProof/>
            <w:webHidden/>
          </w:rPr>
          <w:t>12</w:t>
        </w:r>
        <w:r w:rsidR="0033262D" w:rsidRPr="00A06F1E">
          <w:rPr>
            <w:noProof/>
            <w:webHidden/>
          </w:rPr>
          <w:fldChar w:fldCharType="end"/>
        </w:r>
      </w:hyperlink>
    </w:p>
    <w:p w14:paraId="4264F331" w14:textId="3112CA8C" w:rsidR="0033262D" w:rsidRPr="00A06F1E" w:rsidRDefault="00000000">
      <w:pPr>
        <w:pStyle w:val="TOC1"/>
        <w:tabs>
          <w:tab w:val="right" w:leader="dot" w:pos="9350"/>
        </w:tabs>
        <w:rPr>
          <w:rFonts w:eastAsiaTheme="minorEastAsia"/>
          <w:noProof/>
        </w:rPr>
      </w:pPr>
      <w:hyperlink w:anchor="_Toc92194261" w:history="1">
        <w:r w:rsidR="0033262D" w:rsidRPr="00A06F1E">
          <w:rPr>
            <w:rStyle w:val="Hyperlink"/>
            <w:noProof/>
          </w:rPr>
          <w:t>Concept Development</w:t>
        </w:r>
        <w:r w:rsidR="0033262D" w:rsidRPr="00A06F1E">
          <w:rPr>
            <w:noProof/>
            <w:webHidden/>
          </w:rPr>
          <w:tab/>
        </w:r>
        <w:r w:rsidR="0033262D" w:rsidRPr="00A06F1E">
          <w:rPr>
            <w:noProof/>
            <w:webHidden/>
          </w:rPr>
          <w:fldChar w:fldCharType="begin"/>
        </w:r>
        <w:r w:rsidR="0033262D" w:rsidRPr="00A06F1E">
          <w:rPr>
            <w:noProof/>
            <w:webHidden/>
          </w:rPr>
          <w:instrText xml:space="preserve"> PAGEREF _Toc92194261 \h </w:instrText>
        </w:r>
        <w:r w:rsidR="0033262D" w:rsidRPr="00A06F1E">
          <w:rPr>
            <w:noProof/>
            <w:webHidden/>
          </w:rPr>
        </w:r>
        <w:r w:rsidR="0033262D" w:rsidRPr="00A06F1E">
          <w:rPr>
            <w:noProof/>
            <w:webHidden/>
          </w:rPr>
          <w:fldChar w:fldCharType="separate"/>
        </w:r>
        <w:r w:rsidR="00847D64">
          <w:rPr>
            <w:noProof/>
            <w:webHidden/>
          </w:rPr>
          <w:t>13</w:t>
        </w:r>
        <w:r w:rsidR="0033262D" w:rsidRPr="00A06F1E">
          <w:rPr>
            <w:noProof/>
            <w:webHidden/>
          </w:rPr>
          <w:fldChar w:fldCharType="end"/>
        </w:r>
      </w:hyperlink>
    </w:p>
    <w:p w14:paraId="35D2895A" w14:textId="18C962D5" w:rsidR="0033262D" w:rsidRPr="00A06F1E" w:rsidRDefault="00000000">
      <w:pPr>
        <w:pStyle w:val="TOC1"/>
        <w:tabs>
          <w:tab w:val="right" w:leader="dot" w:pos="9350"/>
        </w:tabs>
        <w:rPr>
          <w:rFonts w:eastAsiaTheme="minorEastAsia"/>
          <w:noProof/>
        </w:rPr>
      </w:pPr>
      <w:hyperlink w:anchor="_Toc92194262" w:history="1">
        <w:r w:rsidR="0033262D" w:rsidRPr="00A06F1E">
          <w:rPr>
            <w:rStyle w:val="Hyperlink"/>
            <w:noProof/>
          </w:rPr>
          <w:t>Content Understanding</w:t>
        </w:r>
        <w:r w:rsidR="0033262D" w:rsidRPr="00A06F1E">
          <w:rPr>
            <w:noProof/>
            <w:webHidden/>
          </w:rPr>
          <w:tab/>
        </w:r>
        <w:r w:rsidR="0033262D" w:rsidRPr="00A06F1E">
          <w:rPr>
            <w:noProof/>
            <w:webHidden/>
          </w:rPr>
          <w:fldChar w:fldCharType="begin"/>
        </w:r>
        <w:r w:rsidR="0033262D" w:rsidRPr="00A06F1E">
          <w:rPr>
            <w:noProof/>
            <w:webHidden/>
          </w:rPr>
          <w:instrText xml:space="preserve"> PAGEREF _Toc92194262 \h </w:instrText>
        </w:r>
        <w:r w:rsidR="0033262D" w:rsidRPr="00A06F1E">
          <w:rPr>
            <w:noProof/>
            <w:webHidden/>
          </w:rPr>
        </w:r>
        <w:r w:rsidR="0033262D" w:rsidRPr="00A06F1E">
          <w:rPr>
            <w:noProof/>
            <w:webHidden/>
          </w:rPr>
          <w:fldChar w:fldCharType="separate"/>
        </w:r>
        <w:r w:rsidR="00847D64">
          <w:rPr>
            <w:noProof/>
            <w:webHidden/>
          </w:rPr>
          <w:t>14</w:t>
        </w:r>
        <w:r w:rsidR="0033262D" w:rsidRPr="00A06F1E">
          <w:rPr>
            <w:noProof/>
            <w:webHidden/>
          </w:rPr>
          <w:fldChar w:fldCharType="end"/>
        </w:r>
      </w:hyperlink>
    </w:p>
    <w:p w14:paraId="68EC0068" w14:textId="5BDBD4E4" w:rsidR="0033262D" w:rsidRPr="00A06F1E" w:rsidRDefault="00000000">
      <w:pPr>
        <w:pStyle w:val="TOC1"/>
        <w:tabs>
          <w:tab w:val="right" w:leader="dot" w:pos="9350"/>
        </w:tabs>
        <w:rPr>
          <w:rFonts w:eastAsiaTheme="minorEastAsia"/>
          <w:noProof/>
        </w:rPr>
      </w:pPr>
      <w:hyperlink w:anchor="_Toc92194263" w:history="1">
        <w:r w:rsidR="0033262D" w:rsidRPr="00A06F1E">
          <w:rPr>
            <w:rStyle w:val="Hyperlink"/>
            <w:noProof/>
          </w:rPr>
          <w:t>Analysis and Inquiry</w:t>
        </w:r>
        <w:r w:rsidR="0033262D" w:rsidRPr="00A06F1E">
          <w:rPr>
            <w:noProof/>
            <w:webHidden/>
          </w:rPr>
          <w:tab/>
        </w:r>
        <w:r w:rsidR="0033262D" w:rsidRPr="00A06F1E">
          <w:rPr>
            <w:noProof/>
            <w:webHidden/>
          </w:rPr>
          <w:fldChar w:fldCharType="begin"/>
        </w:r>
        <w:r w:rsidR="0033262D" w:rsidRPr="00A06F1E">
          <w:rPr>
            <w:noProof/>
            <w:webHidden/>
          </w:rPr>
          <w:instrText xml:space="preserve"> PAGEREF _Toc92194263 \h </w:instrText>
        </w:r>
        <w:r w:rsidR="0033262D" w:rsidRPr="00A06F1E">
          <w:rPr>
            <w:noProof/>
            <w:webHidden/>
          </w:rPr>
        </w:r>
        <w:r w:rsidR="0033262D" w:rsidRPr="00A06F1E">
          <w:rPr>
            <w:noProof/>
            <w:webHidden/>
          </w:rPr>
          <w:fldChar w:fldCharType="separate"/>
        </w:r>
        <w:r w:rsidR="00847D64">
          <w:rPr>
            <w:noProof/>
            <w:webHidden/>
          </w:rPr>
          <w:t>15</w:t>
        </w:r>
        <w:r w:rsidR="0033262D" w:rsidRPr="00A06F1E">
          <w:rPr>
            <w:noProof/>
            <w:webHidden/>
          </w:rPr>
          <w:fldChar w:fldCharType="end"/>
        </w:r>
      </w:hyperlink>
    </w:p>
    <w:p w14:paraId="40D89742" w14:textId="111AD548" w:rsidR="0033262D" w:rsidRPr="00A06F1E" w:rsidRDefault="00000000">
      <w:pPr>
        <w:pStyle w:val="TOC1"/>
        <w:tabs>
          <w:tab w:val="right" w:leader="dot" w:pos="9350"/>
        </w:tabs>
        <w:rPr>
          <w:rFonts w:eastAsiaTheme="minorEastAsia"/>
          <w:noProof/>
        </w:rPr>
      </w:pPr>
      <w:hyperlink w:anchor="_Toc92194264" w:history="1">
        <w:r w:rsidR="0033262D" w:rsidRPr="00A06F1E">
          <w:rPr>
            <w:rStyle w:val="Hyperlink"/>
            <w:noProof/>
          </w:rPr>
          <w:t>Quality of Feedback</w:t>
        </w:r>
        <w:r w:rsidR="0033262D" w:rsidRPr="00A06F1E">
          <w:rPr>
            <w:noProof/>
            <w:webHidden/>
          </w:rPr>
          <w:tab/>
        </w:r>
        <w:r w:rsidR="0033262D" w:rsidRPr="00A06F1E">
          <w:rPr>
            <w:noProof/>
            <w:webHidden/>
          </w:rPr>
          <w:fldChar w:fldCharType="begin"/>
        </w:r>
        <w:r w:rsidR="0033262D" w:rsidRPr="00A06F1E">
          <w:rPr>
            <w:noProof/>
            <w:webHidden/>
          </w:rPr>
          <w:instrText xml:space="preserve"> PAGEREF _Toc92194264 \h </w:instrText>
        </w:r>
        <w:r w:rsidR="0033262D" w:rsidRPr="00A06F1E">
          <w:rPr>
            <w:noProof/>
            <w:webHidden/>
          </w:rPr>
        </w:r>
        <w:r w:rsidR="0033262D" w:rsidRPr="00A06F1E">
          <w:rPr>
            <w:noProof/>
            <w:webHidden/>
          </w:rPr>
          <w:fldChar w:fldCharType="separate"/>
        </w:r>
        <w:r w:rsidR="00847D64">
          <w:rPr>
            <w:noProof/>
            <w:webHidden/>
          </w:rPr>
          <w:t>16</w:t>
        </w:r>
        <w:r w:rsidR="0033262D" w:rsidRPr="00A06F1E">
          <w:rPr>
            <w:noProof/>
            <w:webHidden/>
          </w:rPr>
          <w:fldChar w:fldCharType="end"/>
        </w:r>
      </w:hyperlink>
    </w:p>
    <w:p w14:paraId="502F9405" w14:textId="17208371" w:rsidR="0033262D" w:rsidRPr="00A06F1E" w:rsidRDefault="00000000">
      <w:pPr>
        <w:pStyle w:val="TOC1"/>
        <w:tabs>
          <w:tab w:val="right" w:leader="dot" w:pos="9350"/>
        </w:tabs>
        <w:rPr>
          <w:rFonts w:eastAsiaTheme="minorEastAsia"/>
          <w:noProof/>
        </w:rPr>
      </w:pPr>
      <w:hyperlink w:anchor="_Toc92194265" w:history="1">
        <w:r w:rsidR="0033262D" w:rsidRPr="00A06F1E">
          <w:rPr>
            <w:rStyle w:val="Hyperlink"/>
            <w:noProof/>
          </w:rPr>
          <w:t>Language Modeling</w:t>
        </w:r>
        <w:r w:rsidR="0033262D" w:rsidRPr="00A06F1E">
          <w:rPr>
            <w:noProof/>
            <w:webHidden/>
          </w:rPr>
          <w:tab/>
        </w:r>
        <w:r w:rsidR="0033262D" w:rsidRPr="00A06F1E">
          <w:rPr>
            <w:noProof/>
            <w:webHidden/>
          </w:rPr>
          <w:fldChar w:fldCharType="begin"/>
        </w:r>
        <w:r w:rsidR="0033262D" w:rsidRPr="00A06F1E">
          <w:rPr>
            <w:noProof/>
            <w:webHidden/>
          </w:rPr>
          <w:instrText xml:space="preserve"> PAGEREF _Toc92194265 \h </w:instrText>
        </w:r>
        <w:r w:rsidR="0033262D" w:rsidRPr="00A06F1E">
          <w:rPr>
            <w:noProof/>
            <w:webHidden/>
          </w:rPr>
        </w:r>
        <w:r w:rsidR="0033262D" w:rsidRPr="00A06F1E">
          <w:rPr>
            <w:noProof/>
            <w:webHidden/>
          </w:rPr>
          <w:fldChar w:fldCharType="separate"/>
        </w:r>
        <w:r w:rsidR="00847D64">
          <w:rPr>
            <w:noProof/>
            <w:webHidden/>
          </w:rPr>
          <w:t>17</w:t>
        </w:r>
        <w:r w:rsidR="0033262D" w:rsidRPr="00A06F1E">
          <w:rPr>
            <w:noProof/>
            <w:webHidden/>
          </w:rPr>
          <w:fldChar w:fldCharType="end"/>
        </w:r>
      </w:hyperlink>
    </w:p>
    <w:p w14:paraId="4C4E63E0" w14:textId="41963D0F" w:rsidR="0033262D" w:rsidRPr="00A06F1E" w:rsidRDefault="00000000">
      <w:pPr>
        <w:pStyle w:val="TOC1"/>
        <w:tabs>
          <w:tab w:val="right" w:leader="dot" w:pos="9350"/>
        </w:tabs>
        <w:rPr>
          <w:rFonts w:eastAsiaTheme="minorEastAsia"/>
          <w:noProof/>
        </w:rPr>
      </w:pPr>
      <w:hyperlink w:anchor="_Toc92194266" w:history="1">
        <w:r w:rsidR="0033262D" w:rsidRPr="00A06F1E">
          <w:rPr>
            <w:rStyle w:val="Hyperlink"/>
            <w:noProof/>
          </w:rPr>
          <w:t>Instructional Dialogue</w:t>
        </w:r>
        <w:r w:rsidR="0033262D" w:rsidRPr="00A06F1E">
          <w:rPr>
            <w:noProof/>
            <w:webHidden/>
          </w:rPr>
          <w:tab/>
        </w:r>
        <w:r w:rsidR="0033262D" w:rsidRPr="00A06F1E">
          <w:rPr>
            <w:noProof/>
            <w:webHidden/>
          </w:rPr>
          <w:fldChar w:fldCharType="begin"/>
        </w:r>
        <w:r w:rsidR="0033262D" w:rsidRPr="00A06F1E">
          <w:rPr>
            <w:noProof/>
            <w:webHidden/>
          </w:rPr>
          <w:instrText xml:space="preserve"> PAGEREF _Toc92194266 \h </w:instrText>
        </w:r>
        <w:r w:rsidR="0033262D" w:rsidRPr="00A06F1E">
          <w:rPr>
            <w:noProof/>
            <w:webHidden/>
          </w:rPr>
        </w:r>
        <w:r w:rsidR="0033262D" w:rsidRPr="00A06F1E">
          <w:rPr>
            <w:noProof/>
            <w:webHidden/>
          </w:rPr>
          <w:fldChar w:fldCharType="separate"/>
        </w:r>
        <w:r w:rsidR="00847D64">
          <w:rPr>
            <w:noProof/>
            <w:webHidden/>
          </w:rPr>
          <w:t>18</w:t>
        </w:r>
        <w:r w:rsidR="0033262D" w:rsidRPr="00A06F1E">
          <w:rPr>
            <w:noProof/>
            <w:webHidden/>
          </w:rPr>
          <w:fldChar w:fldCharType="end"/>
        </w:r>
      </w:hyperlink>
    </w:p>
    <w:p w14:paraId="765A5CF7" w14:textId="1AFB1A8A" w:rsidR="0033262D" w:rsidRPr="00A06F1E" w:rsidRDefault="00000000">
      <w:pPr>
        <w:pStyle w:val="TOC1"/>
        <w:tabs>
          <w:tab w:val="right" w:leader="dot" w:pos="9350"/>
        </w:tabs>
        <w:rPr>
          <w:rFonts w:eastAsiaTheme="minorEastAsia"/>
          <w:noProof/>
        </w:rPr>
      </w:pPr>
      <w:hyperlink w:anchor="_Toc92194267" w:history="1">
        <w:r w:rsidR="0033262D" w:rsidRPr="00A06F1E">
          <w:rPr>
            <w:rStyle w:val="Hyperlink"/>
            <w:noProof/>
          </w:rPr>
          <w:t>Student Engagement</w:t>
        </w:r>
        <w:r w:rsidR="0033262D" w:rsidRPr="00A06F1E">
          <w:rPr>
            <w:noProof/>
            <w:webHidden/>
          </w:rPr>
          <w:tab/>
        </w:r>
        <w:r w:rsidR="0033262D" w:rsidRPr="00A06F1E">
          <w:rPr>
            <w:noProof/>
            <w:webHidden/>
          </w:rPr>
          <w:fldChar w:fldCharType="begin"/>
        </w:r>
        <w:r w:rsidR="0033262D" w:rsidRPr="00A06F1E">
          <w:rPr>
            <w:noProof/>
            <w:webHidden/>
          </w:rPr>
          <w:instrText xml:space="preserve"> PAGEREF _Toc92194267 \h </w:instrText>
        </w:r>
        <w:r w:rsidR="0033262D" w:rsidRPr="00A06F1E">
          <w:rPr>
            <w:noProof/>
            <w:webHidden/>
          </w:rPr>
        </w:r>
        <w:r w:rsidR="0033262D" w:rsidRPr="00A06F1E">
          <w:rPr>
            <w:noProof/>
            <w:webHidden/>
          </w:rPr>
          <w:fldChar w:fldCharType="separate"/>
        </w:r>
        <w:r w:rsidR="00847D64">
          <w:rPr>
            <w:noProof/>
            <w:webHidden/>
          </w:rPr>
          <w:t>19</w:t>
        </w:r>
        <w:r w:rsidR="0033262D" w:rsidRPr="00A06F1E">
          <w:rPr>
            <w:noProof/>
            <w:webHidden/>
          </w:rPr>
          <w:fldChar w:fldCharType="end"/>
        </w:r>
      </w:hyperlink>
    </w:p>
    <w:p w14:paraId="03AD72B6" w14:textId="63E6C39D" w:rsidR="0033262D" w:rsidRPr="00A06F1E" w:rsidRDefault="00000000">
      <w:pPr>
        <w:pStyle w:val="TOC1"/>
        <w:tabs>
          <w:tab w:val="right" w:leader="dot" w:pos="9350"/>
        </w:tabs>
        <w:rPr>
          <w:rFonts w:eastAsiaTheme="minorEastAsia"/>
          <w:noProof/>
        </w:rPr>
      </w:pPr>
      <w:hyperlink w:anchor="_Toc92194268" w:history="1">
        <w:r w:rsidR="0033262D" w:rsidRPr="00A06F1E">
          <w:rPr>
            <w:rStyle w:val="Hyperlink"/>
            <w:noProof/>
          </w:rPr>
          <w:t>Summary of Average Ratings: Grades K-5</w:t>
        </w:r>
        <w:r w:rsidR="0033262D" w:rsidRPr="00A06F1E">
          <w:rPr>
            <w:noProof/>
            <w:webHidden/>
          </w:rPr>
          <w:tab/>
        </w:r>
        <w:r w:rsidR="0033262D" w:rsidRPr="00A06F1E">
          <w:rPr>
            <w:noProof/>
            <w:webHidden/>
          </w:rPr>
          <w:fldChar w:fldCharType="begin"/>
        </w:r>
        <w:r w:rsidR="0033262D" w:rsidRPr="00A06F1E">
          <w:rPr>
            <w:noProof/>
            <w:webHidden/>
          </w:rPr>
          <w:instrText xml:space="preserve"> PAGEREF _Toc92194268 \h </w:instrText>
        </w:r>
        <w:r w:rsidR="0033262D" w:rsidRPr="00A06F1E">
          <w:rPr>
            <w:noProof/>
            <w:webHidden/>
          </w:rPr>
        </w:r>
        <w:r w:rsidR="0033262D" w:rsidRPr="00A06F1E">
          <w:rPr>
            <w:noProof/>
            <w:webHidden/>
          </w:rPr>
          <w:fldChar w:fldCharType="separate"/>
        </w:r>
        <w:r w:rsidR="00847D64">
          <w:rPr>
            <w:noProof/>
            <w:webHidden/>
          </w:rPr>
          <w:t>20</w:t>
        </w:r>
        <w:r w:rsidR="0033262D" w:rsidRPr="00A06F1E">
          <w:rPr>
            <w:noProof/>
            <w:webHidden/>
          </w:rPr>
          <w:fldChar w:fldCharType="end"/>
        </w:r>
      </w:hyperlink>
    </w:p>
    <w:p w14:paraId="301650B6" w14:textId="2E34DFB7" w:rsidR="0033262D" w:rsidRPr="00A06F1E" w:rsidRDefault="00000000">
      <w:pPr>
        <w:pStyle w:val="TOC1"/>
        <w:tabs>
          <w:tab w:val="right" w:leader="dot" w:pos="9350"/>
        </w:tabs>
        <w:rPr>
          <w:rFonts w:eastAsiaTheme="minorEastAsia"/>
          <w:noProof/>
        </w:rPr>
      </w:pPr>
      <w:hyperlink w:anchor="_Toc92194269" w:history="1">
        <w:r w:rsidR="0033262D" w:rsidRPr="00A06F1E">
          <w:rPr>
            <w:rStyle w:val="Hyperlink"/>
            <w:noProof/>
          </w:rPr>
          <w:t>Summary of Average Ratings: Grades 6-8</w:t>
        </w:r>
        <w:r w:rsidR="0033262D" w:rsidRPr="00A06F1E">
          <w:rPr>
            <w:noProof/>
            <w:webHidden/>
          </w:rPr>
          <w:tab/>
        </w:r>
        <w:r w:rsidR="0033262D" w:rsidRPr="00A06F1E">
          <w:rPr>
            <w:noProof/>
            <w:webHidden/>
          </w:rPr>
          <w:fldChar w:fldCharType="begin"/>
        </w:r>
        <w:r w:rsidR="0033262D" w:rsidRPr="00A06F1E">
          <w:rPr>
            <w:noProof/>
            <w:webHidden/>
          </w:rPr>
          <w:instrText xml:space="preserve"> PAGEREF _Toc92194269 \h </w:instrText>
        </w:r>
        <w:r w:rsidR="0033262D" w:rsidRPr="00A06F1E">
          <w:rPr>
            <w:noProof/>
            <w:webHidden/>
          </w:rPr>
        </w:r>
        <w:r w:rsidR="0033262D" w:rsidRPr="00A06F1E">
          <w:rPr>
            <w:noProof/>
            <w:webHidden/>
          </w:rPr>
          <w:fldChar w:fldCharType="separate"/>
        </w:r>
        <w:r w:rsidR="00847D64">
          <w:rPr>
            <w:noProof/>
            <w:webHidden/>
          </w:rPr>
          <w:t>20</w:t>
        </w:r>
        <w:r w:rsidR="0033262D" w:rsidRPr="00A06F1E">
          <w:rPr>
            <w:noProof/>
            <w:webHidden/>
          </w:rPr>
          <w:fldChar w:fldCharType="end"/>
        </w:r>
      </w:hyperlink>
    </w:p>
    <w:p w14:paraId="6323307B" w14:textId="1FBB54B6" w:rsidR="0033262D" w:rsidRPr="00A06F1E" w:rsidRDefault="00000000">
      <w:pPr>
        <w:pStyle w:val="TOC1"/>
        <w:tabs>
          <w:tab w:val="right" w:leader="dot" w:pos="9350"/>
        </w:tabs>
        <w:rPr>
          <w:rFonts w:eastAsiaTheme="minorEastAsia"/>
          <w:noProof/>
        </w:rPr>
      </w:pPr>
      <w:hyperlink w:anchor="_Toc92194270" w:history="1">
        <w:r w:rsidR="0033262D" w:rsidRPr="00A06F1E">
          <w:rPr>
            <w:rStyle w:val="Hyperlink"/>
            <w:noProof/>
          </w:rPr>
          <w:t>Summary of Average Ratings: Grades 9-12</w:t>
        </w:r>
        <w:r w:rsidR="0033262D" w:rsidRPr="00A06F1E">
          <w:rPr>
            <w:noProof/>
            <w:webHidden/>
          </w:rPr>
          <w:tab/>
        </w:r>
        <w:r w:rsidR="0033262D" w:rsidRPr="00A06F1E">
          <w:rPr>
            <w:noProof/>
            <w:webHidden/>
          </w:rPr>
          <w:fldChar w:fldCharType="begin"/>
        </w:r>
        <w:r w:rsidR="0033262D" w:rsidRPr="00A06F1E">
          <w:rPr>
            <w:noProof/>
            <w:webHidden/>
          </w:rPr>
          <w:instrText xml:space="preserve"> PAGEREF _Toc92194270 \h </w:instrText>
        </w:r>
        <w:r w:rsidR="0033262D" w:rsidRPr="00A06F1E">
          <w:rPr>
            <w:noProof/>
            <w:webHidden/>
          </w:rPr>
        </w:r>
        <w:r w:rsidR="0033262D" w:rsidRPr="00A06F1E">
          <w:rPr>
            <w:noProof/>
            <w:webHidden/>
          </w:rPr>
          <w:fldChar w:fldCharType="separate"/>
        </w:r>
        <w:r w:rsidR="00847D64">
          <w:rPr>
            <w:noProof/>
            <w:webHidden/>
          </w:rPr>
          <w:t>22</w:t>
        </w:r>
        <w:r w:rsidR="0033262D" w:rsidRPr="00A06F1E">
          <w:rPr>
            <w:noProof/>
            <w:webHidden/>
          </w:rPr>
          <w:fldChar w:fldCharType="end"/>
        </w:r>
      </w:hyperlink>
    </w:p>
    <w:p w14:paraId="5807BAC5" w14:textId="4CF12849" w:rsidR="0033262D" w:rsidRPr="00A06F1E" w:rsidRDefault="00000000">
      <w:pPr>
        <w:pStyle w:val="TOC1"/>
        <w:tabs>
          <w:tab w:val="right" w:leader="dot" w:pos="9350"/>
        </w:tabs>
        <w:rPr>
          <w:rFonts w:eastAsiaTheme="minorEastAsia"/>
          <w:noProof/>
        </w:rPr>
      </w:pPr>
      <w:hyperlink w:anchor="_Toc92194271" w:history="1">
        <w:r w:rsidR="0033262D" w:rsidRPr="00A06F1E">
          <w:rPr>
            <w:rStyle w:val="Hyperlink"/>
            <w:noProof/>
          </w:rPr>
          <w:t>References</w:t>
        </w:r>
        <w:r w:rsidR="0033262D" w:rsidRPr="00A06F1E">
          <w:rPr>
            <w:noProof/>
            <w:webHidden/>
          </w:rPr>
          <w:tab/>
        </w:r>
        <w:r w:rsidR="0033262D" w:rsidRPr="00A06F1E">
          <w:rPr>
            <w:noProof/>
            <w:webHidden/>
          </w:rPr>
          <w:fldChar w:fldCharType="begin"/>
        </w:r>
        <w:r w:rsidR="0033262D" w:rsidRPr="00A06F1E">
          <w:rPr>
            <w:noProof/>
            <w:webHidden/>
          </w:rPr>
          <w:instrText xml:space="preserve"> PAGEREF _Toc92194271 \h </w:instrText>
        </w:r>
        <w:r w:rsidR="0033262D" w:rsidRPr="00A06F1E">
          <w:rPr>
            <w:noProof/>
            <w:webHidden/>
          </w:rPr>
        </w:r>
        <w:r w:rsidR="0033262D" w:rsidRPr="00A06F1E">
          <w:rPr>
            <w:noProof/>
            <w:webHidden/>
          </w:rPr>
          <w:fldChar w:fldCharType="separate"/>
        </w:r>
        <w:r w:rsidR="00847D64">
          <w:rPr>
            <w:noProof/>
            <w:webHidden/>
          </w:rPr>
          <w:t>23</w:t>
        </w:r>
        <w:r w:rsidR="0033262D" w:rsidRPr="00A06F1E">
          <w:rPr>
            <w:noProof/>
            <w:webHidden/>
          </w:rPr>
          <w:fldChar w:fldCharType="end"/>
        </w:r>
      </w:hyperlink>
    </w:p>
    <w:p w14:paraId="3B94FA79" w14:textId="77777777" w:rsidR="0033262D" w:rsidRPr="00A06F1E" w:rsidRDefault="0033262D">
      <w:pPr>
        <w:spacing w:after="120"/>
        <w:rPr>
          <w:rFonts w:ascii="Calibri" w:eastAsia="Times New Roman" w:hAnsi="Calibri" w:cs="Calibri"/>
          <w:b/>
          <w:bCs/>
          <w:szCs w:val="20"/>
        </w:rPr>
      </w:pPr>
      <w:r w:rsidRPr="00A06F1E">
        <w:rPr>
          <w:rFonts w:ascii="Calibri" w:eastAsia="Times New Roman" w:hAnsi="Calibri" w:cs="Calibri"/>
          <w:b/>
          <w:bCs/>
          <w:szCs w:val="20"/>
        </w:rPr>
        <w:fldChar w:fldCharType="end"/>
      </w:r>
    </w:p>
    <w:p w14:paraId="5D59C4CE" w14:textId="77777777" w:rsidR="0033262D" w:rsidRPr="00A06F1E" w:rsidRDefault="0033262D">
      <w:pPr>
        <w:spacing w:after="160" w:line="259" w:lineRule="auto"/>
        <w:rPr>
          <w:rFonts w:ascii="Calibri" w:eastAsia="Times New Roman" w:hAnsi="Calibri" w:cs="Calibri"/>
          <w:b/>
          <w:bCs/>
          <w:szCs w:val="20"/>
        </w:rPr>
      </w:pPr>
      <w:r w:rsidRPr="00A06F1E">
        <w:rPr>
          <w:rFonts w:ascii="Calibri" w:eastAsia="Times New Roman" w:hAnsi="Calibri" w:cs="Calibri"/>
          <w:b/>
          <w:bCs/>
          <w:szCs w:val="20"/>
        </w:rPr>
        <w:br w:type="page"/>
      </w:r>
    </w:p>
    <w:p w14:paraId="44791B2B" w14:textId="77777777" w:rsidR="0033262D" w:rsidRPr="00A06F1E" w:rsidRDefault="0033262D">
      <w:pPr>
        <w:spacing w:after="120"/>
        <w:jc w:val="right"/>
        <w:rPr>
          <w:rFonts w:ascii="Calibri" w:eastAsia="Times New Roman" w:hAnsi="Calibri" w:cs="Calibri"/>
          <w:b/>
          <w:bCs/>
          <w:szCs w:val="20"/>
        </w:rPr>
        <w:sectPr w:rsidR="0033262D" w:rsidRPr="00A06F1E" w:rsidSect="0033262D">
          <w:headerReference w:type="default" r:id="rId36"/>
          <w:footerReference w:type="default" r:id="rId37"/>
          <w:footnotePr>
            <w:numRestart w:val="eachSect"/>
          </w:footnotePr>
          <w:pgSz w:w="12240" w:h="15840"/>
          <w:pgMar w:top="1080" w:right="1440" w:bottom="1080" w:left="1440" w:header="720" w:footer="720" w:gutter="0"/>
          <w:pgNumType w:start="3"/>
          <w:cols w:space="720"/>
          <w:docGrid w:linePitch="360"/>
        </w:sectPr>
      </w:pPr>
    </w:p>
    <w:p w14:paraId="75140840" w14:textId="77777777" w:rsidR="0033262D" w:rsidRPr="00A06F1E" w:rsidRDefault="0033262D">
      <w:pPr>
        <w:pStyle w:val="Heading2-SIOR"/>
        <w:pageBreakBefore w:val="0"/>
      </w:pPr>
      <w:bookmarkStart w:id="79" w:name="_Toc411329825"/>
      <w:bookmarkStart w:id="80" w:name="_Toc430114874"/>
      <w:bookmarkStart w:id="81" w:name="_Toc496109989"/>
      <w:bookmarkStart w:id="82" w:name="_Toc92194253"/>
      <w:r w:rsidRPr="00A06F1E">
        <w:lastRenderedPageBreak/>
        <w:t>Introduction</w:t>
      </w:r>
      <w:bookmarkEnd w:id="79"/>
      <w:bookmarkEnd w:id="80"/>
      <w:bookmarkEnd w:id="81"/>
      <w:bookmarkEnd w:id="82"/>
    </w:p>
    <w:p w14:paraId="1F0DE8E0" w14:textId="67B4F516" w:rsidR="006C1DC9" w:rsidRPr="00A06F1E" w:rsidRDefault="0033262D">
      <w:pPr>
        <w:pStyle w:val="BodyText"/>
      </w:pPr>
      <w:r w:rsidRPr="00A06F1E">
        <w:t xml:space="preserve">The </w:t>
      </w:r>
      <w:r w:rsidRPr="00A06F1E">
        <w:rPr>
          <w:i/>
        </w:rPr>
        <w:t xml:space="preserve">Districtwide Instructional Observation Report </w:t>
      </w:r>
      <w:r w:rsidRPr="00A06F1E">
        <w:t>presents ratings for the classroom observations that were conducted by certified observers at American Institutes for Research (AIR) as part of the Massachusetts District Reviews.</w:t>
      </w:r>
    </w:p>
    <w:p w14:paraId="1F1D86BC" w14:textId="5EA93D8B" w:rsidR="006C1DC9" w:rsidRPr="00A06F1E" w:rsidRDefault="0033262D">
      <w:pPr>
        <w:pStyle w:val="BodyText"/>
      </w:pPr>
      <w:bookmarkStart w:id="83" w:name="N_Observers1"/>
      <w:r w:rsidRPr="00A06F1E">
        <w:t>Four</w:t>
      </w:r>
      <w:bookmarkEnd w:id="83"/>
      <w:r w:rsidRPr="00A06F1E">
        <w:t xml:space="preserve"> observers visited </w:t>
      </w:r>
      <w:bookmarkStart w:id="84" w:name="District2"/>
      <w:r w:rsidRPr="00A06F1E">
        <w:t>Ralph C. Mahar Regional and School Union 73</w:t>
      </w:r>
      <w:bookmarkEnd w:id="84"/>
      <w:r w:rsidRPr="00A06F1E">
        <w:t xml:space="preserve"> Public Schools during the week of </w:t>
      </w:r>
      <w:bookmarkStart w:id="85" w:name="Obs_Dates1"/>
      <w:r w:rsidRPr="00A06F1E">
        <w:t>April 29, 2024</w:t>
      </w:r>
      <w:bookmarkEnd w:id="85"/>
      <w:r w:rsidRPr="00A06F1E">
        <w:t xml:space="preserve">. Observers conducted </w:t>
      </w:r>
      <w:bookmarkStart w:id="86" w:name="N_Observations1"/>
      <w:r w:rsidRPr="00A06F1E">
        <w:t>56</w:t>
      </w:r>
      <w:bookmarkEnd w:id="86"/>
      <w:r w:rsidRPr="00A06F1E">
        <w:t xml:space="preserve"> observations in a sample of classrooms across </w:t>
      </w:r>
      <w:bookmarkStart w:id="87" w:name="N_SchoolsObserved1"/>
      <w:r w:rsidRPr="00A06F1E">
        <w:t>three</w:t>
      </w:r>
      <w:bookmarkEnd w:id="87"/>
      <w:r w:rsidRPr="00A06F1E">
        <w:t xml:space="preserve"> schools. Observations were conducted in grades K-12 and focused primarily on literacy, English language arts, and mathematics instruction.</w:t>
      </w:r>
    </w:p>
    <w:p w14:paraId="0A12AE82" w14:textId="508F28D0" w:rsidR="0033262D" w:rsidRPr="00A06F1E" w:rsidRDefault="0033262D">
      <w:pPr>
        <w:pStyle w:val="BodyText"/>
      </w:pPr>
      <w:r w:rsidRPr="00A06F1E">
        <w:t>The classroom observations were guided by the Classroom Assessment Scoring System (CLASS), developed by the Center for Advanced Study of Teaching and Learning (CASTL) at the University of Virginia. Three levels of CLASS Manuals were used: K–3, Upper Elementary, and Secondary. The K–3 tool was used to observe grades K–3, the Upper Elementary tool was used to observe grades 4–5, and the Secondary tool was used to observe grades 6–12.</w:t>
      </w:r>
    </w:p>
    <w:p w14:paraId="09BD5E69" w14:textId="77777777" w:rsidR="0033262D" w:rsidRPr="00A06F1E" w:rsidRDefault="0033262D">
      <w:pPr>
        <w:pStyle w:val="BodyText"/>
      </w:pPr>
      <w:r w:rsidRPr="00A06F1E">
        <w:t>The K–3 protocol includes 10 classroom dimensions related to three domains: Emotional Support, Classroom Organization, and Instructional Support (listed in Table 1).</w:t>
      </w:r>
    </w:p>
    <w:p w14:paraId="40DBA9ED" w14:textId="77777777" w:rsidR="0033262D" w:rsidRPr="00A06F1E" w:rsidRDefault="0033262D">
      <w:pPr>
        <w:pStyle w:val="TableTitle0"/>
      </w:pPr>
      <w:bookmarkStart w:id="88" w:name="_Toc170701907"/>
      <w:r w:rsidRPr="00A06F1E">
        <w:t>Table 1. CLASS K–3 Domains and Dimensions</w:t>
      </w:r>
      <w:bookmarkEnd w:id="88"/>
    </w:p>
    <w:tbl>
      <w:tblPr>
        <w:tblStyle w:val="MSVTable1"/>
        <w:tblW w:w="5000" w:type="pct"/>
        <w:jc w:val="center"/>
        <w:tblLook w:val="06A0" w:firstRow="1" w:lastRow="0" w:firstColumn="1" w:lastColumn="0" w:noHBand="1" w:noVBand="1"/>
      </w:tblPr>
      <w:tblGrid>
        <w:gridCol w:w="3114"/>
        <w:gridCol w:w="3115"/>
        <w:gridCol w:w="3115"/>
      </w:tblGrid>
      <w:tr w:rsidR="0033262D" w:rsidRPr="00A06F1E" w14:paraId="5C706B81" w14:textId="77777777" w:rsidTr="0033262D">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4612C363" w14:textId="77777777" w:rsidR="0033262D" w:rsidRPr="00DF7902" w:rsidRDefault="0033262D">
            <w:pPr>
              <w:pStyle w:val="TableColHeadingCenter"/>
              <w:rPr>
                <w:rFonts w:eastAsia="MS Mincho"/>
              </w:rPr>
            </w:pPr>
            <w:r w:rsidRPr="00DF7902">
              <w:rPr>
                <w:rFonts w:eastAsia="MS Mincho"/>
              </w:rPr>
              <w:t>Emotional Support</w:t>
            </w:r>
          </w:p>
        </w:tc>
        <w:tc>
          <w:tcPr>
            <w:tcW w:w="3192" w:type="dxa"/>
          </w:tcPr>
          <w:p w14:paraId="58DE8215" w14:textId="77777777" w:rsidR="0033262D" w:rsidRPr="00A06F1E" w:rsidRDefault="0033262D">
            <w:pPr>
              <w:pStyle w:val="TableColHeadingCenter"/>
              <w:rPr>
                <w:rFonts w:eastAsia="MS Mincho"/>
              </w:rPr>
            </w:pPr>
            <w:r w:rsidRPr="00A06F1E">
              <w:rPr>
                <w:rFonts w:eastAsia="MS Mincho"/>
              </w:rPr>
              <w:t>Classroom Organization</w:t>
            </w:r>
          </w:p>
        </w:tc>
        <w:tc>
          <w:tcPr>
            <w:tcW w:w="3192" w:type="dxa"/>
          </w:tcPr>
          <w:p w14:paraId="6B3146A7" w14:textId="77777777" w:rsidR="0033262D" w:rsidRPr="00A06F1E" w:rsidRDefault="0033262D">
            <w:pPr>
              <w:pStyle w:val="TableColHeadingCenter"/>
              <w:rPr>
                <w:rFonts w:eastAsia="MS Mincho"/>
              </w:rPr>
            </w:pPr>
            <w:r w:rsidRPr="00A06F1E">
              <w:rPr>
                <w:rFonts w:eastAsia="MS Mincho"/>
              </w:rPr>
              <w:t>Instructional Support</w:t>
            </w:r>
          </w:p>
        </w:tc>
      </w:tr>
      <w:tr w:rsidR="0033262D" w:rsidRPr="00A06F1E" w14:paraId="43AB6223" w14:textId="77777777" w:rsidTr="0033262D">
        <w:trPr>
          <w:jc w:val="center"/>
        </w:trPr>
        <w:tc>
          <w:tcPr>
            <w:tcW w:w="3192" w:type="dxa"/>
          </w:tcPr>
          <w:p w14:paraId="5FD910FF" w14:textId="77777777" w:rsidR="0033262D" w:rsidRPr="00A06F1E" w:rsidRDefault="0033262D" w:rsidP="0033262D">
            <w:pPr>
              <w:pStyle w:val="TableBullet1"/>
              <w:numPr>
                <w:ilvl w:val="0"/>
                <w:numId w:val="7"/>
              </w:numPr>
            </w:pPr>
            <w:r w:rsidRPr="00A06F1E">
              <w:t>Positive Climate</w:t>
            </w:r>
          </w:p>
          <w:p w14:paraId="256DFE60" w14:textId="77777777" w:rsidR="0033262D" w:rsidRPr="00A06F1E" w:rsidRDefault="0033262D" w:rsidP="0033262D">
            <w:pPr>
              <w:pStyle w:val="TableBullet1"/>
              <w:numPr>
                <w:ilvl w:val="0"/>
                <w:numId w:val="7"/>
              </w:numPr>
            </w:pPr>
            <w:r w:rsidRPr="00A06F1E">
              <w:t>Negative Climate</w:t>
            </w:r>
          </w:p>
          <w:p w14:paraId="07C46665" w14:textId="77777777" w:rsidR="0033262D" w:rsidRPr="00A06F1E" w:rsidRDefault="0033262D" w:rsidP="0033262D">
            <w:pPr>
              <w:pStyle w:val="TableBullet1"/>
              <w:numPr>
                <w:ilvl w:val="0"/>
                <w:numId w:val="7"/>
              </w:numPr>
            </w:pPr>
            <w:r w:rsidRPr="00A06F1E">
              <w:t>Teacher Sensitivity</w:t>
            </w:r>
          </w:p>
          <w:p w14:paraId="1498E90A" w14:textId="77777777" w:rsidR="0033262D" w:rsidRPr="00A06F1E" w:rsidRDefault="0033262D" w:rsidP="0033262D">
            <w:pPr>
              <w:pStyle w:val="TableBullet1"/>
              <w:numPr>
                <w:ilvl w:val="0"/>
                <w:numId w:val="7"/>
              </w:numPr>
            </w:pPr>
            <w:r w:rsidRPr="00A06F1E">
              <w:t>Regard for Student Perspectives</w:t>
            </w:r>
          </w:p>
        </w:tc>
        <w:tc>
          <w:tcPr>
            <w:tcW w:w="3192" w:type="dxa"/>
          </w:tcPr>
          <w:p w14:paraId="4930EEE3" w14:textId="77777777" w:rsidR="0033262D" w:rsidRPr="00A06F1E" w:rsidRDefault="0033262D" w:rsidP="0033262D">
            <w:pPr>
              <w:pStyle w:val="TableBullet1"/>
              <w:numPr>
                <w:ilvl w:val="0"/>
                <w:numId w:val="7"/>
              </w:numPr>
            </w:pPr>
            <w:r w:rsidRPr="00A06F1E">
              <w:t>Behavior Management</w:t>
            </w:r>
          </w:p>
          <w:p w14:paraId="75495487" w14:textId="77777777" w:rsidR="0033262D" w:rsidRPr="00A06F1E" w:rsidRDefault="0033262D" w:rsidP="0033262D">
            <w:pPr>
              <w:pStyle w:val="TableBullet1"/>
              <w:numPr>
                <w:ilvl w:val="0"/>
                <w:numId w:val="7"/>
              </w:numPr>
            </w:pPr>
            <w:r w:rsidRPr="00A06F1E">
              <w:t>Productivity</w:t>
            </w:r>
          </w:p>
          <w:p w14:paraId="193CA59F" w14:textId="77777777" w:rsidR="0033262D" w:rsidRPr="00A06F1E" w:rsidRDefault="0033262D" w:rsidP="0033262D">
            <w:pPr>
              <w:pStyle w:val="TableBullet1"/>
              <w:numPr>
                <w:ilvl w:val="0"/>
                <w:numId w:val="7"/>
              </w:numPr>
            </w:pPr>
            <w:r w:rsidRPr="00A06F1E">
              <w:t>Instructional Learning Formats</w:t>
            </w:r>
          </w:p>
        </w:tc>
        <w:tc>
          <w:tcPr>
            <w:tcW w:w="3192" w:type="dxa"/>
          </w:tcPr>
          <w:p w14:paraId="46AA91DD" w14:textId="77777777" w:rsidR="0033262D" w:rsidRPr="00A06F1E" w:rsidRDefault="0033262D" w:rsidP="0033262D">
            <w:pPr>
              <w:pStyle w:val="TableBullet1"/>
              <w:numPr>
                <w:ilvl w:val="0"/>
                <w:numId w:val="7"/>
              </w:numPr>
            </w:pPr>
            <w:r w:rsidRPr="00A06F1E">
              <w:t>Concept Development</w:t>
            </w:r>
          </w:p>
          <w:p w14:paraId="18AAA19B" w14:textId="77777777" w:rsidR="0033262D" w:rsidRPr="00A06F1E" w:rsidRDefault="0033262D" w:rsidP="0033262D">
            <w:pPr>
              <w:pStyle w:val="TableBullet1"/>
              <w:numPr>
                <w:ilvl w:val="0"/>
                <w:numId w:val="7"/>
              </w:numPr>
            </w:pPr>
            <w:r w:rsidRPr="00A06F1E">
              <w:t>Quality of Feedback</w:t>
            </w:r>
          </w:p>
          <w:p w14:paraId="65067460" w14:textId="77777777" w:rsidR="0033262D" w:rsidRPr="00A06F1E" w:rsidRDefault="0033262D" w:rsidP="0033262D">
            <w:pPr>
              <w:pStyle w:val="TableBullet1"/>
              <w:numPr>
                <w:ilvl w:val="0"/>
                <w:numId w:val="7"/>
              </w:numPr>
            </w:pPr>
            <w:r w:rsidRPr="00A06F1E">
              <w:t>Language Modeling</w:t>
            </w:r>
          </w:p>
        </w:tc>
      </w:tr>
    </w:tbl>
    <w:p w14:paraId="25CE50F3" w14:textId="77777777" w:rsidR="006C1DC9" w:rsidRPr="00A06F1E" w:rsidRDefault="0033262D">
      <w:pPr>
        <w:pStyle w:val="BodyText"/>
      </w:pPr>
      <w:r w:rsidRPr="00A06F1E">
        <w:t>The Upper Elementary and Secondary protocols include 11 classroom dimensions related to three domains: Emotional Support, Classroom Organization, and Instructional Support (listed in Table 2), in addition to Student Engagement.</w:t>
      </w:r>
    </w:p>
    <w:p w14:paraId="688D737A" w14:textId="42969491" w:rsidR="0033262D" w:rsidRPr="00A06F1E" w:rsidRDefault="0033262D">
      <w:pPr>
        <w:pStyle w:val="TableTitle0"/>
      </w:pPr>
      <w:bookmarkStart w:id="89" w:name="_Toc170701908"/>
      <w:r w:rsidRPr="00A06F1E">
        <w:t>Table 2. CLASS Upper Elementary and Secondary Domains and Dimensions</w:t>
      </w:r>
      <w:bookmarkEnd w:id="89"/>
    </w:p>
    <w:tbl>
      <w:tblPr>
        <w:tblStyle w:val="MSVTable1"/>
        <w:tblW w:w="5000" w:type="pct"/>
        <w:jc w:val="center"/>
        <w:tblLook w:val="06A0" w:firstRow="1" w:lastRow="0" w:firstColumn="1" w:lastColumn="0" w:noHBand="1" w:noVBand="1"/>
      </w:tblPr>
      <w:tblGrid>
        <w:gridCol w:w="3111"/>
        <w:gridCol w:w="3114"/>
        <w:gridCol w:w="3119"/>
      </w:tblGrid>
      <w:tr w:rsidR="0033262D" w:rsidRPr="00A06F1E" w14:paraId="3BC16D20" w14:textId="77777777" w:rsidTr="0033262D">
        <w:trPr>
          <w:cnfStyle w:val="100000000000" w:firstRow="1" w:lastRow="0" w:firstColumn="0" w:lastColumn="0" w:oddVBand="0" w:evenVBand="0" w:oddHBand="0" w:evenHBand="0" w:firstRowFirstColumn="0" w:firstRowLastColumn="0" w:lastRowFirstColumn="0" w:lastRowLastColumn="0"/>
          <w:jc w:val="center"/>
        </w:trPr>
        <w:tc>
          <w:tcPr>
            <w:tcW w:w="3111" w:type="dxa"/>
          </w:tcPr>
          <w:p w14:paraId="15940B08" w14:textId="77777777" w:rsidR="0033262D" w:rsidRPr="00A06F1E" w:rsidRDefault="0033262D">
            <w:pPr>
              <w:pStyle w:val="TableColHeadingCenter"/>
              <w:rPr>
                <w:rFonts w:eastAsia="MS Mincho"/>
              </w:rPr>
            </w:pPr>
            <w:r w:rsidRPr="00A06F1E">
              <w:rPr>
                <w:rFonts w:eastAsia="MS Mincho"/>
              </w:rPr>
              <w:t>Emotional Support</w:t>
            </w:r>
          </w:p>
        </w:tc>
        <w:tc>
          <w:tcPr>
            <w:tcW w:w="3114" w:type="dxa"/>
          </w:tcPr>
          <w:p w14:paraId="6B77E11C" w14:textId="77777777" w:rsidR="0033262D" w:rsidRPr="00A06F1E" w:rsidRDefault="0033262D">
            <w:pPr>
              <w:pStyle w:val="TableColHeadingCenter"/>
              <w:rPr>
                <w:rFonts w:eastAsia="MS Mincho"/>
              </w:rPr>
            </w:pPr>
            <w:r w:rsidRPr="00A06F1E">
              <w:rPr>
                <w:rFonts w:eastAsia="MS Mincho"/>
              </w:rPr>
              <w:t>Classroom Organization</w:t>
            </w:r>
          </w:p>
        </w:tc>
        <w:tc>
          <w:tcPr>
            <w:tcW w:w="3119" w:type="dxa"/>
          </w:tcPr>
          <w:p w14:paraId="7103D9A4" w14:textId="77777777" w:rsidR="0033262D" w:rsidRPr="00A06F1E" w:rsidRDefault="0033262D">
            <w:pPr>
              <w:pStyle w:val="TableColHeadingCenter"/>
              <w:rPr>
                <w:rFonts w:eastAsia="MS Mincho"/>
              </w:rPr>
            </w:pPr>
            <w:r w:rsidRPr="00A06F1E">
              <w:rPr>
                <w:rFonts w:eastAsia="MS Mincho"/>
              </w:rPr>
              <w:t>Instructional Support</w:t>
            </w:r>
          </w:p>
        </w:tc>
      </w:tr>
      <w:tr w:rsidR="0033262D" w:rsidRPr="00A06F1E" w14:paraId="08D23A60" w14:textId="77777777" w:rsidTr="0033262D">
        <w:trPr>
          <w:jc w:val="center"/>
        </w:trPr>
        <w:tc>
          <w:tcPr>
            <w:tcW w:w="3111" w:type="dxa"/>
          </w:tcPr>
          <w:p w14:paraId="06844AE8" w14:textId="77777777" w:rsidR="0033262D" w:rsidRPr="00A06F1E" w:rsidRDefault="0033262D" w:rsidP="0033262D">
            <w:pPr>
              <w:pStyle w:val="TableBullet1"/>
              <w:numPr>
                <w:ilvl w:val="0"/>
                <w:numId w:val="7"/>
              </w:numPr>
            </w:pPr>
            <w:r w:rsidRPr="00A06F1E">
              <w:t>Positive Climate</w:t>
            </w:r>
          </w:p>
          <w:p w14:paraId="1C3A5770" w14:textId="77777777" w:rsidR="0033262D" w:rsidRPr="00A06F1E" w:rsidRDefault="0033262D" w:rsidP="0033262D">
            <w:pPr>
              <w:pStyle w:val="TableBullet1"/>
              <w:numPr>
                <w:ilvl w:val="0"/>
                <w:numId w:val="7"/>
              </w:numPr>
            </w:pPr>
            <w:r w:rsidRPr="00A06F1E">
              <w:t>Teacher Sensitivity</w:t>
            </w:r>
          </w:p>
          <w:p w14:paraId="05391D29" w14:textId="77777777" w:rsidR="0033262D" w:rsidRPr="00A06F1E" w:rsidRDefault="0033262D" w:rsidP="0033262D">
            <w:pPr>
              <w:pStyle w:val="TableBullet1"/>
              <w:numPr>
                <w:ilvl w:val="0"/>
                <w:numId w:val="7"/>
              </w:numPr>
            </w:pPr>
            <w:r w:rsidRPr="00A06F1E">
              <w:t>Regard for Student Perspectives</w:t>
            </w:r>
          </w:p>
        </w:tc>
        <w:tc>
          <w:tcPr>
            <w:tcW w:w="3114" w:type="dxa"/>
          </w:tcPr>
          <w:p w14:paraId="7B206D95" w14:textId="77777777" w:rsidR="0033262D" w:rsidRPr="00A06F1E" w:rsidRDefault="0033262D" w:rsidP="0033262D">
            <w:pPr>
              <w:pStyle w:val="TableBullet1"/>
              <w:numPr>
                <w:ilvl w:val="0"/>
                <w:numId w:val="7"/>
              </w:numPr>
              <w:rPr>
                <w:b/>
                <w:bCs/>
                <w:szCs w:val="20"/>
              </w:rPr>
            </w:pPr>
            <w:r w:rsidRPr="00A06F1E">
              <w:t>Behavior Management</w:t>
            </w:r>
          </w:p>
          <w:p w14:paraId="2618D61B" w14:textId="77777777" w:rsidR="0033262D" w:rsidRPr="00A06F1E" w:rsidRDefault="0033262D" w:rsidP="0033262D">
            <w:pPr>
              <w:pStyle w:val="TableBullet1"/>
              <w:numPr>
                <w:ilvl w:val="0"/>
                <w:numId w:val="7"/>
              </w:numPr>
              <w:rPr>
                <w:b/>
                <w:bCs/>
                <w:szCs w:val="20"/>
              </w:rPr>
            </w:pPr>
            <w:r w:rsidRPr="00A06F1E">
              <w:t>Productivity</w:t>
            </w:r>
          </w:p>
          <w:p w14:paraId="21DA8FB8" w14:textId="77777777" w:rsidR="0033262D" w:rsidRPr="00A06F1E" w:rsidRDefault="0033262D" w:rsidP="0033262D">
            <w:pPr>
              <w:pStyle w:val="TableBullet1"/>
              <w:numPr>
                <w:ilvl w:val="0"/>
                <w:numId w:val="7"/>
              </w:numPr>
            </w:pPr>
            <w:r w:rsidRPr="00A06F1E">
              <w:t>Negative Climate</w:t>
            </w:r>
          </w:p>
        </w:tc>
        <w:tc>
          <w:tcPr>
            <w:tcW w:w="3119" w:type="dxa"/>
          </w:tcPr>
          <w:p w14:paraId="1872B646" w14:textId="77777777" w:rsidR="006C1DC9" w:rsidRPr="00A06F1E" w:rsidRDefault="0033262D" w:rsidP="0033262D">
            <w:pPr>
              <w:pStyle w:val="TableBullet1"/>
              <w:numPr>
                <w:ilvl w:val="0"/>
                <w:numId w:val="7"/>
              </w:numPr>
            </w:pPr>
            <w:r w:rsidRPr="00A06F1E">
              <w:t>Instructional Learning Formats</w:t>
            </w:r>
          </w:p>
          <w:p w14:paraId="1700914C" w14:textId="200C71B3" w:rsidR="0033262D" w:rsidRPr="00A06F1E" w:rsidRDefault="0033262D" w:rsidP="0033262D">
            <w:pPr>
              <w:pStyle w:val="TableBullet1"/>
              <w:numPr>
                <w:ilvl w:val="0"/>
                <w:numId w:val="7"/>
              </w:numPr>
              <w:rPr>
                <w:b/>
                <w:bCs/>
                <w:szCs w:val="20"/>
              </w:rPr>
            </w:pPr>
            <w:r w:rsidRPr="00A06F1E">
              <w:t>Content Understanding</w:t>
            </w:r>
          </w:p>
          <w:p w14:paraId="0BD2C7E9" w14:textId="77777777" w:rsidR="0033262D" w:rsidRPr="00A06F1E" w:rsidRDefault="0033262D" w:rsidP="0033262D">
            <w:pPr>
              <w:pStyle w:val="TableBullet1"/>
              <w:numPr>
                <w:ilvl w:val="0"/>
                <w:numId w:val="7"/>
              </w:numPr>
              <w:rPr>
                <w:b/>
                <w:bCs/>
                <w:szCs w:val="20"/>
              </w:rPr>
            </w:pPr>
            <w:r w:rsidRPr="00A06F1E">
              <w:t>Analysis and Inquiry</w:t>
            </w:r>
          </w:p>
          <w:p w14:paraId="304BEB12" w14:textId="77777777" w:rsidR="0033262D" w:rsidRPr="00A06F1E" w:rsidRDefault="0033262D" w:rsidP="0033262D">
            <w:pPr>
              <w:pStyle w:val="TableBullet1"/>
              <w:numPr>
                <w:ilvl w:val="0"/>
                <w:numId w:val="7"/>
              </w:numPr>
              <w:rPr>
                <w:b/>
                <w:bCs/>
                <w:szCs w:val="20"/>
              </w:rPr>
            </w:pPr>
            <w:r w:rsidRPr="00A06F1E">
              <w:t>Quality of Feedback</w:t>
            </w:r>
          </w:p>
          <w:p w14:paraId="6B85D892" w14:textId="77777777" w:rsidR="0033262D" w:rsidRPr="00A06F1E" w:rsidRDefault="0033262D" w:rsidP="0033262D">
            <w:pPr>
              <w:pStyle w:val="TableBullet1"/>
              <w:numPr>
                <w:ilvl w:val="0"/>
                <w:numId w:val="7"/>
              </w:numPr>
              <w:rPr>
                <w:b/>
                <w:bCs/>
                <w:szCs w:val="20"/>
              </w:rPr>
            </w:pPr>
            <w:r w:rsidRPr="00A06F1E">
              <w:t>Instructional Dialogue</w:t>
            </w:r>
          </w:p>
        </w:tc>
      </w:tr>
      <w:tr w:rsidR="0033262D" w:rsidRPr="00A06F1E" w14:paraId="60D1D978" w14:textId="77777777" w:rsidTr="0033262D">
        <w:trPr>
          <w:jc w:val="center"/>
        </w:trPr>
        <w:tc>
          <w:tcPr>
            <w:tcW w:w="9344" w:type="dxa"/>
            <w:gridSpan w:val="3"/>
            <w:shd w:val="clear" w:color="auto" w:fill="D9E2F3" w:themeFill="accent5" w:themeFillTint="33"/>
          </w:tcPr>
          <w:p w14:paraId="0416268E" w14:textId="77777777" w:rsidR="0033262D" w:rsidRPr="00A06F1E" w:rsidRDefault="0033262D">
            <w:pPr>
              <w:pStyle w:val="TableSubheadingCentered"/>
            </w:pPr>
            <w:r w:rsidRPr="00A06F1E">
              <w:t>Student Engagement</w:t>
            </w:r>
          </w:p>
        </w:tc>
      </w:tr>
    </w:tbl>
    <w:p w14:paraId="7B5DFD3A" w14:textId="14505AF1" w:rsidR="006C1DC9" w:rsidRPr="00A06F1E" w:rsidRDefault="0033262D">
      <w:pPr>
        <w:pStyle w:val="BodyText"/>
      </w:pPr>
      <w:bookmarkStart w:id="90" w:name="_Toc411329826"/>
      <w:bookmarkStart w:id="91" w:name="_Toc430114875"/>
      <w:bookmarkStart w:id="92" w:name="_Toc496109990"/>
      <w:r w:rsidRPr="00A06F1E">
        <w:t>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unresponsive to or dismissive of students, or was ineffective at addressing students</w:t>
      </w:r>
      <w:r w:rsidR="00040362" w:rsidRPr="00A06F1E">
        <w:t>’</w:t>
      </w:r>
      <w:r w:rsidRPr="00A06F1E">
        <w:t xml:space="preserve"> problems; as a </w:t>
      </w:r>
      <w:r w:rsidRPr="00A06F1E">
        <w:lastRenderedPageBreak/>
        <w:t>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w:t>
      </w:r>
    </w:p>
    <w:p w14:paraId="6528D07D" w14:textId="6D4B4333" w:rsidR="0033262D" w:rsidRPr="00A06F1E" w:rsidRDefault="0033262D">
      <w:pPr>
        <w:pStyle w:val="BodyText"/>
      </w:pPr>
      <w:r w:rsidRPr="00A06F1E">
        <w:t>Members of the observation team who visited the classrooms all received training on the CLASS protocol and then passed a rigorous certification exam for each CLASS protocol to ensure that they were able to accurately rate the dimensions. All observers must pass an exam annually to maintain their certification.</w:t>
      </w:r>
    </w:p>
    <w:p w14:paraId="69D34551" w14:textId="62D0C4D5" w:rsidR="0033262D" w:rsidRPr="00A06F1E" w:rsidRDefault="0033262D">
      <w:pPr>
        <w:pStyle w:val="BodyText"/>
        <w:rPr>
          <w:spacing w:val="-2"/>
        </w:rPr>
      </w:pPr>
      <w:r w:rsidRPr="00A06F1E">
        <w:rPr>
          <w:spacing w:val="-2"/>
        </w:rPr>
        <w:t xml:space="preserve">Research on CLASS protocol shows that students in classrooms that rated high using this observation tool have greater gains in social skills and academic success than students in classrooms with lower ratings (MET Project, 2010; CASTL, n.d.). Furthermore, small improvements on these domains can affect student outcomes: </w:t>
      </w:r>
      <w:r w:rsidR="00040362" w:rsidRPr="00A06F1E">
        <w:rPr>
          <w:spacing w:val="-2"/>
        </w:rPr>
        <w:t>“</w:t>
      </w:r>
      <w:r w:rsidRPr="00A06F1E">
        <w:rPr>
          <w:spacing w:val="-2"/>
        </w:rPr>
        <w:t>The ability to demonstrate even small changes in effective interactions has practical implications—differences in just over 1 point on the CLASS 7-point scale translate into improved achievement and social skill development for students</w:t>
      </w:r>
      <w:r w:rsidR="00040362" w:rsidRPr="00A06F1E">
        <w:rPr>
          <w:spacing w:val="-2"/>
        </w:rPr>
        <w:t>”</w:t>
      </w:r>
      <w:r w:rsidRPr="00A06F1E">
        <w:rPr>
          <w:spacing w:val="-2"/>
        </w:rPr>
        <w:t xml:space="preserve"> (CASTL, n.d., p. 3).</w:t>
      </w:r>
    </w:p>
    <w:p w14:paraId="69172291" w14:textId="77777777" w:rsidR="0033262D" w:rsidRPr="00A06F1E" w:rsidRDefault="0033262D">
      <w:pPr>
        <w:pStyle w:val="BodyText"/>
      </w:pPr>
      <w:r w:rsidRPr="00A06F1E">
        <w:t xml:space="preserve">In this report, each CLASS dimension is defined, and descriptions of the dimensions at the high (6 or 7), middle (3, 4, or 5), and low levels (1 or 2) are presented </w:t>
      </w:r>
      <w:r w:rsidRPr="00A06F1E">
        <w:rPr>
          <w:i/>
        </w:rPr>
        <w:t>(definitions and rating descriptions are derived from the CLASS K–3</w:t>
      </w:r>
      <w:r w:rsidRPr="00A06F1E">
        <w:t>,</w:t>
      </w:r>
      <w:r w:rsidRPr="00A06F1E">
        <w:rPr>
          <w:i/>
        </w:rPr>
        <w:t xml:space="preserve"> Upper Elementary, and Secondary Manuals).</w:t>
      </w:r>
      <w:r w:rsidRPr="00A06F1E">
        <w:t xml:space="preserve"> For each dimension we indicate the frequency of classroom observations across the ratings and provide a districtwide average of the observed classrooms. In cases where a dimension is included in more than one CLASS manual level, those results are combined on the dimension-specific pages. In the summary of ratings table following the dimension-specific pages the averages for every dimension are presented by grade band (K-5, 6-8, and 9-12). For each dimension, we indicate the grade levels for which this dimension is included.</w:t>
      </w:r>
    </w:p>
    <w:p w14:paraId="37961554" w14:textId="77777777" w:rsidR="0033262D" w:rsidRPr="00A06F1E" w:rsidRDefault="0033262D">
      <w:pPr>
        <w:pStyle w:val="Heading2-SIOR"/>
      </w:pPr>
      <w:bookmarkStart w:id="93" w:name="_Toc92194254"/>
      <w:bookmarkStart w:id="94" w:name="_Hlk92190807"/>
      <w:r w:rsidRPr="00A06F1E">
        <w:lastRenderedPageBreak/>
        <w:t>Positive Climate</w:t>
      </w:r>
      <w:bookmarkEnd w:id="90"/>
      <w:bookmarkEnd w:id="91"/>
      <w:bookmarkEnd w:id="92"/>
      <w:bookmarkEnd w:id="93"/>
    </w:p>
    <w:p w14:paraId="13BD0CA3" w14:textId="77777777" w:rsidR="0033262D" w:rsidRPr="00A06F1E" w:rsidRDefault="0033262D">
      <w:pPr>
        <w:pStyle w:val="BodyTextDomain"/>
      </w:pPr>
      <w:r w:rsidRPr="00A06F1E">
        <w:t>Emotional Support domain, Grades K−12</w:t>
      </w:r>
    </w:p>
    <w:p w14:paraId="569A89E0" w14:textId="77777777" w:rsidR="0033262D" w:rsidRPr="00A06F1E" w:rsidRDefault="0033262D">
      <w:pPr>
        <w:pStyle w:val="BodyText"/>
      </w:pPr>
      <w:r w:rsidRPr="00A06F1E">
        <w:t>Positive Climate reflects the emotional connection between the teacher and students and among students and the warmth, respect, and enjoyment communicated by verbal and nonverbal interactions (</w:t>
      </w:r>
      <w:r w:rsidRPr="00A06F1E">
        <w:rPr>
          <w:i/>
        </w:rPr>
        <w:t>CLASS K–3 Manual</w:t>
      </w:r>
      <w:r w:rsidRPr="00A06F1E">
        <w:t xml:space="preserve">, p. 23, </w:t>
      </w:r>
      <w:r w:rsidRPr="00A06F1E">
        <w:rPr>
          <w:i/>
        </w:rPr>
        <w:t xml:space="preserve">CLASS Upper Elementary Manual, </w:t>
      </w:r>
      <w:r w:rsidRPr="00A06F1E">
        <w:t xml:space="preserve">p. 21, </w:t>
      </w:r>
      <w:r w:rsidRPr="00A06F1E">
        <w:rPr>
          <w:i/>
        </w:rPr>
        <w:t>CLASS Secondary Manual</w:t>
      </w:r>
      <w:r w:rsidRPr="00A06F1E">
        <w:t>, p. 21). Table 3 (as well as tables for the remaining dimensions) includes the number of classrooms for each rating on each dimension and the district average for that dimension.</w:t>
      </w:r>
    </w:p>
    <w:p w14:paraId="01A84D37" w14:textId="77777777" w:rsidR="0033262D" w:rsidRPr="00A06F1E" w:rsidRDefault="0033262D">
      <w:pPr>
        <w:pStyle w:val="TableTitle0"/>
      </w:pPr>
      <w:bookmarkStart w:id="95" w:name="_Toc170701909"/>
      <w:r w:rsidRPr="00A06F1E">
        <w:t>Table 3. Positive Climate: Number of Classrooms for Each Rating and District Average</w:t>
      </w:r>
      <w:bookmarkEnd w:id="95"/>
    </w:p>
    <w:p w14:paraId="30A6ED9B" w14:textId="77777777" w:rsidR="0033262D" w:rsidRPr="00A06F1E" w:rsidRDefault="0033262D">
      <w:pPr>
        <w:pStyle w:val="BodyTextDemi"/>
      </w:pPr>
      <w:r w:rsidRPr="00A06F1E">
        <w:t xml:space="preserve">Positive Climate District Average*: </w:t>
      </w:r>
      <w:bookmarkStart w:id="96" w:name="Dist_PC_Avg"/>
      <w:r w:rsidRPr="00A06F1E">
        <w:t>4.8</w:t>
      </w:r>
      <w:bookmarkEnd w:id="96"/>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3262D" w:rsidRPr="00A06F1E" w14:paraId="30C89FC0" w14:textId="77777777" w:rsidTr="0033262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EF616C0" w14:textId="77777777" w:rsidR="0033262D" w:rsidRPr="00A06F1E" w:rsidRDefault="0033262D">
            <w:pPr>
              <w:pStyle w:val="TableColHeadingCenter"/>
              <w:rPr>
                <w:rFonts w:eastAsia="MS Mincho"/>
              </w:rPr>
            </w:pPr>
            <w:bookmarkStart w:id="97" w:name="Tbl_PC"/>
            <w:r w:rsidRPr="00A06F1E">
              <w:rPr>
                <w:rFonts w:eastAsia="MS Mincho"/>
              </w:rPr>
              <w:t>Grade Band</w:t>
            </w:r>
          </w:p>
        </w:tc>
        <w:tc>
          <w:tcPr>
            <w:tcW w:w="1748" w:type="dxa"/>
            <w:gridSpan w:val="2"/>
          </w:tcPr>
          <w:p w14:paraId="11D36EA6" w14:textId="77777777" w:rsidR="0033262D" w:rsidRPr="00A06F1E" w:rsidRDefault="0033262D">
            <w:pPr>
              <w:pStyle w:val="TableColHeadingCenter"/>
              <w:rPr>
                <w:rFonts w:eastAsia="MS Mincho"/>
              </w:rPr>
            </w:pPr>
            <w:r w:rsidRPr="00A06F1E">
              <w:rPr>
                <w:rFonts w:eastAsia="MS Mincho"/>
              </w:rPr>
              <w:t>Low Range</w:t>
            </w:r>
          </w:p>
        </w:tc>
        <w:tc>
          <w:tcPr>
            <w:tcW w:w="2623" w:type="dxa"/>
            <w:gridSpan w:val="3"/>
          </w:tcPr>
          <w:p w14:paraId="77489C8C" w14:textId="77777777" w:rsidR="0033262D" w:rsidRPr="00A06F1E" w:rsidRDefault="0033262D">
            <w:pPr>
              <w:pStyle w:val="TableColHeadingCenter"/>
              <w:rPr>
                <w:rFonts w:eastAsia="MS Mincho"/>
              </w:rPr>
            </w:pPr>
            <w:r w:rsidRPr="00A06F1E">
              <w:rPr>
                <w:rFonts w:eastAsia="MS Mincho"/>
              </w:rPr>
              <w:t>Middle Range</w:t>
            </w:r>
          </w:p>
        </w:tc>
        <w:tc>
          <w:tcPr>
            <w:tcW w:w="1749" w:type="dxa"/>
            <w:gridSpan w:val="2"/>
          </w:tcPr>
          <w:p w14:paraId="37AA9EEF" w14:textId="77777777" w:rsidR="0033262D" w:rsidRPr="00A06F1E" w:rsidRDefault="0033262D">
            <w:pPr>
              <w:pStyle w:val="TableColHeadingCenter"/>
              <w:rPr>
                <w:rFonts w:eastAsia="MS Mincho"/>
              </w:rPr>
            </w:pPr>
            <w:r w:rsidRPr="00A06F1E">
              <w:rPr>
                <w:rFonts w:eastAsia="MS Mincho"/>
              </w:rPr>
              <w:t>High Range</w:t>
            </w:r>
          </w:p>
        </w:tc>
        <w:tc>
          <w:tcPr>
            <w:tcW w:w="900" w:type="dxa"/>
          </w:tcPr>
          <w:p w14:paraId="27A000A1" w14:textId="77777777" w:rsidR="0033262D" w:rsidRPr="00A06F1E" w:rsidRDefault="0033262D">
            <w:pPr>
              <w:pStyle w:val="TableColHeadingCenter"/>
              <w:rPr>
                <w:rFonts w:eastAsia="MS Mincho"/>
              </w:rPr>
            </w:pPr>
            <w:r w:rsidRPr="00A06F1E">
              <w:rPr>
                <w:rFonts w:eastAsia="MS Mincho"/>
              </w:rPr>
              <w:t>n</w:t>
            </w:r>
          </w:p>
        </w:tc>
        <w:tc>
          <w:tcPr>
            <w:tcW w:w="892" w:type="dxa"/>
          </w:tcPr>
          <w:p w14:paraId="4044F71B" w14:textId="77777777" w:rsidR="0033262D" w:rsidRPr="00A06F1E" w:rsidRDefault="0033262D">
            <w:pPr>
              <w:pStyle w:val="TableColHeadingCenter"/>
              <w:rPr>
                <w:rFonts w:eastAsia="MS Mincho"/>
              </w:rPr>
            </w:pPr>
            <w:r w:rsidRPr="00A06F1E">
              <w:rPr>
                <w:rFonts w:eastAsia="MS Mincho"/>
              </w:rPr>
              <w:t>Average</w:t>
            </w:r>
          </w:p>
        </w:tc>
      </w:tr>
      <w:tr w:rsidR="0033262D" w:rsidRPr="00A06F1E" w14:paraId="63652D89" w14:textId="77777777" w:rsidTr="0033262D">
        <w:trPr>
          <w:jc w:val="center"/>
        </w:trPr>
        <w:tc>
          <w:tcPr>
            <w:tcW w:w="1432" w:type="dxa"/>
            <w:shd w:val="clear" w:color="auto" w:fill="D9E2F3" w:themeFill="accent5" w:themeFillTint="33"/>
          </w:tcPr>
          <w:p w14:paraId="1BA55388" w14:textId="77777777" w:rsidR="0033262D" w:rsidRPr="00A06F1E" w:rsidRDefault="0033262D">
            <w:pPr>
              <w:pStyle w:val="TableSubheadingCentered"/>
            </w:pPr>
          </w:p>
        </w:tc>
        <w:tc>
          <w:tcPr>
            <w:tcW w:w="874" w:type="dxa"/>
            <w:shd w:val="clear" w:color="auto" w:fill="D9E2F3" w:themeFill="accent5" w:themeFillTint="33"/>
          </w:tcPr>
          <w:p w14:paraId="30824686" w14:textId="77777777" w:rsidR="0033262D" w:rsidRPr="00A06F1E" w:rsidRDefault="0033262D">
            <w:pPr>
              <w:pStyle w:val="TableSubheadingCentered"/>
            </w:pPr>
            <w:r w:rsidRPr="00A06F1E">
              <w:t>1</w:t>
            </w:r>
          </w:p>
        </w:tc>
        <w:tc>
          <w:tcPr>
            <w:tcW w:w="874" w:type="dxa"/>
            <w:shd w:val="clear" w:color="auto" w:fill="D9E2F3" w:themeFill="accent5" w:themeFillTint="33"/>
          </w:tcPr>
          <w:p w14:paraId="10D84C6A" w14:textId="77777777" w:rsidR="0033262D" w:rsidRPr="00A06F1E" w:rsidRDefault="0033262D">
            <w:pPr>
              <w:pStyle w:val="TableSubheadingCentered"/>
            </w:pPr>
            <w:r w:rsidRPr="00A06F1E">
              <w:t>2</w:t>
            </w:r>
          </w:p>
        </w:tc>
        <w:tc>
          <w:tcPr>
            <w:tcW w:w="874" w:type="dxa"/>
            <w:shd w:val="clear" w:color="auto" w:fill="D9E2F3" w:themeFill="accent5" w:themeFillTint="33"/>
          </w:tcPr>
          <w:p w14:paraId="54F827CB" w14:textId="77777777" w:rsidR="0033262D" w:rsidRPr="00A06F1E" w:rsidRDefault="0033262D">
            <w:pPr>
              <w:pStyle w:val="TableSubheadingCentered"/>
            </w:pPr>
            <w:r w:rsidRPr="00A06F1E">
              <w:t>3</w:t>
            </w:r>
          </w:p>
        </w:tc>
        <w:tc>
          <w:tcPr>
            <w:tcW w:w="875" w:type="dxa"/>
            <w:shd w:val="clear" w:color="auto" w:fill="D9E2F3" w:themeFill="accent5" w:themeFillTint="33"/>
          </w:tcPr>
          <w:p w14:paraId="4F1B73CE" w14:textId="77777777" w:rsidR="0033262D" w:rsidRPr="00A06F1E" w:rsidRDefault="0033262D">
            <w:pPr>
              <w:pStyle w:val="TableSubheadingCentered"/>
            </w:pPr>
            <w:r w:rsidRPr="00A06F1E">
              <w:t>4</w:t>
            </w:r>
          </w:p>
        </w:tc>
        <w:tc>
          <w:tcPr>
            <w:tcW w:w="874" w:type="dxa"/>
            <w:shd w:val="clear" w:color="auto" w:fill="D9E2F3" w:themeFill="accent5" w:themeFillTint="33"/>
          </w:tcPr>
          <w:p w14:paraId="6B36969A" w14:textId="77777777" w:rsidR="0033262D" w:rsidRPr="00A06F1E" w:rsidRDefault="0033262D">
            <w:pPr>
              <w:pStyle w:val="TableSubheadingCentered"/>
            </w:pPr>
            <w:r w:rsidRPr="00A06F1E">
              <w:t>5</w:t>
            </w:r>
          </w:p>
        </w:tc>
        <w:tc>
          <w:tcPr>
            <w:tcW w:w="874" w:type="dxa"/>
            <w:shd w:val="clear" w:color="auto" w:fill="D9E2F3" w:themeFill="accent5" w:themeFillTint="33"/>
          </w:tcPr>
          <w:p w14:paraId="283C79F3" w14:textId="77777777" w:rsidR="0033262D" w:rsidRPr="00A06F1E" w:rsidRDefault="0033262D">
            <w:pPr>
              <w:pStyle w:val="TableSubheadingCentered"/>
            </w:pPr>
            <w:r w:rsidRPr="00A06F1E">
              <w:t>6</w:t>
            </w:r>
          </w:p>
        </w:tc>
        <w:tc>
          <w:tcPr>
            <w:tcW w:w="875" w:type="dxa"/>
            <w:shd w:val="clear" w:color="auto" w:fill="D9E2F3" w:themeFill="accent5" w:themeFillTint="33"/>
          </w:tcPr>
          <w:p w14:paraId="331F1740" w14:textId="77777777" w:rsidR="0033262D" w:rsidRPr="00A06F1E" w:rsidRDefault="0033262D">
            <w:pPr>
              <w:pStyle w:val="TableSubheadingCentered"/>
            </w:pPr>
            <w:r w:rsidRPr="00A06F1E">
              <w:t>7</w:t>
            </w:r>
          </w:p>
        </w:tc>
        <w:tc>
          <w:tcPr>
            <w:tcW w:w="900" w:type="dxa"/>
            <w:shd w:val="clear" w:color="auto" w:fill="D9E2F3" w:themeFill="accent5" w:themeFillTint="33"/>
          </w:tcPr>
          <w:p w14:paraId="4ACBC006" w14:textId="77777777" w:rsidR="0033262D" w:rsidRPr="00A06F1E" w:rsidRDefault="0033262D">
            <w:pPr>
              <w:pStyle w:val="TableSubheadingCentered"/>
            </w:pPr>
            <w:r w:rsidRPr="00A06F1E">
              <w:t>56</w:t>
            </w:r>
          </w:p>
        </w:tc>
        <w:tc>
          <w:tcPr>
            <w:tcW w:w="892" w:type="dxa"/>
            <w:shd w:val="clear" w:color="auto" w:fill="D9E2F3" w:themeFill="accent5" w:themeFillTint="33"/>
          </w:tcPr>
          <w:p w14:paraId="059294DA" w14:textId="77777777" w:rsidR="0033262D" w:rsidRPr="00A06F1E" w:rsidRDefault="0033262D">
            <w:pPr>
              <w:pStyle w:val="TableSubheadingCentered"/>
            </w:pPr>
            <w:r w:rsidRPr="00A06F1E">
              <w:t>4.8</w:t>
            </w:r>
          </w:p>
        </w:tc>
      </w:tr>
      <w:tr w:rsidR="0033262D" w:rsidRPr="00A06F1E" w14:paraId="499B0916" w14:textId="77777777" w:rsidTr="0033262D">
        <w:trPr>
          <w:jc w:val="center"/>
        </w:trPr>
        <w:tc>
          <w:tcPr>
            <w:tcW w:w="1432" w:type="dxa"/>
          </w:tcPr>
          <w:p w14:paraId="3B90BF68" w14:textId="77777777" w:rsidR="0033262D" w:rsidRPr="00A06F1E" w:rsidRDefault="0033262D">
            <w:pPr>
              <w:pStyle w:val="TableText"/>
            </w:pPr>
            <w:r w:rsidRPr="00A06F1E">
              <w:t>Grades K-5</w:t>
            </w:r>
          </w:p>
        </w:tc>
        <w:tc>
          <w:tcPr>
            <w:tcW w:w="874" w:type="dxa"/>
          </w:tcPr>
          <w:p w14:paraId="3B0BBC11"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4C3AB65C"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0372CDA1" w14:textId="77777777" w:rsidR="0033262D" w:rsidRPr="00A06F1E" w:rsidRDefault="0033262D">
            <w:pPr>
              <w:pStyle w:val="TableTextCentered"/>
              <w:rPr>
                <w:rFonts w:eastAsia="Times New Roman"/>
              </w:rPr>
            </w:pPr>
            <w:r w:rsidRPr="00A06F1E">
              <w:rPr>
                <w:rFonts w:eastAsia="Times New Roman"/>
              </w:rPr>
              <w:t>1</w:t>
            </w:r>
          </w:p>
        </w:tc>
        <w:tc>
          <w:tcPr>
            <w:tcW w:w="875" w:type="dxa"/>
          </w:tcPr>
          <w:p w14:paraId="664743AC" w14:textId="77777777" w:rsidR="0033262D" w:rsidRPr="00A06F1E" w:rsidRDefault="0033262D">
            <w:pPr>
              <w:pStyle w:val="TableTextCentered"/>
              <w:rPr>
                <w:rFonts w:eastAsia="Times New Roman"/>
              </w:rPr>
            </w:pPr>
            <w:r w:rsidRPr="00A06F1E">
              <w:rPr>
                <w:rFonts w:eastAsia="Times New Roman"/>
              </w:rPr>
              <w:t>3</w:t>
            </w:r>
          </w:p>
        </w:tc>
        <w:tc>
          <w:tcPr>
            <w:tcW w:w="874" w:type="dxa"/>
          </w:tcPr>
          <w:p w14:paraId="56FC0170" w14:textId="77777777" w:rsidR="0033262D" w:rsidRPr="00A06F1E" w:rsidRDefault="0033262D">
            <w:pPr>
              <w:pStyle w:val="TableTextCentered"/>
              <w:rPr>
                <w:rFonts w:eastAsia="Times New Roman"/>
              </w:rPr>
            </w:pPr>
            <w:r w:rsidRPr="00A06F1E">
              <w:rPr>
                <w:rFonts w:eastAsia="Times New Roman"/>
              </w:rPr>
              <w:t>7</w:t>
            </w:r>
          </w:p>
        </w:tc>
        <w:tc>
          <w:tcPr>
            <w:tcW w:w="874" w:type="dxa"/>
          </w:tcPr>
          <w:p w14:paraId="1CD00B5E" w14:textId="77777777" w:rsidR="0033262D" w:rsidRPr="00A06F1E" w:rsidRDefault="0033262D">
            <w:pPr>
              <w:pStyle w:val="TableTextCentered"/>
              <w:rPr>
                <w:rFonts w:eastAsia="Times New Roman"/>
              </w:rPr>
            </w:pPr>
            <w:r w:rsidRPr="00A06F1E">
              <w:rPr>
                <w:rFonts w:eastAsia="Times New Roman"/>
              </w:rPr>
              <w:t>7</w:t>
            </w:r>
          </w:p>
        </w:tc>
        <w:tc>
          <w:tcPr>
            <w:tcW w:w="875" w:type="dxa"/>
          </w:tcPr>
          <w:p w14:paraId="7450DB47" w14:textId="77777777" w:rsidR="0033262D" w:rsidRPr="00A06F1E" w:rsidRDefault="0033262D">
            <w:pPr>
              <w:pStyle w:val="TableTextCentered"/>
              <w:rPr>
                <w:rFonts w:eastAsia="Times New Roman"/>
              </w:rPr>
            </w:pPr>
            <w:r w:rsidRPr="00A06F1E">
              <w:rPr>
                <w:rFonts w:eastAsia="Times New Roman"/>
              </w:rPr>
              <w:t>5</w:t>
            </w:r>
          </w:p>
        </w:tc>
        <w:tc>
          <w:tcPr>
            <w:tcW w:w="900" w:type="dxa"/>
          </w:tcPr>
          <w:p w14:paraId="5CF93398" w14:textId="77777777" w:rsidR="0033262D" w:rsidRPr="00A06F1E" w:rsidRDefault="0033262D">
            <w:pPr>
              <w:pStyle w:val="TableTextCentered"/>
              <w:rPr>
                <w:rFonts w:eastAsia="Times New Roman"/>
              </w:rPr>
            </w:pPr>
            <w:r w:rsidRPr="00A06F1E">
              <w:rPr>
                <w:rFonts w:eastAsia="Times New Roman"/>
              </w:rPr>
              <w:t>23</w:t>
            </w:r>
          </w:p>
        </w:tc>
        <w:tc>
          <w:tcPr>
            <w:tcW w:w="892" w:type="dxa"/>
          </w:tcPr>
          <w:p w14:paraId="5F3D3159" w14:textId="77777777" w:rsidR="0033262D" w:rsidRPr="00A06F1E" w:rsidRDefault="0033262D">
            <w:pPr>
              <w:pStyle w:val="TableTextCentered"/>
              <w:rPr>
                <w:rFonts w:eastAsia="Times New Roman"/>
              </w:rPr>
            </w:pPr>
            <w:r w:rsidRPr="00A06F1E">
              <w:rPr>
                <w:rFonts w:eastAsia="Times New Roman"/>
              </w:rPr>
              <w:t>5.5</w:t>
            </w:r>
          </w:p>
        </w:tc>
      </w:tr>
      <w:tr w:rsidR="0033262D" w:rsidRPr="00A06F1E" w14:paraId="0E9DE3E3" w14:textId="77777777" w:rsidTr="0033262D">
        <w:trPr>
          <w:jc w:val="center"/>
        </w:trPr>
        <w:tc>
          <w:tcPr>
            <w:tcW w:w="1432" w:type="dxa"/>
          </w:tcPr>
          <w:p w14:paraId="5BB85E18" w14:textId="77777777" w:rsidR="0033262D" w:rsidRPr="00A06F1E" w:rsidRDefault="0033262D">
            <w:pPr>
              <w:pStyle w:val="TableText"/>
            </w:pPr>
            <w:r w:rsidRPr="00A06F1E">
              <w:t>Grades 6-8</w:t>
            </w:r>
          </w:p>
        </w:tc>
        <w:tc>
          <w:tcPr>
            <w:tcW w:w="874" w:type="dxa"/>
          </w:tcPr>
          <w:p w14:paraId="4AFE9509"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23A85DB4"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0D1F774B" w14:textId="77777777" w:rsidR="0033262D" w:rsidRPr="00A06F1E" w:rsidRDefault="0033262D">
            <w:pPr>
              <w:pStyle w:val="TableTextCentered"/>
              <w:rPr>
                <w:rFonts w:eastAsia="Times New Roman"/>
              </w:rPr>
            </w:pPr>
            <w:r w:rsidRPr="00A06F1E">
              <w:rPr>
                <w:rFonts w:eastAsia="Times New Roman"/>
              </w:rPr>
              <w:t>2</w:t>
            </w:r>
          </w:p>
        </w:tc>
        <w:tc>
          <w:tcPr>
            <w:tcW w:w="875" w:type="dxa"/>
          </w:tcPr>
          <w:p w14:paraId="0B3034DE" w14:textId="77777777" w:rsidR="0033262D" w:rsidRPr="00A06F1E" w:rsidRDefault="0033262D">
            <w:pPr>
              <w:pStyle w:val="TableTextCentered"/>
              <w:rPr>
                <w:rFonts w:eastAsia="Times New Roman"/>
              </w:rPr>
            </w:pPr>
            <w:r w:rsidRPr="00A06F1E">
              <w:rPr>
                <w:rFonts w:eastAsia="Times New Roman"/>
              </w:rPr>
              <w:t>5</w:t>
            </w:r>
          </w:p>
        </w:tc>
        <w:tc>
          <w:tcPr>
            <w:tcW w:w="874" w:type="dxa"/>
          </w:tcPr>
          <w:p w14:paraId="5368DA1A" w14:textId="77777777" w:rsidR="0033262D" w:rsidRPr="00A06F1E" w:rsidRDefault="0033262D">
            <w:pPr>
              <w:pStyle w:val="TableTextCentered"/>
              <w:rPr>
                <w:rFonts w:eastAsia="Times New Roman"/>
              </w:rPr>
            </w:pPr>
            <w:r w:rsidRPr="00A06F1E">
              <w:rPr>
                <w:rFonts w:eastAsia="Times New Roman"/>
              </w:rPr>
              <w:t>6</w:t>
            </w:r>
          </w:p>
        </w:tc>
        <w:tc>
          <w:tcPr>
            <w:tcW w:w="874" w:type="dxa"/>
          </w:tcPr>
          <w:p w14:paraId="7883ECC9" w14:textId="77777777" w:rsidR="0033262D" w:rsidRPr="00A06F1E" w:rsidRDefault="0033262D">
            <w:pPr>
              <w:pStyle w:val="TableTextCentered"/>
              <w:rPr>
                <w:rFonts w:eastAsia="Times New Roman"/>
              </w:rPr>
            </w:pPr>
            <w:r w:rsidRPr="00A06F1E">
              <w:rPr>
                <w:rFonts w:eastAsia="Times New Roman"/>
              </w:rPr>
              <w:t>1</w:t>
            </w:r>
          </w:p>
        </w:tc>
        <w:tc>
          <w:tcPr>
            <w:tcW w:w="875" w:type="dxa"/>
          </w:tcPr>
          <w:p w14:paraId="781FD6F3" w14:textId="77777777" w:rsidR="0033262D" w:rsidRPr="00A06F1E" w:rsidRDefault="0033262D">
            <w:pPr>
              <w:pStyle w:val="TableTextCentered"/>
              <w:rPr>
                <w:rFonts w:eastAsia="Times New Roman"/>
              </w:rPr>
            </w:pPr>
            <w:r w:rsidRPr="00A06F1E">
              <w:rPr>
                <w:rFonts w:eastAsia="Times New Roman"/>
              </w:rPr>
              <w:t>2</w:t>
            </w:r>
          </w:p>
        </w:tc>
        <w:tc>
          <w:tcPr>
            <w:tcW w:w="900" w:type="dxa"/>
          </w:tcPr>
          <w:p w14:paraId="788612E6" w14:textId="77777777" w:rsidR="0033262D" w:rsidRPr="00A06F1E" w:rsidRDefault="0033262D">
            <w:pPr>
              <w:pStyle w:val="TableTextCentered"/>
              <w:rPr>
                <w:rFonts w:eastAsia="Times New Roman"/>
              </w:rPr>
            </w:pPr>
            <w:r w:rsidRPr="00A06F1E">
              <w:rPr>
                <w:rFonts w:eastAsia="Times New Roman"/>
              </w:rPr>
              <w:t>17</w:t>
            </w:r>
          </w:p>
        </w:tc>
        <w:tc>
          <w:tcPr>
            <w:tcW w:w="892" w:type="dxa"/>
          </w:tcPr>
          <w:p w14:paraId="4A8FEDAD" w14:textId="77777777" w:rsidR="0033262D" w:rsidRPr="00A06F1E" w:rsidRDefault="0033262D">
            <w:pPr>
              <w:pStyle w:val="TableTextCentered"/>
              <w:rPr>
                <w:rFonts w:eastAsia="Times New Roman"/>
              </w:rPr>
            </w:pPr>
            <w:r w:rsidRPr="00A06F1E">
              <w:rPr>
                <w:rFonts w:eastAsia="Times New Roman"/>
              </w:rPr>
              <w:t>4.6</w:t>
            </w:r>
          </w:p>
        </w:tc>
      </w:tr>
      <w:tr w:rsidR="0033262D" w:rsidRPr="00A06F1E" w14:paraId="6EC301A1" w14:textId="77777777" w:rsidTr="0033262D">
        <w:trPr>
          <w:jc w:val="center"/>
        </w:trPr>
        <w:tc>
          <w:tcPr>
            <w:tcW w:w="1432" w:type="dxa"/>
          </w:tcPr>
          <w:p w14:paraId="5A3C2D5E" w14:textId="77777777" w:rsidR="0033262D" w:rsidRPr="00A06F1E" w:rsidRDefault="0033262D">
            <w:pPr>
              <w:pStyle w:val="TableText"/>
            </w:pPr>
            <w:r w:rsidRPr="00A06F1E">
              <w:t>Grades 9-12</w:t>
            </w:r>
          </w:p>
        </w:tc>
        <w:tc>
          <w:tcPr>
            <w:tcW w:w="874" w:type="dxa"/>
          </w:tcPr>
          <w:p w14:paraId="51A547F0"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4CC5A564" w14:textId="77777777" w:rsidR="0033262D" w:rsidRPr="00A06F1E" w:rsidRDefault="0033262D">
            <w:pPr>
              <w:pStyle w:val="TableTextCentered"/>
              <w:rPr>
                <w:rFonts w:eastAsia="Times New Roman"/>
              </w:rPr>
            </w:pPr>
            <w:r w:rsidRPr="00A06F1E">
              <w:rPr>
                <w:rFonts w:eastAsia="Times New Roman"/>
              </w:rPr>
              <w:t>5</w:t>
            </w:r>
          </w:p>
        </w:tc>
        <w:tc>
          <w:tcPr>
            <w:tcW w:w="874" w:type="dxa"/>
          </w:tcPr>
          <w:p w14:paraId="5566DA0C" w14:textId="77777777" w:rsidR="0033262D" w:rsidRPr="00A06F1E" w:rsidRDefault="0033262D">
            <w:pPr>
              <w:pStyle w:val="TableTextCentered"/>
              <w:rPr>
                <w:rFonts w:eastAsia="Times New Roman"/>
              </w:rPr>
            </w:pPr>
            <w:r w:rsidRPr="00A06F1E">
              <w:rPr>
                <w:rFonts w:eastAsia="Times New Roman"/>
              </w:rPr>
              <w:t>3</w:t>
            </w:r>
          </w:p>
        </w:tc>
        <w:tc>
          <w:tcPr>
            <w:tcW w:w="875" w:type="dxa"/>
          </w:tcPr>
          <w:p w14:paraId="65C7EDB3"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41F6E915" w14:textId="77777777" w:rsidR="0033262D" w:rsidRPr="00A06F1E" w:rsidRDefault="0033262D">
            <w:pPr>
              <w:pStyle w:val="TableTextCentered"/>
              <w:rPr>
                <w:rFonts w:eastAsia="Times New Roman"/>
              </w:rPr>
            </w:pPr>
            <w:r w:rsidRPr="00A06F1E">
              <w:rPr>
                <w:rFonts w:eastAsia="Times New Roman"/>
              </w:rPr>
              <w:t>3</w:t>
            </w:r>
          </w:p>
        </w:tc>
        <w:tc>
          <w:tcPr>
            <w:tcW w:w="874" w:type="dxa"/>
          </w:tcPr>
          <w:p w14:paraId="3858AA8A" w14:textId="77777777" w:rsidR="0033262D" w:rsidRPr="00A06F1E" w:rsidRDefault="0033262D">
            <w:pPr>
              <w:pStyle w:val="TableTextCentered"/>
              <w:rPr>
                <w:rFonts w:eastAsia="Times New Roman"/>
              </w:rPr>
            </w:pPr>
            <w:r w:rsidRPr="00A06F1E">
              <w:rPr>
                <w:rFonts w:eastAsia="Times New Roman"/>
              </w:rPr>
              <w:t>3</w:t>
            </w:r>
          </w:p>
        </w:tc>
        <w:tc>
          <w:tcPr>
            <w:tcW w:w="875" w:type="dxa"/>
          </w:tcPr>
          <w:p w14:paraId="3C9336CA" w14:textId="77777777" w:rsidR="0033262D" w:rsidRPr="00A06F1E" w:rsidRDefault="0033262D">
            <w:pPr>
              <w:pStyle w:val="TableTextCentered"/>
              <w:rPr>
                <w:rFonts w:eastAsia="Times New Roman"/>
              </w:rPr>
            </w:pPr>
            <w:r w:rsidRPr="00A06F1E">
              <w:rPr>
                <w:rFonts w:eastAsia="Times New Roman"/>
              </w:rPr>
              <w:t>1</w:t>
            </w:r>
          </w:p>
        </w:tc>
        <w:tc>
          <w:tcPr>
            <w:tcW w:w="900" w:type="dxa"/>
          </w:tcPr>
          <w:p w14:paraId="76A9C83C" w14:textId="77777777" w:rsidR="0033262D" w:rsidRPr="00A06F1E" w:rsidRDefault="0033262D">
            <w:pPr>
              <w:pStyle w:val="TableTextCentered"/>
              <w:rPr>
                <w:rFonts w:eastAsia="Times New Roman"/>
              </w:rPr>
            </w:pPr>
            <w:r w:rsidRPr="00A06F1E">
              <w:rPr>
                <w:rFonts w:eastAsia="Times New Roman"/>
              </w:rPr>
              <w:t>16</w:t>
            </w:r>
          </w:p>
        </w:tc>
        <w:tc>
          <w:tcPr>
            <w:tcW w:w="892" w:type="dxa"/>
          </w:tcPr>
          <w:p w14:paraId="6A73925E" w14:textId="77777777" w:rsidR="0033262D" w:rsidRPr="00A06F1E" w:rsidRDefault="0033262D">
            <w:pPr>
              <w:pStyle w:val="TableTextCentered"/>
              <w:rPr>
                <w:rFonts w:eastAsia="Times New Roman"/>
              </w:rPr>
            </w:pPr>
            <w:r w:rsidRPr="00A06F1E">
              <w:rPr>
                <w:rFonts w:eastAsia="Times New Roman"/>
              </w:rPr>
              <w:t>3.9</w:t>
            </w:r>
          </w:p>
        </w:tc>
      </w:tr>
    </w:tbl>
    <w:bookmarkEnd w:id="97"/>
    <w:p w14:paraId="4A226364" w14:textId="77777777" w:rsidR="0033262D" w:rsidRPr="00A06F1E" w:rsidRDefault="0033262D">
      <w:pPr>
        <w:pStyle w:val="TableNote"/>
      </w:pPr>
      <w:r w:rsidRPr="00A06F1E">
        <w:rPr>
          <w:szCs w:val="20"/>
        </w:rPr>
        <w:t>*</w:t>
      </w:r>
      <w:r w:rsidRPr="00A06F1E">
        <w:t xml:space="preserve">The district average is an average of the observation scores. In Table 3, the district average is computed as: </w:t>
      </w:r>
      <w:r w:rsidRPr="00A06F1E">
        <w:br/>
      </w:r>
      <w:bookmarkStart w:id="98" w:name="Dist_PC_Calc"/>
      <w:r w:rsidRPr="00A06F1E">
        <w:t>([2 x 6] + [3 x 6] + [4 x 9] + [5 x 16] + [6 x 11] + [7 x 8]) ÷ 56 observations = 4.8</w:t>
      </w:r>
      <w:bookmarkEnd w:id="98"/>
    </w:p>
    <w:p w14:paraId="244BCE5E" w14:textId="77777777" w:rsidR="0033262D" w:rsidRPr="00A06F1E" w:rsidRDefault="0033262D">
      <w:pPr>
        <w:pStyle w:val="BodyText"/>
      </w:pPr>
      <w:r w:rsidRPr="00A06F1E">
        <w:rPr>
          <w:rStyle w:val="BodyTextDemiChar"/>
        </w:rPr>
        <w:t>Ratings in the Low Range</w:t>
      </w:r>
      <w:r w:rsidRPr="00A06F1E">
        <w:t>. 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0B38BA3A" w14:textId="77777777" w:rsidR="0033262D" w:rsidRPr="00A06F1E" w:rsidRDefault="0033262D">
      <w:pPr>
        <w:pStyle w:val="BodyText"/>
      </w:pPr>
      <w:r w:rsidRPr="00A06F1E">
        <w:rPr>
          <w:rStyle w:val="BodyTextDemiChar"/>
        </w:rPr>
        <w:t>Ratings in the Middle Range.</w:t>
      </w:r>
      <w:r w:rsidRPr="00A06F1E">
        <w:t xml:space="preserve"> 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1A4D00E4" w14:textId="77777777" w:rsidR="0033262D" w:rsidRPr="00A06F1E" w:rsidRDefault="0033262D">
      <w:pPr>
        <w:pStyle w:val="BodyText"/>
      </w:pPr>
      <w:r w:rsidRPr="00A06F1E">
        <w:rPr>
          <w:rStyle w:val="BodyTextDemiChar"/>
        </w:rPr>
        <w:t xml:space="preserve">Ratings in the High Range. </w:t>
      </w:r>
      <w:r w:rsidRPr="00A06F1E">
        <w:t>There are many indications that the relationship among students and the teacher is positive and warm. The teacher is typically in close proximity to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94"/>
    <w:p w14:paraId="1727D8B0" w14:textId="77777777" w:rsidR="0033262D" w:rsidRPr="00A06F1E" w:rsidRDefault="0033262D">
      <w:pPr>
        <w:spacing w:after="160" w:line="259" w:lineRule="auto"/>
      </w:pPr>
      <w:r w:rsidRPr="00A06F1E">
        <w:br w:type="page"/>
      </w:r>
    </w:p>
    <w:p w14:paraId="6EB091B4" w14:textId="77777777" w:rsidR="0033262D" w:rsidRPr="00A06F1E" w:rsidRDefault="0033262D">
      <w:pPr>
        <w:pStyle w:val="Heading2-SIOR"/>
      </w:pPr>
      <w:bookmarkStart w:id="99" w:name="_Toc411329828"/>
      <w:bookmarkStart w:id="100" w:name="_Toc430114876"/>
      <w:bookmarkStart w:id="101" w:name="_Toc92194255"/>
      <w:r w:rsidRPr="00A06F1E">
        <w:lastRenderedPageBreak/>
        <w:t>Teacher Sensitivity</w:t>
      </w:r>
      <w:bookmarkEnd w:id="99"/>
      <w:bookmarkEnd w:id="100"/>
      <w:bookmarkEnd w:id="101"/>
    </w:p>
    <w:p w14:paraId="06D2A852" w14:textId="77777777" w:rsidR="0033262D" w:rsidRPr="00A06F1E" w:rsidRDefault="0033262D">
      <w:pPr>
        <w:pStyle w:val="BodyTextDomain"/>
      </w:pPr>
      <w:r w:rsidRPr="00A06F1E">
        <w:t>Emotional Support domain, Grades K−12</w:t>
      </w:r>
    </w:p>
    <w:p w14:paraId="7B5A9CD6" w14:textId="06CF1FCE" w:rsidR="006C1DC9" w:rsidRPr="00A06F1E" w:rsidRDefault="0033262D">
      <w:pPr>
        <w:pStyle w:val="BodyText"/>
      </w:pPr>
      <w:r w:rsidRPr="00A06F1E">
        <w:t>Teacher Sensitivity encompasses the teacher</w:t>
      </w:r>
      <w:r w:rsidR="00040362" w:rsidRPr="00A06F1E">
        <w:t>’</w:t>
      </w:r>
      <w:r w:rsidRPr="00A06F1E">
        <w:t>s awareness of and responsiveness to students</w:t>
      </w:r>
      <w:r w:rsidR="00040362" w:rsidRPr="00A06F1E">
        <w:t>’</w:t>
      </w:r>
      <w:r w:rsidRPr="00A06F1E">
        <w:t xml:space="preserve"> academic and emotional needs. High levels of sensitivity facilitate students</w:t>
      </w:r>
      <w:r w:rsidR="00040362" w:rsidRPr="00A06F1E">
        <w:t>’</w:t>
      </w:r>
      <w:r w:rsidRPr="00A06F1E">
        <w:t xml:space="preserve"> abilities to actively explore and learn because the teacher consistently provides comfort, reassurance, and encouragement (</w:t>
      </w:r>
      <w:r w:rsidRPr="00A06F1E">
        <w:rPr>
          <w:i/>
        </w:rPr>
        <w:t>CLASS K–3 Manual,</w:t>
      </w:r>
      <w:r w:rsidRPr="00A06F1E">
        <w:t xml:space="preserve"> p. 32, </w:t>
      </w:r>
      <w:r w:rsidRPr="00A06F1E">
        <w:rPr>
          <w:i/>
        </w:rPr>
        <w:t xml:space="preserve">CLASS Upper Elementary Manual, </w:t>
      </w:r>
      <w:r w:rsidRPr="00A06F1E">
        <w:t xml:space="preserve">p. 27, </w:t>
      </w:r>
      <w:r w:rsidRPr="00A06F1E">
        <w:rPr>
          <w:i/>
        </w:rPr>
        <w:t>CLASS Secondary Manual,</w:t>
      </w:r>
      <w:r w:rsidRPr="00A06F1E">
        <w:t xml:space="preserve"> p. 27).</w:t>
      </w:r>
    </w:p>
    <w:p w14:paraId="61F8D571" w14:textId="1B0DCC12" w:rsidR="0033262D" w:rsidRPr="00A06F1E" w:rsidRDefault="0033262D">
      <w:pPr>
        <w:pStyle w:val="TableTitle0"/>
      </w:pPr>
      <w:bookmarkStart w:id="102" w:name="_Toc170701910"/>
      <w:r w:rsidRPr="00A06F1E">
        <w:t>Table 4. Teacher Sensitivity: Number of Classrooms for Each Rating and District Average</w:t>
      </w:r>
      <w:bookmarkEnd w:id="102"/>
    </w:p>
    <w:p w14:paraId="22214504" w14:textId="77777777" w:rsidR="0033262D" w:rsidRPr="00A06F1E" w:rsidRDefault="0033262D">
      <w:pPr>
        <w:pStyle w:val="BodyTextDemi"/>
      </w:pPr>
      <w:r w:rsidRPr="00A06F1E">
        <w:t xml:space="preserve">Teacher Sensitivity District Average*: </w:t>
      </w:r>
      <w:bookmarkStart w:id="103" w:name="Dist_TS_Avg"/>
      <w:r w:rsidRPr="00A06F1E">
        <w:t>5.4</w:t>
      </w:r>
      <w:bookmarkEnd w:id="103"/>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3262D" w:rsidRPr="00A06F1E" w14:paraId="036156A5" w14:textId="77777777" w:rsidTr="0033262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16172AE" w14:textId="77777777" w:rsidR="0033262D" w:rsidRPr="00DF7902" w:rsidRDefault="0033262D">
            <w:pPr>
              <w:pStyle w:val="TableColHeadingCenter"/>
              <w:rPr>
                <w:rFonts w:eastAsia="MS Mincho"/>
              </w:rPr>
            </w:pPr>
            <w:bookmarkStart w:id="104" w:name="Tbl_TS"/>
            <w:r w:rsidRPr="00DF7902">
              <w:rPr>
                <w:rFonts w:eastAsia="MS Mincho"/>
              </w:rPr>
              <w:t>Grade Band</w:t>
            </w:r>
          </w:p>
        </w:tc>
        <w:tc>
          <w:tcPr>
            <w:tcW w:w="1748" w:type="dxa"/>
            <w:gridSpan w:val="2"/>
          </w:tcPr>
          <w:p w14:paraId="4279814F" w14:textId="77777777" w:rsidR="0033262D" w:rsidRPr="00A06F1E" w:rsidRDefault="0033262D">
            <w:pPr>
              <w:pStyle w:val="TableColHeadingCenter"/>
              <w:rPr>
                <w:rFonts w:eastAsia="MS Mincho"/>
              </w:rPr>
            </w:pPr>
            <w:r w:rsidRPr="00A06F1E">
              <w:rPr>
                <w:rFonts w:eastAsia="MS Mincho"/>
              </w:rPr>
              <w:t>Low Range</w:t>
            </w:r>
          </w:p>
        </w:tc>
        <w:tc>
          <w:tcPr>
            <w:tcW w:w="2623" w:type="dxa"/>
            <w:gridSpan w:val="3"/>
          </w:tcPr>
          <w:p w14:paraId="4A629688" w14:textId="77777777" w:rsidR="0033262D" w:rsidRPr="00A06F1E" w:rsidRDefault="0033262D">
            <w:pPr>
              <w:pStyle w:val="TableColHeadingCenter"/>
              <w:rPr>
                <w:rFonts w:eastAsia="MS Mincho"/>
              </w:rPr>
            </w:pPr>
            <w:r w:rsidRPr="00A06F1E">
              <w:rPr>
                <w:rFonts w:eastAsia="MS Mincho"/>
              </w:rPr>
              <w:t>Middle Range</w:t>
            </w:r>
          </w:p>
        </w:tc>
        <w:tc>
          <w:tcPr>
            <w:tcW w:w="1749" w:type="dxa"/>
            <w:gridSpan w:val="2"/>
          </w:tcPr>
          <w:p w14:paraId="4335A949" w14:textId="77777777" w:rsidR="0033262D" w:rsidRPr="00A06F1E" w:rsidRDefault="0033262D">
            <w:pPr>
              <w:pStyle w:val="TableColHeadingCenter"/>
              <w:rPr>
                <w:rFonts w:eastAsia="MS Mincho"/>
              </w:rPr>
            </w:pPr>
            <w:r w:rsidRPr="00A06F1E">
              <w:rPr>
                <w:rFonts w:eastAsia="MS Mincho"/>
              </w:rPr>
              <w:t>High Range</w:t>
            </w:r>
          </w:p>
        </w:tc>
        <w:tc>
          <w:tcPr>
            <w:tcW w:w="900" w:type="dxa"/>
          </w:tcPr>
          <w:p w14:paraId="7CAC331A" w14:textId="77777777" w:rsidR="0033262D" w:rsidRPr="00A06F1E" w:rsidRDefault="0033262D">
            <w:pPr>
              <w:pStyle w:val="TableColHeadingCenter"/>
              <w:rPr>
                <w:rFonts w:eastAsia="MS Mincho"/>
              </w:rPr>
            </w:pPr>
            <w:r w:rsidRPr="00A06F1E">
              <w:rPr>
                <w:rFonts w:eastAsia="MS Mincho"/>
              </w:rPr>
              <w:t>n</w:t>
            </w:r>
          </w:p>
        </w:tc>
        <w:tc>
          <w:tcPr>
            <w:tcW w:w="892" w:type="dxa"/>
          </w:tcPr>
          <w:p w14:paraId="753167A0" w14:textId="77777777" w:rsidR="0033262D" w:rsidRPr="00A06F1E" w:rsidRDefault="0033262D">
            <w:pPr>
              <w:pStyle w:val="TableColHeadingCenter"/>
              <w:rPr>
                <w:rFonts w:eastAsia="MS Mincho"/>
              </w:rPr>
            </w:pPr>
            <w:r w:rsidRPr="00A06F1E">
              <w:rPr>
                <w:rFonts w:eastAsia="MS Mincho"/>
              </w:rPr>
              <w:t>Average</w:t>
            </w:r>
          </w:p>
        </w:tc>
      </w:tr>
      <w:tr w:rsidR="0033262D" w:rsidRPr="00A06F1E" w14:paraId="1AB68B51" w14:textId="77777777" w:rsidTr="0033262D">
        <w:trPr>
          <w:jc w:val="center"/>
        </w:trPr>
        <w:tc>
          <w:tcPr>
            <w:tcW w:w="1432" w:type="dxa"/>
            <w:shd w:val="clear" w:color="auto" w:fill="D9E2F3" w:themeFill="accent5" w:themeFillTint="33"/>
          </w:tcPr>
          <w:p w14:paraId="4845B29C" w14:textId="77777777" w:rsidR="0033262D" w:rsidRPr="00A06F1E" w:rsidRDefault="0033262D">
            <w:pPr>
              <w:pStyle w:val="TableSubheadingCentered"/>
            </w:pPr>
          </w:p>
        </w:tc>
        <w:tc>
          <w:tcPr>
            <w:tcW w:w="874" w:type="dxa"/>
            <w:shd w:val="clear" w:color="auto" w:fill="D9E2F3" w:themeFill="accent5" w:themeFillTint="33"/>
          </w:tcPr>
          <w:p w14:paraId="34E1ED21" w14:textId="77777777" w:rsidR="0033262D" w:rsidRPr="00A06F1E" w:rsidRDefault="0033262D">
            <w:pPr>
              <w:pStyle w:val="TableSubheadingCentered"/>
            </w:pPr>
            <w:r w:rsidRPr="00A06F1E">
              <w:t>1</w:t>
            </w:r>
          </w:p>
        </w:tc>
        <w:tc>
          <w:tcPr>
            <w:tcW w:w="874" w:type="dxa"/>
            <w:shd w:val="clear" w:color="auto" w:fill="D9E2F3" w:themeFill="accent5" w:themeFillTint="33"/>
          </w:tcPr>
          <w:p w14:paraId="5A52D863" w14:textId="77777777" w:rsidR="0033262D" w:rsidRPr="00A06F1E" w:rsidRDefault="0033262D">
            <w:pPr>
              <w:pStyle w:val="TableSubheadingCentered"/>
            </w:pPr>
            <w:r w:rsidRPr="00A06F1E">
              <w:t>2</w:t>
            </w:r>
          </w:p>
        </w:tc>
        <w:tc>
          <w:tcPr>
            <w:tcW w:w="874" w:type="dxa"/>
            <w:shd w:val="clear" w:color="auto" w:fill="D9E2F3" w:themeFill="accent5" w:themeFillTint="33"/>
          </w:tcPr>
          <w:p w14:paraId="37444028" w14:textId="77777777" w:rsidR="0033262D" w:rsidRPr="00A06F1E" w:rsidRDefault="0033262D">
            <w:pPr>
              <w:pStyle w:val="TableSubheadingCentered"/>
            </w:pPr>
            <w:r w:rsidRPr="00A06F1E">
              <w:t>3</w:t>
            </w:r>
          </w:p>
        </w:tc>
        <w:tc>
          <w:tcPr>
            <w:tcW w:w="875" w:type="dxa"/>
            <w:shd w:val="clear" w:color="auto" w:fill="D9E2F3" w:themeFill="accent5" w:themeFillTint="33"/>
          </w:tcPr>
          <w:p w14:paraId="505E117A" w14:textId="77777777" w:rsidR="0033262D" w:rsidRPr="00A06F1E" w:rsidRDefault="0033262D">
            <w:pPr>
              <w:pStyle w:val="TableSubheadingCentered"/>
            </w:pPr>
            <w:r w:rsidRPr="00A06F1E">
              <w:t>4</w:t>
            </w:r>
          </w:p>
        </w:tc>
        <w:tc>
          <w:tcPr>
            <w:tcW w:w="874" w:type="dxa"/>
            <w:shd w:val="clear" w:color="auto" w:fill="D9E2F3" w:themeFill="accent5" w:themeFillTint="33"/>
          </w:tcPr>
          <w:p w14:paraId="43D15215" w14:textId="77777777" w:rsidR="0033262D" w:rsidRPr="00A06F1E" w:rsidRDefault="0033262D">
            <w:pPr>
              <w:pStyle w:val="TableSubheadingCentered"/>
            </w:pPr>
            <w:r w:rsidRPr="00A06F1E">
              <w:t>5</w:t>
            </w:r>
          </w:p>
        </w:tc>
        <w:tc>
          <w:tcPr>
            <w:tcW w:w="874" w:type="dxa"/>
            <w:shd w:val="clear" w:color="auto" w:fill="D9E2F3" w:themeFill="accent5" w:themeFillTint="33"/>
          </w:tcPr>
          <w:p w14:paraId="5046C486" w14:textId="77777777" w:rsidR="0033262D" w:rsidRPr="00A06F1E" w:rsidRDefault="0033262D">
            <w:pPr>
              <w:pStyle w:val="TableSubheadingCentered"/>
            </w:pPr>
            <w:r w:rsidRPr="00A06F1E">
              <w:t>6</w:t>
            </w:r>
          </w:p>
        </w:tc>
        <w:tc>
          <w:tcPr>
            <w:tcW w:w="875" w:type="dxa"/>
            <w:shd w:val="clear" w:color="auto" w:fill="D9E2F3" w:themeFill="accent5" w:themeFillTint="33"/>
          </w:tcPr>
          <w:p w14:paraId="45EE1ACD" w14:textId="77777777" w:rsidR="0033262D" w:rsidRPr="00A06F1E" w:rsidRDefault="0033262D">
            <w:pPr>
              <w:pStyle w:val="TableSubheadingCentered"/>
            </w:pPr>
            <w:r w:rsidRPr="00A06F1E">
              <w:t>7</w:t>
            </w:r>
          </w:p>
        </w:tc>
        <w:tc>
          <w:tcPr>
            <w:tcW w:w="900" w:type="dxa"/>
            <w:shd w:val="clear" w:color="auto" w:fill="D9E2F3" w:themeFill="accent5" w:themeFillTint="33"/>
          </w:tcPr>
          <w:p w14:paraId="5A87074F" w14:textId="77777777" w:rsidR="0033262D" w:rsidRPr="00A06F1E" w:rsidRDefault="0033262D">
            <w:pPr>
              <w:pStyle w:val="TableSubheadingCentered"/>
            </w:pPr>
            <w:r w:rsidRPr="00A06F1E">
              <w:t>56</w:t>
            </w:r>
          </w:p>
        </w:tc>
        <w:tc>
          <w:tcPr>
            <w:tcW w:w="892" w:type="dxa"/>
            <w:shd w:val="clear" w:color="auto" w:fill="D9E2F3" w:themeFill="accent5" w:themeFillTint="33"/>
          </w:tcPr>
          <w:p w14:paraId="09303D91" w14:textId="77777777" w:rsidR="0033262D" w:rsidRPr="00A06F1E" w:rsidRDefault="0033262D">
            <w:pPr>
              <w:pStyle w:val="TableSubheadingCentered"/>
            </w:pPr>
            <w:r w:rsidRPr="00A06F1E">
              <w:t>5.4</w:t>
            </w:r>
          </w:p>
        </w:tc>
      </w:tr>
      <w:tr w:rsidR="0033262D" w:rsidRPr="00A06F1E" w14:paraId="520270DC" w14:textId="77777777" w:rsidTr="0033262D">
        <w:trPr>
          <w:jc w:val="center"/>
        </w:trPr>
        <w:tc>
          <w:tcPr>
            <w:tcW w:w="1432" w:type="dxa"/>
          </w:tcPr>
          <w:p w14:paraId="680B5945" w14:textId="77777777" w:rsidR="0033262D" w:rsidRPr="00A06F1E" w:rsidRDefault="0033262D">
            <w:pPr>
              <w:pStyle w:val="TableText"/>
            </w:pPr>
            <w:r w:rsidRPr="00A06F1E">
              <w:t>Grades K-5</w:t>
            </w:r>
          </w:p>
        </w:tc>
        <w:tc>
          <w:tcPr>
            <w:tcW w:w="874" w:type="dxa"/>
          </w:tcPr>
          <w:p w14:paraId="166CAAC6"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61E02753"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6F517A3C"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23CB3CE5"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46EBE2A6" w14:textId="77777777" w:rsidR="0033262D" w:rsidRPr="00A06F1E" w:rsidRDefault="0033262D">
            <w:pPr>
              <w:pStyle w:val="TableTextCentered"/>
              <w:rPr>
                <w:rFonts w:eastAsia="Times New Roman"/>
              </w:rPr>
            </w:pPr>
            <w:r w:rsidRPr="00A06F1E">
              <w:rPr>
                <w:rFonts w:eastAsia="Times New Roman"/>
              </w:rPr>
              <w:t>7</w:t>
            </w:r>
          </w:p>
        </w:tc>
        <w:tc>
          <w:tcPr>
            <w:tcW w:w="874" w:type="dxa"/>
          </w:tcPr>
          <w:p w14:paraId="6262E2C1" w14:textId="77777777" w:rsidR="0033262D" w:rsidRPr="00A06F1E" w:rsidRDefault="0033262D">
            <w:pPr>
              <w:pStyle w:val="TableTextCentered"/>
              <w:rPr>
                <w:rFonts w:eastAsia="Times New Roman"/>
              </w:rPr>
            </w:pPr>
            <w:r w:rsidRPr="00A06F1E">
              <w:rPr>
                <w:rFonts w:eastAsia="Times New Roman"/>
              </w:rPr>
              <w:t>8</w:t>
            </w:r>
          </w:p>
        </w:tc>
        <w:tc>
          <w:tcPr>
            <w:tcW w:w="875" w:type="dxa"/>
          </w:tcPr>
          <w:p w14:paraId="06A1E7E6" w14:textId="77777777" w:rsidR="0033262D" w:rsidRPr="00A06F1E" w:rsidRDefault="0033262D">
            <w:pPr>
              <w:pStyle w:val="TableTextCentered"/>
              <w:rPr>
                <w:rFonts w:eastAsia="Times New Roman"/>
              </w:rPr>
            </w:pPr>
            <w:r w:rsidRPr="00A06F1E">
              <w:rPr>
                <w:rFonts w:eastAsia="Times New Roman"/>
              </w:rPr>
              <w:t>7</w:t>
            </w:r>
          </w:p>
        </w:tc>
        <w:tc>
          <w:tcPr>
            <w:tcW w:w="900" w:type="dxa"/>
          </w:tcPr>
          <w:p w14:paraId="0C4A179B" w14:textId="77777777" w:rsidR="0033262D" w:rsidRPr="00A06F1E" w:rsidRDefault="0033262D">
            <w:pPr>
              <w:pStyle w:val="TableTextCentered"/>
              <w:rPr>
                <w:rFonts w:eastAsia="Times New Roman"/>
              </w:rPr>
            </w:pPr>
            <w:r w:rsidRPr="00A06F1E">
              <w:rPr>
                <w:rFonts w:eastAsia="Times New Roman"/>
              </w:rPr>
              <w:t>23</w:t>
            </w:r>
          </w:p>
        </w:tc>
        <w:tc>
          <w:tcPr>
            <w:tcW w:w="892" w:type="dxa"/>
          </w:tcPr>
          <w:p w14:paraId="11785FDE" w14:textId="77777777" w:rsidR="0033262D" w:rsidRPr="00A06F1E" w:rsidRDefault="0033262D">
            <w:pPr>
              <w:pStyle w:val="TableTextCentered"/>
              <w:rPr>
                <w:rFonts w:eastAsia="Times New Roman"/>
              </w:rPr>
            </w:pPr>
            <w:r w:rsidRPr="00A06F1E">
              <w:rPr>
                <w:rFonts w:eastAsia="Times New Roman"/>
              </w:rPr>
              <w:t>5.9</w:t>
            </w:r>
          </w:p>
        </w:tc>
      </w:tr>
      <w:tr w:rsidR="0033262D" w:rsidRPr="00A06F1E" w14:paraId="535B7D6A" w14:textId="77777777" w:rsidTr="0033262D">
        <w:trPr>
          <w:jc w:val="center"/>
        </w:trPr>
        <w:tc>
          <w:tcPr>
            <w:tcW w:w="1432" w:type="dxa"/>
          </w:tcPr>
          <w:p w14:paraId="42B07E04" w14:textId="77777777" w:rsidR="0033262D" w:rsidRPr="00A06F1E" w:rsidRDefault="0033262D">
            <w:pPr>
              <w:pStyle w:val="TableText"/>
            </w:pPr>
            <w:r w:rsidRPr="00A06F1E">
              <w:t>Grades 6-8</w:t>
            </w:r>
          </w:p>
        </w:tc>
        <w:tc>
          <w:tcPr>
            <w:tcW w:w="874" w:type="dxa"/>
          </w:tcPr>
          <w:p w14:paraId="07DF2DFB"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17F3B773"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7BD17244"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2D19A373" w14:textId="77777777" w:rsidR="0033262D" w:rsidRPr="00A06F1E" w:rsidRDefault="0033262D">
            <w:pPr>
              <w:pStyle w:val="TableTextCentered"/>
              <w:rPr>
                <w:rFonts w:eastAsia="Times New Roman"/>
              </w:rPr>
            </w:pPr>
            <w:r w:rsidRPr="00A06F1E">
              <w:rPr>
                <w:rFonts w:eastAsia="Times New Roman"/>
              </w:rPr>
              <w:t>3</w:t>
            </w:r>
          </w:p>
        </w:tc>
        <w:tc>
          <w:tcPr>
            <w:tcW w:w="874" w:type="dxa"/>
          </w:tcPr>
          <w:p w14:paraId="4BA03949" w14:textId="77777777" w:rsidR="0033262D" w:rsidRPr="00A06F1E" w:rsidRDefault="0033262D">
            <w:pPr>
              <w:pStyle w:val="TableTextCentered"/>
              <w:rPr>
                <w:rFonts w:eastAsia="Times New Roman"/>
              </w:rPr>
            </w:pPr>
            <w:r w:rsidRPr="00A06F1E">
              <w:rPr>
                <w:rFonts w:eastAsia="Times New Roman"/>
              </w:rPr>
              <w:t>6</w:t>
            </w:r>
          </w:p>
        </w:tc>
        <w:tc>
          <w:tcPr>
            <w:tcW w:w="874" w:type="dxa"/>
          </w:tcPr>
          <w:p w14:paraId="5CC27C6F" w14:textId="77777777" w:rsidR="0033262D" w:rsidRPr="00A06F1E" w:rsidRDefault="0033262D">
            <w:pPr>
              <w:pStyle w:val="TableTextCentered"/>
              <w:rPr>
                <w:rFonts w:eastAsia="Times New Roman"/>
              </w:rPr>
            </w:pPr>
            <w:r w:rsidRPr="00A06F1E">
              <w:rPr>
                <w:rFonts w:eastAsia="Times New Roman"/>
              </w:rPr>
              <w:t>5</w:t>
            </w:r>
          </w:p>
        </w:tc>
        <w:tc>
          <w:tcPr>
            <w:tcW w:w="875" w:type="dxa"/>
          </w:tcPr>
          <w:p w14:paraId="2C2CA324" w14:textId="77777777" w:rsidR="0033262D" w:rsidRPr="00A06F1E" w:rsidRDefault="0033262D">
            <w:pPr>
              <w:pStyle w:val="TableTextCentered"/>
              <w:rPr>
                <w:rFonts w:eastAsia="Times New Roman"/>
              </w:rPr>
            </w:pPr>
            <w:r w:rsidRPr="00A06F1E">
              <w:rPr>
                <w:rFonts w:eastAsia="Times New Roman"/>
              </w:rPr>
              <w:t>3</w:t>
            </w:r>
          </w:p>
        </w:tc>
        <w:tc>
          <w:tcPr>
            <w:tcW w:w="900" w:type="dxa"/>
          </w:tcPr>
          <w:p w14:paraId="477B565F" w14:textId="77777777" w:rsidR="0033262D" w:rsidRPr="00A06F1E" w:rsidRDefault="0033262D">
            <w:pPr>
              <w:pStyle w:val="TableTextCentered"/>
              <w:rPr>
                <w:rFonts w:eastAsia="Times New Roman"/>
              </w:rPr>
            </w:pPr>
            <w:r w:rsidRPr="00A06F1E">
              <w:rPr>
                <w:rFonts w:eastAsia="Times New Roman"/>
              </w:rPr>
              <w:t>17</w:t>
            </w:r>
          </w:p>
        </w:tc>
        <w:tc>
          <w:tcPr>
            <w:tcW w:w="892" w:type="dxa"/>
          </w:tcPr>
          <w:p w14:paraId="61AD607D" w14:textId="77777777" w:rsidR="0033262D" w:rsidRPr="00A06F1E" w:rsidRDefault="0033262D">
            <w:pPr>
              <w:pStyle w:val="TableTextCentered"/>
              <w:rPr>
                <w:rFonts w:eastAsia="Times New Roman"/>
              </w:rPr>
            </w:pPr>
            <w:r w:rsidRPr="00A06F1E">
              <w:rPr>
                <w:rFonts w:eastAsia="Times New Roman"/>
              </w:rPr>
              <w:t>5.5</w:t>
            </w:r>
          </w:p>
        </w:tc>
      </w:tr>
      <w:tr w:rsidR="0033262D" w:rsidRPr="00A06F1E" w14:paraId="25C7B4F0" w14:textId="77777777" w:rsidTr="0033262D">
        <w:trPr>
          <w:jc w:val="center"/>
        </w:trPr>
        <w:tc>
          <w:tcPr>
            <w:tcW w:w="1432" w:type="dxa"/>
          </w:tcPr>
          <w:p w14:paraId="77E73BD2" w14:textId="77777777" w:rsidR="0033262D" w:rsidRPr="00A06F1E" w:rsidRDefault="0033262D">
            <w:pPr>
              <w:pStyle w:val="TableText"/>
            </w:pPr>
            <w:r w:rsidRPr="00A06F1E">
              <w:t>Grades 9-12</w:t>
            </w:r>
          </w:p>
        </w:tc>
        <w:tc>
          <w:tcPr>
            <w:tcW w:w="874" w:type="dxa"/>
          </w:tcPr>
          <w:p w14:paraId="7CEEF234"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75CEAC19"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14AD3AFD" w14:textId="77777777" w:rsidR="0033262D" w:rsidRPr="00A06F1E" w:rsidRDefault="0033262D">
            <w:pPr>
              <w:pStyle w:val="TableTextCentered"/>
              <w:rPr>
                <w:rFonts w:eastAsia="Times New Roman"/>
              </w:rPr>
            </w:pPr>
            <w:r w:rsidRPr="00A06F1E">
              <w:rPr>
                <w:rFonts w:eastAsia="Times New Roman"/>
              </w:rPr>
              <w:t>3</w:t>
            </w:r>
          </w:p>
        </w:tc>
        <w:tc>
          <w:tcPr>
            <w:tcW w:w="875" w:type="dxa"/>
          </w:tcPr>
          <w:p w14:paraId="54BCB1C8"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65FD367F" w14:textId="77777777" w:rsidR="0033262D" w:rsidRPr="00A06F1E" w:rsidRDefault="0033262D">
            <w:pPr>
              <w:pStyle w:val="TableTextCentered"/>
              <w:rPr>
                <w:rFonts w:eastAsia="Times New Roman"/>
              </w:rPr>
            </w:pPr>
            <w:r w:rsidRPr="00A06F1E">
              <w:rPr>
                <w:rFonts w:eastAsia="Times New Roman"/>
              </w:rPr>
              <w:t>6</w:t>
            </w:r>
          </w:p>
        </w:tc>
        <w:tc>
          <w:tcPr>
            <w:tcW w:w="874" w:type="dxa"/>
          </w:tcPr>
          <w:p w14:paraId="3E20951B" w14:textId="77777777" w:rsidR="0033262D" w:rsidRPr="00A06F1E" w:rsidRDefault="0033262D">
            <w:pPr>
              <w:pStyle w:val="TableTextCentered"/>
              <w:rPr>
                <w:rFonts w:eastAsia="Times New Roman"/>
              </w:rPr>
            </w:pPr>
            <w:r w:rsidRPr="00A06F1E">
              <w:rPr>
                <w:rFonts w:eastAsia="Times New Roman"/>
              </w:rPr>
              <w:t>2</w:t>
            </w:r>
          </w:p>
        </w:tc>
        <w:tc>
          <w:tcPr>
            <w:tcW w:w="875" w:type="dxa"/>
          </w:tcPr>
          <w:p w14:paraId="03050707" w14:textId="77777777" w:rsidR="0033262D" w:rsidRPr="00A06F1E" w:rsidRDefault="0033262D">
            <w:pPr>
              <w:pStyle w:val="TableTextCentered"/>
              <w:rPr>
                <w:rFonts w:eastAsia="Times New Roman"/>
              </w:rPr>
            </w:pPr>
            <w:r w:rsidRPr="00A06F1E">
              <w:rPr>
                <w:rFonts w:eastAsia="Times New Roman"/>
              </w:rPr>
              <w:t>2</w:t>
            </w:r>
          </w:p>
        </w:tc>
        <w:tc>
          <w:tcPr>
            <w:tcW w:w="900" w:type="dxa"/>
          </w:tcPr>
          <w:p w14:paraId="72EB3F54" w14:textId="77777777" w:rsidR="0033262D" w:rsidRPr="00A06F1E" w:rsidRDefault="0033262D">
            <w:pPr>
              <w:pStyle w:val="TableTextCentered"/>
              <w:rPr>
                <w:rFonts w:eastAsia="Times New Roman"/>
              </w:rPr>
            </w:pPr>
            <w:r w:rsidRPr="00A06F1E">
              <w:rPr>
                <w:rFonts w:eastAsia="Times New Roman"/>
              </w:rPr>
              <w:t>16</w:t>
            </w:r>
          </w:p>
        </w:tc>
        <w:tc>
          <w:tcPr>
            <w:tcW w:w="892" w:type="dxa"/>
          </w:tcPr>
          <w:p w14:paraId="45E964AA" w14:textId="77777777" w:rsidR="0033262D" w:rsidRPr="00A06F1E" w:rsidRDefault="0033262D">
            <w:pPr>
              <w:pStyle w:val="TableTextCentered"/>
              <w:rPr>
                <w:rFonts w:eastAsia="Times New Roman"/>
              </w:rPr>
            </w:pPr>
            <w:r w:rsidRPr="00A06F1E">
              <w:rPr>
                <w:rFonts w:eastAsia="Times New Roman"/>
              </w:rPr>
              <w:t>4.5</w:t>
            </w:r>
          </w:p>
        </w:tc>
      </w:tr>
    </w:tbl>
    <w:bookmarkEnd w:id="104"/>
    <w:p w14:paraId="7975133B" w14:textId="77777777" w:rsidR="0033262D" w:rsidRPr="00A06F1E" w:rsidRDefault="0033262D">
      <w:pPr>
        <w:pStyle w:val="TableNote"/>
      </w:pPr>
      <w:r w:rsidRPr="00A06F1E">
        <w:t xml:space="preserve">*The district average is an average of the observation scores. In Table 4, the district average is computed as: </w:t>
      </w:r>
      <w:r w:rsidRPr="00A06F1E">
        <w:br/>
      </w:r>
      <w:bookmarkStart w:id="105" w:name="Dist_TS_Calc"/>
      <w:r w:rsidRPr="00A06F1E">
        <w:t>([1 x 1] + [2 x 1] + [3 x 3] + [4 x 5] + [5 x 19] + [6 x 15] + [7 x 12]) ÷ 56 observations = 5.4</w:t>
      </w:r>
      <w:bookmarkEnd w:id="105"/>
    </w:p>
    <w:p w14:paraId="1B6FB98B" w14:textId="3122A147" w:rsidR="0033262D" w:rsidRPr="00A06F1E" w:rsidRDefault="0033262D">
      <w:pPr>
        <w:pStyle w:val="BodyText"/>
      </w:pPr>
      <w:r w:rsidRPr="00A06F1E">
        <w:rPr>
          <w:rStyle w:val="BodyTextDemiChar"/>
        </w:rPr>
        <w:t>Ratings in the Low Range.</w:t>
      </w:r>
      <w:r w:rsidRPr="00A06F1E">
        <w:t xml:space="preserve"> In these sessions, the teacher has not been aware of students who </w:t>
      </w:r>
      <w:r w:rsidRPr="00A06F1E">
        <w:rPr>
          <w:spacing w:val="-4"/>
        </w:rPr>
        <w:t>need extra support and pays little attention to students</w:t>
      </w:r>
      <w:r w:rsidR="00040362" w:rsidRPr="00A06F1E">
        <w:rPr>
          <w:spacing w:val="-4"/>
        </w:rPr>
        <w:t>’</w:t>
      </w:r>
      <w:r w:rsidRPr="00A06F1E">
        <w:rPr>
          <w:spacing w:val="-4"/>
        </w:rPr>
        <w:t xml:space="preserve"> needs. As a result, students are frustrated</w:t>
      </w:r>
      <w:r w:rsidRPr="00A06F1E">
        <w:t xml:space="preserve">, confused, and disengaged. The teacher is unresponsive to and dismissive of students and may ignore students, squash their enthusiasm, and not allow them to share their moods or feelings. </w:t>
      </w:r>
      <w:r w:rsidRPr="00A06F1E">
        <w:rPr>
          <w:spacing w:val="-4"/>
        </w:rPr>
        <w:t>The teacher is not effective in addressing students</w:t>
      </w:r>
      <w:r w:rsidR="00040362" w:rsidRPr="00A06F1E">
        <w:rPr>
          <w:spacing w:val="-4"/>
        </w:rPr>
        <w:t>’</w:t>
      </w:r>
      <w:r w:rsidRPr="00A06F1E">
        <w:rPr>
          <w:spacing w:val="-4"/>
        </w:rPr>
        <w:t xml:space="preserve"> needs and does not appropriately acknowledge situations that may be upsetting to students. Students rarely seek support from the teacher</w:t>
      </w:r>
      <w:r w:rsidRPr="00A06F1E">
        <w:t xml:space="preserve"> and minimize conversations with the teacher, not sharing ideas or responding to questions.</w:t>
      </w:r>
    </w:p>
    <w:p w14:paraId="26F53E11" w14:textId="33CA44B4" w:rsidR="006C1DC9" w:rsidRPr="00A06F1E" w:rsidRDefault="0033262D">
      <w:pPr>
        <w:pStyle w:val="BodyText"/>
      </w:pPr>
      <w:r w:rsidRPr="00A06F1E">
        <w:rPr>
          <w:rStyle w:val="BodyTextDemiChar"/>
        </w:rPr>
        <w:t>Ratings in the Middle Range.</w:t>
      </w:r>
      <w:r w:rsidRPr="00A06F1E">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w:t>
      </w:r>
      <w:r w:rsidR="00040362" w:rsidRPr="00A06F1E">
        <w:t>’</w:t>
      </w:r>
      <w:r w:rsidRPr="00A06F1E">
        <w:t xml:space="preserve"> concerns or problems, but not always.</w:t>
      </w:r>
    </w:p>
    <w:p w14:paraId="7EA568E2" w14:textId="624F706F" w:rsidR="0033262D" w:rsidRPr="00A06F1E" w:rsidRDefault="0033262D" w:rsidP="0033262D">
      <w:pPr>
        <w:pStyle w:val="BodyText"/>
      </w:pPr>
      <w:r w:rsidRPr="00A06F1E">
        <w:rPr>
          <w:rStyle w:val="BodyTextDemiChar"/>
        </w:rPr>
        <w:t>Ratings in the High Range.</w:t>
      </w:r>
      <w:r w:rsidRPr="00A06F1E">
        <w:t xml:space="preserve"> The teacher</w:t>
      </w:r>
      <w:r w:rsidR="00040362" w:rsidRPr="00A06F1E">
        <w:t>’</w:t>
      </w:r>
      <w:r w:rsidRPr="00A06F1E">
        <w:t xml:space="preserve">s awareness of students and their needs is consistent </w:t>
      </w:r>
      <w:r w:rsidRPr="00A06F1E">
        <w:rPr>
          <w:spacing w:val="-4"/>
        </w:rPr>
        <w:t>and accurate. The teacher may predict how difficult a new task is for a student and acknowledge</w:t>
      </w:r>
      <w:r w:rsidRPr="00A06F1E">
        <w:t xml:space="preserve"> this difficulty. The teacher is responsive to students</w:t>
      </w:r>
      <w:r w:rsidR="00040362" w:rsidRPr="00A06F1E">
        <w:t>’</w:t>
      </w:r>
      <w:r w:rsidRPr="00A06F1E">
        <w:t xml:space="preserve"> comments and behaviors, whether positive or negative. The teacher consistently addresses students</w:t>
      </w:r>
      <w:r w:rsidR="00040362" w:rsidRPr="00A06F1E">
        <w:t>’</w:t>
      </w:r>
      <w:r w:rsidRPr="00A06F1E">
        <w:t xml:space="preserve"> problems and concerns and is effective in doing so. Students are obviously comfortable with the teacher and share ideas, work comfortably together, and ask and respond to questions, even difficult questions. </w:t>
      </w:r>
      <w:r w:rsidRPr="00A06F1E">
        <w:br w:type="page"/>
      </w:r>
    </w:p>
    <w:p w14:paraId="2AB5A1E3" w14:textId="77777777" w:rsidR="0033262D" w:rsidRPr="00A06F1E" w:rsidRDefault="0033262D">
      <w:pPr>
        <w:pStyle w:val="Heading2-SIOR"/>
      </w:pPr>
      <w:bookmarkStart w:id="106" w:name="_Toc411329829"/>
      <w:bookmarkStart w:id="107" w:name="_Toc430114877"/>
      <w:bookmarkStart w:id="108" w:name="_Toc92194256"/>
      <w:r w:rsidRPr="00A06F1E">
        <w:lastRenderedPageBreak/>
        <w:t>Regard for Student Perspectives</w:t>
      </w:r>
      <w:bookmarkEnd w:id="106"/>
      <w:bookmarkEnd w:id="107"/>
      <w:bookmarkEnd w:id="108"/>
    </w:p>
    <w:p w14:paraId="15104607" w14:textId="77777777" w:rsidR="0033262D" w:rsidRPr="00A06F1E" w:rsidRDefault="0033262D">
      <w:pPr>
        <w:pStyle w:val="BodyTextDomain"/>
      </w:pPr>
      <w:r w:rsidRPr="00A06F1E">
        <w:t>Emotional Support domain, Grades K−12</w:t>
      </w:r>
    </w:p>
    <w:p w14:paraId="20F74491" w14:textId="312A2AF7" w:rsidR="006C1DC9" w:rsidRPr="00A06F1E" w:rsidRDefault="0033262D">
      <w:pPr>
        <w:pStyle w:val="BodyText"/>
      </w:pPr>
      <w:r w:rsidRPr="00A06F1E">
        <w:t>Regard for Student Perspectives captures the degree to which the teacher</w:t>
      </w:r>
      <w:r w:rsidR="00040362" w:rsidRPr="00A06F1E">
        <w:t>’</w:t>
      </w:r>
      <w:r w:rsidRPr="00A06F1E">
        <w:t>s interactions with students and classroom activities place an emphasis on students</w:t>
      </w:r>
      <w:r w:rsidR="00040362" w:rsidRPr="00A06F1E">
        <w:t>’</w:t>
      </w:r>
      <w:r w:rsidRPr="00A06F1E">
        <w:t xml:space="preserve"> interests, motivations, and points of view and encourage student responsibility and autonomy (</w:t>
      </w:r>
      <w:r w:rsidRPr="00A06F1E">
        <w:rPr>
          <w:i/>
        </w:rPr>
        <w:t>CLASS K–3 Manual,</w:t>
      </w:r>
      <w:r w:rsidRPr="00A06F1E">
        <w:t xml:space="preserve"> p. 38, </w:t>
      </w:r>
      <w:r w:rsidRPr="00A06F1E">
        <w:rPr>
          <w:i/>
        </w:rPr>
        <w:t xml:space="preserve">CLASS Upper Elementary Manual, </w:t>
      </w:r>
      <w:r w:rsidRPr="00A06F1E">
        <w:t xml:space="preserve">p. 35, </w:t>
      </w:r>
      <w:r w:rsidRPr="00A06F1E">
        <w:rPr>
          <w:i/>
          <w:spacing w:val="-4"/>
        </w:rPr>
        <w:t>CLASS Secondary Manual</w:t>
      </w:r>
      <w:r w:rsidRPr="00A06F1E">
        <w:rPr>
          <w:spacing w:val="-4"/>
        </w:rPr>
        <w:t>, p. 35</w:t>
      </w:r>
      <w:r w:rsidRPr="00A06F1E">
        <w:t>).</w:t>
      </w:r>
    </w:p>
    <w:p w14:paraId="42295A2B" w14:textId="0467E635" w:rsidR="0033262D" w:rsidRPr="00A06F1E" w:rsidRDefault="0033262D">
      <w:pPr>
        <w:pStyle w:val="TableTitle0"/>
      </w:pPr>
      <w:bookmarkStart w:id="109" w:name="_Toc170701911"/>
      <w:r w:rsidRPr="00A06F1E">
        <w:t>Table 5. Regard for Student Perspectives: Number of Classrooms for Each Rating and District Average</w:t>
      </w:r>
      <w:bookmarkEnd w:id="109"/>
    </w:p>
    <w:p w14:paraId="4774FA8A" w14:textId="77777777" w:rsidR="0033262D" w:rsidRPr="00A06F1E" w:rsidRDefault="0033262D">
      <w:pPr>
        <w:pStyle w:val="BodyTextDemi"/>
      </w:pPr>
      <w:r w:rsidRPr="00A06F1E">
        <w:t xml:space="preserve">Regard for Student Perspectives District Average*: </w:t>
      </w:r>
      <w:bookmarkStart w:id="110" w:name="Dist_RSP_Avg"/>
      <w:r w:rsidRPr="00A06F1E">
        <w:t>3.2</w:t>
      </w:r>
      <w:bookmarkEnd w:id="110"/>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3262D" w:rsidRPr="00A06F1E" w14:paraId="12EB16BD" w14:textId="77777777" w:rsidTr="0033262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6DBC4E95" w14:textId="77777777" w:rsidR="0033262D" w:rsidRPr="00A06F1E" w:rsidRDefault="0033262D">
            <w:pPr>
              <w:pStyle w:val="TableColHeadingCenter"/>
              <w:rPr>
                <w:rFonts w:eastAsia="MS Mincho"/>
              </w:rPr>
            </w:pPr>
            <w:bookmarkStart w:id="111" w:name="Tbl_RSP"/>
            <w:r w:rsidRPr="00A06F1E">
              <w:rPr>
                <w:rFonts w:eastAsia="MS Mincho"/>
              </w:rPr>
              <w:t>Grade Band</w:t>
            </w:r>
          </w:p>
        </w:tc>
        <w:tc>
          <w:tcPr>
            <w:tcW w:w="1748" w:type="dxa"/>
            <w:gridSpan w:val="2"/>
          </w:tcPr>
          <w:p w14:paraId="6C1F8AC9" w14:textId="77777777" w:rsidR="0033262D" w:rsidRPr="00A06F1E" w:rsidRDefault="0033262D">
            <w:pPr>
              <w:pStyle w:val="TableColHeadingCenter"/>
              <w:rPr>
                <w:rFonts w:eastAsia="MS Mincho"/>
              </w:rPr>
            </w:pPr>
            <w:r w:rsidRPr="00A06F1E">
              <w:rPr>
                <w:rFonts w:eastAsia="MS Mincho"/>
              </w:rPr>
              <w:t>Low Range</w:t>
            </w:r>
          </w:p>
        </w:tc>
        <w:tc>
          <w:tcPr>
            <w:tcW w:w="2623" w:type="dxa"/>
            <w:gridSpan w:val="3"/>
          </w:tcPr>
          <w:p w14:paraId="111C2726" w14:textId="77777777" w:rsidR="0033262D" w:rsidRPr="00A06F1E" w:rsidRDefault="0033262D">
            <w:pPr>
              <w:pStyle w:val="TableColHeadingCenter"/>
              <w:rPr>
                <w:rFonts w:eastAsia="MS Mincho"/>
              </w:rPr>
            </w:pPr>
            <w:r w:rsidRPr="00A06F1E">
              <w:rPr>
                <w:rFonts w:eastAsia="MS Mincho"/>
              </w:rPr>
              <w:t>Middle Range</w:t>
            </w:r>
          </w:p>
        </w:tc>
        <w:tc>
          <w:tcPr>
            <w:tcW w:w="1749" w:type="dxa"/>
            <w:gridSpan w:val="2"/>
          </w:tcPr>
          <w:p w14:paraId="0016A677" w14:textId="77777777" w:rsidR="0033262D" w:rsidRPr="00A06F1E" w:rsidRDefault="0033262D">
            <w:pPr>
              <w:pStyle w:val="TableColHeadingCenter"/>
              <w:rPr>
                <w:rFonts w:eastAsia="MS Mincho"/>
              </w:rPr>
            </w:pPr>
            <w:r w:rsidRPr="00A06F1E">
              <w:rPr>
                <w:rFonts w:eastAsia="MS Mincho"/>
              </w:rPr>
              <w:t>High Range</w:t>
            </w:r>
          </w:p>
        </w:tc>
        <w:tc>
          <w:tcPr>
            <w:tcW w:w="900" w:type="dxa"/>
          </w:tcPr>
          <w:p w14:paraId="7FFCC58B" w14:textId="77777777" w:rsidR="0033262D" w:rsidRPr="00A06F1E" w:rsidRDefault="0033262D">
            <w:pPr>
              <w:pStyle w:val="TableColHeadingCenter"/>
              <w:rPr>
                <w:rFonts w:eastAsia="MS Mincho"/>
              </w:rPr>
            </w:pPr>
            <w:r w:rsidRPr="00A06F1E">
              <w:rPr>
                <w:rFonts w:eastAsia="MS Mincho"/>
              </w:rPr>
              <w:t>n</w:t>
            </w:r>
          </w:p>
        </w:tc>
        <w:tc>
          <w:tcPr>
            <w:tcW w:w="892" w:type="dxa"/>
          </w:tcPr>
          <w:p w14:paraId="1F336D0C" w14:textId="77777777" w:rsidR="0033262D" w:rsidRPr="00A06F1E" w:rsidRDefault="0033262D">
            <w:pPr>
              <w:pStyle w:val="TableColHeadingCenter"/>
              <w:rPr>
                <w:rFonts w:eastAsia="MS Mincho"/>
              </w:rPr>
            </w:pPr>
            <w:r w:rsidRPr="00A06F1E">
              <w:rPr>
                <w:rFonts w:eastAsia="MS Mincho"/>
              </w:rPr>
              <w:t>Average</w:t>
            </w:r>
          </w:p>
        </w:tc>
      </w:tr>
      <w:tr w:rsidR="0033262D" w:rsidRPr="00A06F1E" w14:paraId="1BC103D5" w14:textId="77777777" w:rsidTr="0033262D">
        <w:trPr>
          <w:jc w:val="center"/>
        </w:trPr>
        <w:tc>
          <w:tcPr>
            <w:tcW w:w="1432" w:type="dxa"/>
            <w:shd w:val="clear" w:color="auto" w:fill="D9E2F3" w:themeFill="accent5" w:themeFillTint="33"/>
          </w:tcPr>
          <w:p w14:paraId="5FD41F09" w14:textId="77777777" w:rsidR="0033262D" w:rsidRPr="00A06F1E" w:rsidRDefault="0033262D">
            <w:pPr>
              <w:pStyle w:val="TableSubheadingCentered"/>
            </w:pPr>
          </w:p>
        </w:tc>
        <w:tc>
          <w:tcPr>
            <w:tcW w:w="874" w:type="dxa"/>
            <w:shd w:val="clear" w:color="auto" w:fill="D9E2F3" w:themeFill="accent5" w:themeFillTint="33"/>
          </w:tcPr>
          <w:p w14:paraId="67B775F5" w14:textId="77777777" w:rsidR="0033262D" w:rsidRPr="00A06F1E" w:rsidRDefault="0033262D">
            <w:pPr>
              <w:pStyle w:val="TableSubheadingCentered"/>
            </w:pPr>
            <w:r w:rsidRPr="00A06F1E">
              <w:t>1</w:t>
            </w:r>
          </w:p>
        </w:tc>
        <w:tc>
          <w:tcPr>
            <w:tcW w:w="874" w:type="dxa"/>
            <w:shd w:val="clear" w:color="auto" w:fill="D9E2F3" w:themeFill="accent5" w:themeFillTint="33"/>
          </w:tcPr>
          <w:p w14:paraId="0435221B" w14:textId="77777777" w:rsidR="0033262D" w:rsidRPr="00A06F1E" w:rsidRDefault="0033262D">
            <w:pPr>
              <w:pStyle w:val="TableSubheadingCentered"/>
            </w:pPr>
            <w:r w:rsidRPr="00A06F1E">
              <w:t>2</w:t>
            </w:r>
          </w:p>
        </w:tc>
        <w:tc>
          <w:tcPr>
            <w:tcW w:w="874" w:type="dxa"/>
            <w:shd w:val="clear" w:color="auto" w:fill="D9E2F3" w:themeFill="accent5" w:themeFillTint="33"/>
          </w:tcPr>
          <w:p w14:paraId="056A2115" w14:textId="77777777" w:rsidR="0033262D" w:rsidRPr="00A06F1E" w:rsidRDefault="0033262D">
            <w:pPr>
              <w:pStyle w:val="TableSubheadingCentered"/>
            </w:pPr>
            <w:r w:rsidRPr="00A06F1E">
              <w:t>3</w:t>
            </w:r>
          </w:p>
        </w:tc>
        <w:tc>
          <w:tcPr>
            <w:tcW w:w="875" w:type="dxa"/>
            <w:shd w:val="clear" w:color="auto" w:fill="D9E2F3" w:themeFill="accent5" w:themeFillTint="33"/>
          </w:tcPr>
          <w:p w14:paraId="5383C9BE" w14:textId="77777777" w:rsidR="0033262D" w:rsidRPr="00A06F1E" w:rsidRDefault="0033262D">
            <w:pPr>
              <w:pStyle w:val="TableSubheadingCentered"/>
            </w:pPr>
            <w:r w:rsidRPr="00A06F1E">
              <w:t>4</w:t>
            </w:r>
          </w:p>
        </w:tc>
        <w:tc>
          <w:tcPr>
            <w:tcW w:w="874" w:type="dxa"/>
            <w:shd w:val="clear" w:color="auto" w:fill="D9E2F3" w:themeFill="accent5" w:themeFillTint="33"/>
          </w:tcPr>
          <w:p w14:paraId="01DF50D3" w14:textId="77777777" w:rsidR="0033262D" w:rsidRPr="00A06F1E" w:rsidRDefault="0033262D">
            <w:pPr>
              <w:pStyle w:val="TableSubheadingCentered"/>
            </w:pPr>
            <w:r w:rsidRPr="00A06F1E">
              <w:t>5</w:t>
            </w:r>
          </w:p>
        </w:tc>
        <w:tc>
          <w:tcPr>
            <w:tcW w:w="874" w:type="dxa"/>
            <w:shd w:val="clear" w:color="auto" w:fill="D9E2F3" w:themeFill="accent5" w:themeFillTint="33"/>
          </w:tcPr>
          <w:p w14:paraId="6F2C571C" w14:textId="77777777" w:rsidR="0033262D" w:rsidRPr="00A06F1E" w:rsidRDefault="0033262D">
            <w:pPr>
              <w:pStyle w:val="TableSubheadingCentered"/>
            </w:pPr>
            <w:r w:rsidRPr="00A06F1E">
              <w:t>6</w:t>
            </w:r>
          </w:p>
        </w:tc>
        <w:tc>
          <w:tcPr>
            <w:tcW w:w="875" w:type="dxa"/>
            <w:shd w:val="clear" w:color="auto" w:fill="D9E2F3" w:themeFill="accent5" w:themeFillTint="33"/>
          </w:tcPr>
          <w:p w14:paraId="1316D0AD" w14:textId="77777777" w:rsidR="0033262D" w:rsidRPr="00A06F1E" w:rsidRDefault="0033262D">
            <w:pPr>
              <w:pStyle w:val="TableSubheadingCentered"/>
            </w:pPr>
            <w:r w:rsidRPr="00A06F1E">
              <w:t>7</w:t>
            </w:r>
          </w:p>
        </w:tc>
        <w:tc>
          <w:tcPr>
            <w:tcW w:w="900" w:type="dxa"/>
            <w:shd w:val="clear" w:color="auto" w:fill="D9E2F3" w:themeFill="accent5" w:themeFillTint="33"/>
          </w:tcPr>
          <w:p w14:paraId="6D503EDB" w14:textId="77777777" w:rsidR="0033262D" w:rsidRPr="00A06F1E" w:rsidRDefault="0033262D">
            <w:pPr>
              <w:pStyle w:val="TableSubheadingCentered"/>
            </w:pPr>
            <w:r w:rsidRPr="00A06F1E">
              <w:t>56</w:t>
            </w:r>
          </w:p>
        </w:tc>
        <w:tc>
          <w:tcPr>
            <w:tcW w:w="892" w:type="dxa"/>
            <w:shd w:val="clear" w:color="auto" w:fill="D9E2F3" w:themeFill="accent5" w:themeFillTint="33"/>
          </w:tcPr>
          <w:p w14:paraId="3A8858BC" w14:textId="77777777" w:rsidR="0033262D" w:rsidRPr="00A06F1E" w:rsidRDefault="0033262D">
            <w:pPr>
              <w:pStyle w:val="TableSubheadingCentered"/>
            </w:pPr>
            <w:r w:rsidRPr="00A06F1E">
              <w:t>3.2</w:t>
            </w:r>
          </w:p>
        </w:tc>
      </w:tr>
      <w:tr w:rsidR="0033262D" w:rsidRPr="00A06F1E" w14:paraId="7D771B85" w14:textId="77777777" w:rsidTr="0033262D">
        <w:trPr>
          <w:jc w:val="center"/>
        </w:trPr>
        <w:tc>
          <w:tcPr>
            <w:tcW w:w="1432" w:type="dxa"/>
          </w:tcPr>
          <w:p w14:paraId="56BCCC8F" w14:textId="77777777" w:rsidR="0033262D" w:rsidRPr="00A06F1E" w:rsidRDefault="0033262D">
            <w:pPr>
              <w:pStyle w:val="TableText"/>
            </w:pPr>
            <w:r w:rsidRPr="00A06F1E">
              <w:t>Grades K-5</w:t>
            </w:r>
          </w:p>
        </w:tc>
        <w:tc>
          <w:tcPr>
            <w:tcW w:w="874" w:type="dxa"/>
          </w:tcPr>
          <w:p w14:paraId="24005D0C"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3CFE59B2" w14:textId="77777777" w:rsidR="0033262D" w:rsidRPr="00A06F1E" w:rsidRDefault="0033262D">
            <w:pPr>
              <w:pStyle w:val="TableTextCentered"/>
              <w:rPr>
                <w:rFonts w:eastAsia="Times New Roman"/>
              </w:rPr>
            </w:pPr>
            <w:r w:rsidRPr="00A06F1E">
              <w:rPr>
                <w:rFonts w:eastAsia="Times New Roman"/>
              </w:rPr>
              <w:t>3</w:t>
            </w:r>
          </w:p>
        </w:tc>
        <w:tc>
          <w:tcPr>
            <w:tcW w:w="874" w:type="dxa"/>
          </w:tcPr>
          <w:p w14:paraId="04C3CE52" w14:textId="77777777" w:rsidR="0033262D" w:rsidRPr="00A06F1E" w:rsidRDefault="0033262D">
            <w:pPr>
              <w:pStyle w:val="TableTextCentered"/>
              <w:rPr>
                <w:rFonts w:eastAsia="Times New Roman"/>
              </w:rPr>
            </w:pPr>
            <w:r w:rsidRPr="00A06F1E">
              <w:rPr>
                <w:rFonts w:eastAsia="Times New Roman"/>
              </w:rPr>
              <w:t>6</w:t>
            </w:r>
          </w:p>
        </w:tc>
        <w:tc>
          <w:tcPr>
            <w:tcW w:w="875" w:type="dxa"/>
          </w:tcPr>
          <w:p w14:paraId="66CECC4B" w14:textId="77777777" w:rsidR="0033262D" w:rsidRPr="00A06F1E" w:rsidRDefault="0033262D">
            <w:pPr>
              <w:pStyle w:val="TableTextCentered"/>
              <w:rPr>
                <w:rFonts w:eastAsia="Times New Roman"/>
              </w:rPr>
            </w:pPr>
            <w:r w:rsidRPr="00A06F1E">
              <w:rPr>
                <w:rFonts w:eastAsia="Times New Roman"/>
              </w:rPr>
              <w:t>7</w:t>
            </w:r>
          </w:p>
        </w:tc>
        <w:tc>
          <w:tcPr>
            <w:tcW w:w="874" w:type="dxa"/>
          </w:tcPr>
          <w:p w14:paraId="26805567" w14:textId="77777777" w:rsidR="0033262D" w:rsidRPr="00A06F1E" w:rsidRDefault="0033262D">
            <w:pPr>
              <w:pStyle w:val="TableTextCentered"/>
              <w:rPr>
                <w:rFonts w:eastAsia="Times New Roman"/>
              </w:rPr>
            </w:pPr>
            <w:r w:rsidRPr="00A06F1E">
              <w:rPr>
                <w:rFonts w:eastAsia="Times New Roman"/>
              </w:rPr>
              <w:t>5</w:t>
            </w:r>
          </w:p>
        </w:tc>
        <w:tc>
          <w:tcPr>
            <w:tcW w:w="874" w:type="dxa"/>
          </w:tcPr>
          <w:p w14:paraId="2459296F" w14:textId="77777777" w:rsidR="0033262D" w:rsidRPr="00A06F1E" w:rsidRDefault="0033262D">
            <w:pPr>
              <w:pStyle w:val="TableTextCentered"/>
              <w:rPr>
                <w:rFonts w:eastAsia="Times New Roman"/>
              </w:rPr>
            </w:pPr>
            <w:r w:rsidRPr="00A06F1E">
              <w:rPr>
                <w:rFonts w:eastAsia="Times New Roman"/>
              </w:rPr>
              <w:t>1</w:t>
            </w:r>
          </w:p>
        </w:tc>
        <w:tc>
          <w:tcPr>
            <w:tcW w:w="875" w:type="dxa"/>
          </w:tcPr>
          <w:p w14:paraId="0B975913" w14:textId="77777777" w:rsidR="0033262D" w:rsidRPr="00A06F1E" w:rsidRDefault="0033262D">
            <w:pPr>
              <w:pStyle w:val="TableTextCentered"/>
              <w:rPr>
                <w:rFonts w:eastAsia="Times New Roman"/>
              </w:rPr>
            </w:pPr>
            <w:r w:rsidRPr="00A06F1E">
              <w:rPr>
                <w:rFonts w:eastAsia="Times New Roman"/>
              </w:rPr>
              <w:t>0</w:t>
            </w:r>
          </w:p>
        </w:tc>
        <w:tc>
          <w:tcPr>
            <w:tcW w:w="900" w:type="dxa"/>
          </w:tcPr>
          <w:p w14:paraId="4840E7E6" w14:textId="77777777" w:rsidR="0033262D" w:rsidRPr="00A06F1E" w:rsidRDefault="0033262D">
            <w:pPr>
              <w:pStyle w:val="TableTextCentered"/>
              <w:rPr>
                <w:rFonts w:eastAsia="Times New Roman"/>
              </w:rPr>
            </w:pPr>
            <w:r w:rsidRPr="00A06F1E">
              <w:rPr>
                <w:rFonts w:eastAsia="Times New Roman"/>
              </w:rPr>
              <w:t>23</w:t>
            </w:r>
          </w:p>
        </w:tc>
        <w:tc>
          <w:tcPr>
            <w:tcW w:w="892" w:type="dxa"/>
          </w:tcPr>
          <w:p w14:paraId="7D0D2CA8" w14:textId="77777777" w:rsidR="0033262D" w:rsidRPr="00A06F1E" w:rsidRDefault="0033262D">
            <w:pPr>
              <w:pStyle w:val="TableTextCentered"/>
              <w:rPr>
                <w:rFonts w:eastAsia="Times New Roman"/>
              </w:rPr>
            </w:pPr>
            <w:r w:rsidRPr="00A06F1E">
              <w:rPr>
                <w:rFonts w:eastAsia="Times New Roman"/>
              </w:rPr>
              <w:t>3.7</w:t>
            </w:r>
          </w:p>
        </w:tc>
      </w:tr>
      <w:tr w:rsidR="0033262D" w:rsidRPr="00A06F1E" w14:paraId="727FC25B" w14:textId="77777777" w:rsidTr="0033262D">
        <w:trPr>
          <w:jc w:val="center"/>
        </w:trPr>
        <w:tc>
          <w:tcPr>
            <w:tcW w:w="1432" w:type="dxa"/>
          </w:tcPr>
          <w:p w14:paraId="5D67AC22" w14:textId="77777777" w:rsidR="0033262D" w:rsidRPr="00A06F1E" w:rsidRDefault="0033262D">
            <w:pPr>
              <w:pStyle w:val="TableText"/>
            </w:pPr>
            <w:r w:rsidRPr="00A06F1E">
              <w:t>Grades 6-8</w:t>
            </w:r>
          </w:p>
        </w:tc>
        <w:tc>
          <w:tcPr>
            <w:tcW w:w="874" w:type="dxa"/>
          </w:tcPr>
          <w:p w14:paraId="6D438710"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52A17489" w14:textId="77777777" w:rsidR="0033262D" w:rsidRPr="00A06F1E" w:rsidRDefault="0033262D">
            <w:pPr>
              <w:pStyle w:val="TableTextCentered"/>
              <w:rPr>
                <w:rFonts w:eastAsia="Times New Roman"/>
              </w:rPr>
            </w:pPr>
            <w:r w:rsidRPr="00A06F1E">
              <w:rPr>
                <w:rFonts w:eastAsia="Times New Roman"/>
              </w:rPr>
              <w:t>5</w:t>
            </w:r>
          </w:p>
        </w:tc>
        <w:tc>
          <w:tcPr>
            <w:tcW w:w="874" w:type="dxa"/>
          </w:tcPr>
          <w:p w14:paraId="17009233" w14:textId="77777777" w:rsidR="0033262D" w:rsidRPr="00A06F1E" w:rsidRDefault="0033262D">
            <w:pPr>
              <w:pStyle w:val="TableTextCentered"/>
              <w:rPr>
                <w:rFonts w:eastAsia="Times New Roman"/>
              </w:rPr>
            </w:pPr>
            <w:r w:rsidRPr="00A06F1E">
              <w:rPr>
                <w:rFonts w:eastAsia="Times New Roman"/>
              </w:rPr>
              <w:t>4</w:t>
            </w:r>
          </w:p>
        </w:tc>
        <w:tc>
          <w:tcPr>
            <w:tcW w:w="875" w:type="dxa"/>
          </w:tcPr>
          <w:p w14:paraId="0BF56D9F" w14:textId="77777777" w:rsidR="0033262D" w:rsidRPr="00A06F1E" w:rsidRDefault="0033262D">
            <w:pPr>
              <w:pStyle w:val="TableTextCentered"/>
              <w:rPr>
                <w:rFonts w:eastAsia="Times New Roman"/>
              </w:rPr>
            </w:pPr>
            <w:r w:rsidRPr="00A06F1E">
              <w:rPr>
                <w:rFonts w:eastAsia="Times New Roman"/>
              </w:rPr>
              <w:t>4</w:t>
            </w:r>
          </w:p>
        </w:tc>
        <w:tc>
          <w:tcPr>
            <w:tcW w:w="874" w:type="dxa"/>
          </w:tcPr>
          <w:p w14:paraId="617B1DFD" w14:textId="77777777" w:rsidR="0033262D" w:rsidRPr="00A06F1E" w:rsidRDefault="0033262D">
            <w:pPr>
              <w:pStyle w:val="TableTextCentered"/>
              <w:rPr>
                <w:rFonts w:eastAsia="Times New Roman"/>
              </w:rPr>
            </w:pPr>
            <w:r w:rsidRPr="00A06F1E">
              <w:rPr>
                <w:rFonts w:eastAsia="Times New Roman"/>
              </w:rPr>
              <w:t>3</w:t>
            </w:r>
          </w:p>
        </w:tc>
        <w:tc>
          <w:tcPr>
            <w:tcW w:w="874" w:type="dxa"/>
          </w:tcPr>
          <w:p w14:paraId="4B3A59B6"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18907D0D" w14:textId="77777777" w:rsidR="0033262D" w:rsidRPr="00A06F1E" w:rsidRDefault="0033262D">
            <w:pPr>
              <w:pStyle w:val="TableTextCentered"/>
              <w:rPr>
                <w:rFonts w:eastAsia="Times New Roman"/>
              </w:rPr>
            </w:pPr>
            <w:r w:rsidRPr="00A06F1E">
              <w:rPr>
                <w:rFonts w:eastAsia="Times New Roman"/>
              </w:rPr>
              <w:t>0</w:t>
            </w:r>
          </w:p>
        </w:tc>
        <w:tc>
          <w:tcPr>
            <w:tcW w:w="900" w:type="dxa"/>
          </w:tcPr>
          <w:p w14:paraId="7A1A1EB5" w14:textId="77777777" w:rsidR="0033262D" w:rsidRPr="00A06F1E" w:rsidRDefault="0033262D">
            <w:pPr>
              <w:pStyle w:val="TableTextCentered"/>
              <w:rPr>
                <w:rFonts w:eastAsia="Times New Roman"/>
              </w:rPr>
            </w:pPr>
            <w:r w:rsidRPr="00A06F1E">
              <w:rPr>
                <w:rFonts w:eastAsia="Times New Roman"/>
              </w:rPr>
              <w:t>17</w:t>
            </w:r>
          </w:p>
        </w:tc>
        <w:tc>
          <w:tcPr>
            <w:tcW w:w="892" w:type="dxa"/>
          </w:tcPr>
          <w:p w14:paraId="5718EE6D" w14:textId="77777777" w:rsidR="0033262D" w:rsidRPr="00A06F1E" w:rsidRDefault="0033262D">
            <w:pPr>
              <w:pStyle w:val="TableTextCentered"/>
              <w:rPr>
                <w:rFonts w:eastAsia="Times New Roman"/>
              </w:rPr>
            </w:pPr>
            <w:r w:rsidRPr="00A06F1E">
              <w:rPr>
                <w:rFonts w:eastAsia="Times New Roman"/>
              </w:rPr>
              <w:t>3.2</w:t>
            </w:r>
          </w:p>
        </w:tc>
      </w:tr>
      <w:tr w:rsidR="0033262D" w:rsidRPr="00A06F1E" w14:paraId="271C72C4" w14:textId="77777777" w:rsidTr="0033262D">
        <w:trPr>
          <w:jc w:val="center"/>
        </w:trPr>
        <w:tc>
          <w:tcPr>
            <w:tcW w:w="1432" w:type="dxa"/>
          </w:tcPr>
          <w:p w14:paraId="2A501971" w14:textId="77777777" w:rsidR="0033262D" w:rsidRPr="00A06F1E" w:rsidRDefault="0033262D">
            <w:pPr>
              <w:pStyle w:val="TableText"/>
            </w:pPr>
            <w:r w:rsidRPr="00A06F1E">
              <w:t>Grades 9-12</w:t>
            </w:r>
          </w:p>
        </w:tc>
        <w:tc>
          <w:tcPr>
            <w:tcW w:w="874" w:type="dxa"/>
          </w:tcPr>
          <w:p w14:paraId="5DECCB9B" w14:textId="77777777" w:rsidR="0033262D" w:rsidRPr="00A06F1E" w:rsidRDefault="0033262D">
            <w:pPr>
              <w:pStyle w:val="TableTextCentered"/>
              <w:rPr>
                <w:rFonts w:eastAsia="Times New Roman"/>
              </w:rPr>
            </w:pPr>
            <w:r w:rsidRPr="00A06F1E">
              <w:rPr>
                <w:rFonts w:eastAsia="Times New Roman"/>
              </w:rPr>
              <w:t>3</w:t>
            </w:r>
          </w:p>
        </w:tc>
        <w:tc>
          <w:tcPr>
            <w:tcW w:w="874" w:type="dxa"/>
          </w:tcPr>
          <w:p w14:paraId="604BE50E" w14:textId="77777777" w:rsidR="0033262D" w:rsidRPr="00A06F1E" w:rsidRDefault="0033262D">
            <w:pPr>
              <w:pStyle w:val="TableTextCentered"/>
              <w:rPr>
                <w:rFonts w:eastAsia="Times New Roman"/>
              </w:rPr>
            </w:pPr>
            <w:r w:rsidRPr="00A06F1E">
              <w:rPr>
                <w:rFonts w:eastAsia="Times New Roman"/>
              </w:rPr>
              <w:t>5</w:t>
            </w:r>
          </w:p>
        </w:tc>
        <w:tc>
          <w:tcPr>
            <w:tcW w:w="874" w:type="dxa"/>
          </w:tcPr>
          <w:p w14:paraId="5A9F2B91" w14:textId="77777777" w:rsidR="0033262D" w:rsidRPr="00A06F1E" w:rsidRDefault="0033262D">
            <w:pPr>
              <w:pStyle w:val="TableTextCentered"/>
              <w:rPr>
                <w:rFonts w:eastAsia="Times New Roman"/>
              </w:rPr>
            </w:pPr>
            <w:r w:rsidRPr="00A06F1E">
              <w:rPr>
                <w:rFonts w:eastAsia="Times New Roman"/>
              </w:rPr>
              <w:t>4</w:t>
            </w:r>
          </w:p>
        </w:tc>
        <w:tc>
          <w:tcPr>
            <w:tcW w:w="875" w:type="dxa"/>
          </w:tcPr>
          <w:p w14:paraId="27573F95" w14:textId="77777777" w:rsidR="0033262D" w:rsidRPr="00A06F1E" w:rsidRDefault="0033262D">
            <w:pPr>
              <w:pStyle w:val="TableTextCentered"/>
              <w:rPr>
                <w:rFonts w:eastAsia="Times New Roman"/>
              </w:rPr>
            </w:pPr>
            <w:r w:rsidRPr="00A06F1E">
              <w:rPr>
                <w:rFonts w:eastAsia="Times New Roman"/>
              </w:rPr>
              <w:t>3</w:t>
            </w:r>
          </w:p>
        </w:tc>
        <w:tc>
          <w:tcPr>
            <w:tcW w:w="874" w:type="dxa"/>
          </w:tcPr>
          <w:p w14:paraId="592EEBCD"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78190BE8"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73EACDD2" w14:textId="77777777" w:rsidR="0033262D" w:rsidRPr="00A06F1E" w:rsidRDefault="0033262D">
            <w:pPr>
              <w:pStyle w:val="TableTextCentered"/>
              <w:rPr>
                <w:rFonts w:eastAsia="Times New Roman"/>
              </w:rPr>
            </w:pPr>
            <w:r w:rsidRPr="00A06F1E">
              <w:rPr>
                <w:rFonts w:eastAsia="Times New Roman"/>
              </w:rPr>
              <w:t>0</w:t>
            </w:r>
          </w:p>
        </w:tc>
        <w:tc>
          <w:tcPr>
            <w:tcW w:w="900" w:type="dxa"/>
          </w:tcPr>
          <w:p w14:paraId="11E6EBF3" w14:textId="77777777" w:rsidR="0033262D" w:rsidRPr="00A06F1E" w:rsidRDefault="0033262D">
            <w:pPr>
              <w:pStyle w:val="TableTextCentered"/>
              <w:rPr>
                <w:rFonts w:eastAsia="Times New Roman"/>
              </w:rPr>
            </w:pPr>
            <w:r w:rsidRPr="00A06F1E">
              <w:rPr>
                <w:rFonts w:eastAsia="Times New Roman"/>
              </w:rPr>
              <w:t>16</w:t>
            </w:r>
          </w:p>
        </w:tc>
        <w:tc>
          <w:tcPr>
            <w:tcW w:w="892" w:type="dxa"/>
          </w:tcPr>
          <w:p w14:paraId="62F68A17" w14:textId="77777777" w:rsidR="0033262D" w:rsidRPr="00A06F1E" w:rsidRDefault="0033262D">
            <w:pPr>
              <w:pStyle w:val="TableTextCentered"/>
              <w:rPr>
                <w:rFonts w:eastAsia="Times New Roman"/>
              </w:rPr>
            </w:pPr>
            <w:r w:rsidRPr="00A06F1E">
              <w:rPr>
                <w:rFonts w:eastAsia="Times New Roman"/>
              </w:rPr>
              <w:t>2.6</w:t>
            </w:r>
          </w:p>
        </w:tc>
      </w:tr>
    </w:tbl>
    <w:bookmarkEnd w:id="111"/>
    <w:p w14:paraId="096B9DF3" w14:textId="77777777" w:rsidR="0033262D" w:rsidRPr="00A06F1E" w:rsidRDefault="0033262D">
      <w:pPr>
        <w:pStyle w:val="TableNote"/>
      </w:pPr>
      <w:r w:rsidRPr="00A06F1E">
        <w:t xml:space="preserve">*The district average is an average of the observation scores. In Table 5, the district average is computed as: </w:t>
      </w:r>
      <w:r w:rsidRPr="00A06F1E">
        <w:br/>
      </w:r>
      <w:bookmarkStart w:id="112" w:name="Dist_RSP_Calc"/>
      <w:r w:rsidRPr="00A06F1E">
        <w:t>([1 x 5] + [2 x 13] + [3 x 14] + [4 x 14] + [5 x 9] + [6 x 1]) ÷ 56 observations = 3.2</w:t>
      </w:r>
      <w:bookmarkEnd w:id="112"/>
    </w:p>
    <w:p w14:paraId="65F6302F" w14:textId="77777777" w:rsidR="006C1DC9" w:rsidRPr="00A06F1E" w:rsidRDefault="0033262D">
      <w:pPr>
        <w:pStyle w:val="BodyText"/>
      </w:pPr>
      <w:r w:rsidRPr="00A06F1E">
        <w:rPr>
          <w:rStyle w:val="BodyTextDemiChar"/>
        </w:rPr>
        <w:t>Ratings in the Low Range.</w:t>
      </w:r>
      <w:r w:rsidRPr="00A06F1E">
        <w:t xml:space="preserve"> At the low range, the teacher exhibits an inflexible, rigid adherence to his or her plan, without considering student ideas or allowing students to make contributions.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help out with classroom responsibilities. There are few opportunities for students to talk and express themselves.</w:t>
      </w:r>
    </w:p>
    <w:p w14:paraId="2AB017EA" w14:textId="744D7428" w:rsidR="006C1DC9" w:rsidRPr="00A06F1E" w:rsidRDefault="0033262D">
      <w:pPr>
        <w:pStyle w:val="BodyText"/>
      </w:pPr>
      <w:r w:rsidRPr="00A06F1E">
        <w:rPr>
          <w:rStyle w:val="BodyTextDemiChar"/>
        </w:rPr>
        <w:t>Ratings in the Middle Range.</w:t>
      </w:r>
      <w:r w:rsidRPr="00A06F1E">
        <w:t xml:space="preserve"> The teacher exhibits control at times and at other times follows the students</w:t>
      </w:r>
      <w:r w:rsidR="00040362" w:rsidRPr="00A06F1E">
        <w:t>’</w:t>
      </w:r>
      <w:r w:rsidRPr="00A06F1E">
        <w:t xml:space="preserve">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w:t>
      </w:r>
    </w:p>
    <w:p w14:paraId="4920A40C" w14:textId="4C7CABF6" w:rsidR="006C1DC9" w:rsidRPr="00A06F1E" w:rsidRDefault="0033262D">
      <w:pPr>
        <w:pStyle w:val="BodyText"/>
        <w:rPr>
          <w:spacing w:val="-2"/>
        </w:rPr>
      </w:pPr>
      <w:r w:rsidRPr="00A06F1E">
        <w:rPr>
          <w:rStyle w:val="BodyTextDemiChar"/>
        </w:rPr>
        <w:t xml:space="preserve">Ratings in the High Range. </w:t>
      </w:r>
      <w:r w:rsidRPr="00A06F1E">
        <w:rPr>
          <w:spacing w:val="-2"/>
        </w:rPr>
        <w:t>The teacher is flexible in following student leads, interests, and ideas and looks for ways to meaningfully engage students. Although the teacher has a lesson plan, students</w:t>
      </w:r>
      <w:r w:rsidR="00040362" w:rsidRPr="00A06F1E">
        <w:rPr>
          <w:spacing w:val="-2"/>
        </w:rPr>
        <w:t>’</w:t>
      </w:r>
      <w:r w:rsidRPr="00A06F1E">
        <w:rPr>
          <w:spacing w:val="-2"/>
        </w:rPr>
        <w:t xml:space="preserve">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w:t>
      </w:r>
    </w:p>
    <w:p w14:paraId="4BF4AE0D" w14:textId="3516DCC8" w:rsidR="0033262D" w:rsidRPr="00A06F1E" w:rsidRDefault="0033262D">
      <w:pPr>
        <w:spacing w:after="160" w:line="259" w:lineRule="auto"/>
        <w:rPr>
          <w:rFonts w:eastAsiaTheme="majorEastAsia"/>
        </w:rPr>
      </w:pPr>
      <w:r w:rsidRPr="00A06F1E">
        <w:rPr>
          <w:rFonts w:eastAsiaTheme="majorEastAsia"/>
        </w:rPr>
        <w:br w:type="page"/>
      </w:r>
    </w:p>
    <w:p w14:paraId="04C600C4" w14:textId="77777777" w:rsidR="0033262D" w:rsidRPr="00A06F1E" w:rsidRDefault="0033262D">
      <w:pPr>
        <w:pStyle w:val="Heading2-SIOR"/>
      </w:pPr>
      <w:bookmarkStart w:id="113" w:name="_Toc430114878"/>
      <w:bookmarkStart w:id="114" w:name="_Toc92194257"/>
      <w:r w:rsidRPr="00A06F1E">
        <w:lastRenderedPageBreak/>
        <w:t>Negative Climate</w:t>
      </w:r>
      <w:bookmarkEnd w:id="113"/>
      <w:bookmarkEnd w:id="114"/>
    </w:p>
    <w:p w14:paraId="3B182317" w14:textId="77777777" w:rsidR="0033262D" w:rsidRPr="00A06F1E" w:rsidRDefault="0033262D">
      <w:pPr>
        <w:pStyle w:val="BodyTextDomain"/>
      </w:pPr>
      <w:r w:rsidRPr="00A06F1E">
        <w:t>Emotional Support domain, Grades K</w:t>
      </w:r>
      <w:r w:rsidRPr="00A06F1E">
        <w:rPr>
          <w:rFonts w:ascii="Vijaya" w:hAnsi="Vijaya" w:cs="Vijaya"/>
        </w:rPr>
        <w:t xml:space="preserve">− </w:t>
      </w:r>
      <w:r w:rsidRPr="00A06F1E">
        <w:t>3</w:t>
      </w:r>
      <w:r w:rsidRPr="00A06F1E">
        <w:br/>
        <w:t>Classroom Organization domain, Grades 4</w:t>
      </w:r>
      <w:r w:rsidRPr="00A06F1E">
        <w:rPr>
          <w:rFonts w:ascii="Vijaya" w:hAnsi="Vijaya" w:cs="Vijaya"/>
        </w:rPr>
        <w:t xml:space="preserve">− </w:t>
      </w:r>
      <w:r w:rsidRPr="00A06F1E">
        <w:t>12</w:t>
      </w:r>
    </w:p>
    <w:p w14:paraId="544BF433" w14:textId="77777777" w:rsidR="006C1DC9" w:rsidRPr="00A06F1E" w:rsidRDefault="0033262D">
      <w:pPr>
        <w:pStyle w:val="BodyText"/>
      </w:pPr>
      <w:r w:rsidRPr="00A06F1E">
        <w:t>Negative Climate reflects the overall level of expressed negativity in the classroom. The frequency, quality, and intensity of teacher and student negativity are key to this dimension (</w:t>
      </w:r>
      <w:r w:rsidRPr="00A06F1E">
        <w:rPr>
          <w:i/>
        </w:rPr>
        <w:t>CLASS K–3 Manual</w:t>
      </w:r>
      <w:r w:rsidRPr="00A06F1E">
        <w:t xml:space="preserve">, p. 28, </w:t>
      </w:r>
      <w:r w:rsidRPr="00A06F1E">
        <w:rPr>
          <w:i/>
        </w:rPr>
        <w:t xml:space="preserve">CLASS Upper Elementary Manual, </w:t>
      </w:r>
      <w:r w:rsidRPr="00A06F1E">
        <w:t xml:space="preserve">p. 55, </w:t>
      </w:r>
      <w:r w:rsidRPr="00A06F1E">
        <w:rPr>
          <w:i/>
        </w:rPr>
        <w:t>CLASS Secondary Manual,</w:t>
      </w:r>
      <w:r w:rsidRPr="00A06F1E">
        <w:t xml:space="preserve"> p. 55).</w:t>
      </w:r>
      <w:r w:rsidR="006C1DC9" w:rsidRPr="00A06F1E">
        <w:t xml:space="preserve"> </w:t>
      </w:r>
      <w:r w:rsidRPr="00A06F1E">
        <w:t>For the purposes of this report, we have inversed the observers scores, to be consistent with the range scores across all dimensions. Therefore, a high range score in this dimension indicates an absence of negative climate, and a low range score indicates the presence of negative climate.</w:t>
      </w:r>
      <w:r w:rsidRPr="00A06F1E">
        <w:rPr>
          <w:rStyle w:val="FootnoteReference"/>
        </w:rPr>
        <w:footnoteReference w:id="7"/>
      </w:r>
    </w:p>
    <w:p w14:paraId="2D94438C" w14:textId="43169481" w:rsidR="0033262D" w:rsidRPr="00A06F1E" w:rsidRDefault="0033262D">
      <w:pPr>
        <w:pStyle w:val="TableTitle0"/>
      </w:pPr>
      <w:bookmarkStart w:id="115" w:name="_Toc170701912"/>
      <w:r w:rsidRPr="00A06F1E">
        <w:t>Table 6. Negative Climate: Number of Classrooms for Each Rating and District Average</w:t>
      </w:r>
      <w:bookmarkEnd w:id="115"/>
    </w:p>
    <w:p w14:paraId="2BF02568" w14:textId="77777777" w:rsidR="0033262D" w:rsidRPr="00A06F1E" w:rsidRDefault="0033262D">
      <w:pPr>
        <w:pStyle w:val="BodyTextDemi"/>
      </w:pPr>
      <w:r w:rsidRPr="00A06F1E">
        <w:t xml:space="preserve">Negative Climate District Average*: </w:t>
      </w:r>
      <w:bookmarkStart w:id="116" w:name="Dist_NC_Avg"/>
      <w:r w:rsidRPr="00A06F1E">
        <w:t>6.8</w:t>
      </w:r>
      <w:bookmarkEnd w:id="116"/>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3262D" w:rsidRPr="00A06F1E" w14:paraId="757B428C" w14:textId="77777777" w:rsidTr="0033262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6D7CE90" w14:textId="77777777" w:rsidR="0033262D" w:rsidRPr="00A06F1E" w:rsidRDefault="0033262D">
            <w:pPr>
              <w:pStyle w:val="TableColHeadingCenter"/>
              <w:rPr>
                <w:rFonts w:eastAsia="MS Mincho"/>
              </w:rPr>
            </w:pPr>
            <w:bookmarkStart w:id="117" w:name="Tbl_NC"/>
            <w:r w:rsidRPr="00A06F1E">
              <w:rPr>
                <w:rFonts w:eastAsia="MS Mincho"/>
              </w:rPr>
              <w:t>Grade Band</w:t>
            </w:r>
          </w:p>
        </w:tc>
        <w:tc>
          <w:tcPr>
            <w:tcW w:w="1748" w:type="dxa"/>
            <w:gridSpan w:val="2"/>
          </w:tcPr>
          <w:p w14:paraId="101C449B" w14:textId="77777777" w:rsidR="0033262D" w:rsidRPr="00A06F1E" w:rsidRDefault="0033262D">
            <w:pPr>
              <w:pStyle w:val="TableColHeadingCenter"/>
              <w:rPr>
                <w:rFonts w:eastAsia="MS Mincho"/>
              </w:rPr>
            </w:pPr>
            <w:r w:rsidRPr="00A06F1E">
              <w:rPr>
                <w:rFonts w:eastAsia="MS Mincho"/>
              </w:rPr>
              <w:t>Low Range</w:t>
            </w:r>
          </w:p>
        </w:tc>
        <w:tc>
          <w:tcPr>
            <w:tcW w:w="2623" w:type="dxa"/>
            <w:gridSpan w:val="3"/>
          </w:tcPr>
          <w:p w14:paraId="27809D11" w14:textId="77777777" w:rsidR="0033262D" w:rsidRPr="00A06F1E" w:rsidRDefault="0033262D">
            <w:pPr>
              <w:pStyle w:val="TableColHeadingCenter"/>
              <w:rPr>
                <w:rFonts w:eastAsia="MS Mincho"/>
              </w:rPr>
            </w:pPr>
            <w:r w:rsidRPr="00A06F1E">
              <w:rPr>
                <w:rFonts w:eastAsia="MS Mincho"/>
              </w:rPr>
              <w:t>Middle Range</w:t>
            </w:r>
          </w:p>
        </w:tc>
        <w:tc>
          <w:tcPr>
            <w:tcW w:w="1749" w:type="dxa"/>
            <w:gridSpan w:val="2"/>
          </w:tcPr>
          <w:p w14:paraId="0C1655D8" w14:textId="77777777" w:rsidR="0033262D" w:rsidRPr="00A06F1E" w:rsidRDefault="0033262D">
            <w:pPr>
              <w:pStyle w:val="TableColHeadingCenter"/>
              <w:rPr>
                <w:rFonts w:eastAsia="MS Mincho"/>
              </w:rPr>
            </w:pPr>
            <w:r w:rsidRPr="00A06F1E">
              <w:rPr>
                <w:rFonts w:eastAsia="MS Mincho"/>
              </w:rPr>
              <w:t>High Range</w:t>
            </w:r>
          </w:p>
        </w:tc>
        <w:tc>
          <w:tcPr>
            <w:tcW w:w="900" w:type="dxa"/>
          </w:tcPr>
          <w:p w14:paraId="4FE7E994" w14:textId="77777777" w:rsidR="0033262D" w:rsidRPr="00A06F1E" w:rsidRDefault="0033262D">
            <w:pPr>
              <w:pStyle w:val="TableColHeadingCenter"/>
              <w:rPr>
                <w:rFonts w:eastAsia="MS Mincho"/>
              </w:rPr>
            </w:pPr>
            <w:r w:rsidRPr="00A06F1E">
              <w:rPr>
                <w:rFonts w:eastAsia="MS Mincho"/>
              </w:rPr>
              <w:t>n</w:t>
            </w:r>
          </w:p>
        </w:tc>
        <w:tc>
          <w:tcPr>
            <w:tcW w:w="892" w:type="dxa"/>
          </w:tcPr>
          <w:p w14:paraId="0EF8AFC1" w14:textId="77777777" w:rsidR="0033262D" w:rsidRPr="00A06F1E" w:rsidRDefault="0033262D">
            <w:pPr>
              <w:pStyle w:val="TableColHeadingCenter"/>
              <w:rPr>
                <w:rFonts w:eastAsia="MS Mincho"/>
              </w:rPr>
            </w:pPr>
            <w:r w:rsidRPr="00A06F1E">
              <w:rPr>
                <w:rFonts w:eastAsia="MS Mincho"/>
              </w:rPr>
              <w:t>Average</w:t>
            </w:r>
          </w:p>
        </w:tc>
      </w:tr>
      <w:tr w:rsidR="0033262D" w:rsidRPr="00A06F1E" w14:paraId="4139B6D1" w14:textId="77777777" w:rsidTr="0033262D">
        <w:trPr>
          <w:jc w:val="center"/>
        </w:trPr>
        <w:tc>
          <w:tcPr>
            <w:tcW w:w="1432" w:type="dxa"/>
            <w:shd w:val="clear" w:color="auto" w:fill="D9E2F3" w:themeFill="accent5" w:themeFillTint="33"/>
          </w:tcPr>
          <w:p w14:paraId="14B4E0FC" w14:textId="77777777" w:rsidR="0033262D" w:rsidRPr="00A06F1E" w:rsidRDefault="0033262D">
            <w:pPr>
              <w:pStyle w:val="TableSubheadingCentered"/>
            </w:pPr>
          </w:p>
        </w:tc>
        <w:tc>
          <w:tcPr>
            <w:tcW w:w="874" w:type="dxa"/>
            <w:shd w:val="clear" w:color="auto" w:fill="D9E2F3" w:themeFill="accent5" w:themeFillTint="33"/>
          </w:tcPr>
          <w:p w14:paraId="7A27DB37" w14:textId="77777777" w:rsidR="0033262D" w:rsidRPr="00A06F1E" w:rsidRDefault="0033262D">
            <w:pPr>
              <w:pStyle w:val="TableSubheadingCentered"/>
            </w:pPr>
            <w:r w:rsidRPr="00A06F1E">
              <w:t>1</w:t>
            </w:r>
          </w:p>
        </w:tc>
        <w:tc>
          <w:tcPr>
            <w:tcW w:w="874" w:type="dxa"/>
            <w:shd w:val="clear" w:color="auto" w:fill="D9E2F3" w:themeFill="accent5" w:themeFillTint="33"/>
          </w:tcPr>
          <w:p w14:paraId="6611CB9B" w14:textId="77777777" w:rsidR="0033262D" w:rsidRPr="00A06F1E" w:rsidRDefault="0033262D">
            <w:pPr>
              <w:pStyle w:val="TableSubheadingCentered"/>
            </w:pPr>
            <w:r w:rsidRPr="00A06F1E">
              <w:t>2</w:t>
            </w:r>
          </w:p>
        </w:tc>
        <w:tc>
          <w:tcPr>
            <w:tcW w:w="874" w:type="dxa"/>
            <w:shd w:val="clear" w:color="auto" w:fill="D9E2F3" w:themeFill="accent5" w:themeFillTint="33"/>
          </w:tcPr>
          <w:p w14:paraId="53BCF89C" w14:textId="77777777" w:rsidR="0033262D" w:rsidRPr="00A06F1E" w:rsidRDefault="0033262D">
            <w:pPr>
              <w:pStyle w:val="TableSubheadingCentered"/>
            </w:pPr>
            <w:r w:rsidRPr="00A06F1E">
              <w:t>3</w:t>
            </w:r>
          </w:p>
        </w:tc>
        <w:tc>
          <w:tcPr>
            <w:tcW w:w="875" w:type="dxa"/>
            <w:shd w:val="clear" w:color="auto" w:fill="D9E2F3" w:themeFill="accent5" w:themeFillTint="33"/>
          </w:tcPr>
          <w:p w14:paraId="139A69D1" w14:textId="77777777" w:rsidR="0033262D" w:rsidRPr="00A06F1E" w:rsidRDefault="0033262D">
            <w:pPr>
              <w:pStyle w:val="TableSubheadingCentered"/>
            </w:pPr>
            <w:r w:rsidRPr="00A06F1E">
              <w:t>4</w:t>
            </w:r>
          </w:p>
        </w:tc>
        <w:tc>
          <w:tcPr>
            <w:tcW w:w="874" w:type="dxa"/>
            <w:shd w:val="clear" w:color="auto" w:fill="D9E2F3" w:themeFill="accent5" w:themeFillTint="33"/>
          </w:tcPr>
          <w:p w14:paraId="25DA350B" w14:textId="77777777" w:rsidR="0033262D" w:rsidRPr="00A06F1E" w:rsidRDefault="0033262D">
            <w:pPr>
              <w:pStyle w:val="TableSubheadingCentered"/>
            </w:pPr>
            <w:r w:rsidRPr="00A06F1E">
              <w:t>5</w:t>
            </w:r>
          </w:p>
        </w:tc>
        <w:tc>
          <w:tcPr>
            <w:tcW w:w="874" w:type="dxa"/>
            <w:shd w:val="clear" w:color="auto" w:fill="D9E2F3" w:themeFill="accent5" w:themeFillTint="33"/>
          </w:tcPr>
          <w:p w14:paraId="3F31B0BA" w14:textId="77777777" w:rsidR="0033262D" w:rsidRPr="00A06F1E" w:rsidRDefault="0033262D">
            <w:pPr>
              <w:pStyle w:val="TableSubheadingCentered"/>
            </w:pPr>
            <w:r w:rsidRPr="00A06F1E">
              <w:t>6</w:t>
            </w:r>
          </w:p>
        </w:tc>
        <w:tc>
          <w:tcPr>
            <w:tcW w:w="875" w:type="dxa"/>
            <w:shd w:val="clear" w:color="auto" w:fill="D9E2F3" w:themeFill="accent5" w:themeFillTint="33"/>
          </w:tcPr>
          <w:p w14:paraId="70559F37" w14:textId="77777777" w:rsidR="0033262D" w:rsidRPr="00A06F1E" w:rsidRDefault="0033262D">
            <w:pPr>
              <w:pStyle w:val="TableSubheadingCentered"/>
            </w:pPr>
            <w:r w:rsidRPr="00A06F1E">
              <w:t>7</w:t>
            </w:r>
          </w:p>
        </w:tc>
        <w:tc>
          <w:tcPr>
            <w:tcW w:w="900" w:type="dxa"/>
            <w:shd w:val="clear" w:color="auto" w:fill="D9E2F3" w:themeFill="accent5" w:themeFillTint="33"/>
          </w:tcPr>
          <w:p w14:paraId="1FCA0468" w14:textId="77777777" w:rsidR="0033262D" w:rsidRPr="00A06F1E" w:rsidRDefault="0033262D">
            <w:pPr>
              <w:pStyle w:val="TableSubheadingCentered"/>
            </w:pPr>
            <w:r w:rsidRPr="00A06F1E">
              <w:t>56</w:t>
            </w:r>
          </w:p>
        </w:tc>
        <w:tc>
          <w:tcPr>
            <w:tcW w:w="892" w:type="dxa"/>
            <w:shd w:val="clear" w:color="auto" w:fill="D9E2F3" w:themeFill="accent5" w:themeFillTint="33"/>
          </w:tcPr>
          <w:p w14:paraId="2417D456" w14:textId="77777777" w:rsidR="0033262D" w:rsidRPr="00A06F1E" w:rsidRDefault="0033262D">
            <w:pPr>
              <w:pStyle w:val="TableSubheadingCentered"/>
            </w:pPr>
            <w:r w:rsidRPr="00A06F1E">
              <w:t>6.8</w:t>
            </w:r>
          </w:p>
        </w:tc>
      </w:tr>
      <w:tr w:rsidR="0033262D" w:rsidRPr="00A06F1E" w14:paraId="061E35ED" w14:textId="77777777" w:rsidTr="0033262D">
        <w:trPr>
          <w:jc w:val="center"/>
        </w:trPr>
        <w:tc>
          <w:tcPr>
            <w:tcW w:w="1432" w:type="dxa"/>
          </w:tcPr>
          <w:p w14:paraId="5E274604" w14:textId="77777777" w:rsidR="0033262D" w:rsidRPr="00A06F1E" w:rsidRDefault="0033262D">
            <w:pPr>
              <w:pStyle w:val="TableText"/>
            </w:pPr>
            <w:r w:rsidRPr="00A06F1E">
              <w:t>Grades K-5</w:t>
            </w:r>
          </w:p>
        </w:tc>
        <w:tc>
          <w:tcPr>
            <w:tcW w:w="874" w:type="dxa"/>
          </w:tcPr>
          <w:p w14:paraId="23B5FC58"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179E7D3C"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3637224A"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7C2B5343"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25261E23"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425EF4AA" w14:textId="77777777" w:rsidR="0033262D" w:rsidRPr="00A06F1E" w:rsidRDefault="0033262D">
            <w:pPr>
              <w:pStyle w:val="TableTextCentered"/>
              <w:rPr>
                <w:rFonts w:eastAsia="Times New Roman"/>
              </w:rPr>
            </w:pPr>
            <w:r w:rsidRPr="00A06F1E">
              <w:rPr>
                <w:rFonts w:eastAsia="Times New Roman"/>
              </w:rPr>
              <w:t>2</w:t>
            </w:r>
          </w:p>
        </w:tc>
        <w:tc>
          <w:tcPr>
            <w:tcW w:w="875" w:type="dxa"/>
          </w:tcPr>
          <w:p w14:paraId="4FDCF054" w14:textId="77777777" w:rsidR="0033262D" w:rsidRPr="00A06F1E" w:rsidRDefault="0033262D">
            <w:pPr>
              <w:pStyle w:val="TableTextCentered"/>
              <w:rPr>
                <w:rFonts w:eastAsia="Times New Roman"/>
              </w:rPr>
            </w:pPr>
            <w:r w:rsidRPr="00A06F1E">
              <w:rPr>
                <w:rFonts w:eastAsia="Times New Roman"/>
              </w:rPr>
              <w:t>20</w:t>
            </w:r>
          </w:p>
        </w:tc>
        <w:tc>
          <w:tcPr>
            <w:tcW w:w="900" w:type="dxa"/>
          </w:tcPr>
          <w:p w14:paraId="69FCA6CC" w14:textId="77777777" w:rsidR="0033262D" w:rsidRPr="00A06F1E" w:rsidRDefault="0033262D">
            <w:pPr>
              <w:pStyle w:val="TableTextCentered"/>
              <w:rPr>
                <w:rFonts w:eastAsia="Times New Roman"/>
              </w:rPr>
            </w:pPr>
            <w:r w:rsidRPr="00A06F1E">
              <w:rPr>
                <w:rFonts w:eastAsia="Times New Roman"/>
              </w:rPr>
              <w:t>23</w:t>
            </w:r>
          </w:p>
        </w:tc>
        <w:tc>
          <w:tcPr>
            <w:tcW w:w="892" w:type="dxa"/>
          </w:tcPr>
          <w:p w14:paraId="1C97C99C" w14:textId="77777777" w:rsidR="0033262D" w:rsidRPr="00A06F1E" w:rsidRDefault="0033262D">
            <w:pPr>
              <w:pStyle w:val="TableTextCentered"/>
              <w:rPr>
                <w:rFonts w:eastAsia="Times New Roman"/>
              </w:rPr>
            </w:pPr>
            <w:r w:rsidRPr="00A06F1E">
              <w:rPr>
                <w:rFonts w:eastAsia="Times New Roman"/>
              </w:rPr>
              <w:t>6.8</w:t>
            </w:r>
          </w:p>
        </w:tc>
      </w:tr>
      <w:tr w:rsidR="0033262D" w:rsidRPr="00A06F1E" w14:paraId="7301C79A" w14:textId="77777777" w:rsidTr="0033262D">
        <w:trPr>
          <w:jc w:val="center"/>
        </w:trPr>
        <w:tc>
          <w:tcPr>
            <w:tcW w:w="1432" w:type="dxa"/>
          </w:tcPr>
          <w:p w14:paraId="500766D1" w14:textId="77777777" w:rsidR="0033262D" w:rsidRPr="00A06F1E" w:rsidRDefault="0033262D">
            <w:pPr>
              <w:pStyle w:val="TableText"/>
            </w:pPr>
            <w:r w:rsidRPr="00A06F1E">
              <w:t>Grades 6-8</w:t>
            </w:r>
          </w:p>
        </w:tc>
        <w:tc>
          <w:tcPr>
            <w:tcW w:w="874" w:type="dxa"/>
          </w:tcPr>
          <w:p w14:paraId="47002FB9"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6D33B734"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74082E6A"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78E98154"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31137837"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52F7A3D5"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0154F1A8" w14:textId="77777777" w:rsidR="0033262D" w:rsidRPr="00A06F1E" w:rsidRDefault="0033262D">
            <w:pPr>
              <w:pStyle w:val="TableTextCentered"/>
              <w:rPr>
                <w:rFonts w:eastAsia="Times New Roman"/>
              </w:rPr>
            </w:pPr>
            <w:r w:rsidRPr="00A06F1E">
              <w:rPr>
                <w:rFonts w:eastAsia="Times New Roman"/>
              </w:rPr>
              <w:t>17</w:t>
            </w:r>
          </w:p>
        </w:tc>
        <w:tc>
          <w:tcPr>
            <w:tcW w:w="900" w:type="dxa"/>
          </w:tcPr>
          <w:p w14:paraId="32C77440" w14:textId="77777777" w:rsidR="0033262D" w:rsidRPr="00A06F1E" w:rsidRDefault="0033262D">
            <w:pPr>
              <w:pStyle w:val="TableTextCentered"/>
              <w:rPr>
                <w:rFonts w:eastAsia="Times New Roman"/>
              </w:rPr>
            </w:pPr>
            <w:r w:rsidRPr="00A06F1E">
              <w:rPr>
                <w:rFonts w:eastAsia="Times New Roman"/>
              </w:rPr>
              <w:t>17</w:t>
            </w:r>
          </w:p>
        </w:tc>
        <w:tc>
          <w:tcPr>
            <w:tcW w:w="892" w:type="dxa"/>
          </w:tcPr>
          <w:p w14:paraId="28C39A43" w14:textId="77777777" w:rsidR="0033262D" w:rsidRPr="00A06F1E" w:rsidRDefault="0033262D">
            <w:pPr>
              <w:pStyle w:val="TableTextCentered"/>
              <w:rPr>
                <w:rFonts w:eastAsia="Times New Roman"/>
              </w:rPr>
            </w:pPr>
            <w:r w:rsidRPr="00A06F1E">
              <w:rPr>
                <w:rFonts w:eastAsia="Times New Roman"/>
              </w:rPr>
              <w:t>7.0</w:t>
            </w:r>
          </w:p>
        </w:tc>
      </w:tr>
      <w:tr w:rsidR="0033262D" w:rsidRPr="00A06F1E" w14:paraId="62E9102E" w14:textId="77777777" w:rsidTr="0033262D">
        <w:trPr>
          <w:jc w:val="center"/>
        </w:trPr>
        <w:tc>
          <w:tcPr>
            <w:tcW w:w="1432" w:type="dxa"/>
          </w:tcPr>
          <w:p w14:paraId="26535D8A" w14:textId="77777777" w:rsidR="0033262D" w:rsidRPr="00A06F1E" w:rsidRDefault="0033262D">
            <w:pPr>
              <w:pStyle w:val="TableText"/>
            </w:pPr>
            <w:r w:rsidRPr="00A06F1E">
              <w:t>Grades 9-12</w:t>
            </w:r>
          </w:p>
        </w:tc>
        <w:tc>
          <w:tcPr>
            <w:tcW w:w="874" w:type="dxa"/>
          </w:tcPr>
          <w:p w14:paraId="6738394B"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72FADAFE"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1CB03FEE"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30915877"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52FBA040" w14:textId="77777777" w:rsidR="0033262D" w:rsidRPr="00A06F1E" w:rsidRDefault="0033262D">
            <w:pPr>
              <w:pStyle w:val="TableTextCentered"/>
              <w:rPr>
                <w:rFonts w:eastAsia="Times New Roman"/>
              </w:rPr>
            </w:pPr>
            <w:r w:rsidRPr="00A06F1E">
              <w:rPr>
                <w:rFonts w:eastAsia="Times New Roman"/>
              </w:rPr>
              <w:t>2</w:t>
            </w:r>
          </w:p>
        </w:tc>
        <w:tc>
          <w:tcPr>
            <w:tcW w:w="874" w:type="dxa"/>
          </w:tcPr>
          <w:p w14:paraId="1A3F9AFB" w14:textId="77777777" w:rsidR="0033262D" w:rsidRPr="00A06F1E" w:rsidRDefault="0033262D">
            <w:pPr>
              <w:pStyle w:val="TableTextCentered"/>
              <w:rPr>
                <w:rFonts w:eastAsia="Times New Roman"/>
              </w:rPr>
            </w:pPr>
            <w:r w:rsidRPr="00A06F1E">
              <w:rPr>
                <w:rFonts w:eastAsia="Times New Roman"/>
              </w:rPr>
              <w:t>1</w:t>
            </w:r>
          </w:p>
        </w:tc>
        <w:tc>
          <w:tcPr>
            <w:tcW w:w="875" w:type="dxa"/>
          </w:tcPr>
          <w:p w14:paraId="15295FF6" w14:textId="77777777" w:rsidR="0033262D" w:rsidRPr="00A06F1E" w:rsidRDefault="0033262D">
            <w:pPr>
              <w:pStyle w:val="TableTextCentered"/>
              <w:rPr>
                <w:rFonts w:eastAsia="Times New Roman"/>
              </w:rPr>
            </w:pPr>
            <w:r w:rsidRPr="00A06F1E">
              <w:rPr>
                <w:rFonts w:eastAsia="Times New Roman"/>
              </w:rPr>
              <w:t>13</w:t>
            </w:r>
          </w:p>
        </w:tc>
        <w:tc>
          <w:tcPr>
            <w:tcW w:w="900" w:type="dxa"/>
          </w:tcPr>
          <w:p w14:paraId="6F530C7F" w14:textId="77777777" w:rsidR="0033262D" w:rsidRPr="00A06F1E" w:rsidRDefault="0033262D">
            <w:pPr>
              <w:pStyle w:val="TableTextCentered"/>
              <w:rPr>
                <w:rFonts w:eastAsia="Times New Roman"/>
              </w:rPr>
            </w:pPr>
            <w:r w:rsidRPr="00A06F1E">
              <w:rPr>
                <w:rFonts w:eastAsia="Times New Roman"/>
              </w:rPr>
              <w:t>16</w:t>
            </w:r>
          </w:p>
        </w:tc>
        <w:tc>
          <w:tcPr>
            <w:tcW w:w="892" w:type="dxa"/>
          </w:tcPr>
          <w:p w14:paraId="601363D0" w14:textId="77777777" w:rsidR="0033262D" w:rsidRPr="00A06F1E" w:rsidRDefault="0033262D">
            <w:pPr>
              <w:pStyle w:val="TableTextCentered"/>
              <w:rPr>
                <w:rFonts w:eastAsia="Times New Roman"/>
              </w:rPr>
            </w:pPr>
            <w:r w:rsidRPr="00A06F1E">
              <w:rPr>
                <w:rFonts w:eastAsia="Times New Roman"/>
              </w:rPr>
              <w:t>6.7</w:t>
            </w:r>
          </w:p>
        </w:tc>
      </w:tr>
    </w:tbl>
    <w:bookmarkEnd w:id="117"/>
    <w:p w14:paraId="221EAAF3" w14:textId="77777777" w:rsidR="0033262D" w:rsidRPr="00A06F1E" w:rsidRDefault="0033262D">
      <w:pPr>
        <w:pStyle w:val="TableNote"/>
      </w:pPr>
      <w:r w:rsidRPr="00A06F1E">
        <w:t xml:space="preserve">*The district average is an average of the observation scores. In Table 6, the district average is computed as: </w:t>
      </w:r>
      <w:r w:rsidRPr="00A06F1E">
        <w:br/>
      </w:r>
      <w:bookmarkStart w:id="118" w:name="Dist_NC_Calc"/>
      <w:r w:rsidRPr="00A06F1E">
        <w:t>([5 x 3] + [6 x 3] + [7 x 50]) ÷ 56 observations = 6.8</w:t>
      </w:r>
      <w:bookmarkEnd w:id="118"/>
    </w:p>
    <w:p w14:paraId="160CBE7F" w14:textId="77777777" w:rsidR="006C1DC9" w:rsidRPr="00A06F1E" w:rsidRDefault="0033262D">
      <w:pPr>
        <w:pStyle w:val="BodyText"/>
      </w:pPr>
      <w:r w:rsidRPr="00A06F1E">
        <w:rPr>
          <w:rStyle w:val="BodyTextDemiChar"/>
        </w:rPr>
        <w:t>Ratings in the Low Range.</w:t>
      </w:r>
      <w:r w:rsidRPr="00A06F1E">
        <w:rPr>
          <w:b/>
        </w:rPr>
        <w:t xml:space="preserve"> </w:t>
      </w:r>
      <w:r w:rsidRPr="00A06F1E">
        <w:t>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w:t>
      </w:r>
    </w:p>
    <w:p w14:paraId="108D0A0C" w14:textId="77777777" w:rsidR="006C1DC9" w:rsidRPr="00A06F1E" w:rsidRDefault="0033262D">
      <w:pPr>
        <w:pStyle w:val="BodyText"/>
      </w:pPr>
      <w:r w:rsidRPr="00A06F1E">
        <w:rPr>
          <w:rStyle w:val="BodyTextDemiChar"/>
        </w:rPr>
        <w:t>Ratings in the Middle Range.</w:t>
      </w:r>
      <w:r w:rsidRPr="00A06F1E">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w:t>
      </w:r>
    </w:p>
    <w:p w14:paraId="66E043A9" w14:textId="37E613A9" w:rsidR="0033262D" w:rsidRPr="00A06F1E" w:rsidRDefault="0033262D" w:rsidP="0033262D">
      <w:pPr>
        <w:pStyle w:val="BodyText"/>
      </w:pPr>
      <w:r w:rsidRPr="00A06F1E">
        <w:rPr>
          <w:rStyle w:val="BodyTextDemiChar"/>
        </w:rPr>
        <w:t>Ratings in the High Range.</w:t>
      </w:r>
      <w:r w:rsidRPr="00A06F1E">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r w:rsidRPr="00A06F1E">
        <w:br w:type="page"/>
      </w:r>
    </w:p>
    <w:p w14:paraId="44908715" w14:textId="77777777" w:rsidR="0033262D" w:rsidRPr="00A06F1E" w:rsidRDefault="0033262D">
      <w:pPr>
        <w:pStyle w:val="Heading2-SIOR"/>
      </w:pPr>
      <w:bookmarkStart w:id="119" w:name="_Toc430114879"/>
      <w:bookmarkStart w:id="120" w:name="_Toc92194258"/>
      <w:r w:rsidRPr="00A06F1E">
        <w:lastRenderedPageBreak/>
        <w:t>Behavior Management</w:t>
      </w:r>
      <w:bookmarkEnd w:id="119"/>
      <w:bookmarkEnd w:id="120"/>
    </w:p>
    <w:p w14:paraId="779AFE8D" w14:textId="77777777" w:rsidR="0033262D" w:rsidRPr="00A06F1E" w:rsidRDefault="0033262D">
      <w:pPr>
        <w:pStyle w:val="BodyTextDomain"/>
      </w:pPr>
      <w:r w:rsidRPr="00A06F1E">
        <w:t>Classroom Organization domain, Grades K−12</w:t>
      </w:r>
    </w:p>
    <w:p w14:paraId="102463D5" w14:textId="08C8F3F1" w:rsidR="0033262D" w:rsidRPr="00A06F1E" w:rsidRDefault="0033262D">
      <w:pPr>
        <w:pStyle w:val="BodyText"/>
      </w:pPr>
      <w:r w:rsidRPr="00A06F1E">
        <w:t>Behavior Management refers to the teacher</w:t>
      </w:r>
      <w:r w:rsidR="00040362" w:rsidRPr="00A06F1E">
        <w:t>’</w:t>
      </w:r>
      <w:r w:rsidRPr="00A06F1E">
        <w:t>s ability to provide clear behavioral expectations and use effective methods to prevent and redirect misbehavior (</w:t>
      </w:r>
      <w:r w:rsidRPr="00A06F1E">
        <w:rPr>
          <w:i/>
        </w:rPr>
        <w:t>CLASS K–3 Manual</w:t>
      </w:r>
      <w:r w:rsidRPr="00A06F1E">
        <w:t xml:space="preserve">, p. 45, </w:t>
      </w:r>
      <w:r w:rsidRPr="00A06F1E">
        <w:rPr>
          <w:i/>
        </w:rPr>
        <w:t xml:space="preserve">CLASS Upper Elementary Manual, </w:t>
      </w:r>
      <w:r w:rsidRPr="00A06F1E">
        <w:t xml:space="preserve">p. 41, </w:t>
      </w:r>
      <w:r w:rsidRPr="00A06F1E">
        <w:rPr>
          <w:i/>
        </w:rPr>
        <w:t>CLASS Secondary Manual</w:t>
      </w:r>
      <w:r w:rsidRPr="00A06F1E">
        <w:t>, p. 41).</w:t>
      </w:r>
    </w:p>
    <w:p w14:paraId="5F16988D" w14:textId="77777777" w:rsidR="0033262D" w:rsidRPr="00A06F1E" w:rsidRDefault="0033262D">
      <w:pPr>
        <w:pStyle w:val="TableTitle0"/>
      </w:pPr>
      <w:bookmarkStart w:id="121" w:name="_Toc170701913"/>
      <w:r w:rsidRPr="00A06F1E">
        <w:t>Table 7. Behavior Management: Number of Classrooms for Each Rating and District Average</w:t>
      </w:r>
      <w:bookmarkEnd w:id="121"/>
    </w:p>
    <w:p w14:paraId="00E73F94" w14:textId="77777777" w:rsidR="0033262D" w:rsidRPr="00A06F1E" w:rsidRDefault="0033262D">
      <w:pPr>
        <w:pStyle w:val="BodyTextDemi"/>
      </w:pPr>
      <w:r w:rsidRPr="00A06F1E">
        <w:t xml:space="preserve">Behavior Management District Average*: </w:t>
      </w:r>
      <w:bookmarkStart w:id="122" w:name="Dist_BM_Avg"/>
      <w:r w:rsidRPr="00A06F1E">
        <w:t>6.3</w:t>
      </w:r>
      <w:bookmarkEnd w:id="122"/>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3262D" w:rsidRPr="00A06F1E" w14:paraId="394A3D39" w14:textId="77777777" w:rsidTr="0033262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27EC8E3" w14:textId="77777777" w:rsidR="0033262D" w:rsidRPr="00DF7902" w:rsidRDefault="0033262D">
            <w:pPr>
              <w:pStyle w:val="TableColHeadingCenter"/>
              <w:rPr>
                <w:rFonts w:eastAsia="MS Mincho"/>
              </w:rPr>
            </w:pPr>
            <w:bookmarkStart w:id="123" w:name="Tbl_BM"/>
            <w:r w:rsidRPr="00DF7902">
              <w:rPr>
                <w:rFonts w:eastAsia="MS Mincho"/>
              </w:rPr>
              <w:t>Grade Band</w:t>
            </w:r>
          </w:p>
        </w:tc>
        <w:tc>
          <w:tcPr>
            <w:tcW w:w="1748" w:type="dxa"/>
            <w:gridSpan w:val="2"/>
          </w:tcPr>
          <w:p w14:paraId="14ED882E" w14:textId="77777777" w:rsidR="0033262D" w:rsidRPr="00A06F1E" w:rsidRDefault="0033262D">
            <w:pPr>
              <w:pStyle w:val="TableColHeadingCenter"/>
              <w:rPr>
                <w:rFonts w:eastAsia="MS Mincho"/>
              </w:rPr>
            </w:pPr>
            <w:r w:rsidRPr="00A06F1E">
              <w:rPr>
                <w:rFonts w:eastAsia="MS Mincho"/>
              </w:rPr>
              <w:t>Low Range</w:t>
            </w:r>
          </w:p>
        </w:tc>
        <w:tc>
          <w:tcPr>
            <w:tcW w:w="2623" w:type="dxa"/>
            <w:gridSpan w:val="3"/>
          </w:tcPr>
          <w:p w14:paraId="778E183C" w14:textId="77777777" w:rsidR="0033262D" w:rsidRPr="00A06F1E" w:rsidRDefault="0033262D">
            <w:pPr>
              <w:pStyle w:val="TableColHeadingCenter"/>
              <w:rPr>
                <w:rFonts w:eastAsia="MS Mincho"/>
              </w:rPr>
            </w:pPr>
            <w:r w:rsidRPr="00A06F1E">
              <w:rPr>
                <w:rFonts w:eastAsia="MS Mincho"/>
              </w:rPr>
              <w:t>Middle Range</w:t>
            </w:r>
          </w:p>
        </w:tc>
        <w:tc>
          <w:tcPr>
            <w:tcW w:w="1749" w:type="dxa"/>
            <w:gridSpan w:val="2"/>
          </w:tcPr>
          <w:p w14:paraId="2144B999" w14:textId="77777777" w:rsidR="0033262D" w:rsidRPr="00A06F1E" w:rsidRDefault="0033262D">
            <w:pPr>
              <w:pStyle w:val="TableColHeadingCenter"/>
              <w:rPr>
                <w:rFonts w:eastAsia="MS Mincho"/>
              </w:rPr>
            </w:pPr>
            <w:r w:rsidRPr="00A06F1E">
              <w:rPr>
                <w:rFonts w:eastAsia="MS Mincho"/>
              </w:rPr>
              <w:t>High Range</w:t>
            </w:r>
          </w:p>
        </w:tc>
        <w:tc>
          <w:tcPr>
            <w:tcW w:w="900" w:type="dxa"/>
          </w:tcPr>
          <w:p w14:paraId="6490E98A" w14:textId="77777777" w:rsidR="0033262D" w:rsidRPr="00A06F1E" w:rsidRDefault="0033262D">
            <w:pPr>
              <w:pStyle w:val="TableColHeadingCenter"/>
              <w:rPr>
                <w:rFonts w:eastAsia="MS Mincho"/>
              </w:rPr>
            </w:pPr>
            <w:r w:rsidRPr="00A06F1E">
              <w:rPr>
                <w:rFonts w:eastAsia="MS Mincho"/>
              </w:rPr>
              <w:t>n</w:t>
            </w:r>
          </w:p>
        </w:tc>
        <w:tc>
          <w:tcPr>
            <w:tcW w:w="892" w:type="dxa"/>
          </w:tcPr>
          <w:p w14:paraId="265C2D80" w14:textId="77777777" w:rsidR="0033262D" w:rsidRPr="00A06F1E" w:rsidRDefault="0033262D">
            <w:pPr>
              <w:pStyle w:val="TableColHeadingCenter"/>
              <w:rPr>
                <w:rFonts w:eastAsia="MS Mincho"/>
              </w:rPr>
            </w:pPr>
            <w:r w:rsidRPr="00A06F1E">
              <w:rPr>
                <w:rFonts w:eastAsia="MS Mincho"/>
              </w:rPr>
              <w:t>Average</w:t>
            </w:r>
          </w:p>
        </w:tc>
      </w:tr>
      <w:tr w:rsidR="0033262D" w:rsidRPr="00A06F1E" w14:paraId="091DE1BA" w14:textId="77777777" w:rsidTr="0033262D">
        <w:trPr>
          <w:jc w:val="center"/>
        </w:trPr>
        <w:tc>
          <w:tcPr>
            <w:tcW w:w="1432" w:type="dxa"/>
            <w:shd w:val="clear" w:color="auto" w:fill="D9E2F3" w:themeFill="accent5" w:themeFillTint="33"/>
          </w:tcPr>
          <w:p w14:paraId="701B969C" w14:textId="77777777" w:rsidR="0033262D" w:rsidRPr="00A06F1E" w:rsidRDefault="0033262D">
            <w:pPr>
              <w:pStyle w:val="TableSubheadingCentered"/>
            </w:pPr>
          </w:p>
        </w:tc>
        <w:tc>
          <w:tcPr>
            <w:tcW w:w="874" w:type="dxa"/>
            <w:shd w:val="clear" w:color="auto" w:fill="D9E2F3" w:themeFill="accent5" w:themeFillTint="33"/>
          </w:tcPr>
          <w:p w14:paraId="6D6DD5E1" w14:textId="77777777" w:rsidR="0033262D" w:rsidRPr="00A06F1E" w:rsidRDefault="0033262D">
            <w:pPr>
              <w:pStyle w:val="TableSubheadingCentered"/>
            </w:pPr>
            <w:r w:rsidRPr="00A06F1E">
              <w:t>1</w:t>
            </w:r>
          </w:p>
        </w:tc>
        <w:tc>
          <w:tcPr>
            <w:tcW w:w="874" w:type="dxa"/>
            <w:shd w:val="clear" w:color="auto" w:fill="D9E2F3" w:themeFill="accent5" w:themeFillTint="33"/>
          </w:tcPr>
          <w:p w14:paraId="29B318A4" w14:textId="77777777" w:rsidR="0033262D" w:rsidRPr="00A06F1E" w:rsidRDefault="0033262D">
            <w:pPr>
              <w:pStyle w:val="TableSubheadingCentered"/>
            </w:pPr>
            <w:r w:rsidRPr="00A06F1E">
              <w:t>2</w:t>
            </w:r>
          </w:p>
        </w:tc>
        <w:tc>
          <w:tcPr>
            <w:tcW w:w="874" w:type="dxa"/>
            <w:shd w:val="clear" w:color="auto" w:fill="D9E2F3" w:themeFill="accent5" w:themeFillTint="33"/>
          </w:tcPr>
          <w:p w14:paraId="56C527D0" w14:textId="77777777" w:rsidR="0033262D" w:rsidRPr="00A06F1E" w:rsidRDefault="0033262D">
            <w:pPr>
              <w:pStyle w:val="TableSubheadingCentered"/>
            </w:pPr>
            <w:r w:rsidRPr="00A06F1E">
              <w:t>3</w:t>
            </w:r>
          </w:p>
        </w:tc>
        <w:tc>
          <w:tcPr>
            <w:tcW w:w="875" w:type="dxa"/>
            <w:shd w:val="clear" w:color="auto" w:fill="D9E2F3" w:themeFill="accent5" w:themeFillTint="33"/>
          </w:tcPr>
          <w:p w14:paraId="64954767" w14:textId="77777777" w:rsidR="0033262D" w:rsidRPr="00A06F1E" w:rsidRDefault="0033262D">
            <w:pPr>
              <w:pStyle w:val="TableSubheadingCentered"/>
            </w:pPr>
            <w:r w:rsidRPr="00A06F1E">
              <w:t>4</w:t>
            </w:r>
          </w:p>
        </w:tc>
        <w:tc>
          <w:tcPr>
            <w:tcW w:w="874" w:type="dxa"/>
            <w:shd w:val="clear" w:color="auto" w:fill="D9E2F3" w:themeFill="accent5" w:themeFillTint="33"/>
          </w:tcPr>
          <w:p w14:paraId="4DE12963" w14:textId="77777777" w:rsidR="0033262D" w:rsidRPr="00A06F1E" w:rsidRDefault="0033262D">
            <w:pPr>
              <w:pStyle w:val="TableSubheadingCentered"/>
            </w:pPr>
            <w:r w:rsidRPr="00A06F1E">
              <w:t>5</w:t>
            </w:r>
          </w:p>
        </w:tc>
        <w:tc>
          <w:tcPr>
            <w:tcW w:w="874" w:type="dxa"/>
            <w:shd w:val="clear" w:color="auto" w:fill="D9E2F3" w:themeFill="accent5" w:themeFillTint="33"/>
          </w:tcPr>
          <w:p w14:paraId="51FD952E" w14:textId="77777777" w:rsidR="0033262D" w:rsidRPr="00A06F1E" w:rsidRDefault="0033262D">
            <w:pPr>
              <w:pStyle w:val="TableSubheadingCentered"/>
            </w:pPr>
            <w:r w:rsidRPr="00A06F1E">
              <w:t>6</w:t>
            </w:r>
          </w:p>
        </w:tc>
        <w:tc>
          <w:tcPr>
            <w:tcW w:w="875" w:type="dxa"/>
            <w:shd w:val="clear" w:color="auto" w:fill="D9E2F3" w:themeFill="accent5" w:themeFillTint="33"/>
          </w:tcPr>
          <w:p w14:paraId="0850D3DD" w14:textId="77777777" w:rsidR="0033262D" w:rsidRPr="00A06F1E" w:rsidRDefault="0033262D">
            <w:pPr>
              <w:pStyle w:val="TableSubheadingCentered"/>
            </w:pPr>
            <w:r w:rsidRPr="00A06F1E">
              <w:t>7</w:t>
            </w:r>
          </w:p>
        </w:tc>
        <w:tc>
          <w:tcPr>
            <w:tcW w:w="900" w:type="dxa"/>
            <w:shd w:val="clear" w:color="auto" w:fill="D9E2F3" w:themeFill="accent5" w:themeFillTint="33"/>
          </w:tcPr>
          <w:p w14:paraId="1FDC8A12" w14:textId="77777777" w:rsidR="0033262D" w:rsidRPr="00A06F1E" w:rsidRDefault="0033262D">
            <w:pPr>
              <w:pStyle w:val="TableSubheadingCentered"/>
            </w:pPr>
            <w:r w:rsidRPr="00A06F1E">
              <w:t>56</w:t>
            </w:r>
          </w:p>
        </w:tc>
        <w:tc>
          <w:tcPr>
            <w:tcW w:w="892" w:type="dxa"/>
            <w:shd w:val="clear" w:color="auto" w:fill="D9E2F3" w:themeFill="accent5" w:themeFillTint="33"/>
          </w:tcPr>
          <w:p w14:paraId="6AA9A4A3" w14:textId="77777777" w:rsidR="0033262D" w:rsidRPr="00A06F1E" w:rsidRDefault="0033262D">
            <w:pPr>
              <w:pStyle w:val="TableSubheadingCentered"/>
            </w:pPr>
            <w:r w:rsidRPr="00A06F1E">
              <w:t>6.3</w:t>
            </w:r>
          </w:p>
        </w:tc>
      </w:tr>
      <w:tr w:rsidR="0033262D" w:rsidRPr="00A06F1E" w14:paraId="57202B9C" w14:textId="77777777" w:rsidTr="0033262D">
        <w:trPr>
          <w:jc w:val="center"/>
        </w:trPr>
        <w:tc>
          <w:tcPr>
            <w:tcW w:w="1432" w:type="dxa"/>
          </w:tcPr>
          <w:p w14:paraId="5A694E3F" w14:textId="77777777" w:rsidR="0033262D" w:rsidRPr="00A06F1E" w:rsidRDefault="0033262D">
            <w:pPr>
              <w:pStyle w:val="TableText"/>
            </w:pPr>
            <w:r w:rsidRPr="00A06F1E">
              <w:t>Grades K-5</w:t>
            </w:r>
          </w:p>
        </w:tc>
        <w:tc>
          <w:tcPr>
            <w:tcW w:w="874" w:type="dxa"/>
          </w:tcPr>
          <w:p w14:paraId="14EBB123"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30F754EC"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1B81A6F8" w14:textId="77777777" w:rsidR="0033262D" w:rsidRPr="00A06F1E" w:rsidRDefault="0033262D">
            <w:pPr>
              <w:pStyle w:val="TableTextCentered"/>
              <w:rPr>
                <w:rFonts w:eastAsia="Times New Roman"/>
              </w:rPr>
            </w:pPr>
            <w:r w:rsidRPr="00A06F1E">
              <w:rPr>
                <w:rFonts w:eastAsia="Times New Roman"/>
              </w:rPr>
              <w:t>1</w:t>
            </w:r>
          </w:p>
        </w:tc>
        <w:tc>
          <w:tcPr>
            <w:tcW w:w="875" w:type="dxa"/>
          </w:tcPr>
          <w:p w14:paraId="57EF4BA3" w14:textId="77777777" w:rsidR="0033262D" w:rsidRPr="00A06F1E" w:rsidRDefault="0033262D">
            <w:pPr>
              <w:pStyle w:val="TableTextCentered"/>
              <w:rPr>
                <w:rFonts w:eastAsia="Times New Roman"/>
              </w:rPr>
            </w:pPr>
            <w:r w:rsidRPr="00A06F1E">
              <w:rPr>
                <w:rFonts w:eastAsia="Times New Roman"/>
              </w:rPr>
              <w:t>2</w:t>
            </w:r>
          </w:p>
        </w:tc>
        <w:tc>
          <w:tcPr>
            <w:tcW w:w="874" w:type="dxa"/>
          </w:tcPr>
          <w:p w14:paraId="12359A5D"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2D6F95B6" w14:textId="77777777" w:rsidR="0033262D" w:rsidRPr="00A06F1E" w:rsidRDefault="0033262D">
            <w:pPr>
              <w:pStyle w:val="TableTextCentered"/>
              <w:rPr>
                <w:rFonts w:eastAsia="Times New Roman"/>
              </w:rPr>
            </w:pPr>
            <w:r w:rsidRPr="00A06F1E">
              <w:rPr>
                <w:rFonts w:eastAsia="Times New Roman"/>
              </w:rPr>
              <w:t>7</w:t>
            </w:r>
          </w:p>
        </w:tc>
        <w:tc>
          <w:tcPr>
            <w:tcW w:w="875" w:type="dxa"/>
          </w:tcPr>
          <w:p w14:paraId="2CCF3C3D" w14:textId="77777777" w:rsidR="0033262D" w:rsidRPr="00A06F1E" w:rsidRDefault="0033262D">
            <w:pPr>
              <w:pStyle w:val="TableTextCentered"/>
              <w:rPr>
                <w:rFonts w:eastAsia="Times New Roman"/>
              </w:rPr>
            </w:pPr>
            <w:r w:rsidRPr="00A06F1E">
              <w:rPr>
                <w:rFonts w:eastAsia="Times New Roman"/>
              </w:rPr>
              <w:t>12</w:t>
            </w:r>
          </w:p>
        </w:tc>
        <w:tc>
          <w:tcPr>
            <w:tcW w:w="900" w:type="dxa"/>
          </w:tcPr>
          <w:p w14:paraId="2546B0D3" w14:textId="77777777" w:rsidR="0033262D" w:rsidRPr="00A06F1E" w:rsidRDefault="0033262D">
            <w:pPr>
              <w:pStyle w:val="TableTextCentered"/>
              <w:rPr>
                <w:rFonts w:eastAsia="Times New Roman"/>
              </w:rPr>
            </w:pPr>
            <w:r w:rsidRPr="00A06F1E">
              <w:rPr>
                <w:rFonts w:eastAsia="Times New Roman"/>
              </w:rPr>
              <w:t>23</w:t>
            </w:r>
          </w:p>
        </w:tc>
        <w:tc>
          <w:tcPr>
            <w:tcW w:w="892" w:type="dxa"/>
          </w:tcPr>
          <w:p w14:paraId="23FA5F21" w14:textId="77777777" w:rsidR="0033262D" w:rsidRPr="00A06F1E" w:rsidRDefault="0033262D">
            <w:pPr>
              <w:pStyle w:val="TableTextCentered"/>
              <w:rPr>
                <w:rFonts w:eastAsia="Times New Roman"/>
              </w:rPr>
            </w:pPr>
            <w:r w:rsidRPr="00A06F1E">
              <w:rPr>
                <w:rFonts w:eastAsia="Times New Roman"/>
              </w:rPr>
              <w:t>6.2</w:t>
            </w:r>
          </w:p>
        </w:tc>
      </w:tr>
      <w:tr w:rsidR="0033262D" w:rsidRPr="00A06F1E" w14:paraId="40B1E8E0" w14:textId="77777777" w:rsidTr="0033262D">
        <w:trPr>
          <w:jc w:val="center"/>
        </w:trPr>
        <w:tc>
          <w:tcPr>
            <w:tcW w:w="1432" w:type="dxa"/>
          </w:tcPr>
          <w:p w14:paraId="0835E979" w14:textId="77777777" w:rsidR="0033262D" w:rsidRPr="00A06F1E" w:rsidRDefault="0033262D">
            <w:pPr>
              <w:pStyle w:val="TableText"/>
            </w:pPr>
            <w:r w:rsidRPr="00A06F1E">
              <w:t>Grades 6-8</w:t>
            </w:r>
          </w:p>
        </w:tc>
        <w:tc>
          <w:tcPr>
            <w:tcW w:w="874" w:type="dxa"/>
          </w:tcPr>
          <w:p w14:paraId="174A8CB8"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22052671"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3AA08E59"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3C81C93E"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5A12325A" w14:textId="77777777" w:rsidR="0033262D" w:rsidRPr="00A06F1E" w:rsidRDefault="0033262D">
            <w:pPr>
              <w:pStyle w:val="TableTextCentered"/>
              <w:rPr>
                <w:rFonts w:eastAsia="Times New Roman"/>
              </w:rPr>
            </w:pPr>
            <w:r w:rsidRPr="00A06F1E">
              <w:rPr>
                <w:rFonts w:eastAsia="Times New Roman"/>
              </w:rPr>
              <w:t>3</w:t>
            </w:r>
          </w:p>
        </w:tc>
        <w:tc>
          <w:tcPr>
            <w:tcW w:w="874" w:type="dxa"/>
          </w:tcPr>
          <w:p w14:paraId="072296F1" w14:textId="77777777" w:rsidR="0033262D" w:rsidRPr="00A06F1E" w:rsidRDefault="0033262D">
            <w:pPr>
              <w:pStyle w:val="TableTextCentered"/>
              <w:rPr>
                <w:rFonts w:eastAsia="Times New Roman"/>
              </w:rPr>
            </w:pPr>
            <w:r w:rsidRPr="00A06F1E">
              <w:rPr>
                <w:rFonts w:eastAsia="Times New Roman"/>
              </w:rPr>
              <w:t>2</w:t>
            </w:r>
          </w:p>
        </w:tc>
        <w:tc>
          <w:tcPr>
            <w:tcW w:w="875" w:type="dxa"/>
          </w:tcPr>
          <w:p w14:paraId="550552C6" w14:textId="77777777" w:rsidR="0033262D" w:rsidRPr="00A06F1E" w:rsidRDefault="0033262D">
            <w:pPr>
              <w:pStyle w:val="TableTextCentered"/>
              <w:rPr>
                <w:rFonts w:eastAsia="Times New Roman"/>
              </w:rPr>
            </w:pPr>
            <w:r w:rsidRPr="00A06F1E">
              <w:rPr>
                <w:rFonts w:eastAsia="Times New Roman"/>
              </w:rPr>
              <w:t>12</w:t>
            </w:r>
          </w:p>
        </w:tc>
        <w:tc>
          <w:tcPr>
            <w:tcW w:w="900" w:type="dxa"/>
          </w:tcPr>
          <w:p w14:paraId="48454AC0" w14:textId="77777777" w:rsidR="0033262D" w:rsidRPr="00A06F1E" w:rsidRDefault="0033262D">
            <w:pPr>
              <w:pStyle w:val="TableTextCentered"/>
              <w:rPr>
                <w:rFonts w:eastAsia="Times New Roman"/>
              </w:rPr>
            </w:pPr>
            <w:r w:rsidRPr="00A06F1E">
              <w:rPr>
                <w:rFonts w:eastAsia="Times New Roman"/>
              </w:rPr>
              <w:t>17</w:t>
            </w:r>
          </w:p>
        </w:tc>
        <w:tc>
          <w:tcPr>
            <w:tcW w:w="892" w:type="dxa"/>
          </w:tcPr>
          <w:p w14:paraId="255172E8" w14:textId="77777777" w:rsidR="0033262D" w:rsidRPr="00A06F1E" w:rsidRDefault="0033262D">
            <w:pPr>
              <w:pStyle w:val="TableTextCentered"/>
              <w:rPr>
                <w:rFonts w:eastAsia="Times New Roman"/>
              </w:rPr>
            </w:pPr>
            <w:r w:rsidRPr="00A06F1E">
              <w:rPr>
                <w:rFonts w:eastAsia="Times New Roman"/>
              </w:rPr>
              <w:t>6.5</w:t>
            </w:r>
          </w:p>
        </w:tc>
      </w:tr>
      <w:tr w:rsidR="0033262D" w:rsidRPr="00A06F1E" w14:paraId="2D5DD694" w14:textId="77777777" w:rsidTr="0033262D">
        <w:trPr>
          <w:jc w:val="center"/>
        </w:trPr>
        <w:tc>
          <w:tcPr>
            <w:tcW w:w="1432" w:type="dxa"/>
          </w:tcPr>
          <w:p w14:paraId="043FB4DE" w14:textId="77777777" w:rsidR="0033262D" w:rsidRPr="00A06F1E" w:rsidRDefault="0033262D">
            <w:pPr>
              <w:pStyle w:val="TableText"/>
            </w:pPr>
            <w:r w:rsidRPr="00A06F1E">
              <w:t>Grades 9-12</w:t>
            </w:r>
          </w:p>
        </w:tc>
        <w:tc>
          <w:tcPr>
            <w:tcW w:w="874" w:type="dxa"/>
          </w:tcPr>
          <w:p w14:paraId="1B0A53CF"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763DF7A6"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42529823"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75A341DD"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1322C29C"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37908FF2" w14:textId="77777777" w:rsidR="0033262D" w:rsidRPr="00A06F1E" w:rsidRDefault="0033262D">
            <w:pPr>
              <w:pStyle w:val="TableTextCentered"/>
              <w:rPr>
                <w:rFonts w:eastAsia="Times New Roman"/>
              </w:rPr>
            </w:pPr>
            <w:r w:rsidRPr="00A06F1E">
              <w:rPr>
                <w:rFonts w:eastAsia="Times New Roman"/>
              </w:rPr>
              <w:t>4</w:t>
            </w:r>
          </w:p>
        </w:tc>
        <w:tc>
          <w:tcPr>
            <w:tcW w:w="875" w:type="dxa"/>
          </w:tcPr>
          <w:p w14:paraId="3FEF165F" w14:textId="77777777" w:rsidR="0033262D" w:rsidRPr="00A06F1E" w:rsidRDefault="0033262D">
            <w:pPr>
              <w:pStyle w:val="TableTextCentered"/>
              <w:rPr>
                <w:rFonts w:eastAsia="Times New Roman"/>
              </w:rPr>
            </w:pPr>
            <w:r w:rsidRPr="00A06F1E">
              <w:rPr>
                <w:rFonts w:eastAsia="Times New Roman"/>
              </w:rPr>
              <w:t>10</w:t>
            </w:r>
          </w:p>
        </w:tc>
        <w:tc>
          <w:tcPr>
            <w:tcW w:w="900" w:type="dxa"/>
          </w:tcPr>
          <w:p w14:paraId="523A2416" w14:textId="77777777" w:rsidR="0033262D" w:rsidRPr="00A06F1E" w:rsidRDefault="0033262D">
            <w:pPr>
              <w:pStyle w:val="TableTextCentered"/>
              <w:rPr>
                <w:rFonts w:eastAsia="Times New Roman"/>
              </w:rPr>
            </w:pPr>
            <w:r w:rsidRPr="00A06F1E">
              <w:rPr>
                <w:rFonts w:eastAsia="Times New Roman"/>
              </w:rPr>
              <w:t>16</w:t>
            </w:r>
          </w:p>
        </w:tc>
        <w:tc>
          <w:tcPr>
            <w:tcW w:w="892" w:type="dxa"/>
          </w:tcPr>
          <w:p w14:paraId="1B873736" w14:textId="77777777" w:rsidR="0033262D" w:rsidRPr="00A06F1E" w:rsidRDefault="0033262D">
            <w:pPr>
              <w:pStyle w:val="TableTextCentered"/>
              <w:rPr>
                <w:rFonts w:eastAsia="Times New Roman"/>
              </w:rPr>
            </w:pPr>
            <w:r w:rsidRPr="00A06F1E">
              <w:rPr>
                <w:rFonts w:eastAsia="Times New Roman"/>
              </w:rPr>
              <w:t>6.3</w:t>
            </w:r>
          </w:p>
        </w:tc>
      </w:tr>
    </w:tbl>
    <w:bookmarkEnd w:id="123"/>
    <w:p w14:paraId="03FDBBF1" w14:textId="77777777" w:rsidR="0033262D" w:rsidRPr="00A06F1E" w:rsidRDefault="0033262D">
      <w:pPr>
        <w:pStyle w:val="TableNote"/>
      </w:pPr>
      <w:r w:rsidRPr="00A06F1E">
        <w:t xml:space="preserve">*The district average is an average of the observation scores. In Table 7, the district average is computed as: </w:t>
      </w:r>
      <w:r w:rsidRPr="00A06F1E">
        <w:br/>
      </w:r>
      <w:bookmarkStart w:id="124" w:name="Dist_BM_Calc"/>
      <w:r w:rsidRPr="00A06F1E">
        <w:t>([2 x 1] + [3 x 1] + [4 x 3] + [5 x 4] + [6 x 13] + [7 x 34]) ÷ 56 observations = 6.3</w:t>
      </w:r>
      <w:bookmarkEnd w:id="124"/>
    </w:p>
    <w:p w14:paraId="26B38D80" w14:textId="47B8C4D4" w:rsidR="006C1DC9" w:rsidRPr="00A06F1E" w:rsidRDefault="0033262D">
      <w:pPr>
        <w:pStyle w:val="BodyText"/>
      </w:pPr>
      <w:r w:rsidRPr="00A06F1E">
        <w:rPr>
          <w:rStyle w:val="BodyTextDemiChar"/>
        </w:rPr>
        <w:t>Ratings in the Low Range.</w:t>
      </w:r>
      <w:r w:rsidRPr="00A06F1E">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w:t>
      </w:r>
      <w:r w:rsidR="00040362" w:rsidRPr="00A06F1E">
        <w:t>’</w:t>
      </w:r>
      <w:r w:rsidRPr="00A06F1E">
        <w:t>s attempts to redirect misbehavior are ineffective. The teacher does not use cues, such as eye contact, slight touches, gestures, or physical proximity, to respond to and redirect negative behavior.</w:t>
      </w:r>
    </w:p>
    <w:p w14:paraId="3721C6AE" w14:textId="1DA6E533" w:rsidR="0033262D" w:rsidRPr="00A06F1E" w:rsidRDefault="0033262D">
      <w:pPr>
        <w:pStyle w:val="BodyText"/>
      </w:pPr>
      <w:r w:rsidRPr="00A06F1E">
        <w:rPr>
          <w:rStyle w:val="BodyTextDemiChar"/>
        </w:rPr>
        <w:t>Ratings in the Middle Range.</w:t>
      </w:r>
      <w:r w:rsidRPr="00A06F1E">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25CFC579" w14:textId="0F57C4D4" w:rsidR="0033262D" w:rsidRPr="00A06F1E" w:rsidRDefault="0033262D">
      <w:pPr>
        <w:pStyle w:val="BodyText"/>
      </w:pPr>
      <w:r w:rsidRPr="00A06F1E">
        <w:rPr>
          <w:rStyle w:val="BodyTextDemiChar"/>
        </w:rPr>
        <w:t>Ratings in the High Range.</w:t>
      </w:r>
      <w:r w:rsidRPr="00A06F1E">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w:t>
      </w:r>
      <w:r w:rsidR="00040362" w:rsidRPr="00A06F1E">
        <w:t>’</w:t>
      </w:r>
      <w:r w:rsidRPr="00A06F1E">
        <w:t xml:space="preserve"> desirable behaviors. The teacher effectively uses cues to redirect behavior. There are no, or very few, instances of student misbehavior or disruptions.</w:t>
      </w:r>
    </w:p>
    <w:p w14:paraId="2ED778A4" w14:textId="77777777" w:rsidR="0033262D" w:rsidRPr="00A06F1E" w:rsidRDefault="0033262D">
      <w:pPr>
        <w:spacing w:after="160" w:line="259" w:lineRule="auto"/>
      </w:pPr>
      <w:r w:rsidRPr="00A06F1E">
        <w:br w:type="page"/>
      </w:r>
    </w:p>
    <w:p w14:paraId="1B3C0293" w14:textId="77777777" w:rsidR="0033262D" w:rsidRPr="00A06F1E" w:rsidRDefault="0033262D">
      <w:pPr>
        <w:pStyle w:val="Heading2-SIOR"/>
      </w:pPr>
      <w:bookmarkStart w:id="125" w:name="_Toc411329831"/>
      <w:bookmarkStart w:id="126" w:name="_Toc430114880"/>
      <w:bookmarkStart w:id="127" w:name="_Toc92194259"/>
      <w:r w:rsidRPr="00A06F1E">
        <w:lastRenderedPageBreak/>
        <w:t>Productivity</w:t>
      </w:r>
      <w:bookmarkEnd w:id="125"/>
      <w:bookmarkEnd w:id="126"/>
      <w:bookmarkEnd w:id="127"/>
    </w:p>
    <w:p w14:paraId="683B7075" w14:textId="77777777" w:rsidR="0033262D" w:rsidRPr="00A06F1E" w:rsidRDefault="0033262D">
      <w:pPr>
        <w:pStyle w:val="BodyTextDomain"/>
      </w:pPr>
      <w:r w:rsidRPr="00A06F1E">
        <w:t>Classroom Organization domain, Grades K−12</w:t>
      </w:r>
    </w:p>
    <w:p w14:paraId="3B5909A8" w14:textId="77777777" w:rsidR="006C1DC9" w:rsidRPr="00A06F1E" w:rsidRDefault="0033262D">
      <w:pPr>
        <w:pStyle w:val="BodyText"/>
      </w:pPr>
      <w:r w:rsidRPr="00A06F1E">
        <w:t>Productivity considers how well the teacher manages instructional time and routines and provides activities for students so that they have the opportunity to be involved in learning activities (</w:t>
      </w:r>
      <w:r w:rsidRPr="00A06F1E">
        <w:rPr>
          <w:i/>
        </w:rPr>
        <w:t>CLASS K–3 Manual,</w:t>
      </w:r>
      <w:r w:rsidRPr="00A06F1E">
        <w:t xml:space="preserve"> p. 51, </w:t>
      </w:r>
      <w:r w:rsidRPr="00A06F1E">
        <w:rPr>
          <w:i/>
        </w:rPr>
        <w:t xml:space="preserve">CLASS Upper Elementary Manual, </w:t>
      </w:r>
      <w:r w:rsidRPr="00A06F1E">
        <w:t xml:space="preserve">p. 49, </w:t>
      </w:r>
      <w:r w:rsidRPr="00A06F1E">
        <w:rPr>
          <w:i/>
        </w:rPr>
        <w:t>CLASS Secondary Manual</w:t>
      </w:r>
      <w:r w:rsidRPr="00A06F1E">
        <w:t>, p. 49).</w:t>
      </w:r>
    </w:p>
    <w:p w14:paraId="407206FC" w14:textId="186D7CCA" w:rsidR="0033262D" w:rsidRPr="00A06F1E" w:rsidRDefault="0033262D">
      <w:pPr>
        <w:pStyle w:val="TableTitle0"/>
      </w:pPr>
      <w:bookmarkStart w:id="128" w:name="_Toc170701914"/>
      <w:r w:rsidRPr="00A06F1E">
        <w:t>Table 8. Productivity: Number of Classrooms for Each Rating and District Average</w:t>
      </w:r>
      <w:bookmarkEnd w:id="128"/>
    </w:p>
    <w:p w14:paraId="7182D007" w14:textId="77777777" w:rsidR="0033262D" w:rsidRPr="00A06F1E" w:rsidRDefault="0033262D">
      <w:pPr>
        <w:pStyle w:val="BodyTextDemi"/>
      </w:pPr>
      <w:r w:rsidRPr="00A06F1E">
        <w:t xml:space="preserve">Productivity District Average*: </w:t>
      </w:r>
      <w:bookmarkStart w:id="129" w:name="Dist_PD_Avg"/>
      <w:r w:rsidRPr="00A06F1E">
        <w:t>6.4</w:t>
      </w:r>
      <w:bookmarkEnd w:id="129"/>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3262D" w:rsidRPr="00A06F1E" w14:paraId="40BA4AC2" w14:textId="77777777" w:rsidTr="0033262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2739E9E" w14:textId="77777777" w:rsidR="0033262D" w:rsidRPr="00A06F1E" w:rsidRDefault="0033262D">
            <w:pPr>
              <w:pStyle w:val="TableColHeadingCenter"/>
              <w:rPr>
                <w:rFonts w:eastAsia="MS Mincho"/>
              </w:rPr>
            </w:pPr>
            <w:bookmarkStart w:id="130" w:name="Tbl_PD"/>
            <w:r w:rsidRPr="00A06F1E">
              <w:rPr>
                <w:rFonts w:eastAsia="MS Mincho"/>
              </w:rPr>
              <w:t>Grade Band</w:t>
            </w:r>
          </w:p>
        </w:tc>
        <w:tc>
          <w:tcPr>
            <w:tcW w:w="1748" w:type="dxa"/>
            <w:gridSpan w:val="2"/>
          </w:tcPr>
          <w:p w14:paraId="6898F9D3" w14:textId="77777777" w:rsidR="0033262D" w:rsidRPr="00A06F1E" w:rsidRDefault="0033262D">
            <w:pPr>
              <w:pStyle w:val="TableColHeadingCenter"/>
              <w:rPr>
                <w:rFonts w:eastAsia="MS Mincho"/>
              </w:rPr>
            </w:pPr>
            <w:r w:rsidRPr="00A06F1E">
              <w:rPr>
                <w:rFonts w:eastAsia="MS Mincho"/>
              </w:rPr>
              <w:t>Low Range</w:t>
            </w:r>
          </w:p>
        </w:tc>
        <w:tc>
          <w:tcPr>
            <w:tcW w:w="2623" w:type="dxa"/>
            <w:gridSpan w:val="3"/>
          </w:tcPr>
          <w:p w14:paraId="4FB4F91B" w14:textId="77777777" w:rsidR="0033262D" w:rsidRPr="00A06F1E" w:rsidRDefault="0033262D">
            <w:pPr>
              <w:pStyle w:val="TableColHeadingCenter"/>
              <w:rPr>
                <w:rFonts w:eastAsia="MS Mincho"/>
              </w:rPr>
            </w:pPr>
            <w:r w:rsidRPr="00A06F1E">
              <w:rPr>
                <w:rFonts w:eastAsia="MS Mincho"/>
              </w:rPr>
              <w:t>Middle Range</w:t>
            </w:r>
          </w:p>
        </w:tc>
        <w:tc>
          <w:tcPr>
            <w:tcW w:w="1749" w:type="dxa"/>
            <w:gridSpan w:val="2"/>
          </w:tcPr>
          <w:p w14:paraId="6CC55866" w14:textId="77777777" w:rsidR="0033262D" w:rsidRPr="00A06F1E" w:rsidRDefault="0033262D">
            <w:pPr>
              <w:pStyle w:val="TableColHeadingCenter"/>
              <w:rPr>
                <w:rFonts w:eastAsia="MS Mincho"/>
              </w:rPr>
            </w:pPr>
            <w:r w:rsidRPr="00A06F1E">
              <w:rPr>
                <w:rFonts w:eastAsia="MS Mincho"/>
              </w:rPr>
              <w:t>High Range</w:t>
            </w:r>
          </w:p>
        </w:tc>
        <w:tc>
          <w:tcPr>
            <w:tcW w:w="900" w:type="dxa"/>
          </w:tcPr>
          <w:p w14:paraId="69DD27DB" w14:textId="77777777" w:rsidR="0033262D" w:rsidRPr="00A06F1E" w:rsidRDefault="0033262D">
            <w:pPr>
              <w:pStyle w:val="TableColHeadingCenter"/>
              <w:rPr>
                <w:rFonts w:eastAsia="MS Mincho"/>
              </w:rPr>
            </w:pPr>
            <w:r w:rsidRPr="00A06F1E">
              <w:rPr>
                <w:rFonts w:eastAsia="MS Mincho"/>
              </w:rPr>
              <w:t>n</w:t>
            </w:r>
          </w:p>
        </w:tc>
        <w:tc>
          <w:tcPr>
            <w:tcW w:w="892" w:type="dxa"/>
          </w:tcPr>
          <w:p w14:paraId="644EDE7D" w14:textId="77777777" w:rsidR="0033262D" w:rsidRPr="00A06F1E" w:rsidRDefault="0033262D">
            <w:pPr>
              <w:pStyle w:val="TableColHeadingCenter"/>
              <w:rPr>
                <w:rFonts w:eastAsia="MS Mincho"/>
              </w:rPr>
            </w:pPr>
            <w:r w:rsidRPr="00A06F1E">
              <w:rPr>
                <w:rFonts w:eastAsia="MS Mincho"/>
              </w:rPr>
              <w:t>Average</w:t>
            </w:r>
          </w:p>
        </w:tc>
      </w:tr>
      <w:tr w:rsidR="0033262D" w:rsidRPr="00A06F1E" w14:paraId="52BFA446" w14:textId="77777777" w:rsidTr="0033262D">
        <w:trPr>
          <w:jc w:val="center"/>
        </w:trPr>
        <w:tc>
          <w:tcPr>
            <w:tcW w:w="1432" w:type="dxa"/>
            <w:shd w:val="clear" w:color="auto" w:fill="D9E2F3" w:themeFill="accent5" w:themeFillTint="33"/>
          </w:tcPr>
          <w:p w14:paraId="45D2DD27" w14:textId="77777777" w:rsidR="0033262D" w:rsidRPr="00A06F1E" w:rsidRDefault="0033262D">
            <w:pPr>
              <w:pStyle w:val="TableSubheadingCentered"/>
            </w:pPr>
          </w:p>
        </w:tc>
        <w:tc>
          <w:tcPr>
            <w:tcW w:w="874" w:type="dxa"/>
            <w:shd w:val="clear" w:color="auto" w:fill="D9E2F3" w:themeFill="accent5" w:themeFillTint="33"/>
          </w:tcPr>
          <w:p w14:paraId="457AF17E" w14:textId="77777777" w:rsidR="0033262D" w:rsidRPr="00A06F1E" w:rsidRDefault="0033262D">
            <w:pPr>
              <w:pStyle w:val="TableSubheadingCentered"/>
            </w:pPr>
            <w:r w:rsidRPr="00A06F1E">
              <w:t>1</w:t>
            </w:r>
          </w:p>
        </w:tc>
        <w:tc>
          <w:tcPr>
            <w:tcW w:w="874" w:type="dxa"/>
            <w:shd w:val="clear" w:color="auto" w:fill="D9E2F3" w:themeFill="accent5" w:themeFillTint="33"/>
          </w:tcPr>
          <w:p w14:paraId="188F3DD3" w14:textId="77777777" w:rsidR="0033262D" w:rsidRPr="00A06F1E" w:rsidRDefault="0033262D">
            <w:pPr>
              <w:pStyle w:val="TableSubheadingCentered"/>
            </w:pPr>
            <w:r w:rsidRPr="00A06F1E">
              <w:t>2</w:t>
            </w:r>
          </w:p>
        </w:tc>
        <w:tc>
          <w:tcPr>
            <w:tcW w:w="874" w:type="dxa"/>
            <w:shd w:val="clear" w:color="auto" w:fill="D9E2F3" w:themeFill="accent5" w:themeFillTint="33"/>
          </w:tcPr>
          <w:p w14:paraId="4A439354" w14:textId="77777777" w:rsidR="0033262D" w:rsidRPr="00A06F1E" w:rsidRDefault="0033262D">
            <w:pPr>
              <w:pStyle w:val="TableSubheadingCentered"/>
            </w:pPr>
            <w:r w:rsidRPr="00A06F1E">
              <w:t>3</w:t>
            </w:r>
          </w:p>
        </w:tc>
        <w:tc>
          <w:tcPr>
            <w:tcW w:w="875" w:type="dxa"/>
            <w:shd w:val="clear" w:color="auto" w:fill="D9E2F3" w:themeFill="accent5" w:themeFillTint="33"/>
          </w:tcPr>
          <w:p w14:paraId="1D77E8E4" w14:textId="77777777" w:rsidR="0033262D" w:rsidRPr="00A06F1E" w:rsidRDefault="0033262D">
            <w:pPr>
              <w:pStyle w:val="TableSubheadingCentered"/>
            </w:pPr>
            <w:r w:rsidRPr="00A06F1E">
              <w:t>4</w:t>
            </w:r>
          </w:p>
        </w:tc>
        <w:tc>
          <w:tcPr>
            <w:tcW w:w="874" w:type="dxa"/>
            <w:shd w:val="clear" w:color="auto" w:fill="D9E2F3" w:themeFill="accent5" w:themeFillTint="33"/>
          </w:tcPr>
          <w:p w14:paraId="1C2E3178" w14:textId="77777777" w:rsidR="0033262D" w:rsidRPr="00A06F1E" w:rsidRDefault="0033262D">
            <w:pPr>
              <w:pStyle w:val="TableSubheadingCentered"/>
            </w:pPr>
            <w:r w:rsidRPr="00A06F1E">
              <w:t>5</w:t>
            </w:r>
          </w:p>
        </w:tc>
        <w:tc>
          <w:tcPr>
            <w:tcW w:w="874" w:type="dxa"/>
            <w:shd w:val="clear" w:color="auto" w:fill="D9E2F3" w:themeFill="accent5" w:themeFillTint="33"/>
          </w:tcPr>
          <w:p w14:paraId="332C9CBD" w14:textId="77777777" w:rsidR="0033262D" w:rsidRPr="00A06F1E" w:rsidRDefault="0033262D">
            <w:pPr>
              <w:pStyle w:val="TableSubheadingCentered"/>
            </w:pPr>
            <w:r w:rsidRPr="00A06F1E">
              <w:t>6</w:t>
            </w:r>
          </w:p>
        </w:tc>
        <w:tc>
          <w:tcPr>
            <w:tcW w:w="875" w:type="dxa"/>
            <w:shd w:val="clear" w:color="auto" w:fill="D9E2F3" w:themeFill="accent5" w:themeFillTint="33"/>
          </w:tcPr>
          <w:p w14:paraId="5185D7D3" w14:textId="77777777" w:rsidR="0033262D" w:rsidRPr="00A06F1E" w:rsidRDefault="0033262D">
            <w:pPr>
              <w:pStyle w:val="TableSubheadingCentered"/>
            </w:pPr>
            <w:r w:rsidRPr="00A06F1E">
              <w:t>7</w:t>
            </w:r>
          </w:p>
        </w:tc>
        <w:tc>
          <w:tcPr>
            <w:tcW w:w="900" w:type="dxa"/>
            <w:shd w:val="clear" w:color="auto" w:fill="D9E2F3" w:themeFill="accent5" w:themeFillTint="33"/>
          </w:tcPr>
          <w:p w14:paraId="16B59957" w14:textId="77777777" w:rsidR="0033262D" w:rsidRPr="00A06F1E" w:rsidRDefault="0033262D">
            <w:pPr>
              <w:pStyle w:val="TableSubheadingCentered"/>
            </w:pPr>
            <w:r w:rsidRPr="00A06F1E">
              <w:t>56</w:t>
            </w:r>
          </w:p>
        </w:tc>
        <w:tc>
          <w:tcPr>
            <w:tcW w:w="892" w:type="dxa"/>
            <w:shd w:val="clear" w:color="auto" w:fill="D9E2F3" w:themeFill="accent5" w:themeFillTint="33"/>
          </w:tcPr>
          <w:p w14:paraId="4FC8505B" w14:textId="77777777" w:rsidR="0033262D" w:rsidRPr="00A06F1E" w:rsidRDefault="0033262D">
            <w:pPr>
              <w:pStyle w:val="TableSubheadingCentered"/>
            </w:pPr>
            <w:r w:rsidRPr="00A06F1E">
              <w:t>6.4</w:t>
            </w:r>
          </w:p>
        </w:tc>
      </w:tr>
      <w:tr w:rsidR="0033262D" w:rsidRPr="00A06F1E" w14:paraId="0E928379" w14:textId="77777777" w:rsidTr="0033262D">
        <w:trPr>
          <w:jc w:val="center"/>
        </w:trPr>
        <w:tc>
          <w:tcPr>
            <w:tcW w:w="1432" w:type="dxa"/>
          </w:tcPr>
          <w:p w14:paraId="1D0DFCE1" w14:textId="77777777" w:rsidR="0033262D" w:rsidRPr="00A06F1E" w:rsidRDefault="0033262D">
            <w:pPr>
              <w:pStyle w:val="TableText"/>
            </w:pPr>
            <w:r w:rsidRPr="00A06F1E">
              <w:t>Grades K-5</w:t>
            </w:r>
          </w:p>
        </w:tc>
        <w:tc>
          <w:tcPr>
            <w:tcW w:w="874" w:type="dxa"/>
          </w:tcPr>
          <w:p w14:paraId="3CAB0959"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08926B5C"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742D5B98"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0B1FD8BF"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5FCADB0C" w14:textId="77777777" w:rsidR="0033262D" w:rsidRPr="00A06F1E" w:rsidRDefault="0033262D">
            <w:pPr>
              <w:pStyle w:val="TableTextCentered"/>
              <w:rPr>
                <w:rFonts w:eastAsia="Times New Roman"/>
              </w:rPr>
            </w:pPr>
            <w:r w:rsidRPr="00A06F1E">
              <w:rPr>
                <w:rFonts w:eastAsia="Times New Roman"/>
              </w:rPr>
              <w:t>2</w:t>
            </w:r>
          </w:p>
        </w:tc>
        <w:tc>
          <w:tcPr>
            <w:tcW w:w="874" w:type="dxa"/>
          </w:tcPr>
          <w:p w14:paraId="04423607" w14:textId="77777777" w:rsidR="0033262D" w:rsidRPr="00A06F1E" w:rsidRDefault="0033262D">
            <w:pPr>
              <w:pStyle w:val="TableTextCentered"/>
              <w:rPr>
                <w:rFonts w:eastAsia="Times New Roman"/>
              </w:rPr>
            </w:pPr>
            <w:r w:rsidRPr="00A06F1E">
              <w:rPr>
                <w:rFonts w:eastAsia="Times New Roman"/>
              </w:rPr>
              <w:t>5</w:t>
            </w:r>
          </w:p>
        </w:tc>
        <w:tc>
          <w:tcPr>
            <w:tcW w:w="875" w:type="dxa"/>
          </w:tcPr>
          <w:p w14:paraId="7B1F55C6" w14:textId="77777777" w:rsidR="0033262D" w:rsidRPr="00A06F1E" w:rsidRDefault="0033262D">
            <w:pPr>
              <w:pStyle w:val="TableTextCentered"/>
              <w:rPr>
                <w:rFonts w:eastAsia="Times New Roman"/>
              </w:rPr>
            </w:pPr>
            <w:r w:rsidRPr="00A06F1E">
              <w:rPr>
                <w:rFonts w:eastAsia="Times New Roman"/>
              </w:rPr>
              <w:t>16</w:t>
            </w:r>
          </w:p>
        </w:tc>
        <w:tc>
          <w:tcPr>
            <w:tcW w:w="900" w:type="dxa"/>
          </w:tcPr>
          <w:p w14:paraId="7C2A85B6" w14:textId="77777777" w:rsidR="0033262D" w:rsidRPr="00A06F1E" w:rsidRDefault="0033262D">
            <w:pPr>
              <w:pStyle w:val="TableTextCentered"/>
              <w:rPr>
                <w:rFonts w:eastAsia="Times New Roman"/>
              </w:rPr>
            </w:pPr>
            <w:r w:rsidRPr="00A06F1E">
              <w:rPr>
                <w:rFonts w:eastAsia="Times New Roman"/>
              </w:rPr>
              <w:t>23</w:t>
            </w:r>
          </w:p>
        </w:tc>
        <w:tc>
          <w:tcPr>
            <w:tcW w:w="892" w:type="dxa"/>
          </w:tcPr>
          <w:p w14:paraId="06588FD5" w14:textId="77777777" w:rsidR="0033262D" w:rsidRPr="00A06F1E" w:rsidRDefault="0033262D">
            <w:pPr>
              <w:pStyle w:val="TableTextCentered"/>
              <w:rPr>
                <w:rFonts w:eastAsia="Times New Roman"/>
              </w:rPr>
            </w:pPr>
            <w:r w:rsidRPr="00A06F1E">
              <w:rPr>
                <w:rFonts w:eastAsia="Times New Roman"/>
              </w:rPr>
              <w:t>6.6</w:t>
            </w:r>
          </w:p>
        </w:tc>
      </w:tr>
      <w:tr w:rsidR="0033262D" w:rsidRPr="00A06F1E" w14:paraId="5F195374" w14:textId="77777777" w:rsidTr="0033262D">
        <w:trPr>
          <w:jc w:val="center"/>
        </w:trPr>
        <w:tc>
          <w:tcPr>
            <w:tcW w:w="1432" w:type="dxa"/>
          </w:tcPr>
          <w:p w14:paraId="25CA6910" w14:textId="77777777" w:rsidR="0033262D" w:rsidRPr="00A06F1E" w:rsidRDefault="0033262D">
            <w:pPr>
              <w:pStyle w:val="TableText"/>
            </w:pPr>
            <w:r w:rsidRPr="00A06F1E">
              <w:t>Grades 6-8</w:t>
            </w:r>
          </w:p>
        </w:tc>
        <w:tc>
          <w:tcPr>
            <w:tcW w:w="874" w:type="dxa"/>
          </w:tcPr>
          <w:p w14:paraId="612D55D0"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234205F3"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36EAF8A5"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6F51A2B6"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29DC18FA" w14:textId="77777777" w:rsidR="0033262D" w:rsidRPr="00A06F1E" w:rsidRDefault="0033262D">
            <w:pPr>
              <w:pStyle w:val="TableTextCentered"/>
              <w:rPr>
                <w:rFonts w:eastAsia="Times New Roman"/>
              </w:rPr>
            </w:pPr>
            <w:r w:rsidRPr="00A06F1E">
              <w:rPr>
                <w:rFonts w:eastAsia="Times New Roman"/>
              </w:rPr>
              <w:t>2</w:t>
            </w:r>
          </w:p>
        </w:tc>
        <w:tc>
          <w:tcPr>
            <w:tcW w:w="874" w:type="dxa"/>
          </w:tcPr>
          <w:p w14:paraId="7BB70835" w14:textId="77777777" w:rsidR="0033262D" w:rsidRPr="00A06F1E" w:rsidRDefault="0033262D">
            <w:pPr>
              <w:pStyle w:val="TableTextCentered"/>
              <w:rPr>
                <w:rFonts w:eastAsia="Times New Roman"/>
              </w:rPr>
            </w:pPr>
            <w:r w:rsidRPr="00A06F1E">
              <w:rPr>
                <w:rFonts w:eastAsia="Times New Roman"/>
              </w:rPr>
              <w:t>4</w:t>
            </w:r>
          </w:p>
        </w:tc>
        <w:tc>
          <w:tcPr>
            <w:tcW w:w="875" w:type="dxa"/>
          </w:tcPr>
          <w:p w14:paraId="37C2CDD8" w14:textId="77777777" w:rsidR="0033262D" w:rsidRPr="00A06F1E" w:rsidRDefault="0033262D">
            <w:pPr>
              <w:pStyle w:val="TableTextCentered"/>
              <w:rPr>
                <w:rFonts w:eastAsia="Times New Roman"/>
              </w:rPr>
            </w:pPr>
            <w:r w:rsidRPr="00A06F1E">
              <w:rPr>
                <w:rFonts w:eastAsia="Times New Roman"/>
              </w:rPr>
              <w:t>11</w:t>
            </w:r>
          </w:p>
        </w:tc>
        <w:tc>
          <w:tcPr>
            <w:tcW w:w="900" w:type="dxa"/>
          </w:tcPr>
          <w:p w14:paraId="475FA339" w14:textId="77777777" w:rsidR="0033262D" w:rsidRPr="00A06F1E" w:rsidRDefault="0033262D">
            <w:pPr>
              <w:pStyle w:val="TableTextCentered"/>
              <w:rPr>
                <w:rFonts w:eastAsia="Times New Roman"/>
              </w:rPr>
            </w:pPr>
            <w:r w:rsidRPr="00A06F1E">
              <w:rPr>
                <w:rFonts w:eastAsia="Times New Roman"/>
              </w:rPr>
              <w:t>17</w:t>
            </w:r>
          </w:p>
        </w:tc>
        <w:tc>
          <w:tcPr>
            <w:tcW w:w="892" w:type="dxa"/>
          </w:tcPr>
          <w:p w14:paraId="3B058DAF" w14:textId="77777777" w:rsidR="0033262D" w:rsidRPr="00A06F1E" w:rsidRDefault="0033262D">
            <w:pPr>
              <w:pStyle w:val="TableTextCentered"/>
              <w:rPr>
                <w:rFonts w:eastAsia="Times New Roman"/>
              </w:rPr>
            </w:pPr>
            <w:r w:rsidRPr="00A06F1E">
              <w:rPr>
                <w:rFonts w:eastAsia="Times New Roman"/>
              </w:rPr>
              <w:t>6.5</w:t>
            </w:r>
          </w:p>
        </w:tc>
      </w:tr>
      <w:tr w:rsidR="0033262D" w:rsidRPr="00A06F1E" w14:paraId="07BB2FD0" w14:textId="77777777" w:rsidTr="0033262D">
        <w:trPr>
          <w:jc w:val="center"/>
        </w:trPr>
        <w:tc>
          <w:tcPr>
            <w:tcW w:w="1432" w:type="dxa"/>
          </w:tcPr>
          <w:p w14:paraId="69A38405" w14:textId="77777777" w:rsidR="0033262D" w:rsidRPr="00A06F1E" w:rsidRDefault="0033262D">
            <w:pPr>
              <w:pStyle w:val="TableText"/>
            </w:pPr>
            <w:r w:rsidRPr="00A06F1E">
              <w:t>Grades 9-12</w:t>
            </w:r>
          </w:p>
        </w:tc>
        <w:tc>
          <w:tcPr>
            <w:tcW w:w="874" w:type="dxa"/>
          </w:tcPr>
          <w:p w14:paraId="410CAFD3"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1EC1FCBC"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13096BED"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6B7E1C57" w14:textId="77777777" w:rsidR="0033262D" w:rsidRPr="00A06F1E" w:rsidRDefault="0033262D">
            <w:pPr>
              <w:pStyle w:val="TableTextCentered"/>
              <w:rPr>
                <w:rFonts w:eastAsia="Times New Roman"/>
              </w:rPr>
            </w:pPr>
            <w:r w:rsidRPr="00A06F1E">
              <w:rPr>
                <w:rFonts w:eastAsia="Times New Roman"/>
              </w:rPr>
              <w:t>3</w:t>
            </w:r>
          </w:p>
        </w:tc>
        <w:tc>
          <w:tcPr>
            <w:tcW w:w="874" w:type="dxa"/>
          </w:tcPr>
          <w:p w14:paraId="60122D1D"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3459A6F3" w14:textId="77777777" w:rsidR="0033262D" w:rsidRPr="00A06F1E" w:rsidRDefault="0033262D">
            <w:pPr>
              <w:pStyle w:val="TableTextCentered"/>
              <w:rPr>
                <w:rFonts w:eastAsia="Times New Roman"/>
              </w:rPr>
            </w:pPr>
            <w:r w:rsidRPr="00A06F1E">
              <w:rPr>
                <w:rFonts w:eastAsia="Times New Roman"/>
              </w:rPr>
              <w:t>5</w:t>
            </w:r>
          </w:p>
        </w:tc>
        <w:tc>
          <w:tcPr>
            <w:tcW w:w="875" w:type="dxa"/>
          </w:tcPr>
          <w:p w14:paraId="6E6683F4" w14:textId="77777777" w:rsidR="0033262D" w:rsidRPr="00A06F1E" w:rsidRDefault="0033262D">
            <w:pPr>
              <w:pStyle w:val="TableTextCentered"/>
              <w:rPr>
                <w:rFonts w:eastAsia="Times New Roman"/>
              </w:rPr>
            </w:pPr>
            <w:r w:rsidRPr="00A06F1E">
              <w:rPr>
                <w:rFonts w:eastAsia="Times New Roman"/>
              </w:rPr>
              <w:t>7</w:t>
            </w:r>
          </w:p>
        </w:tc>
        <w:tc>
          <w:tcPr>
            <w:tcW w:w="900" w:type="dxa"/>
          </w:tcPr>
          <w:p w14:paraId="6DE11303" w14:textId="77777777" w:rsidR="0033262D" w:rsidRPr="00A06F1E" w:rsidRDefault="0033262D">
            <w:pPr>
              <w:pStyle w:val="TableTextCentered"/>
              <w:rPr>
                <w:rFonts w:eastAsia="Times New Roman"/>
              </w:rPr>
            </w:pPr>
            <w:r w:rsidRPr="00A06F1E">
              <w:rPr>
                <w:rFonts w:eastAsia="Times New Roman"/>
              </w:rPr>
              <w:t>16</w:t>
            </w:r>
          </w:p>
        </w:tc>
        <w:tc>
          <w:tcPr>
            <w:tcW w:w="892" w:type="dxa"/>
          </w:tcPr>
          <w:p w14:paraId="6EA33F2A" w14:textId="77777777" w:rsidR="0033262D" w:rsidRPr="00A06F1E" w:rsidRDefault="0033262D">
            <w:pPr>
              <w:pStyle w:val="TableTextCentered"/>
              <w:rPr>
                <w:rFonts w:eastAsia="Times New Roman"/>
              </w:rPr>
            </w:pPr>
            <w:r w:rsidRPr="00A06F1E">
              <w:rPr>
                <w:rFonts w:eastAsia="Times New Roman"/>
              </w:rPr>
              <w:t>6.0</w:t>
            </w:r>
          </w:p>
        </w:tc>
      </w:tr>
    </w:tbl>
    <w:bookmarkEnd w:id="130"/>
    <w:p w14:paraId="3325F44A" w14:textId="77777777" w:rsidR="0033262D" w:rsidRPr="00A06F1E" w:rsidRDefault="0033262D">
      <w:pPr>
        <w:pStyle w:val="TableNote"/>
        <w:rPr>
          <w:rFonts w:ascii="Franklin Gothic Book" w:hAnsi="Franklin Gothic Book"/>
        </w:rPr>
      </w:pPr>
      <w:r w:rsidRPr="00A06F1E">
        <w:rPr>
          <w:rFonts w:ascii="Franklin Gothic Book" w:hAnsi="Franklin Gothic Book"/>
        </w:rPr>
        <w:t xml:space="preserve">*The district average is an average of the observation scores. In Table 8, the district average is computed as: </w:t>
      </w:r>
      <w:r w:rsidRPr="00A06F1E">
        <w:rPr>
          <w:rFonts w:ascii="Franklin Gothic Book" w:hAnsi="Franklin Gothic Book"/>
        </w:rPr>
        <w:br/>
      </w:r>
      <w:bookmarkStart w:id="131" w:name="Dist_PD_Calc"/>
      <w:r w:rsidRPr="00A06F1E">
        <w:rPr>
          <w:rFonts w:ascii="Franklin Gothic Book" w:hAnsi="Franklin Gothic Book"/>
        </w:rPr>
        <w:t>([4 x 3] + [5 x 5] + [6 x 14] + [7 x 34]) ÷ 56 observations = 6.4</w:t>
      </w:r>
      <w:bookmarkEnd w:id="131"/>
    </w:p>
    <w:p w14:paraId="5219776D" w14:textId="77777777" w:rsidR="0033262D" w:rsidRPr="00A06F1E" w:rsidRDefault="0033262D">
      <w:pPr>
        <w:pStyle w:val="BodyText"/>
      </w:pPr>
      <w:r w:rsidRPr="00A06F1E">
        <w:rPr>
          <w:rStyle w:val="BodyTextDemiChar"/>
        </w:rPr>
        <w:t xml:space="preserve">Ratings in the Low Range. </w:t>
      </w:r>
      <w:r w:rsidRPr="00A06F1E">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36076172" w14:textId="77777777" w:rsidR="0033262D" w:rsidRPr="00A06F1E" w:rsidRDefault="0033262D">
      <w:pPr>
        <w:pStyle w:val="BodyText"/>
      </w:pPr>
      <w:r w:rsidRPr="00A06F1E">
        <w:rPr>
          <w:rStyle w:val="BodyTextDemiChar"/>
        </w:rPr>
        <w:t xml:space="preserve">Ratings in the Middle Range. </w:t>
      </w:r>
      <w:r w:rsidRPr="00A06F1E">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54322BE1" w14:textId="27BCCF0F" w:rsidR="0033262D" w:rsidRPr="00A06F1E" w:rsidRDefault="0033262D">
      <w:pPr>
        <w:pStyle w:val="BodyText"/>
      </w:pPr>
      <w:r w:rsidRPr="00A06F1E">
        <w:rPr>
          <w:rStyle w:val="BodyTextDemiChar"/>
        </w:rPr>
        <w:t xml:space="preserve">Ratings in the High Range. </w:t>
      </w:r>
      <w:r w:rsidRPr="00A06F1E">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w:t>
      </w:r>
      <w:r w:rsidR="00040362" w:rsidRPr="00A06F1E">
        <w:t>’</w:t>
      </w:r>
      <w:r w:rsidRPr="00A06F1E">
        <w:t>s instructions and directions. Transitions are quick, and there are not too many of them. The teacher is fully prepared for the lesson.</w:t>
      </w:r>
    </w:p>
    <w:p w14:paraId="23CA2BEF" w14:textId="77777777" w:rsidR="0033262D" w:rsidRPr="00A06F1E" w:rsidRDefault="0033262D">
      <w:pPr>
        <w:spacing w:after="160" w:line="259" w:lineRule="auto"/>
      </w:pPr>
      <w:r w:rsidRPr="00A06F1E">
        <w:br w:type="page"/>
      </w:r>
    </w:p>
    <w:p w14:paraId="1E043775" w14:textId="77777777" w:rsidR="0033262D" w:rsidRPr="00A06F1E" w:rsidRDefault="0033262D">
      <w:pPr>
        <w:pStyle w:val="Heading2-SIOR"/>
      </w:pPr>
      <w:bookmarkStart w:id="132" w:name="_Toc411329832"/>
      <w:bookmarkStart w:id="133" w:name="_Toc430114881"/>
      <w:bookmarkStart w:id="134" w:name="_Toc92194260"/>
      <w:r w:rsidRPr="00A06F1E">
        <w:lastRenderedPageBreak/>
        <w:t>Instructional Learning Formats</w:t>
      </w:r>
      <w:bookmarkEnd w:id="132"/>
      <w:bookmarkEnd w:id="133"/>
      <w:bookmarkEnd w:id="134"/>
    </w:p>
    <w:p w14:paraId="36ABA1EC" w14:textId="77777777" w:rsidR="006C1DC9" w:rsidRPr="00A06F1E" w:rsidRDefault="0033262D">
      <w:pPr>
        <w:pStyle w:val="BodyTextDomain"/>
        <w:spacing w:after="0"/>
      </w:pPr>
      <w:r w:rsidRPr="00A06F1E">
        <w:t>Classroom Organization domain, Grades K</w:t>
      </w:r>
      <w:r w:rsidRPr="00A06F1E">
        <w:rPr>
          <w:rFonts w:ascii="Vijaya" w:hAnsi="Vijaya" w:cs="Vijaya"/>
        </w:rPr>
        <w:t>−</w:t>
      </w:r>
      <w:r w:rsidRPr="00A06F1E">
        <w:t>3</w:t>
      </w:r>
    </w:p>
    <w:p w14:paraId="2C9461EC" w14:textId="2F1E40E0" w:rsidR="0033262D" w:rsidRPr="00A06F1E" w:rsidRDefault="0033262D">
      <w:pPr>
        <w:pStyle w:val="BodyTextDomain"/>
        <w:spacing w:after="0"/>
      </w:pPr>
      <w:r w:rsidRPr="00A06F1E">
        <w:t>Instructional Support domain, Grades 4</w:t>
      </w:r>
      <w:r w:rsidRPr="00A06F1E">
        <w:rPr>
          <w:rFonts w:ascii="Vijaya" w:hAnsi="Vijaya" w:cs="Vijaya"/>
        </w:rPr>
        <w:t>−</w:t>
      </w:r>
      <w:r w:rsidRPr="00A06F1E">
        <w:t xml:space="preserve"> 12</w:t>
      </w:r>
    </w:p>
    <w:p w14:paraId="48D8C5B7" w14:textId="346FFAAC" w:rsidR="006C1DC9" w:rsidRPr="00A06F1E" w:rsidRDefault="0033262D">
      <w:pPr>
        <w:pStyle w:val="BodyText"/>
      </w:pPr>
      <w:r w:rsidRPr="00A06F1E">
        <w:t>Instructional Learning Formats refer to the ways in which the teacher maximizes students</w:t>
      </w:r>
      <w:r w:rsidR="00040362" w:rsidRPr="00A06F1E">
        <w:t>’</w:t>
      </w:r>
      <w:r w:rsidRPr="00A06F1E">
        <w:t xml:space="preserve"> interest, engagement, and abilities to learn from the lesson and activities (</w:t>
      </w:r>
      <w:r w:rsidRPr="00A06F1E">
        <w:rPr>
          <w:i/>
        </w:rPr>
        <w:t>CLASS K–3 Manual</w:t>
      </w:r>
      <w:r w:rsidRPr="00A06F1E">
        <w:t xml:space="preserve">, p. 57; </w:t>
      </w:r>
      <w:r w:rsidRPr="00A06F1E">
        <w:rPr>
          <w:i/>
        </w:rPr>
        <w:t>CLASS Upper Elementary Manual</w:t>
      </w:r>
      <w:r w:rsidRPr="00A06F1E">
        <w:t xml:space="preserve">, p. 63, </w:t>
      </w:r>
      <w:r w:rsidRPr="00A06F1E">
        <w:rPr>
          <w:i/>
        </w:rPr>
        <w:t>CLASS Secondary Manual,</w:t>
      </w:r>
      <w:r w:rsidRPr="00A06F1E">
        <w:t xml:space="preserve"> p. 61).</w:t>
      </w:r>
    </w:p>
    <w:p w14:paraId="0B0B69D3" w14:textId="1EA8B29C" w:rsidR="0033262D" w:rsidRPr="00A06F1E" w:rsidRDefault="0033262D">
      <w:pPr>
        <w:pStyle w:val="TableTitle0"/>
      </w:pPr>
      <w:bookmarkStart w:id="135" w:name="_Toc170701915"/>
      <w:r w:rsidRPr="00A06F1E">
        <w:t xml:space="preserve">Table 9. </w:t>
      </w:r>
      <w:r w:rsidRPr="00A06F1E">
        <w:rPr>
          <w:spacing w:val="-4"/>
        </w:rPr>
        <w:t>Instructional Learning Formats: Number of Classrooms for Each Rating and District Average</w:t>
      </w:r>
      <w:bookmarkEnd w:id="135"/>
    </w:p>
    <w:p w14:paraId="4FE77D1F" w14:textId="77777777" w:rsidR="0033262D" w:rsidRPr="00A06F1E" w:rsidRDefault="0033262D" w:rsidP="0033262D">
      <w:pPr>
        <w:pStyle w:val="BodyTextDemi"/>
        <w:spacing w:before="120"/>
      </w:pPr>
      <w:r w:rsidRPr="00A06F1E">
        <w:t xml:space="preserve">Instructional Learning Formats District Average*: </w:t>
      </w:r>
      <w:bookmarkStart w:id="136" w:name="Dist_ILF_Avg"/>
      <w:r w:rsidRPr="00A06F1E">
        <w:t>4.9</w:t>
      </w:r>
      <w:bookmarkEnd w:id="136"/>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3262D" w:rsidRPr="00A06F1E" w14:paraId="1C49BD6D" w14:textId="77777777" w:rsidTr="0033262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EB7F450" w14:textId="77777777" w:rsidR="0033262D" w:rsidRPr="00A06F1E" w:rsidRDefault="0033262D">
            <w:pPr>
              <w:pStyle w:val="TableColHeadingCenter"/>
              <w:rPr>
                <w:rFonts w:eastAsia="MS Mincho"/>
              </w:rPr>
            </w:pPr>
            <w:bookmarkStart w:id="137" w:name="Tbl_ILF"/>
            <w:r w:rsidRPr="00A06F1E">
              <w:rPr>
                <w:rFonts w:eastAsia="MS Mincho"/>
              </w:rPr>
              <w:t>Grade Band</w:t>
            </w:r>
          </w:p>
        </w:tc>
        <w:tc>
          <w:tcPr>
            <w:tcW w:w="1748" w:type="dxa"/>
            <w:gridSpan w:val="2"/>
          </w:tcPr>
          <w:p w14:paraId="72248A09" w14:textId="77777777" w:rsidR="0033262D" w:rsidRPr="00A06F1E" w:rsidRDefault="0033262D">
            <w:pPr>
              <w:pStyle w:val="TableColHeadingCenter"/>
              <w:rPr>
                <w:rFonts w:eastAsia="MS Mincho"/>
              </w:rPr>
            </w:pPr>
            <w:r w:rsidRPr="00A06F1E">
              <w:rPr>
                <w:rFonts w:eastAsia="MS Mincho"/>
              </w:rPr>
              <w:t>Low Range</w:t>
            </w:r>
          </w:p>
        </w:tc>
        <w:tc>
          <w:tcPr>
            <w:tcW w:w="2623" w:type="dxa"/>
            <w:gridSpan w:val="3"/>
          </w:tcPr>
          <w:p w14:paraId="7ED0678A" w14:textId="77777777" w:rsidR="0033262D" w:rsidRPr="00A06F1E" w:rsidRDefault="0033262D">
            <w:pPr>
              <w:pStyle w:val="TableColHeadingCenter"/>
              <w:rPr>
                <w:rFonts w:eastAsia="MS Mincho"/>
              </w:rPr>
            </w:pPr>
            <w:r w:rsidRPr="00A06F1E">
              <w:rPr>
                <w:rFonts w:eastAsia="MS Mincho"/>
              </w:rPr>
              <w:t>Middle Range</w:t>
            </w:r>
          </w:p>
        </w:tc>
        <w:tc>
          <w:tcPr>
            <w:tcW w:w="1749" w:type="dxa"/>
            <w:gridSpan w:val="2"/>
          </w:tcPr>
          <w:p w14:paraId="1C21051B" w14:textId="77777777" w:rsidR="0033262D" w:rsidRPr="00A06F1E" w:rsidRDefault="0033262D">
            <w:pPr>
              <w:pStyle w:val="TableColHeadingCenter"/>
              <w:rPr>
                <w:rFonts w:eastAsia="MS Mincho"/>
              </w:rPr>
            </w:pPr>
            <w:r w:rsidRPr="00A06F1E">
              <w:rPr>
                <w:rFonts w:eastAsia="MS Mincho"/>
              </w:rPr>
              <w:t>High Range</w:t>
            </w:r>
          </w:p>
        </w:tc>
        <w:tc>
          <w:tcPr>
            <w:tcW w:w="900" w:type="dxa"/>
          </w:tcPr>
          <w:p w14:paraId="39CDACE8" w14:textId="77777777" w:rsidR="0033262D" w:rsidRPr="00A06F1E" w:rsidRDefault="0033262D">
            <w:pPr>
              <w:pStyle w:val="TableColHeadingCenter"/>
              <w:rPr>
                <w:rFonts w:eastAsia="MS Mincho"/>
              </w:rPr>
            </w:pPr>
            <w:r w:rsidRPr="00A06F1E">
              <w:rPr>
                <w:rFonts w:eastAsia="MS Mincho"/>
              </w:rPr>
              <w:t>n</w:t>
            </w:r>
          </w:p>
        </w:tc>
        <w:tc>
          <w:tcPr>
            <w:tcW w:w="892" w:type="dxa"/>
          </w:tcPr>
          <w:p w14:paraId="226F20CB" w14:textId="77777777" w:rsidR="0033262D" w:rsidRPr="00A06F1E" w:rsidRDefault="0033262D">
            <w:pPr>
              <w:pStyle w:val="TableColHeadingCenter"/>
              <w:rPr>
                <w:rFonts w:eastAsia="MS Mincho"/>
              </w:rPr>
            </w:pPr>
            <w:r w:rsidRPr="00A06F1E">
              <w:rPr>
                <w:rFonts w:eastAsia="MS Mincho"/>
              </w:rPr>
              <w:t>Average</w:t>
            </w:r>
          </w:p>
        </w:tc>
      </w:tr>
      <w:tr w:rsidR="0033262D" w:rsidRPr="00A06F1E" w14:paraId="65524221" w14:textId="77777777" w:rsidTr="0033262D">
        <w:trPr>
          <w:jc w:val="center"/>
        </w:trPr>
        <w:tc>
          <w:tcPr>
            <w:tcW w:w="1432" w:type="dxa"/>
            <w:shd w:val="clear" w:color="auto" w:fill="D9E2F3" w:themeFill="accent5" w:themeFillTint="33"/>
          </w:tcPr>
          <w:p w14:paraId="53F4C27B" w14:textId="77777777" w:rsidR="0033262D" w:rsidRPr="00A06F1E" w:rsidRDefault="0033262D">
            <w:pPr>
              <w:pStyle w:val="TableSubheadingCentered"/>
            </w:pPr>
          </w:p>
        </w:tc>
        <w:tc>
          <w:tcPr>
            <w:tcW w:w="874" w:type="dxa"/>
            <w:shd w:val="clear" w:color="auto" w:fill="D9E2F3" w:themeFill="accent5" w:themeFillTint="33"/>
          </w:tcPr>
          <w:p w14:paraId="6FD5D840" w14:textId="77777777" w:rsidR="0033262D" w:rsidRPr="00A06F1E" w:rsidRDefault="0033262D">
            <w:pPr>
              <w:pStyle w:val="TableSubheadingCentered"/>
            </w:pPr>
            <w:r w:rsidRPr="00A06F1E">
              <w:t>1</w:t>
            </w:r>
          </w:p>
        </w:tc>
        <w:tc>
          <w:tcPr>
            <w:tcW w:w="874" w:type="dxa"/>
            <w:shd w:val="clear" w:color="auto" w:fill="D9E2F3" w:themeFill="accent5" w:themeFillTint="33"/>
          </w:tcPr>
          <w:p w14:paraId="79D5FAD8" w14:textId="77777777" w:rsidR="0033262D" w:rsidRPr="00A06F1E" w:rsidRDefault="0033262D">
            <w:pPr>
              <w:pStyle w:val="TableSubheadingCentered"/>
            </w:pPr>
            <w:r w:rsidRPr="00A06F1E">
              <w:t>2</w:t>
            </w:r>
          </w:p>
        </w:tc>
        <w:tc>
          <w:tcPr>
            <w:tcW w:w="874" w:type="dxa"/>
            <w:shd w:val="clear" w:color="auto" w:fill="D9E2F3" w:themeFill="accent5" w:themeFillTint="33"/>
          </w:tcPr>
          <w:p w14:paraId="21052A61" w14:textId="77777777" w:rsidR="0033262D" w:rsidRPr="00A06F1E" w:rsidRDefault="0033262D">
            <w:pPr>
              <w:pStyle w:val="TableSubheadingCentered"/>
            </w:pPr>
            <w:r w:rsidRPr="00A06F1E">
              <w:t>3</w:t>
            </w:r>
          </w:p>
        </w:tc>
        <w:tc>
          <w:tcPr>
            <w:tcW w:w="875" w:type="dxa"/>
            <w:shd w:val="clear" w:color="auto" w:fill="D9E2F3" w:themeFill="accent5" w:themeFillTint="33"/>
          </w:tcPr>
          <w:p w14:paraId="5E379318" w14:textId="77777777" w:rsidR="0033262D" w:rsidRPr="00A06F1E" w:rsidRDefault="0033262D">
            <w:pPr>
              <w:pStyle w:val="TableSubheadingCentered"/>
            </w:pPr>
            <w:r w:rsidRPr="00A06F1E">
              <w:t>4</w:t>
            </w:r>
          </w:p>
        </w:tc>
        <w:tc>
          <w:tcPr>
            <w:tcW w:w="874" w:type="dxa"/>
            <w:shd w:val="clear" w:color="auto" w:fill="D9E2F3" w:themeFill="accent5" w:themeFillTint="33"/>
          </w:tcPr>
          <w:p w14:paraId="1512E0FB" w14:textId="77777777" w:rsidR="0033262D" w:rsidRPr="00A06F1E" w:rsidRDefault="0033262D">
            <w:pPr>
              <w:pStyle w:val="TableSubheadingCentered"/>
            </w:pPr>
            <w:r w:rsidRPr="00A06F1E">
              <w:t>5</w:t>
            </w:r>
          </w:p>
        </w:tc>
        <w:tc>
          <w:tcPr>
            <w:tcW w:w="874" w:type="dxa"/>
            <w:shd w:val="clear" w:color="auto" w:fill="D9E2F3" w:themeFill="accent5" w:themeFillTint="33"/>
          </w:tcPr>
          <w:p w14:paraId="104DA7D2" w14:textId="77777777" w:rsidR="0033262D" w:rsidRPr="00A06F1E" w:rsidRDefault="0033262D">
            <w:pPr>
              <w:pStyle w:val="TableSubheadingCentered"/>
            </w:pPr>
            <w:r w:rsidRPr="00A06F1E">
              <w:t>6</w:t>
            </w:r>
          </w:p>
        </w:tc>
        <w:tc>
          <w:tcPr>
            <w:tcW w:w="875" w:type="dxa"/>
            <w:shd w:val="clear" w:color="auto" w:fill="D9E2F3" w:themeFill="accent5" w:themeFillTint="33"/>
          </w:tcPr>
          <w:p w14:paraId="0E2BE455" w14:textId="77777777" w:rsidR="0033262D" w:rsidRPr="00A06F1E" w:rsidRDefault="0033262D">
            <w:pPr>
              <w:pStyle w:val="TableSubheadingCentered"/>
            </w:pPr>
            <w:r w:rsidRPr="00A06F1E">
              <w:t>7</w:t>
            </w:r>
          </w:p>
        </w:tc>
        <w:tc>
          <w:tcPr>
            <w:tcW w:w="900" w:type="dxa"/>
            <w:shd w:val="clear" w:color="auto" w:fill="D9E2F3" w:themeFill="accent5" w:themeFillTint="33"/>
          </w:tcPr>
          <w:p w14:paraId="44E33778" w14:textId="77777777" w:rsidR="0033262D" w:rsidRPr="00A06F1E" w:rsidRDefault="0033262D">
            <w:pPr>
              <w:pStyle w:val="TableSubheadingCentered"/>
            </w:pPr>
            <w:r w:rsidRPr="00A06F1E">
              <w:t>56</w:t>
            </w:r>
          </w:p>
        </w:tc>
        <w:tc>
          <w:tcPr>
            <w:tcW w:w="892" w:type="dxa"/>
            <w:shd w:val="clear" w:color="auto" w:fill="D9E2F3" w:themeFill="accent5" w:themeFillTint="33"/>
          </w:tcPr>
          <w:p w14:paraId="5BD3BEF9" w14:textId="77777777" w:rsidR="0033262D" w:rsidRPr="00A06F1E" w:rsidRDefault="0033262D">
            <w:pPr>
              <w:pStyle w:val="TableSubheadingCentered"/>
            </w:pPr>
            <w:r w:rsidRPr="00A06F1E">
              <w:t>4.9</w:t>
            </w:r>
          </w:p>
        </w:tc>
      </w:tr>
      <w:tr w:rsidR="0033262D" w:rsidRPr="00A06F1E" w14:paraId="4C22DC34" w14:textId="77777777" w:rsidTr="0033262D">
        <w:trPr>
          <w:jc w:val="center"/>
        </w:trPr>
        <w:tc>
          <w:tcPr>
            <w:tcW w:w="1432" w:type="dxa"/>
          </w:tcPr>
          <w:p w14:paraId="1FBFC681" w14:textId="77777777" w:rsidR="0033262D" w:rsidRPr="00A06F1E" w:rsidRDefault="0033262D">
            <w:pPr>
              <w:pStyle w:val="TableText"/>
            </w:pPr>
            <w:r w:rsidRPr="00A06F1E">
              <w:t>Grades K-5</w:t>
            </w:r>
          </w:p>
        </w:tc>
        <w:tc>
          <w:tcPr>
            <w:tcW w:w="874" w:type="dxa"/>
          </w:tcPr>
          <w:p w14:paraId="1B2F0687"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761A1D57"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62E48A90"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74A4AF2B" w14:textId="77777777" w:rsidR="0033262D" w:rsidRPr="00A06F1E" w:rsidRDefault="0033262D">
            <w:pPr>
              <w:pStyle w:val="TableTextCentered"/>
              <w:rPr>
                <w:rFonts w:eastAsia="Times New Roman"/>
              </w:rPr>
            </w:pPr>
            <w:r w:rsidRPr="00A06F1E">
              <w:rPr>
                <w:rFonts w:eastAsia="Times New Roman"/>
              </w:rPr>
              <w:t>2</w:t>
            </w:r>
          </w:p>
        </w:tc>
        <w:tc>
          <w:tcPr>
            <w:tcW w:w="874" w:type="dxa"/>
          </w:tcPr>
          <w:p w14:paraId="6CE1044C" w14:textId="77777777" w:rsidR="0033262D" w:rsidRPr="00A06F1E" w:rsidRDefault="0033262D">
            <w:pPr>
              <w:pStyle w:val="TableTextCentered"/>
              <w:rPr>
                <w:rFonts w:eastAsia="Times New Roman"/>
              </w:rPr>
            </w:pPr>
            <w:r w:rsidRPr="00A06F1E">
              <w:rPr>
                <w:rFonts w:eastAsia="Times New Roman"/>
              </w:rPr>
              <w:t>14</w:t>
            </w:r>
          </w:p>
        </w:tc>
        <w:tc>
          <w:tcPr>
            <w:tcW w:w="874" w:type="dxa"/>
          </w:tcPr>
          <w:p w14:paraId="0F6EC53C" w14:textId="77777777" w:rsidR="0033262D" w:rsidRPr="00A06F1E" w:rsidRDefault="0033262D">
            <w:pPr>
              <w:pStyle w:val="TableTextCentered"/>
              <w:rPr>
                <w:rFonts w:eastAsia="Times New Roman"/>
              </w:rPr>
            </w:pPr>
            <w:r w:rsidRPr="00A06F1E">
              <w:rPr>
                <w:rFonts w:eastAsia="Times New Roman"/>
              </w:rPr>
              <w:t>5</w:t>
            </w:r>
          </w:p>
        </w:tc>
        <w:tc>
          <w:tcPr>
            <w:tcW w:w="875" w:type="dxa"/>
          </w:tcPr>
          <w:p w14:paraId="27913862" w14:textId="77777777" w:rsidR="0033262D" w:rsidRPr="00A06F1E" w:rsidRDefault="0033262D">
            <w:pPr>
              <w:pStyle w:val="TableTextCentered"/>
              <w:rPr>
                <w:rFonts w:eastAsia="Times New Roman"/>
              </w:rPr>
            </w:pPr>
            <w:r w:rsidRPr="00A06F1E">
              <w:rPr>
                <w:rFonts w:eastAsia="Times New Roman"/>
              </w:rPr>
              <w:t>2</w:t>
            </w:r>
          </w:p>
        </w:tc>
        <w:tc>
          <w:tcPr>
            <w:tcW w:w="900" w:type="dxa"/>
          </w:tcPr>
          <w:p w14:paraId="092CDA2D" w14:textId="77777777" w:rsidR="0033262D" w:rsidRPr="00A06F1E" w:rsidRDefault="0033262D">
            <w:pPr>
              <w:pStyle w:val="TableTextCentered"/>
              <w:rPr>
                <w:rFonts w:eastAsia="Times New Roman"/>
              </w:rPr>
            </w:pPr>
            <w:r w:rsidRPr="00A06F1E">
              <w:rPr>
                <w:rFonts w:eastAsia="Times New Roman"/>
              </w:rPr>
              <w:t>23</w:t>
            </w:r>
          </w:p>
        </w:tc>
        <w:tc>
          <w:tcPr>
            <w:tcW w:w="892" w:type="dxa"/>
          </w:tcPr>
          <w:p w14:paraId="18BAAA45" w14:textId="77777777" w:rsidR="0033262D" w:rsidRPr="00A06F1E" w:rsidRDefault="0033262D">
            <w:pPr>
              <w:pStyle w:val="TableTextCentered"/>
              <w:rPr>
                <w:rFonts w:eastAsia="Times New Roman"/>
              </w:rPr>
            </w:pPr>
            <w:r w:rsidRPr="00A06F1E">
              <w:rPr>
                <w:rFonts w:eastAsia="Times New Roman"/>
              </w:rPr>
              <w:t>5.3</w:t>
            </w:r>
          </w:p>
        </w:tc>
      </w:tr>
      <w:tr w:rsidR="0033262D" w:rsidRPr="00A06F1E" w14:paraId="0877C38D" w14:textId="77777777" w:rsidTr="0033262D">
        <w:trPr>
          <w:jc w:val="center"/>
        </w:trPr>
        <w:tc>
          <w:tcPr>
            <w:tcW w:w="1432" w:type="dxa"/>
          </w:tcPr>
          <w:p w14:paraId="70668723" w14:textId="77777777" w:rsidR="0033262D" w:rsidRPr="00A06F1E" w:rsidRDefault="0033262D">
            <w:pPr>
              <w:pStyle w:val="TableText"/>
            </w:pPr>
            <w:r w:rsidRPr="00A06F1E">
              <w:t>Grades 6-8</w:t>
            </w:r>
          </w:p>
        </w:tc>
        <w:tc>
          <w:tcPr>
            <w:tcW w:w="874" w:type="dxa"/>
          </w:tcPr>
          <w:p w14:paraId="285B3829"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4E864CD8"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113ECD0B" w14:textId="77777777" w:rsidR="0033262D" w:rsidRPr="00A06F1E" w:rsidRDefault="0033262D">
            <w:pPr>
              <w:pStyle w:val="TableTextCentered"/>
              <w:rPr>
                <w:rFonts w:eastAsia="Times New Roman"/>
              </w:rPr>
            </w:pPr>
            <w:r w:rsidRPr="00A06F1E">
              <w:rPr>
                <w:rFonts w:eastAsia="Times New Roman"/>
              </w:rPr>
              <w:t>1</w:t>
            </w:r>
          </w:p>
        </w:tc>
        <w:tc>
          <w:tcPr>
            <w:tcW w:w="875" w:type="dxa"/>
          </w:tcPr>
          <w:p w14:paraId="314CD8EB" w14:textId="77777777" w:rsidR="0033262D" w:rsidRPr="00A06F1E" w:rsidRDefault="0033262D">
            <w:pPr>
              <w:pStyle w:val="TableTextCentered"/>
              <w:rPr>
                <w:rFonts w:eastAsia="Times New Roman"/>
              </w:rPr>
            </w:pPr>
            <w:r w:rsidRPr="00A06F1E">
              <w:rPr>
                <w:rFonts w:eastAsia="Times New Roman"/>
              </w:rPr>
              <w:t>3</w:t>
            </w:r>
          </w:p>
        </w:tc>
        <w:tc>
          <w:tcPr>
            <w:tcW w:w="874" w:type="dxa"/>
          </w:tcPr>
          <w:p w14:paraId="6C2A7281" w14:textId="77777777" w:rsidR="0033262D" w:rsidRPr="00A06F1E" w:rsidRDefault="0033262D">
            <w:pPr>
              <w:pStyle w:val="TableTextCentered"/>
              <w:rPr>
                <w:rFonts w:eastAsia="Times New Roman"/>
              </w:rPr>
            </w:pPr>
            <w:r w:rsidRPr="00A06F1E">
              <w:rPr>
                <w:rFonts w:eastAsia="Times New Roman"/>
              </w:rPr>
              <w:t>9</w:t>
            </w:r>
          </w:p>
        </w:tc>
        <w:tc>
          <w:tcPr>
            <w:tcW w:w="874" w:type="dxa"/>
          </w:tcPr>
          <w:p w14:paraId="3377B57A" w14:textId="77777777" w:rsidR="0033262D" w:rsidRPr="00A06F1E" w:rsidRDefault="0033262D">
            <w:pPr>
              <w:pStyle w:val="TableTextCentered"/>
              <w:rPr>
                <w:rFonts w:eastAsia="Times New Roman"/>
              </w:rPr>
            </w:pPr>
            <w:r w:rsidRPr="00A06F1E">
              <w:rPr>
                <w:rFonts w:eastAsia="Times New Roman"/>
              </w:rPr>
              <w:t>4</w:t>
            </w:r>
          </w:p>
        </w:tc>
        <w:tc>
          <w:tcPr>
            <w:tcW w:w="875" w:type="dxa"/>
          </w:tcPr>
          <w:p w14:paraId="1279D17B" w14:textId="77777777" w:rsidR="0033262D" w:rsidRPr="00A06F1E" w:rsidRDefault="0033262D">
            <w:pPr>
              <w:pStyle w:val="TableTextCentered"/>
              <w:rPr>
                <w:rFonts w:eastAsia="Times New Roman"/>
              </w:rPr>
            </w:pPr>
            <w:r w:rsidRPr="00A06F1E">
              <w:rPr>
                <w:rFonts w:eastAsia="Times New Roman"/>
              </w:rPr>
              <w:t>0</w:t>
            </w:r>
          </w:p>
        </w:tc>
        <w:tc>
          <w:tcPr>
            <w:tcW w:w="900" w:type="dxa"/>
          </w:tcPr>
          <w:p w14:paraId="66660C16" w14:textId="77777777" w:rsidR="0033262D" w:rsidRPr="00A06F1E" w:rsidRDefault="0033262D">
            <w:pPr>
              <w:pStyle w:val="TableTextCentered"/>
              <w:rPr>
                <w:rFonts w:eastAsia="Times New Roman"/>
              </w:rPr>
            </w:pPr>
            <w:r w:rsidRPr="00A06F1E">
              <w:rPr>
                <w:rFonts w:eastAsia="Times New Roman"/>
              </w:rPr>
              <w:t>17</w:t>
            </w:r>
          </w:p>
        </w:tc>
        <w:tc>
          <w:tcPr>
            <w:tcW w:w="892" w:type="dxa"/>
          </w:tcPr>
          <w:p w14:paraId="73EA8EDE" w14:textId="77777777" w:rsidR="0033262D" w:rsidRPr="00A06F1E" w:rsidRDefault="0033262D">
            <w:pPr>
              <w:pStyle w:val="TableTextCentered"/>
              <w:rPr>
                <w:rFonts w:eastAsia="Times New Roman"/>
              </w:rPr>
            </w:pPr>
            <w:r w:rsidRPr="00A06F1E">
              <w:rPr>
                <w:rFonts w:eastAsia="Times New Roman"/>
              </w:rPr>
              <w:t>4.9</w:t>
            </w:r>
          </w:p>
        </w:tc>
      </w:tr>
      <w:tr w:rsidR="0033262D" w:rsidRPr="00A06F1E" w14:paraId="4FE687C4" w14:textId="77777777" w:rsidTr="0033262D">
        <w:trPr>
          <w:jc w:val="center"/>
        </w:trPr>
        <w:tc>
          <w:tcPr>
            <w:tcW w:w="1432" w:type="dxa"/>
          </w:tcPr>
          <w:p w14:paraId="7595B716" w14:textId="77777777" w:rsidR="0033262D" w:rsidRPr="00A06F1E" w:rsidRDefault="0033262D">
            <w:pPr>
              <w:pStyle w:val="TableText"/>
            </w:pPr>
            <w:r w:rsidRPr="00A06F1E">
              <w:t>Grades 9-12</w:t>
            </w:r>
          </w:p>
        </w:tc>
        <w:tc>
          <w:tcPr>
            <w:tcW w:w="874" w:type="dxa"/>
          </w:tcPr>
          <w:p w14:paraId="0B9DB00C"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3B7762F3"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6E1BCCA8" w14:textId="77777777" w:rsidR="0033262D" w:rsidRPr="00A06F1E" w:rsidRDefault="0033262D">
            <w:pPr>
              <w:pStyle w:val="TableTextCentered"/>
              <w:rPr>
                <w:rFonts w:eastAsia="Times New Roman"/>
              </w:rPr>
            </w:pPr>
            <w:r w:rsidRPr="00A06F1E">
              <w:rPr>
                <w:rFonts w:eastAsia="Times New Roman"/>
              </w:rPr>
              <w:t>5</w:t>
            </w:r>
          </w:p>
        </w:tc>
        <w:tc>
          <w:tcPr>
            <w:tcW w:w="875" w:type="dxa"/>
          </w:tcPr>
          <w:p w14:paraId="3B8734B4" w14:textId="77777777" w:rsidR="0033262D" w:rsidRPr="00A06F1E" w:rsidRDefault="0033262D">
            <w:pPr>
              <w:pStyle w:val="TableTextCentered"/>
              <w:rPr>
                <w:rFonts w:eastAsia="Times New Roman"/>
              </w:rPr>
            </w:pPr>
            <w:r w:rsidRPr="00A06F1E">
              <w:rPr>
                <w:rFonts w:eastAsia="Times New Roman"/>
              </w:rPr>
              <w:t>4</w:t>
            </w:r>
          </w:p>
        </w:tc>
        <w:tc>
          <w:tcPr>
            <w:tcW w:w="874" w:type="dxa"/>
          </w:tcPr>
          <w:p w14:paraId="4CFDB7FA" w14:textId="77777777" w:rsidR="0033262D" w:rsidRPr="00A06F1E" w:rsidRDefault="0033262D">
            <w:pPr>
              <w:pStyle w:val="TableTextCentered"/>
              <w:rPr>
                <w:rFonts w:eastAsia="Times New Roman"/>
              </w:rPr>
            </w:pPr>
            <w:r w:rsidRPr="00A06F1E">
              <w:rPr>
                <w:rFonts w:eastAsia="Times New Roman"/>
              </w:rPr>
              <w:t>3</w:t>
            </w:r>
          </w:p>
        </w:tc>
        <w:tc>
          <w:tcPr>
            <w:tcW w:w="874" w:type="dxa"/>
          </w:tcPr>
          <w:p w14:paraId="3C87E2D0" w14:textId="77777777" w:rsidR="0033262D" w:rsidRPr="00A06F1E" w:rsidRDefault="0033262D">
            <w:pPr>
              <w:pStyle w:val="TableTextCentered"/>
              <w:rPr>
                <w:rFonts w:eastAsia="Times New Roman"/>
              </w:rPr>
            </w:pPr>
            <w:r w:rsidRPr="00A06F1E">
              <w:rPr>
                <w:rFonts w:eastAsia="Times New Roman"/>
              </w:rPr>
              <w:t>2</w:t>
            </w:r>
          </w:p>
        </w:tc>
        <w:tc>
          <w:tcPr>
            <w:tcW w:w="875" w:type="dxa"/>
          </w:tcPr>
          <w:p w14:paraId="44151C1B" w14:textId="77777777" w:rsidR="0033262D" w:rsidRPr="00A06F1E" w:rsidRDefault="0033262D">
            <w:pPr>
              <w:pStyle w:val="TableTextCentered"/>
              <w:rPr>
                <w:rFonts w:eastAsia="Times New Roman"/>
              </w:rPr>
            </w:pPr>
            <w:r w:rsidRPr="00A06F1E">
              <w:rPr>
                <w:rFonts w:eastAsia="Times New Roman"/>
              </w:rPr>
              <w:t>1</w:t>
            </w:r>
          </w:p>
        </w:tc>
        <w:tc>
          <w:tcPr>
            <w:tcW w:w="900" w:type="dxa"/>
          </w:tcPr>
          <w:p w14:paraId="78E409C7" w14:textId="77777777" w:rsidR="0033262D" w:rsidRPr="00A06F1E" w:rsidRDefault="0033262D">
            <w:pPr>
              <w:pStyle w:val="TableTextCentered"/>
              <w:rPr>
                <w:rFonts w:eastAsia="Times New Roman"/>
              </w:rPr>
            </w:pPr>
            <w:r w:rsidRPr="00A06F1E">
              <w:rPr>
                <w:rFonts w:eastAsia="Times New Roman"/>
              </w:rPr>
              <w:t>16</w:t>
            </w:r>
          </w:p>
        </w:tc>
        <w:tc>
          <w:tcPr>
            <w:tcW w:w="892" w:type="dxa"/>
          </w:tcPr>
          <w:p w14:paraId="5F580C8E" w14:textId="77777777" w:rsidR="0033262D" w:rsidRPr="00A06F1E" w:rsidRDefault="0033262D">
            <w:pPr>
              <w:pStyle w:val="TableTextCentered"/>
              <w:rPr>
                <w:rFonts w:eastAsia="Times New Roman"/>
              </w:rPr>
            </w:pPr>
            <w:r w:rsidRPr="00A06F1E">
              <w:rPr>
                <w:rFonts w:eastAsia="Times New Roman"/>
              </w:rPr>
              <w:t>4.2</w:t>
            </w:r>
          </w:p>
        </w:tc>
      </w:tr>
    </w:tbl>
    <w:bookmarkEnd w:id="137"/>
    <w:p w14:paraId="59F33E6C" w14:textId="77777777" w:rsidR="0033262D" w:rsidRPr="00A06F1E" w:rsidRDefault="0033262D">
      <w:pPr>
        <w:pStyle w:val="TableNote"/>
      </w:pPr>
      <w:r w:rsidRPr="00A06F1E">
        <w:t xml:space="preserve">*The district average is an average of the observation scores. In Table 9, the district average is computed as: </w:t>
      </w:r>
      <w:r w:rsidRPr="00A06F1E">
        <w:br/>
      </w:r>
      <w:bookmarkStart w:id="138" w:name="Dist_ILF_Calc"/>
      <w:r w:rsidRPr="00A06F1E">
        <w:t>([2 x 1] + [3 x 6] + [4 x 9] + [5 x 26] + [6 x 11] + [7 x 3]) ÷ 56 observations = 4.9</w:t>
      </w:r>
      <w:bookmarkEnd w:id="138"/>
    </w:p>
    <w:p w14:paraId="63AE955E" w14:textId="77777777" w:rsidR="0033262D" w:rsidRPr="00A06F1E" w:rsidRDefault="0033262D" w:rsidP="0033262D">
      <w:pPr>
        <w:pStyle w:val="BodyText"/>
        <w:spacing w:before="180"/>
      </w:pPr>
      <w:r w:rsidRPr="00A06F1E">
        <w:rPr>
          <w:rStyle w:val="BodyTextDemiChar"/>
        </w:rPr>
        <w:t>Ratings in the Low Range.</w:t>
      </w:r>
      <w:r w:rsidRPr="00A06F1E">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3BA512B6" w14:textId="77777777" w:rsidR="0033262D" w:rsidRPr="00A06F1E" w:rsidRDefault="0033262D" w:rsidP="0033262D">
      <w:pPr>
        <w:pStyle w:val="BodyText"/>
        <w:spacing w:before="180"/>
      </w:pPr>
      <w:r w:rsidRPr="00A06F1E">
        <w:rPr>
          <w:rStyle w:val="BodyTextDemiChar"/>
        </w:rPr>
        <w:t>Ratings in the Middle Range.</w:t>
      </w:r>
      <w:r w:rsidRPr="00A06F1E">
        <w:rPr>
          <w:spacing w:val="-4"/>
        </w:rPr>
        <w:t xml:space="preserve"> At the middle range, the teacher sometimes facilitates engagement</w:t>
      </w:r>
      <w:r w:rsidRPr="00A06F1E">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46CBA89B" w14:textId="77777777" w:rsidR="0033262D" w:rsidRPr="00A06F1E" w:rsidRDefault="0033262D" w:rsidP="0033262D">
      <w:pPr>
        <w:pStyle w:val="BodyText"/>
        <w:spacing w:before="180"/>
      </w:pPr>
      <w:r w:rsidRPr="00A06F1E">
        <w:rPr>
          <w:rStyle w:val="BodyTextDemiChar"/>
        </w:rPr>
        <w:t>Ratings in the High Range.</w:t>
      </w:r>
      <w:r w:rsidRPr="00A06F1E">
        <w:rPr>
          <w:b/>
        </w:rPr>
        <w:t xml:space="preserve"> </w:t>
      </w:r>
      <w:r w:rsidRPr="00A06F1E">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0E103002" w14:textId="77777777" w:rsidR="0033262D" w:rsidRPr="00A06F1E" w:rsidRDefault="0033262D">
      <w:pPr>
        <w:pStyle w:val="Heading2-SIOR"/>
      </w:pPr>
      <w:bookmarkStart w:id="139" w:name="_Toc411329833"/>
      <w:bookmarkStart w:id="140" w:name="_Toc430114882"/>
      <w:bookmarkStart w:id="141" w:name="_Toc92194261"/>
      <w:r w:rsidRPr="00A06F1E">
        <w:lastRenderedPageBreak/>
        <w:t>Concept Development</w:t>
      </w:r>
      <w:bookmarkEnd w:id="139"/>
      <w:bookmarkEnd w:id="140"/>
      <w:bookmarkEnd w:id="141"/>
    </w:p>
    <w:p w14:paraId="52FDCDFD" w14:textId="77777777" w:rsidR="006C1DC9" w:rsidRPr="00A06F1E" w:rsidRDefault="0033262D">
      <w:pPr>
        <w:pStyle w:val="BodyTextDomain"/>
      </w:pPr>
      <w:r w:rsidRPr="00A06F1E">
        <w:t>Instructional Support domain, Grades K</w:t>
      </w:r>
      <w:r w:rsidRPr="00A06F1E">
        <w:rPr>
          <w:rFonts w:ascii="Vijaya" w:hAnsi="Vijaya" w:cs="Vijaya"/>
        </w:rPr>
        <w:t>−</w:t>
      </w:r>
      <w:r w:rsidRPr="00A06F1E">
        <w:t>3</w:t>
      </w:r>
    </w:p>
    <w:p w14:paraId="2A8051BD" w14:textId="59E8C3C6" w:rsidR="0033262D" w:rsidRPr="00A06F1E" w:rsidRDefault="0033262D">
      <w:pPr>
        <w:pStyle w:val="BodyText"/>
        <w:rPr>
          <w:spacing w:val="-2"/>
        </w:rPr>
      </w:pPr>
      <w:r w:rsidRPr="00A06F1E">
        <w:rPr>
          <w:spacing w:val="-2"/>
        </w:rPr>
        <w:t>Concept Development refers to the teacher</w:t>
      </w:r>
      <w:r w:rsidR="00040362" w:rsidRPr="00A06F1E">
        <w:rPr>
          <w:spacing w:val="-2"/>
        </w:rPr>
        <w:t>’</w:t>
      </w:r>
      <w:r w:rsidRPr="00A06F1E">
        <w:rPr>
          <w:spacing w:val="-2"/>
        </w:rPr>
        <w:t>s use of instructional discussions and activities to promote students</w:t>
      </w:r>
      <w:r w:rsidR="00040362" w:rsidRPr="00A06F1E">
        <w:rPr>
          <w:spacing w:val="-2"/>
        </w:rPr>
        <w:t>’</w:t>
      </w:r>
      <w:r w:rsidRPr="00A06F1E">
        <w:rPr>
          <w:spacing w:val="-2"/>
        </w:rPr>
        <w:t xml:space="preserve"> higher order thinking skills and cognition and the teacher</w:t>
      </w:r>
      <w:r w:rsidR="00040362" w:rsidRPr="00A06F1E">
        <w:rPr>
          <w:spacing w:val="-2"/>
        </w:rPr>
        <w:t>’</w:t>
      </w:r>
      <w:r w:rsidRPr="00A06F1E">
        <w:rPr>
          <w:spacing w:val="-2"/>
        </w:rPr>
        <w:t>s focus on understanding rather than on rote instruction (</w:t>
      </w:r>
      <w:r w:rsidRPr="00A06F1E">
        <w:rPr>
          <w:i/>
          <w:spacing w:val="-2"/>
        </w:rPr>
        <w:t>CLASS K–3 Manual</w:t>
      </w:r>
      <w:r w:rsidRPr="00A06F1E">
        <w:rPr>
          <w:spacing w:val="-2"/>
        </w:rPr>
        <w:t>, p. 64).</w:t>
      </w:r>
    </w:p>
    <w:p w14:paraId="17CC7E14" w14:textId="77777777" w:rsidR="0033262D" w:rsidRPr="00A06F1E" w:rsidRDefault="0033262D">
      <w:pPr>
        <w:pStyle w:val="TableTitle0"/>
      </w:pPr>
      <w:bookmarkStart w:id="142" w:name="_Toc170701916"/>
      <w:r w:rsidRPr="00A06F1E">
        <w:t>Table 10. Concept Development: Number of Classrooms for Each Rating and District Average</w:t>
      </w:r>
      <w:bookmarkEnd w:id="142"/>
    </w:p>
    <w:p w14:paraId="1B0D8482" w14:textId="77777777" w:rsidR="0033262D" w:rsidRPr="00A06F1E" w:rsidRDefault="0033262D">
      <w:pPr>
        <w:pStyle w:val="BodyTextDemi"/>
      </w:pPr>
      <w:r w:rsidRPr="00A06F1E">
        <w:t xml:space="preserve">Concept Development District Average*: </w:t>
      </w:r>
      <w:bookmarkStart w:id="143" w:name="Dist_CD_Avg"/>
      <w:r w:rsidRPr="00A06F1E">
        <w:t>2.4</w:t>
      </w:r>
      <w:bookmarkEnd w:id="143"/>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3262D" w:rsidRPr="00A06F1E" w14:paraId="207E829A" w14:textId="77777777" w:rsidTr="0033262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0A12E63" w14:textId="77777777" w:rsidR="0033262D" w:rsidRPr="00DF7902" w:rsidRDefault="0033262D">
            <w:pPr>
              <w:pStyle w:val="TableColHeadingCenter"/>
              <w:rPr>
                <w:rFonts w:eastAsia="MS Mincho"/>
              </w:rPr>
            </w:pPr>
            <w:bookmarkStart w:id="144" w:name="Tbl_CD"/>
            <w:r w:rsidRPr="00DF7902">
              <w:rPr>
                <w:rFonts w:eastAsia="MS Mincho"/>
              </w:rPr>
              <w:t>Grade Band</w:t>
            </w:r>
          </w:p>
        </w:tc>
        <w:tc>
          <w:tcPr>
            <w:tcW w:w="1748" w:type="dxa"/>
            <w:gridSpan w:val="2"/>
          </w:tcPr>
          <w:p w14:paraId="727D90E3" w14:textId="77777777" w:rsidR="0033262D" w:rsidRPr="00A06F1E" w:rsidRDefault="0033262D">
            <w:pPr>
              <w:pStyle w:val="TableColHeadingCenter"/>
              <w:rPr>
                <w:rFonts w:eastAsia="MS Mincho"/>
              </w:rPr>
            </w:pPr>
            <w:r w:rsidRPr="00A06F1E">
              <w:rPr>
                <w:rFonts w:eastAsia="MS Mincho"/>
              </w:rPr>
              <w:t>Low Range</w:t>
            </w:r>
          </w:p>
        </w:tc>
        <w:tc>
          <w:tcPr>
            <w:tcW w:w="2623" w:type="dxa"/>
            <w:gridSpan w:val="3"/>
          </w:tcPr>
          <w:p w14:paraId="562C374B" w14:textId="77777777" w:rsidR="0033262D" w:rsidRPr="00A06F1E" w:rsidRDefault="0033262D">
            <w:pPr>
              <w:pStyle w:val="TableColHeadingCenter"/>
              <w:rPr>
                <w:rFonts w:eastAsia="MS Mincho"/>
              </w:rPr>
            </w:pPr>
            <w:r w:rsidRPr="00A06F1E">
              <w:rPr>
                <w:rFonts w:eastAsia="MS Mincho"/>
              </w:rPr>
              <w:t>Middle Range</w:t>
            </w:r>
          </w:p>
        </w:tc>
        <w:tc>
          <w:tcPr>
            <w:tcW w:w="1749" w:type="dxa"/>
            <w:gridSpan w:val="2"/>
          </w:tcPr>
          <w:p w14:paraId="7952288F" w14:textId="77777777" w:rsidR="0033262D" w:rsidRPr="00A06F1E" w:rsidRDefault="0033262D">
            <w:pPr>
              <w:pStyle w:val="TableColHeadingCenter"/>
              <w:rPr>
                <w:rFonts w:eastAsia="MS Mincho"/>
              </w:rPr>
            </w:pPr>
            <w:r w:rsidRPr="00A06F1E">
              <w:rPr>
                <w:rFonts w:eastAsia="MS Mincho"/>
              </w:rPr>
              <w:t>High Range</w:t>
            </w:r>
          </w:p>
        </w:tc>
        <w:tc>
          <w:tcPr>
            <w:tcW w:w="900" w:type="dxa"/>
          </w:tcPr>
          <w:p w14:paraId="5FEB00DD" w14:textId="77777777" w:rsidR="0033262D" w:rsidRPr="00A06F1E" w:rsidRDefault="0033262D">
            <w:pPr>
              <w:pStyle w:val="TableColHeadingCenter"/>
              <w:rPr>
                <w:rFonts w:eastAsia="MS Mincho"/>
              </w:rPr>
            </w:pPr>
            <w:r w:rsidRPr="00A06F1E">
              <w:rPr>
                <w:rFonts w:eastAsia="MS Mincho"/>
              </w:rPr>
              <w:t>n</w:t>
            </w:r>
          </w:p>
        </w:tc>
        <w:tc>
          <w:tcPr>
            <w:tcW w:w="892" w:type="dxa"/>
          </w:tcPr>
          <w:p w14:paraId="558D157F" w14:textId="77777777" w:rsidR="0033262D" w:rsidRPr="00A06F1E" w:rsidRDefault="0033262D">
            <w:pPr>
              <w:pStyle w:val="TableColHeadingCenter"/>
              <w:rPr>
                <w:rFonts w:eastAsia="MS Mincho"/>
              </w:rPr>
            </w:pPr>
            <w:r w:rsidRPr="00A06F1E">
              <w:rPr>
                <w:rFonts w:eastAsia="MS Mincho"/>
              </w:rPr>
              <w:t>Average</w:t>
            </w:r>
          </w:p>
        </w:tc>
      </w:tr>
      <w:tr w:rsidR="0033262D" w:rsidRPr="00A06F1E" w14:paraId="0E1EE8EB" w14:textId="77777777" w:rsidTr="0033262D">
        <w:trPr>
          <w:jc w:val="center"/>
        </w:trPr>
        <w:tc>
          <w:tcPr>
            <w:tcW w:w="1432" w:type="dxa"/>
            <w:shd w:val="clear" w:color="auto" w:fill="D9E2F3" w:themeFill="accent5" w:themeFillTint="33"/>
          </w:tcPr>
          <w:p w14:paraId="30652324" w14:textId="77777777" w:rsidR="0033262D" w:rsidRPr="00A06F1E" w:rsidRDefault="0033262D">
            <w:pPr>
              <w:pStyle w:val="TableSubheadingCentered"/>
            </w:pPr>
          </w:p>
        </w:tc>
        <w:tc>
          <w:tcPr>
            <w:tcW w:w="874" w:type="dxa"/>
            <w:shd w:val="clear" w:color="auto" w:fill="D9E2F3" w:themeFill="accent5" w:themeFillTint="33"/>
          </w:tcPr>
          <w:p w14:paraId="3301E3B6" w14:textId="77777777" w:rsidR="0033262D" w:rsidRPr="00A06F1E" w:rsidRDefault="0033262D">
            <w:pPr>
              <w:pStyle w:val="TableSubheadingCentered"/>
            </w:pPr>
            <w:r w:rsidRPr="00A06F1E">
              <w:t>1</w:t>
            </w:r>
          </w:p>
        </w:tc>
        <w:tc>
          <w:tcPr>
            <w:tcW w:w="874" w:type="dxa"/>
            <w:shd w:val="clear" w:color="auto" w:fill="D9E2F3" w:themeFill="accent5" w:themeFillTint="33"/>
          </w:tcPr>
          <w:p w14:paraId="6A898978" w14:textId="77777777" w:rsidR="0033262D" w:rsidRPr="00A06F1E" w:rsidRDefault="0033262D">
            <w:pPr>
              <w:pStyle w:val="TableSubheadingCentered"/>
            </w:pPr>
            <w:r w:rsidRPr="00A06F1E">
              <w:t>2</w:t>
            </w:r>
          </w:p>
        </w:tc>
        <w:tc>
          <w:tcPr>
            <w:tcW w:w="874" w:type="dxa"/>
            <w:shd w:val="clear" w:color="auto" w:fill="D9E2F3" w:themeFill="accent5" w:themeFillTint="33"/>
          </w:tcPr>
          <w:p w14:paraId="396B9DF5" w14:textId="77777777" w:rsidR="0033262D" w:rsidRPr="00A06F1E" w:rsidRDefault="0033262D">
            <w:pPr>
              <w:pStyle w:val="TableSubheadingCentered"/>
            </w:pPr>
            <w:r w:rsidRPr="00A06F1E">
              <w:t>3</w:t>
            </w:r>
          </w:p>
        </w:tc>
        <w:tc>
          <w:tcPr>
            <w:tcW w:w="875" w:type="dxa"/>
            <w:shd w:val="clear" w:color="auto" w:fill="D9E2F3" w:themeFill="accent5" w:themeFillTint="33"/>
          </w:tcPr>
          <w:p w14:paraId="70977FEA" w14:textId="77777777" w:rsidR="0033262D" w:rsidRPr="00A06F1E" w:rsidRDefault="0033262D">
            <w:pPr>
              <w:pStyle w:val="TableSubheadingCentered"/>
            </w:pPr>
            <w:r w:rsidRPr="00A06F1E">
              <w:t>4</w:t>
            </w:r>
          </w:p>
        </w:tc>
        <w:tc>
          <w:tcPr>
            <w:tcW w:w="874" w:type="dxa"/>
            <w:shd w:val="clear" w:color="auto" w:fill="D9E2F3" w:themeFill="accent5" w:themeFillTint="33"/>
          </w:tcPr>
          <w:p w14:paraId="7F1331E2" w14:textId="77777777" w:rsidR="0033262D" w:rsidRPr="00A06F1E" w:rsidRDefault="0033262D">
            <w:pPr>
              <w:pStyle w:val="TableSubheadingCentered"/>
            </w:pPr>
            <w:r w:rsidRPr="00A06F1E">
              <w:t>5</w:t>
            </w:r>
          </w:p>
        </w:tc>
        <w:tc>
          <w:tcPr>
            <w:tcW w:w="874" w:type="dxa"/>
            <w:shd w:val="clear" w:color="auto" w:fill="D9E2F3" w:themeFill="accent5" w:themeFillTint="33"/>
          </w:tcPr>
          <w:p w14:paraId="1E6DB14D" w14:textId="77777777" w:rsidR="0033262D" w:rsidRPr="00A06F1E" w:rsidRDefault="0033262D">
            <w:pPr>
              <w:pStyle w:val="TableSubheadingCentered"/>
            </w:pPr>
            <w:r w:rsidRPr="00A06F1E">
              <w:t>6</w:t>
            </w:r>
          </w:p>
        </w:tc>
        <w:tc>
          <w:tcPr>
            <w:tcW w:w="875" w:type="dxa"/>
            <w:shd w:val="clear" w:color="auto" w:fill="D9E2F3" w:themeFill="accent5" w:themeFillTint="33"/>
          </w:tcPr>
          <w:p w14:paraId="713796BC" w14:textId="77777777" w:rsidR="0033262D" w:rsidRPr="00A06F1E" w:rsidRDefault="0033262D">
            <w:pPr>
              <w:pStyle w:val="TableSubheadingCentered"/>
            </w:pPr>
            <w:r w:rsidRPr="00A06F1E">
              <w:t>7</w:t>
            </w:r>
          </w:p>
        </w:tc>
        <w:tc>
          <w:tcPr>
            <w:tcW w:w="900" w:type="dxa"/>
            <w:shd w:val="clear" w:color="auto" w:fill="D9E2F3" w:themeFill="accent5" w:themeFillTint="33"/>
          </w:tcPr>
          <w:p w14:paraId="7C9E9A3D" w14:textId="77777777" w:rsidR="0033262D" w:rsidRPr="00A06F1E" w:rsidRDefault="0033262D">
            <w:pPr>
              <w:pStyle w:val="TableSubheadingCentered"/>
            </w:pPr>
            <w:r w:rsidRPr="00A06F1E">
              <w:t>14</w:t>
            </w:r>
          </w:p>
        </w:tc>
        <w:tc>
          <w:tcPr>
            <w:tcW w:w="892" w:type="dxa"/>
            <w:shd w:val="clear" w:color="auto" w:fill="D9E2F3" w:themeFill="accent5" w:themeFillTint="33"/>
          </w:tcPr>
          <w:p w14:paraId="6B8FFE62" w14:textId="77777777" w:rsidR="0033262D" w:rsidRPr="00A06F1E" w:rsidRDefault="0033262D">
            <w:pPr>
              <w:pStyle w:val="TableSubheadingCentered"/>
            </w:pPr>
            <w:r w:rsidRPr="00A06F1E">
              <w:t>2.4</w:t>
            </w:r>
          </w:p>
        </w:tc>
      </w:tr>
      <w:tr w:rsidR="0033262D" w:rsidRPr="00A06F1E" w14:paraId="371BA199" w14:textId="77777777" w:rsidTr="0033262D">
        <w:trPr>
          <w:jc w:val="center"/>
        </w:trPr>
        <w:tc>
          <w:tcPr>
            <w:tcW w:w="1432" w:type="dxa"/>
          </w:tcPr>
          <w:p w14:paraId="52DA47D3" w14:textId="77777777" w:rsidR="0033262D" w:rsidRPr="00A06F1E" w:rsidRDefault="0033262D">
            <w:pPr>
              <w:pStyle w:val="TableText"/>
            </w:pPr>
            <w:r w:rsidRPr="00A06F1E">
              <w:t>Grades K-3**</w:t>
            </w:r>
          </w:p>
        </w:tc>
        <w:tc>
          <w:tcPr>
            <w:tcW w:w="874" w:type="dxa"/>
          </w:tcPr>
          <w:p w14:paraId="1B025C4C"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449B7FA3" w14:textId="77777777" w:rsidR="0033262D" w:rsidRPr="00A06F1E" w:rsidRDefault="0033262D">
            <w:pPr>
              <w:pStyle w:val="TableTextCentered"/>
              <w:rPr>
                <w:rFonts w:eastAsia="Times New Roman"/>
              </w:rPr>
            </w:pPr>
            <w:r w:rsidRPr="00A06F1E">
              <w:rPr>
                <w:rFonts w:eastAsia="Times New Roman"/>
              </w:rPr>
              <w:t>8</w:t>
            </w:r>
          </w:p>
        </w:tc>
        <w:tc>
          <w:tcPr>
            <w:tcW w:w="874" w:type="dxa"/>
          </w:tcPr>
          <w:p w14:paraId="1C7C7A9E" w14:textId="77777777" w:rsidR="0033262D" w:rsidRPr="00A06F1E" w:rsidRDefault="0033262D">
            <w:pPr>
              <w:pStyle w:val="TableTextCentered"/>
              <w:rPr>
                <w:rFonts w:eastAsia="Times New Roman"/>
              </w:rPr>
            </w:pPr>
            <w:r w:rsidRPr="00A06F1E">
              <w:rPr>
                <w:rFonts w:eastAsia="Times New Roman"/>
              </w:rPr>
              <w:t>4</w:t>
            </w:r>
          </w:p>
        </w:tc>
        <w:tc>
          <w:tcPr>
            <w:tcW w:w="875" w:type="dxa"/>
          </w:tcPr>
          <w:p w14:paraId="6E78B02D"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270B91B4"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01E17AD7"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4232326B" w14:textId="77777777" w:rsidR="0033262D" w:rsidRPr="00A06F1E" w:rsidRDefault="0033262D">
            <w:pPr>
              <w:pStyle w:val="TableTextCentered"/>
              <w:rPr>
                <w:rFonts w:eastAsia="Times New Roman"/>
              </w:rPr>
            </w:pPr>
            <w:r w:rsidRPr="00A06F1E">
              <w:rPr>
                <w:rFonts w:eastAsia="Times New Roman"/>
              </w:rPr>
              <w:t>0</w:t>
            </w:r>
          </w:p>
        </w:tc>
        <w:tc>
          <w:tcPr>
            <w:tcW w:w="900" w:type="dxa"/>
          </w:tcPr>
          <w:p w14:paraId="1AC50213" w14:textId="77777777" w:rsidR="0033262D" w:rsidRPr="00A06F1E" w:rsidRDefault="0033262D">
            <w:pPr>
              <w:pStyle w:val="TableTextCentered"/>
              <w:rPr>
                <w:rFonts w:eastAsia="Times New Roman"/>
              </w:rPr>
            </w:pPr>
            <w:r w:rsidRPr="00A06F1E">
              <w:rPr>
                <w:rFonts w:eastAsia="Times New Roman"/>
              </w:rPr>
              <w:t>14</w:t>
            </w:r>
          </w:p>
        </w:tc>
        <w:tc>
          <w:tcPr>
            <w:tcW w:w="892" w:type="dxa"/>
          </w:tcPr>
          <w:p w14:paraId="12ED5D29" w14:textId="77777777" w:rsidR="0033262D" w:rsidRPr="00A06F1E" w:rsidRDefault="0033262D">
            <w:pPr>
              <w:pStyle w:val="TableTextCentered"/>
              <w:rPr>
                <w:rFonts w:eastAsia="Times New Roman"/>
              </w:rPr>
            </w:pPr>
            <w:r w:rsidRPr="00A06F1E">
              <w:rPr>
                <w:rFonts w:eastAsia="Times New Roman"/>
              </w:rPr>
              <w:t>2.4</w:t>
            </w:r>
          </w:p>
        </w:tc>
      </w:tr>
    </w:tbl>
    <w:bookmarkEnd w:id="144"/>
    <w:p w14:paraId="3A132ACC" w14:textId="77777777" w:rsidR="0033262D" w:rsidRPr="00A06F1E" w:rsidRDefault="0033262D">
      <w:pPr>
        <w:pStyle w:val="TableNote"/>
      </w:pPr>
      <w:r w:rsidRPr="00A06F1E">
        <w:t xml:space="preserve">*The district average is an average of the observation scores. In Table 10, the district average is computed as: </w:t>
      </w:r>
      <w:r w:rsidRPr="00A06F1E">
        <w:br/>
      </w:r>
      <w:bookmarkStart w:id="145" w:name="Dist_CD_Calc"/>
      <w:r w:rsidRPr="00A06F1E">
        <w:t>([1 x 1] + [2 x 8] + [3 x 4] + [5 x 1]) ÷ 14 observations = 2.4</w:t>
      </w:r>
      <w:bookmarkEnd w:id="145"/>
    </w:p>
    <w:p w14:paraId="0C5DA124" w14:textId="77777777" w:rsidR="0033262D" w:rsidRPr="00A06F1E" w:rsidRDefault="0033262D">
      <w:pPr>
        <w:pStyle w:val="TableNote"/>
      </w:pPr>
      <w:r w:rsidRPr="00A06F1E">
        <w:t>**Concept Development does not appear in the CLASS Upper Elementary Manual, therefore scores for the Elementary School Level represent grades K-3 only.</w:t>
      </w:r>
    </w:p>
    <w:p w14:paraId="7EFB8B0F" w14:textId="334CA5BC" w:rsidR="0033262D" w:rsidRPr="00A06F1E" w:rsidRDefault="0033262D">
      <w:pPr>
        <w:pStyle w:val="BodyText"/>
      </w:pPr>
      <w:r w:rsidRPr="00A06F1E">
        <w:rPr>
          <w:rStyle w:val="BodyTextDemiChar"/>
        </w:rPr>
        <w:t>Ratings in the Low Range.</w:t>
      </w:r>
      <w:r w:rsidRPr="00A06F1E">
        <w:t xml:space="preserve"> At the low range, the teacher does not attempt to develop students</w:t>
      </w:r>
      <w:r w:rsidR="00040362" w:rsidRPr="00A06F1E">
        <w:t>’</w:t>
      </w:r>
      <w:r w:rsidRPr="00A06F1E">
        <w:t xml:space="preserve">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w:t>
      </w:r>
      <w:r w:rsidR="00040362" w:rsidRPr="00A06F1E">
        <w:t>’</w:t>
      </w:r>
      <w:r w:rsidRPr="00A06F1E">
        <w:t xml:space="preserve"> lives and from their prior knowledge.</w:t>
      </w:r>
    </w:p>
    <w:p w14:paraId="1312CC5E" w14:textId="154F1980" w:rsidR="0033262D" w:rsidRPr="00A06F1E" w:rsidRDefault="0033262D">
      <w:pPr>
        <w:pStyle w:val="BodyText"/>
      </w:pPr>
      <w:r w:rsidRPr="00A06F1E">
        <w:rPr>
          <w:rStyle w:val="BodyTextDemiChar"/>
        </w:rPr>
        <w:t xml:space="preserve">Ratings in the Middle Range. </w:t>
      </w:r>
      <w:r w:rsidRPr="00A06F1E">
        <w:t>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and also related to students</w:t>
      </w:r>
      <w:r w:rsidR="00040362" w:rsidRPr="00A06F1E">
        <w:t>’</w:t>
      </w:r>
      <w:r w:rsidRPr="00A06F1E">
        <w:t xml:space="preserve"> previous learning, such efforts are brief. The teacher makes some effort to relate concepts to students</w:t>
      </w:r>
      <w:r w:rsidR="00040362" w:rsidRPr="00A06F1E">
        <w:t>’</w:t>
      </w:r>
      <w:r w:rsidRPr="00A06F1E">
        <w:t xml:space="preserve"> lives but does not elaborate enough to make the relationship meaningful to students.</w:t>
      </w:r>
    </w:p>
    <w:p w14:paraId="5336E6D2" w14:textId="7804AEC4" w:rsidR="0033262D" w:rsidRPr="00A06F1E" w:rsidRDefault="0033262D">
      <w:pPr>
        <w:pStyle w:val="BodyText"/>
      </w:pPr>
      <w:r w:rsidRPr="00A06F1E">
        <w:rPr>
          <w:rStyle w:val="BodyTextDemiChar"/>
        </w:rPr>
        <w:t>Ratings in the High Range.</w:t>
      </w:r>
      <w:r w:rsidRPr="00A06F1E">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w:t>
      </w:r>
      <w:r w:rsidR="00040362" w:rsidRPr="00A06F1E">
        <w:t>’</w:t>
      </w:r>
      <w:r w:rsidRPr="00A06F1E">
        <w:t xml:space="preserve"> lives.</w:t>
      </w:r>
    </w:p>
    <w:p w14:paraId="7C41FAB9" w14:textId="77777777" w:rsidR="0033262D" w:rsidRPr="00A06F1E" w:rsidRDefault="0033262D">
      <w:pPr>
        <w:spacing w:after="160" w:line="259" w:lineRule="auto"/>
      </w:pPr>
      <w:r w:rsidRPr="00A06F1E">
        <w:br w:type="page"/>
      </w:r>
    </w:p>
    <w:p w14:paraId="0A3C95C1" w14:textId="77777777" w:rsidR="0033262D" w:rsidRPr="00A06F1E" w:rsidRDefault="0033262D">
      <w:pPr>
        <w:pStyle w:val="Heading2-SIOR"/>
      </w:pPr>
      <w:bookmarkStart w:id="146" w:name="_Toc379881742"/>
      <w:bookmarkStart w:id="147" w:name="_Toc411329834"/>
      <w:bookmarkStart w:id="148" w:name="_Toc430114883"/>
      <w:bookmarkStart w:id="149" w:name="_Toc92194262"/>
      <w:r w:rsidRPr="00A06F1E">
        <w:lastRenderedPageBreak/>
        <w:t>Content Understanding</w:t>
      </w:r>
      <w:bookmarkEnd w:id="146"/>
      <w:bookmarkEnd w:id="147"/>
      <w:bookmarkEnd w:id="148"/>
      <w:bookmarkEnd w:id="149"/>
    </w:p>
    <w:p w14:paraId="5149BB0B" w14:textId="77777777" w:rsidR="0033262D" w:rsidRPr="00A06F1E" w:rsidRDefault="0033262D">
      <w:pPr>
        <w:pStyle w:val="BodyTextDomain"/>
      </w:pPr>
      <w:r w:rsidRPr="00A06F1E">
        <w:t>Instructional Support domain, Grades 4</w:t>
      </w:r>
      <w:r w:rsidRPr="00A06F1E">
        <w:rPr>
          <w:rFonts w:ascii="Vijaya" w:hAnsi="Vijaya" w:cs="Vijaya"/>
        </w:rPr>
        <w:t>−</w:t>
      </w:r>
      <w:r w:rsidRPr="00A06F1E">
        <w:t xml:space="preserve"> 12</w:t>
      </w:r>
    </w:p>
    <w:p w14:paraId="14997C1A" w14:textId="77777777" w:rsidR="0033262D" w:rsidRPr="00A06F1E" w:rsidRDefault="0033262D">
      <w:pPr>
        <w:pStyle w:val="BodyText"/>
        <w:rPr>
          <w:spacing w:val="-2"/>
        </w:rPr>
      </w:pPr>
      <w:r w:rsidRPr="00A06F1E">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A06F1E">
        <w:rPr>
          <w:i/>
          <w:spacing w:val="-2"/>
        </w:rPr>
        <w:t>CLASS Upper Elementary Manual</w:t>
      </w:r>
      <w:r w:rsidRPr="00A06F1E">
        <w:rPr>
          <w:spacing w:val="-2"/>
        </w:rPr>
        <w:t xml:space="preserve">, p. 70, </w:t>
      </w:r>
      <w:r w:rsidRPr="00A06F1E">
        <w:rPr>
          <w:i/>
        </w:rPr>
        <w:t>CLASS Secondary Manual,</w:t>
      </w:r>
      <w:r w:rsidRPr="00A06F1E">
        <w:t xml:space="preserve"> p. 68</w:t>
      </w:r>
      <w:r w:rsidRPr="00A06F1E">
        <w:rPr>
          <w:spacing w:val="-2"/>
        </w:rPr>
        <w:t>).</w:t>
      </w:r>
    </w:p>
    <w:p w14:paraId="5F3AA286" w14:textId="77777777" w:rsidR="0033262D" w:rsidRPr="00A06F1E" w:rsidRDefault="0033262D">
      <w:pPr>
        <w:pStyle w:val="TableTitle0"/>
      </w:pPr>
      <w:bookmarkStart w:id="150" w:name="_Toc170701917"/>
      <w:r w:rsidRPr="00A06F1E">
        <w:t>Table 11. Content Understanding: Number of Classrooms for Each Rating and District Average</w:t>
      </w:r>
      <w:bookmarkEnd w:id="150"/>
    </w:p>
    <w:p w14:paraId="6779C78B" w14:textId="77777777" w:rsidR="0033262D" w:rsidRPr="00A06F1E" w:rsidRDefault="0033262D">
      <w:pPr>
        <w:pStyle w:val="BodyTextDemi"/>
      </w:pPr>
      <w:r w:rsidRPr="00A06F1E">
        <w:t xml:space="preserve">Content Understanding District Average*: </w:t>
      </w:r>
      <w:bookmarkStart w:id="151" w:name="Dist_CU_Avg"/>
      <w:r w:rsidRPr="00A06F1E">
        <w:t>4.0</w:t>
      </w:r>
      <w:bookmarkEnd w:id="15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3262D" w:rsidRPr="00A06F1E" w14:paraId="2B82E351" w14:textId="77777777" w:rsidTr="0033262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5E909AB" w14:textId="77777777" w:rsidR="0033262D" w:rsidRPr="00A06F1E" w:rsidRDefault="0033262D">
            <w:pPr>
              <w:pStyle w:val="TableColHeadingCenter"/>
              <w:rPr>
                <w:rFonts w:eastAsia="MS Mincho"/>
              </w:rPr>
            </w:pPr>
            <w:bookmarkStart w:id="152" w:name="Tbl_CU"/>
            <w:r w:rsidRPr="00A06F1E">
              <w:rPr>
                <w:rFonts w:eastAsia="MS Mincho"/>
              </w:rPr>
              <w:t>Grade Band</w:t>
            </w:r>
          </w:p>
        </w:tc>
        <w:tc>
          <w:tcPr>
            <w:tcW w:w="1748" w:type="dxa"/>
            <w:gridSpan w:val="2"/>
          </w:tcPr>
          <w:p w14:paraId="1824CDB9" w14:textId="77777777" w:rsidR="0033262D" w:rsidRPr="00A06F1E" w:rsidRDefault="0033262D">
            <w:pPr>
              <w:pStyle w:val="TableColHeadingCenter"/>
              <w:rPr>
                <w:rFonts w:eastAsia="MS Mincho"/>
              </w:rPr>
            </w:pPr>
            <w:r w:rsidRPr="00A06F1E">
              <w:rPr>
                <w:rFonts w:eastAsia="MS Mincho"/>
              </w:rPr>
              <w:t>Low Range</w:t>
            </w:r>
          </w:p>
        </w:tc>
        <w:tc>
          <w:tcPr>
            <w:tcW w:w="2623" w:type="dxa"/>
            <w:gridSpan w:val="3"/>
          </w:tcPr>
          <w:p w14:paraId="56F4FB90" w14:textId="77777777" w:rsidR="0033262D" w:rsidRPr="00A06F1E" w:rsidRDefault="0033262D">
            <w:pPr>
              <w:pStyle w:val="TableColHeadingCenter"/>
              <w:rPr>
                <w:rFonts w:eastAsia="MS Mincho"/>
              </w:rPr>
            </w:pPr>
            <w:r w:rsidRPr="00A06F1E">
              <w:rPr>
                <w:rFonts w:eastAsia="MS Mincho"/>
              </w:rPr>
              <w:t>Middle Range</w:t>
            </w:r>
          </w:p>
        </w:tc>
        <w:tc>
          <w:tcPr>
            <w:tcW w:w="1749" w:type="dxa"/>
            <w:gridSpan w:val="2"/>
          </w:tcPr>
          <w:p w14:paraId="0F63967C" w14:textId="77777777" w:rsidR="0033262D" w:rsidRPr="00A06F1E" w:rsidRDefault="0033262D">
            <w:pPr>
              <w:pStyle w:val="TableColHeadingCenter"/>
              <w:rPr>
                <w:rFonts w:eastAsia="MS Mincho"/>
              </w:rPr>
            </w:pPr>
            <w:r w:rsidRPr="00A06F1E">
              <w:rPr>
                <w:rFonts w:eastAsia="MS Mincho"/>
              </w:rPr>
              <w:t>High Range</w:t>
            </w:r>
          </w:p>
        </w:tc>
        <w:tc>
          <w:tcPr>
            <w:tcW w:w="900" w:type="dxa"/>
          </w:tcPr>
          <w:p w14:paraId="7A90DE59" w14:textId="77777777" w:rsidR="0033262D" w:rsidRPr="00A06F1E" w:rsidRDefault="0033262D">
            <w:pPr>
              <w:pStyle w:val="TableColHeadingCenter"/>
              <w:rPr>
                <w:rFonts w:eastAsia="MS Mincho"/>
              </w:rPr>
            </w:pPr>
            <w:r w:rsidRPr="00A06F1E">
              <w:rPr>
                <w:rFonts w:eastAsia="MS Mincho"/>
              </w:rPr>
              <w:t>n</w:t>
            </w:r>
          </w:p>
        </w:tc>
        <w:tc>
          <w:tcPr>
            <w:tcW w:w="892" w:type="dxa"/>
          </w:tcPr>
          <w:p w14:paraId="22AEEB3A" w14:textId="77777777" w:rsidR="0033262D" w:rsidRPr="00A06F1E" w:rsidRDefault="0033262D">
            <w:pPr>
              <w:pStyle w:val="TableColHeadingCenter"/>
              <w:rPr>
                <w:rFonts w:eastAsia="MS Mincho"/>
              </w:rPr>
            </w:pPr>
            <w:r w:rsidRPr="00A06F1E">
              <w:rPr>
                <w:rFonts w:eastAsia="MS Mincho"/>
              </w:rPr>
              <w:t>Average</w:t>
            </w:r>
          </w:p>
        </w:tc>
      </w:tr>
      <w:tr w:rsidR="0033262D" w:rsidRPr="00A06F1E" w14:paraId="5FFC691B" w14:textId="77777777" w:rsidTr="0033262D">
        <w:trPr>
          <w:jc w:val="center"/>
        </w:trPr>
        <w:tc>
          <w:tcPr>
            <w:tcW w:w="1432" w:type="dxa"/>
            <w:shd w:val="clear" w:color="auto" w:fill="D9E2F3" w:themeFill="accent5" w:themeFillTint="33"/>
          </w:tcPr>
          <w:p w14:paraId="57576CB2" w14:textId="77777777" w:rsidR="0033262D" w:rsidRPr="00A06F1E" w:rsidRDefault="0033262D">
            <w:pPr>
              <w:pStyle w:val="TableSubheadingCentered"/>
            </w:pPr>
          </w:p>
        </w:tc>
        <w:tc>
          <w:tcPr>
            <w:tcW w:w="874" w:type="dxa"/>
            <w:shd w:val="clear" w:color="auto" w:fill="D9E2F3" w:themeFill="accent5" w:themeFillTint="33"/>
          </w:tcPr>
          <w:p w14:paraId="4FF1D370" w14:textId="77777777" w:rsidR="0033262D" w:rsidRPr="00A06F1E" w:rsidRDefault="0033262D">
            <w:pPr>
              <w:pStyle w:val="TableSubheadingCentered"/>
            </w:pPr>
            <w:r w:rsidRPr="00A06F1E">
              <w:t>1</w:t>
            </w:r>
          </w:p>
        </w:tc>
        <w:tc>
          <w:tcPr>
            <w:tcW w:w="874" w:type="dxa"/>
            <w:shd w:val="clear" w:color="auto" w:fill="D9E2F3" w:themeFill="accent5" w:themeFillTint="33"/>
          </w:tcPr>
          <w:p w14:paraId="0B494350" w14:textId="77777777" w:rsidR="0033262D" w:rsidRPr="00A06F1E" w:rsidRDefault="0033262D">
            <w:pPr>
              <w:pStyle w:val="TableSubheadingCentered"/>
            </w:pPr>
            <w:r w:rsidRPr="00A06F1E">
              <w:t>2</w:t>
            </w:r>
          </w:p>
        </w:tc>
        <w:tc>
          <w:tcPr>
            <w:tcW w:w="874" w:type="dxa"/>
            <w:shd w:val="clear" w:color="auto" w:fill="D9E2F3" w:themeFill="accent5" w:themeFillTint="33"/>
          </w:tcPr>
          <w:p w14:paraId="14A7FC74" w14:textId="77777777" w:rsidR="0033262D" w:rsidRPr="00A06F1E" w:rsidRDefault="0033262D">
            <w:pPr>
              <w:pStyle w:val="TableSubheadingCentered"/>
            </w:pPr>
            <w:r w:rsidRPr="00A06F1E">
              <w:t>3</w:t>
            </w:r>
          </w:p>
        </w:tc>
        <w:tc>
          <w:tcPr>
            <w:tcW w:w="875" w:type="dxa"/>
            <w:shd w:val="clear" w:color="auto" w:fill="D9E2F3" w:themeFill="accent5" w:themeFillTint="33"/>
          </w:tcPr>
          <w:p w14:paraId="0B8C9DF3" w14:textId="77777777" w:rsidR="0033262D" w:rsidRPr="00A06F1E" w:rsidRDefault="0033262D">
            <w:pPr>
              <w:pStyle w:val="TableSubheadingCentered"/>
            </w:pPr>
            <w:r w:rsidRPr="00A06F1E">
              <w:t>4</w:t>
            </w:r>
          </w:p>
        </w:tc>
        <w:tc>
          <w:tcPr>
            <w:tcW w:w="874" w:type="dxa"/>
            <w:shd w:val="clear" w:color="auto" w:fill="D9E2F3" w:themeFill="accent5" w:themeFillTint="33"/>
          </w:tcPr>
          <w:p w14:paraId="2C942269" w14:textId="77777777" w:rsidR="0033262D" w:rsidRPr="00A06F1E" w:rsidRDefault="0033262D">
            <w:pPr>
              <w:pStyle w:val="TableSubheadingCentered"/>
            </w:pPr>
            <w:r w:rsidRPr="00A06F1E">
              <w:t>5</w:t>
            </w:r>
          </w:p>
        </w:tc>
        <w:tc>
          <w:tcPr>
            <w:tcW w:w="874" w:type="dxa"/>
            <w:shd w:val="clear" w:color="auto" w:fill="D9E2F3" w:themeFill="accent5" w:themeFillTint="33"/>
          </w:tcPr>
          <w:p w14:paraId="49F8D349" w14:textId="77777777" w:rsidR="0033262D" w:rsidRPr="00A06F1E" w:rsidRDefault="0033262D">
            <w:pPr>
              <w:pStyle w:val="TableSubheadingCentered"/>
            </w:pPr>
            <w:r w:rsidRPr="00A06F1E">
              <w:t>6</w:t>
            </w:r>
          </w:p>
        </w:tc>
        <w:tc>
          <w:tcPr>
            <w:tcW w:w="875" w:type="dxa"/>
            <w:shd w:val="clear" w:color="auto" w:fill="D9E2F3" w:themeFill="accent5" w:themeFillTint="33"/>
          </w:tcPr>
          <w:p w14:paraId="69CE79C0" w14:textId="77777777" w:rsidR="0033262D" w:rsidRPr="00A06F1E" w:rsidRDefault="0033262D">
            <w:pPr>
              <w:pStyle w:val="TableSubheadingCentered"/>
            </w:pPr>
            <w:r w:rsidRPr="00A06F1E">
              <w:t>7</w:t>
            </w:r>
          </w:p>
        </w:tc>
        <w:tc>
          <w:tcPr>
            <w:tcW w:w="900" w:type="dxa"/>
            <w:shd w:val="clear" w:color="auto" w:fill="D9E2F3" w:themeFill="accent5" w:themeFillTint="33"/>
          </w:tcPr>
          <w:p w14:paraId="3121999C" w14:textId="77777777" w:rsidR="0033262D" w:rsidRPr="00A06F1E" w:rsidRDefault="0033262D">
            <w:pPr>
              <w:pStyle w:val="TableSubheadingCentered"/>
            </w:pPr>
            <w:r w:rsidRPr="00A06F1E">
              <w:t>42</w:t>
            </w:r>
          </w:p>
        </w:tc>
        <w:tc>
          <w:tcPr>
            <w:tcW w:w="892" w:type="dxa"/>
            <w:shd w:val="clear" w:color="auto" w:fill="D9E2F3" w:themeFill="accent5" w:themeFillTint="33"/>
          </w:tcPr>
          <w:p w14:paraId="710ECDDC" w14:textId="77777777" w:rsidR="0033262D" w:rsidRPr="00A06F1E" w:rsidRDefault="0033262D">
            <w:pPr>
              <w:pStyle w:val="TableSubheadingCentered"/>
            </w:pPr>
            <w:r w:rsidRPr="00A06F1E">
              <w:t>4.0</w:t>
            </w:r>
          </w:p>
        </w:tc>
      </w:tr>
      <w:tr w:rsidR="0033262D" w:rsidRPr="00A06F1E" w14:paraId="368B0B0B" w14:textId="77777777" w:rsidTr="0033262D">
        <w:trPr>
          <w:jc w:val="center"/>
        </w:trPr>
        <w:tc>
          <w:tcPr>
            <w:tcW w:w="1432" w:type="dxa"/>
          </w:tcPr>
          <w:p w14:paraId="71591822" w14:textId="77777777" w:rsidR="0033262D" w:rsidRPr="00A06F1E" w:rsidRDefault="0033262D">
            <w:pPr>
              <w:pStyle w:val="TableText"/>
            </w:pPr>
            <w:r w:rsidRPr="00A06F1E">
              <w:t>Grades 4-5**</w:t>
            </w:r>
          </w:p>
        </w:tc>
        <w:tc>
          <w:tcPr>
            <w:tcW w:w="874" w:type="dxa"/>
          </w:tcPr>
          <w:p w14:paraId="01FFBCB4"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4AF6EBAE"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7DBC4515" w14:textId="77777777" w:rsidR="0033262D" w:rsidRPr="00A06F1E" w:rsidRDefault="0033262D">
            <w:pPr>
              <w:pStyle w:val="TableTextCentered"/>
              <w:rPr>
                <w:rFonts w:eastAsia="Times New Roman"/>
              </w:rPr>
            </w:pPr>
            <w:r w:rsidRPr="00A06F1E">
              <w:rPr>
                <w:rFonts w:eastAsia="Times New Roman"/>
              </w:rPr>
              <w:t>4</w:t>
            </w:r>
          </w:p>
        </w:tc>
        <w:tc>
          <w:tcPr>
            <w:tcW w:w="875" w:type="dxa"/>
          </w:tcPr>
          <w:p w14:paraId="3AB3236D" w14:textId="77777777" w:rsidR="0033262D" w:rsidRPr="00A06F1E" w:rsidRDefault="0033262D">
            <w:pPr>
              <w:pStyle w:val="TableTextCentered"/>
              <w:rPr>
                <w:rFonts w:eastAsia="Times New Roman"/>
              </w:rPr>
            </w:pPr>
            <w:r w:rsidRPr="00A06F1E">
              <w:rPr>
                <w:rFonts w:eastAsia="Times New Roman"/>
              </w:rPr>
              <w:t>3</w:t>
            </w:r>
          </w:p>
        </w:tc>
        <w:tc>
          <w:tcPr>
            <w:tcW w:w="874" w:type="dxa"/>
          </w:tcPr>
          <w:p w14:paraId="0562DC8D" w14:textId="77777777" w:rsidR="0033262D" w:rsidRPr="00A06F1E" w:rsidRDefault="0033262D">
            <w:pPr>
              <w:pStyle w:val="TableTextCentered"/>
              <w:rPr>
                <w:rFonts w:eastAsia="Times New Roman"/>
              </w:rPr>
            </w:pPr>
            <w:r w:rsidRPr="00A06F1E">
              <w:rPr>
                <w:rFonts w:eastAsia="Times New Roman"/>
              </w:rPr>
              <w:t>2</w:t>
            </w:r>
          </w:p>
        </w:tc>
        <w:tc>
          <w:tcPr>
            <w:tcW w:w="874" w:type="dxa"/>
          </w:tcPr>
          <w:p w14:paraId="3CB3B96E"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55DD913E" w14:textId="77777777" w:rsidR="0033262D" w:rsidRPr="00A06F1E" w:rsidRDefault="0033262D">
            <w:pPr>
              <w:pStyle w:val="TableTextCentered"/>
              <w:rPr>
                <w:rFonts w:eastAsia="Times New Roman"/>
              </w:rPr>
            </w:pPr>
            <w:r w:rsidRPr="00A06F1E">
              <w:rPr>
                <w:rFonts w:eastAsia="Times New Roman"/>
              </w:rPr>
              <w:t>0</w:t>
            </w:r>
          </w:p>
        </w:tc>
        <w:tc>
          <w:tcPr>
            <w:tcW w:w="900" w:type="dxa"/>
          </w:tcPr>
          <w:p w14:paraId="3019E106" w14:textId="77777777" w:rsidR="0033262D" w:rsidRPr="00A06F1E" w:rsidRDefault="0033262D">
            <w:pPr>
              <w:pStyle w:val="TableTextCentered"/>
              <w:rPr>
                <w:rFonts w:eastAsia="Times New Roman"/>
              </w:rPr>
            </w:pPr>
            <w:r w:rsidRPr="00A06F1E">
              <w:rPr>
                <w:rFonts w:eastAsia="Times New Roman"/>
              </w:rPr>
              <w:t>9</w:t>
            </w:r>
          </w:p>
        </w:tc>
        <w:tc>
          <w:tcPr>
            <w:tcW w:w="892" w:type="dxa"/>
          </w:tcPr>
          <w:p w14:paraId="6BDA736D" w14:textId="77777777" w:rsidR="0033262D" w:rsidRPr="00A06F1E" w:rsidRDefault="0033262D">
            <w:pPr>
              <w:pStyle w:val="TableTextCentered"/>
              <w:rPr>
                <w:rFonts w:eastAsia="Times New Roman"/>
              </w:rPr>
            </w:pPr>
            <w:r w:rsidRPr="00A06F1E">
              <w:rPr>
                <w:rFonts w:eastAsia="Times New Roman"/>
              </w:rPr>
              <w:t>3.8</w:t>
            </w:r>
          </w:p>
        </w:tc>
      </w:tr>
      <w:tr w:rsidR="0033262D" w:rsidRPr="00A06F1E" w14:paraId="7E5327C3" w14:textId="77777777" w:rsidTr="0033262D">
        <w:trPr>
          <w:jc w:val="center"/>
        </w:trPr>
        <w:tc>
          <w:tcPr>
            <w:tcW w:w="1432" w:type="dxa"/>
          </w:tcPr>
          <w:p w14:paraId="0F3374F3" w14:textId="77777777" w:rsidR="0033262D" w:rsidRPr="00A06F1E" w:rsidRDefault="0033262D">
            <w:pPr>
              <w:pStyle w:val="TableText"/>
            </w:pPr>
            <w:r w:rsidRPr="00A06F1E">
              <w:t>Grades 6-8</w:t>
            </w:r>
          </w:p>
        </w:tc>
        <w:tc>
          <w:tcPr>
            <w:tcW w:w="874" w:type="dxa"/>
          </w:tcPr>
          <w:p w14:paraId="441A3A7C"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3D428755" w14:textId="77777777" w:rsidR="0033262D" w:rsidRPr="00A06F1E" w:rsidRDefault="0033262D">
            <w:pPr>
              <w:pStyle w:val="TableTextCentered"/>
              <w:rPr>
                <w:rFonts w:eastAsia="Times New Roman"/>
              </w:rPr>
            </w:pPr>
            <w:r w:rsidRPr="00A06F1E">
              <w:rPr>
                <w:rFonts w:eastAsia="Times New Roman"/>
              </w:rPr>
              <w:t>2</w:t>
            </w:r>
          </w:p>
        </w:tc>
        <w:tc>
          <w:tcPr>
            <w:tcW w:w="874" w:type="dxa"/>
          </w:tcPr>
          <w:p w14:paraId="3C4E8B04" w14:textId="77777777" w:rsidR="0033262D" w:rsidRPr="00A06F1E" w:rsidRDefault="0033262D">
            <w:pPr>
              <w:pStyle w:val="TableTextCentered"/>
              <w:rPr>
                <w:rFonts w:eastAsia="Times New Roman"/>
              </w:rPr>
            </w:pPr>
            <w:r w:rsidRPr="00A06F1E">
              <w:rPr>
                <w:rFonts w:eastAsia="Times New Roman"/>
              </w:rPr>
              <w:t>4</w:t>
            </w:r>
          </w:p>
        </w:tc>
        <w:tc>
          <w:tcPr>
            <w:tcW w:w="875" w:type="dxa"/>
          </w:tcPr>
          <w:p w14:paraId="2C37E8B4" w14:textId="77777777" w:rsidR="0033262D" w:rsidRPr="00A06F1E" w:rsidRDefault="0033262D">
            <w:pPr>
              <w:pStyle w:val="TableTextCentered"/>
              <w:rPr>
                <w:rFonts w:eastAsia="Times New Roman"/>
              </w:rPr>
            </w:pPr>
            <w:r w:rsidRPr="00A06F1E">
              <w:rPr>
                <w:rFonts w:eastAsia="Times New Roman"/>
              </w:rPr>
              <w:t>6</w:t>
            </w:r>
          </w:p>
        </w:tc>
        <w:tc>
          <w:tcPr>
            <w:tcW w:w="874" w:type="dxa"/>
          </w:tcPr>
          <w:p w14:paraId="77E70978" w14:textId="77777777" w:rsidR="0033262D" w:rsidRPr="00A06F1E" w:rsidRDefault="0033262D">
            <w:pPr>
              <w:pStyle w:val="TableTextCentered"/>
              <w:rPr>
                <w:rFonts w:eastAsia="Times New Roman"/>
              </w:rPr>
            </w:pPr>
            <w:r w:rsidRPr="00A06F1E">
              <w:rPr>
                <w:rFonts w:eastAsia="Times New Roman"/>
              </w:rPr>
              <w:t>4</w:t>
            </w:r>
          </w:p>
        </w:tc>
        <w:tc>
          <w:tcPr>
            <w:tcW w:w="874" w:type="dxa"/>
          </w:tcPr>
          <w:p w14:paraId="756336C1" w14:textId="77777777" w:rsidR="0033262D" w:rsidRPr="00A06F1E" w:rsidRDefault="0033262D">
            <w:pPr>
              <w:pStyle w:val="TableTextCentered"/>
              <w:rPr>
                <w:rFonts w:eastAsia="Times New Roman"/>
              </w:rPr>
            </w:pPr>
            <w:r w:rsidRPr="00A06F1E">
              <w:rPr>
                <w:rFonts w:eastAsia="Times New Roman"/>
              </w:rPr>
              <w:t>1</w:t>
            </w:r>
          </w:p>
        </w:tc>
        <w:tc>
          <w:tcPr>
            <w:tcW w:w="875" w:type="dxa"/>
          </w:tcPr>
          <w:p w14:paraId="7A38752F" w14:textId="77777777" w:rsidR="0033262D" w:rsidRPr="00A06F1E" w:rsidRDefault="0033262D">
            <w:pPr>
              <w:pStyle w:val="TableTextCentered"/>
              <w:rPr>
                <w:rFonts w:eastAsia="Times New Roman"/>
              </w:rPr>
            </w:pPr>
            <w:r w:rsidRPr="00A06F1E">
              <w:rPr>
                <w:rFonts w:eastAsia="Times New Roman"/>
              </w:rPr>
              <w:t>0</w:t>
            </w:r>
          </w:p>
        </w:tc>
        <w:tc>
          <w:tcPr>
            <w:tcW w:w="900" w:type="dxa"/>
          </w:tcPr>
          <w:p w14:paraId="62F47BA4" w14:textId="77777777" w:rsidR="0033262D" w:rsidRPr="00A06F1E" w:rsidRDefault="0033262D">
            <w:pPr>
              <w:pStyle w:val="TableTextCentered"/>
              <w:rPr>
                <w:rFonts w:eastAsia="Times New Roman"/>
              </w:rPr>
            </w:pPr>
            <w:r w:rsidRPr="00A06F1E">
              <w:rPr>
                <w:rFonts w:eastAsia="Times New Roman"/>
              </w:rPr>
              <w:t>17</w:t>
            </w:r>
          </w:p>
        </w:tc>
        <w:tc>
          <w:tcPr>
            <w:tcW w:w="892" w:type="dxa"/>
          </w:tcPr>
          <w:p w14:paraId="58382E40" w14:textId="77777777" w:rsidR="0033262D" w:rsidRPr="00A06F1E" w:rsidRDefault="0033262D">
            <w:pPr>
              <w:pStyle w:val="TableTextCentered"/>
              <w:rPr>
                <w:rFonts w:eastAsia="Times New Roman"/>
              </w:rPr>
            </w:pPr>
            <w:r w:rsidRPr="00A06F1E">
              <w:rPr>
                <w:rFonts w:eastAsia="Times New Roman"/>
              </w:rPr>
              <w:t>3.9</w:t>
            </w:r>
          </w:p>
        </w:tc>
      </w:tr>
      <w:tr w:rsidR="0033262D" w:rsidRPr="00A06F1E" w14:paraId="7A98A701" w14:textId="77777777" w:rsidTr="0033262D">
        <w:trPr>
          <w:jc w:val="center"/>
        </w:trPr>
        <w:tc>
          <w:tcPr>
            <w:tcW w:w="1432" w:type="dxa"/>
          </w:tcPr>
          <w:p w14:paraId="57294DDD" w14:textId="77777777" w:rsidR="0033262D" w:rsidRPr="00A06F1E" w:rsidRDefault="0033262D">
            <w:pPr>
              <w:pStyle w:val="TableText"/>
            </w:pPr>
            <w:r w:rsidRPr="00A06F1E">
              <w:t>Grades 9-12</w:t>
            </w:r>
          </w:p>
        </w:tc>
        <w:tc>
          <w:tcPr>
            <w:tcW w:w="874" w:type="dxa"/>
          </w:tcPr>
          <w:p w14:paraId="669CF205"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2DFDA8BF" w14:textId="77777777" w:rsidR="0033262D" w:rsidRPr="00A06F1E" w:rsidRDefault="0033262D">
            <w:pPr>
              <w:pStyle w:val="TableTextCentered"/>
              <w:rPr>
                <w:rFonts w:eastAsia="Times New Roman"/>
              </w:rPr>
            </w:pPr>
            <w:r w:rsidRPr="00A06F1E">
              <w:rPr>
                <w:rFonts w:eastAsia="Times New Roman"/>
              </w:rPr>
              <w:t>2</w:t>
            </w:r>
          </w:p>
        </w:tc>
        <w:tc>
          <w:tcPr>
            <w:tcW w:w="874" w:type="dxa"/>
          </w:tcPr>
          <w:p w14:paraId="773F75AF" w14:textId="77777777" w:rsidR="0033262D" w:rsidRPr="00A06F1E" w:rsidRDefault="0033262D">
            <w:pPr>
              <w:pStyle w:val="TableTextCentered"/>
              <w:rPr>
                <w:rFonts w:eastAsia="Times New Roman"/>
              </w:rPr>
            </w:pPr>
            <w:r w:rsidRPr="00A06F1E">
              <w:rPr>
                <w:rFonts w:eastAsia="Times New Roman"/>
              </w:rPr>
              <w:t>2</w:t>
            </w:r>
          </w:p>
        </w:tc>
        <w:tc>
          <w:tcPr>
            <w:tcW w:w="875" w:type="dxa"/>
          </w:tcPr>
          <w:p w14:paraId="5892B3A8" w14:textId="77777777" w:rsidR="0033262D" w:rsidRPr="00A06F1E" w:rsidRDefault="0033262D">
            <w:pPr>
              <w:pStyle w:val="TableTextCentered"/>
              <w:rPr>
                <w:rFonts w:eastAsia="Times New Roman"/>
              </w:rPr>
            </w:pPr>
            <w:r w:rsidRPr="00A06F1E">
              <w:rPr>
                <w:rFonts w:eastAsia="Times New Roman"/>
              </w:rPr>
              <w:t>4</w:t>
            </w:r>
          </w:p>
        </w:tc>
        <w:tc>
          <w:tcPr>
            <w:tcW w:w="874" w:type="dxa"/>
          </w:tcPr>
          <w:p w14:paraId="0F032241" w14:textId="77777777" w:rsidR="0033262D" w:rsidRPr="00A06F1E" w:rsidRDefault="0033262D">
            <w:pPr>
              <w:pStyle w:val="TableTextCentered"/>
              <w:rPr>
                <w:rFonts w:eastAsia="Times New Roman"/>
              </w:rPr>
            </w:pPr>
            <w:r w:rsidRPr="00A06F1E">
              <w:rPr>
                <w:rFonts w:eastAsia="Times New Roman"/>
              </w:rPr>
              <w:t>7</w:t>
            </w:r>
          </w:p>
        </w:tc>
        <w:tc>
          <w:tcPr>
            <w:tcW w:w="874" w:type="dxa"/>
          </w:tcPr>
          <w:p w14:paraId="0645D283" w14:textId="77777777" w:rsidR="0033262D" w:rsidRPr="00A06F1E" w:rsidRDefault="0033262D">
            <w:pPr>
              <w:pStyle w:val="TableTextCentered"/>
              <w:rPr>
                <w:rFonts w:eastAsia="Times New Roman"/>
              </w:rPr>
            </w:pPr>
            <w:r w:rsidRPr="00A06F1E">
              <w:rPr>
                <w:rFonts w:eastAsia="Times New Roman"/>
              </w:rPr>
              <w:t>1</w:t>
            </w:r>
          </w:p>
        </w:tc>
        <w:tc>
          <w:tcPr>
            <w:tcW w:w="875" w:type="dxa"/>
          </w:tcPr>
          <w:p w14:paraId="3FA99639" w14:textId="77777777" w:rsidR="0033262D" w:rsidRPr="00A06F1E" w:rsidRDefault="0033262D">
            <w:pPr>
              <w:pStyle w:val="TableTextCentered"/>
              <w:rPr>
                <w:rFonts w:eastAsia="Times New Roman"/>
              </w:rPr>
            </w:pPr>
            <w:r w:rsidRPr="00A06F1E">
              <w:rPr>
                <w:rFonts w:eastAsia="Times New Roman"/>
              </w:rPr>
              <w:t>0</w:t>
            </w:r>
          </w:p>
        </w:tc>
        <w:tc>
          <w:tcPr>
            <w:tcW w:w="900" w:type="dxa"/>
          </w:tcPr>
          <w:p w14:paraId="67F4F01B" w14:textId="77777777" w:rsidR="0033262D" w:rsidRPr="00A06F1E" w:rsidRDefault="0033262D">
            <w:pPr>
              <w:pStyle w:val="TableTextCentered"/>
              <w:rPr>
                <w:rFonts w:eastAsia="Times New Roman"/>
              </w:rPr>
            </w:pPr>
            <w:r w:rsidRPr="00A06F1E">
              <w:rPr>
                <w:rFonts w:eastAsia="Times New Roman"/>
              </w:rPr>
              <w:t>16</w:t>
            </w:r>
          </w:p>
        </w:tc>
        <w:tc>
          <w:tcPr>
            <w:tcW w:w="892" w:type="dxa"/>
          </w:tcPr>
          <w:p w14:paraId="3AAC2F20" w14:textId="77777777" w:rsidR="0033262D" w:rsidRPr="00A06F1E" w:rsidRDefault="0033262D">
            <w:pPr>
              <w:pStyle w:val="TableTextCentered"/>
              <w:rPr>
                <w:rFonts w:eastAsia="Times New Roman"/>
              </w:rPr>
            </w:pPr>
            <w:r w:rsidRPr="00A06F1E">
              <w:rPr>
                <w:rFonts w:eastAsia="Times New Roman"/>
              </w:rPr>
              <w:t>4.2</w:t>
            </w:r>
          </w:p>
        </w:tc>
      </w:tr>
    </w:tbl>
    <w:bookmarkEnd w:id="152"/>
    <w:p w14:paraId="4D4BBD09" w14:textId="77777777" w:rsidR="0033262D" w:rsidRPr="00A06F1E" w:rsidRDefault="0033262D">
      <w:pPr>
        <w:pStyle w:val="TableNote"/>
      </w:pPr>
      <w:r w:rsidRPr="00A06F1E">
        <w:t xml:space="preserve">*The district average is an average of the observation scores. In Table 11, the district average is computed as: </w:t>
      </w:r>
      <w:r w:rsidRPr="00A06F1E">
        <w:br/>
      </w:r>
      <w:bookmarkStart w:id="153" w:name="Dist_CU_Calc"/>
      <w:r w:rsidRPr="00A06F1E">
        <w:t>([2 x 4] + [3 x 10] + [4 x 13] + [5 x 13] + [6 x 2]) ÷ 42 observations = 4.0</w:t>
      </w:r>
      <w:bookmarkEnd w:id="153"/>
    </w:p>
    <w:p w14:paraId="6D9FDCDB" w14:textId="77777777" w:rsidR="0033262D" w:rsidRPr="00A06F1E" w:rsidRDefault="0033262D">
      <w:pPr>
        <w:pStyle w:val="TableNote"/>
      </w:pPr>
      <w:r w:rsidRPr="00A06F1E">
        <w:t>**Content Understanding does not appear in the CLASS K-3 Manual, therefore scores for the Elementary School Level represent grades 4-5 only.</w:t>
      </w:r>
    </w:p>
    <w:p w14:paraId="28E8AE8D" w14:textId="44F45195" w:rsidR="0033262D" w:rsidRPr="00A06F1E" w:rsidRDefault="0033262D">
      <w:pPr>
        <w:pStyle w:val="BodyText"/>
      </w:pPr>
      <w:r w:rsidRPr="00A06F1E">
        <w:rPr>
          <w:rStyle w:val="BodyTextDemiChar"/>
        </w:rPr>
        <w:t>Ratings in the Low Range.</w:t>
      </w:r>
      <w:r w:rsidRPr="00A06F1E">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w:t>
      </w:r>
      <w:r w:rsidR="00040362" w:rsidRPr="00A06F1E">
        <w:t>’</w:t>
      </w:r>
      <w:r w:rsidRPr="00A06F1E">
        <w:t xml:space="preserve"> background knowledge or misconceptions or to integrate previously learned material when presenting new information.</w:t>
      </w:r>
    </w:p>
    <w:p w14:paraId="017D2DC5" w14:textId="207EE255" w:rsidR="0033262D" w:rsidRPr="00A06F1E" w:rsidRDefault="0033262D">
      <w:pPr>
        <w:pStyle w:val="BodyText"/>
      </w:pPr>
      <w:r w:rsidRPr="00A06F1E">
        <w:rPr>
          <w:rStyle w:val="BodyTextDemiChar"/>
        </w:rPr>
        <w:t>Ratings in the Middle Range.</w:t>
      </w:r>
      <w:r w:rsidRPr="00A06F1E">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w:t>
      </w:r>
      <w:r w:rsidR="00040362" w:rsidRPr="00A06F1E">
        <w:t>’</w:t>
      </w:r>
      <w:r w:rsidRPr="00A06F1E">
        <w:t xml:space="preserve"> background knowledge or misconceptions and/or to integrate information with previously learned materials; however, these moments are limited in depth or inconsistent.</w:t>
      </w:r>
    </w:p>
    <w:p w14:paraId="652EAF3F" w14:textId="08D91214" w:rsidR="0033262D" w:rsidRPr="00A06F1E" w:rsidRDefault="0033262D" w:rsidP="0033262D">
      <w:pPr>
        <w:pStyle w:val="BodyText"/>
      </w:pPr>
      <w:r w:rsidRPr="00A06F1E">
        <w:rPr>
          <w:rStyle w:val="BodyTextDemiChar"/>
        </w:rPr>
        <w:t>Ratings in the High Range.</w:t>
      </w:r>
      <w:r w:rsidRPr="00A06F1E">
        <w:t xml:space="preserve"> At the high range, the focus of the class is on encouraging deep understanding of content through the provision of meaningful, interactive discussion and explanation of broad, organizing ideas. Class discussion and materials consistently communicate the essential attributes of concepts and procedures to students. New concepts and procedures and broad ideas are consistently linked to students</w:t>
      </w:r>
      <w:r w:rsidR="00040362" w:rsidRPr="00A06F1E">
        <w:t>’</w:t>
      </w:r>
      <w:r w:rsidRPr="00A06F1E">
        <w:t xml:space="preserve"> prior knowledge in ways that advance their understanding and clarify misconceptions.</w:t>
      </w:r>
      <w:r w:rsidRPr="00A06F1E">
        <w:br w:type="page"/>
      </w:r>
    </w:p>
    <w:p w14:paraId="4B05F374" w14:textId="77777777" w:rsidR="0033262D" w:rsidRPr="00A06F1E" w:rsidRDefault="0033262D">
      <w:pPr>
        <w:pStyle w:val="Heading2-SIOR"/>
      </w:pPr>
      <w:bookmarkStart w:id="154" w:name="_Toc379881743"/>
      <w:bookmarkStart w:id="155" w:name="_Toc411329835"/>
      <w:bookmarkStart w:id="156" w:name="_Toc430114884"/>
      <w:bookmarkStart w:id="157" w:name="_Toc92194263"/>
      <w:r w:rsidRPr="00A06F1E">
        <w:lastRenderedPageBreak/>
        <w:t>Analysis and Inquiry</w:t>
      </w:r>
      <w:bookmarkEnd w:id="154"/>
      <w:bookmarkEnd w:id="155"/>
      <w:bookmarkEnd w:id="156"/>
      <w:bookmarkEnd w:id="157"/>
    </w:p>
    <w:p w14:paraId="3E5994BD" w14:textId="77777777" w:rsidR="0033262D" w:rsidRPr="00A06F1E" w:rsidRDefault="0033262D">
      <w:pPr>
        <w:pStyle w:val="BodyTextDomain"/>
      </w:pPr>
      <w:r w:rsidRPr="00A06F1E">
        <w:t>Instructional Support domain, Grades 4</w:t>
      </w:r>
      <w:r w:rsidRPr="00A06F1E">
        <w:rPr>
          <w:rFonts w:ascii="Vijaya" w:hAnsi="Vijaya" w:cs="Vijaya"/>
        </w:rPr>
        <w:t>−</w:t>
      </w:r>
      <w:r w:rsidRPr="00A06F1E">
        <w:t xml:space="preserve"> 12</w:t>
      </w:r>
    </w:p>
    <w:p w14:paraId="0DABEA35" w14:textId="77777777" w:rsidR="0033262D" w:rsidRPr="00A06F1E" w:rsidRDefault="0033262D">
      <w:pPr>
        <w:pStyle w:val="BodyText"/>
      </w:pPr>
      <w:r w:rsidRPr="00A06F1E">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A06F1E">
        <w:rPr>
          <w:i/>
        </w:rPr>
        <w:t>CLASS Upper Elementary Manual</w:t>
      </w:r>
      <w:r w:rsidRPr="00A06F1E">
        <w:t>, p. 81,</w:t>
      </w:r>
      <w:r w:rsidRPr="00A06F1E">
        <w:rPr>
          <w:i/>
        </w:rPr>
        <w:t xml:space="preserve"> CLASS Secondary Manual</w:t>
      </w:r>
      <w:r w:rsidRPr="00A06F1E">
        <w:t>, p. 76).</w:t>
      </w:r>
    </w:p>
    <w:p w14:paraId="1744BB0A" w14:textId="77777777" w:rsidR="0033262D" w:rsidRPr="00A06F1E" w:rsidRDefault="0033262D">
      <w:pPr>
        <w:pStyle w:val="TableTitle0"/>
      </w:pPr>
      <w:bookmarkStart w:id="158" w:name="_Toc170701918"/>
      <w:r w:rsidRPr="00A06F1E">
        <w:t>Table 12. Analysis and Inquiry: Number of Classrooms for Each Rating and District Average</w:t>
      </w:r>
      <w:bookmarkEnd w:id="158"/>
    </w:p>
    <w:p w14:paraId="42C8228F" w14:textId="77777777" w:rsidR="0033262D" w:rsidRPr="00A06F1E" w:rsidRDefault="0033262D">
      <w:pPr>
        <w:pStyle w:val="BodyTextDemi"/>
      </w:pPr>
      <w:r w:rsidRPr="00A06F1E">
        <w:t xml:space="preserve">Analysis and Inquiry District Average*: </w:t>
      </w:r>
      <w:bookmarkStart w:id="159" w:name="Dist_AI_Avg"/>
      <w:r w:rsidRPr="00A06F1E">
        <w:t>2.3</w:t>
      </w:r>
      <w:bookmarkEnd w:id="159"/>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3262D" w:rsidRPr="00A06F1E" w14:paraId="51861522" w14:textId="77777777" w:rsidTr="0033262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2E29D12" w14:textId="77777777" w:rsidR="0033262D" w:rsidRPr="00A06F1E" w:rsidRDefault="0033262D">
            <w:pPr>
              <w:pStyle w:val="TableColHeadingCenter"/>
              <w:rPr>
                <w:rFonts w:eastAsia="MS Mincho"/>
              </w:rPr>
            </w:pPr>
            <w:bookmarkStart w:id="160" w:name="Tbl_AI"/>
            <w:r w:rsidRPr="00A06F1E">
              <w:rPr>
                <w:rFonts w:eastAsia="MS Mincho"/>
              </w:rPr>
              <w:t>Grade Band</w:t>
            </w:r>
          </w:p>
        </w:tc>
        <w:tc>
          <w:tcPr>
            <w:tcW w:w="1748" w:type="dxa"/>
            <w:gridSpan w:val="2"/>
          </w:tcPr>
          <w:p w14:paraId="1AB07C34" w14:textId="77777777" w:rsidR="0033262D" w:rsidRPr="00A06F1E" w:rsidRDefault="0033262D">
            <w:pPr>
              <w:pStyle w:val="TableColHeadingCenter"/>
              <w:rPr>
                <w:rFonts w:eastAsia="MS Mincho"/>
              </w:rPr>
            </w:pPr>
            <w:r w:rsidRPr="00A06F1E">
              <w:rPr>
                <w:rFonts w:eastAsia="MS Mincho"/>
              </w:rPr>
              <w:t>Low Range</w:t>
            </w:r>
          </w:p>
        </w:tc>
        <w:tc>
          <w:tcPr>
            <w:tcW w:w="2623" w:type="dxa"/>
            <w:gridSpan w:val="3"/>
          </w:tcPr>
          <w:p w14:paraId="7F99A75C" w14:textId="77777777" w:rsidR="0033262D" w:rsidRPr="00A06F1E" w:rsidRDefault="0033262D">
            <w:pPr>
              <w:pStyle w:val="TableColHeadingCenter"/>
              <w:rPr>
                <w:rFonts w:eastAsia="MS Mincho"/>
              </w:rPr>
            </w:pPr>
            <w:r w:rsidRPr="00A06F1E">
              <w:rPr>
                <w:rFonts w:eastAsia="MS Mincho"/>
              </w:rPr>
              <w:t>Middle Range</w:t>
            </w:r>
          </w:p>
        </w:tc>
        <w:tc>
          <w:tcPr>
            <w:tcW w:w="1749" w:type="dxa"/>
            <w:gridSpan w:val="2"/>
          </w:tcPr>
          <w:p w14:paraId="44B677C5" w14:textId="77777777" w:rsidR="0033262D" w:rsidRPr="00A06F1E" w:rsidRDefault="0033262D">
            <w:pPr>
              <w:pStyle w:val="TableColHeadingCenter"/>
              <w:rPr>
                <w:rFonts w:eastAsia="MS Mincho"/>
              </w:rPr>
            </w:pPr>
            <w:r w:rsidRPr="00A06F1E">
              <w:rPr>
                <w:rFonts w:eastAsia="MS Mincho"/>
              </w:rPr>
              <w:t>High Range</w:t>
            </w:r>
          </w:p>
        </w:tc>
        <w:tc>
          <w:tcPr>
            <w:tcW w:w="900" w:type="dxa"/>
          </w:tcPr>
          <w:p w14:paraId="271DAA71" w14:textId="77777777" w:rsidR="0033262D" w:rsidRPr="00A06F1E" w:rsidRDefault="0033262D">
            <w:pPr>
              <w:pStyle w:val="TableColHeadingCenter"/>
              <w:rPr>
                <w:rFonts w:eastAsia="MS Mincho"/>
              </w:rPr>
            </w:pPr>
            <w:r w:rsidRPr="00A06F1E">
              <w:rPr>
                <w:rFonts w:eastAsia="MS Mincho"/>
              </w:rPr>
              <w:t>n</w:t>
            </w:r>
          </w:p>
        </w:tc>
        <w:tc>
          <w:tcPr>
            <w:tcW w:w="892" w:type="dxa"/>
          </w:tcPr>
          <w:p w14:paraId="38207DC7" w14:textId="77777777" w:rsidR="0033262D" w:rsidRPr="00A06F1E" w:rsidRDefault="0033262D">
            <w:pPr>
              <w:pStyle w:val="TableColHeadingCenter"/>
              <w:rPr>
                <w:rFonts w:eastAsia="MS Mincho"/>
              </w:rPr>
            </w:pPr>
            <w:r w:rsidRPr="00A06F1E">
              <w:rPr>
                <w:rFonts w:eastAsia="MS Mincho"/>
              </w:rPr>
              <w:t>Average</w:t>
            </w:r>
          </w:p>
        </w:tc>
      </w:tr>
      <w:tr w:rsidR="0033262D" w:rsidRPr="00A06F1E" w14:paraId="0605B14F" w14:textId="77777777" w:rsidTr="0033262D">
        <w:trPr>
          <w:jc w:val="center"/>
        </w:trPr>
        <w:tc>
          <w:tcPr>
            <w:tcW w:w="1432" w:type="dxa"/>
            <w:shd w:val="clear" w:color="auto" w:fill="D9E2F3" w:themeFill="accent5" w:themeFillTint="33"/>
          </w:tcPr>
          <w:p w14:paraId="1FE58B07" w14:textId="77777777" w:rsidR="0033262D" w:rsidRPr="00A06F1E" w:rsidRDefault="0033262D">
            <w:pPr>
              <w:pStyle w:val="TableSubheadingCentered"/>
            </w:pPr>
          </w:p>
        </w:tc>
        <w:tc>
          <w:tcPr>
            <w:tcW w:w="874" w:type="dxa"/>
            <w:shd w:val="clear" w:color="auto" w:fill="D9E2F3" w:themeFill="accent5" w:themeFillTint="33"/>
          </w:tcPr>
          <w:p w14:paraId="44133E92" w14:textId="77777777" w:rsidR="0033262D" w:rsidRPr="00A06F1E" w:rsidRDefault="0033262D">
            <w:pPr>
              <w:pStyle w:val="TableSubheadingCentered"/>
            </w:pPr>
            <w:r w:rsidRPr="00A06F1E">
              <w:t>1</w:t>
            </w:r>
          </w:p>
        </w:tc>
        <w:tc>
          <w:tcPr>
            <w:tcW w:w="874" w:type="dxa"/>
            <w:shd w:val="clear" w:color="auto" w:fill="D9E2F3" w:themeFill="accent5" w:themeFillTint="33"/>
          </w:tcPr>
          <w:p w14:paraId="31543544" w14:textId="77777777" w:rsidR="0033262D" w:rsidRPr="00A06F1E" w:rsidRDefault="0033262D">
            <w:pPr>
              <w:pStyle w:val="TableSubheadingCentered"/>
            </w:pPr>
            <w:r w:rsidRPr="00A06F1E">
              <w:t>2</w:t>
            </w:r>
          </w:p>
        </w:tc>
        <w:tc>
          <w:tcPr>
            <w:tcW w:w="874" w:type="dxa"/>
            <w:shd w:val="clear" w:color="auto" w:fill="D9E2F3" w:themeFill="accent5" w:themeFillTint="33"/>
          </w:tcPr>
          <w:p w14:paraId="068C3D76" w14:textId="77777777" w:rsidR="0033262D" w:rsidRPr="00A06F1E" w:rsidRDefault="0033262D">
            <w:pPr>
              <w:pStyle w:val="TableSubheadingCentered"/>
            </w:pPr>
            <w:r w:rsidRPr="00A06F1E">
              <w:t>3</w:t>
            </w:r>
          </w:p>
        </w:tc>
        <w:tc>
          <w:tcPr>
            <w:tcW w:w="875" w:type="dxa"/>
            <w:shd w:val="clear" w:color="auto" w:fill="D9E2F3" w:themeFill="accent5" w:themeFillTint="33"/>
          </w:tcPr>
          <w:p w14:paraId="4D1E7D7B" w14:textId="77777777" w:rsidR="0033262D" w:rsidRPr="00A06F1E" w:rsidRDefault="0033262D">
            <w:pPr>
              <w:pStyle w:val="TableSubheadingCentered"/>
            </w:pPr>
            <w:r w:rsidRPr="00A06F1E">
              <w:t>4</w:t>
            </w:r>
          </w:p>
        </w:tc>
        <w:tc>
          <w:tcPr>
            <w:tcW w:w="874" w:type="dxa"/>
            <w:shd w:val="clear" w:color="auto" w:fill="D9E2F3" w:themeFill="accent5" w:themeFillTint="33"/>
          </w:tcPr>
          <w:p w14:paraId="25C0B891" w14:textId="77777777" w:rsidR="0033262D" w:rsidRPr="00A06F1E" w:rsidRDefault="0033262D">
            <w:pPr>
              <w:pStyle w:val="TableSubheadingCentered"/>
            </w:pPr>
            <w:r w:rsidRPr="00A06F1E">
              <w:t>5</w:t>
            </w:r>
          </w:p>
        </w:tc>
        <w:tc>
          <w:tcPr>
            <w:tcW w:w="874" w:type="dxa"/>
            <w:shd w:val="clear" w:color="auto" w:fill="D9E2F3" w:themeFill="accent5" w:themeFillTint="33"/>
          </w:tcPr>
          <w:p w14:paraId="6D756731" w14:textId="77777777" w:rsidR="0033262D" w:rsidRPr="00A06F1E" w:rsidRDefault="0033262D">
            <w:pPr>
              <w:pStyle w:val="TableSubheadingCentered"/>
            </w:pPr>
            <w:r w:rsidRPr="00A06F1E">
              <w:t>6</w:t>
            </w:r>
          </w:p>
        </w:tc>
        <w:tc>
          <w:tcPr>
            <w:tcW w:w="875" w:type="dxa"/>
            <w:shd w:val="clear" w:color="auto" w:fill="D9E2F3" w:themeFill="accent5" w:themeFillTint="33"/>
          </w:tcPr>
          <w:p w14:paraId="4C04BECF" w14:textId="77777777" w:rsidR="0033262D" w:rsidRPr="00A06F1E" w:rsidRDefault="0033262D">
            <w:pPr>
              <w:pStyle w:val="TableSubheadingCentered"/>
            </w:pPr>
            <w:r w:rsidRPr="00A06F1E">
              <w:t>7</w:t>
            </w:r>
          </w:p>
        </w:tc>
        <w:tc>
          <w:tcPr>
            <w:tcW w:w="900" w:type="dxa"/>
            <w:shd w:val="clear" w:color="auto" w:fill="D9E2F3" w:themeFill="accent5" w:themeFillTint="33"/>
          </w:tcPr>
          <w:p w14:paraId="6D18D65A" w14:textId="77777777" w:rsidR="0033262D" w:rsidRPr="00A06F1E" w:rsidRDefault="0033262D">
            <w:pPr>
              <w:pStyle w:val="TableSubheadingCentered"/>
            </w:pPr>
            <w:r w:rsidRPr="00A06F1E">
              <w:t>42</w:t>
            </w:r>
          </w:p>
        </w:tc>
        <w:tc>
          <w:tcPr>
            <w:tcW w:w="892" w:type="dxa"/>
            <w:shd w:val="clear" w:color="auto" w:fill="D9E2F3" w:themeFill="accent5" w:themeFillTint="33"/>
          </w:tcPr>
          <w:p w14:paraId="6CE41BA6" w14:textId="77777777" w:rsidR="0033262D" w:rsidRPr="00A06F1E" w:rsidRDefault="0033262D">
            <w:pPr>
              <w:pStyle w:val="TableSubheadingCentered"/>
            </w:pPr>
            <w:r w:rsidRPr="00A06F1E">
              <w:t>2.3</w:t>
            </w:r>
          </w:p>
        </w:tc>
      </w:tr>
      <w:tr w:rsidR="0033262D" w:rsidRPr="00A06F1E" w14:paraId="2304FFF7" w14:textId="77777777" w:rsidTr="0033262D">
        <w:trPr>
          <w:jc w:val="center"/>
        </w:trPr>
        <w:tc>
          <w:tcPr>
            <w:tcW w:w="1432" w:type="dxa"/>
          </w:tcPr>
          <w:p w14:paraId="236FDCDF" w14:textId="77777777" w:rsidR="0033262D" w:rsidRPr="00A06F1E" w:rsidRDefault="0033262D">
            <w:pPr>
              <w:pStyle w:val="TableText"/>
            </w:pPr>
            <w:r w:rsidRPr="00A06F1E">
              <w:t>Grades 4-5**</w:t>
            </w:r>
          </w:p>
        </w:tc>
        <w:tc>
          <w:tcPr>
            <w:tcW w:w="874" w:type="dxa"/>
          </w:tcPr>
          <w:p w14:paraId="15792132"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62FB27E5" w14:textId="77777777" w:rsidR="0033262D" w:rsidRPr="00A06F1E" w:rsidRDefault="0033262D">
            <w:pPr>
              <w:pStyle w:val="TableTextCentered"/>
              <w:rPr>
                <w:rFonts w:eastAsia="Times New Roman"/>
              </w:rPr>
            </w:pPr>
            <w:r w:rsidRPr="00A06F1E">
              <w:rPr>
                <w:rFonts w:eastAsia="Times New Roman"/>
              </w:rPr>
              <w:t>2</w:t>
            </w:r>
          </w:p>
        </w:tc>
        <w:tc>
          <w:tcPr>
            <w:tcW w:w="874" w:type="dxa"/>
          </w:tcPr>
          <w:p w14:paraId="583666E3" w14:textId="77777777" w:rsidR="0033262D" w:rsidRPr="00A06F1E" w:rsidRDefault="0033262D">
            <w:pPr>
              <w:pStyle w:val="TableTextCentered"/>
              <w:rPr>
                <w:rFonts w:eastAsia="Times New Roman"/>
              </w:rPr>
            </w:pPr>
            <w:r w:rsidRPr="00A06F1E">
              <w:rPr>
                <w:rFonts w:eastAsia="Times New Roman"/>
              </w:rPr>
              <w:t>4</w:t>
            </w:r>
          </w:p>
        </w:tc>
        <w:tc>
          <w:tcPr>
            <w:tcW w:w="875" w:type="dxa"/>
          </w:tcPr>
          <w:p w14:paraId="3A16057B"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79DD128D" w14:textId="77777777" w:rsidR="0033262D" w:rsidRPr="00A06F1E" w:rsidRDefault="0033262D">
            <w:pPr>
              <w:pStyle w:val="TableTextCentered"/>
              <w:rPr>
                <w:rFonts w:eastAsia="Times New Roman"/>
              </w:rPr>
            </w:pPr>
            <w:r w:rsidRPr="00A06F1E">
              <w:rPr>
                <w:rFonts w:eastAsia="Times New Roman"/>
              </w:rPr>
              <w:t>2</w:t>
            </w:r>
          </w:p>
        </w:tc>
        <w:tc>
          <w:tcPr>
            <w:tcW w:w="874" w:type="dxa"/>
          </w:tcPr>
          <w:p w14:paraId="311DA761"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59AB0D54" w14:textId="77777777" w:rsidR="0033262D" w:rsidRPr="00A06F1E" w:rsidRDefault="0033262D">
            <w:pPr>
              <w:pStyle w:val="TableTextCentered"/>
              <w:rPr>
                <w:rFonts w:eastAsia="Times New Roman"/>
              </w:rPr>
            </w:pPr>
            <w:r w:rsidRPr="00A06F1E">
              <w:rPr>
                <w:rFonts w:eastAsia="Times New Roman"/>
              </w:rPr>
              <w:t>0</w:t>
            </w:r>
          </w:p>
        </w:tc>
        <w:tc>
          <w:tcPr>
            <w:tcW w:w="900" w:type="dxa"/>
          </w:tcPr>
          <w:p w14:paraId="122B283C" w14:textId="77777777" w:rsidR="0033262D" w:rsidRPr="00A06F1E" w:rsidRDefault="0033262D">
            <w:pPr>
              <w:pStyle w:val="TableTextCentered"/>
              <w:rPr>
                <w:rFonts w:eastAsia="Times New Roman"/>
              </w:rPr>
            </w:pPr>
            <w:r w:rsidRPr="00A06F1E">
              <w:rPr>
                <w:rFonts w:eastAsia="Times New Roman"/>
              </w:rPr>
              <w:t>9</w:t>
            </w:r>
          </w:p>
        </w:tc>
        <w:tc>
          <w:tcPr>
            <w:tcW w:w="892" w:type="dxa"/>
          </w:tcPr>
          <w:p w14:paraId="1CB33BAC" w14:textId="77777777" w:rsidR="0033262D" w:rsidRPr="00A06F1E" w:rsidRDefault="0033262D">
            <w:pPr>
              <w:pStyle w:val="TableTextCentered"/>
              <w:rPr>
                <w:rFonts w:eastAsia="Times New Roman"/>
              </w:rPr>
            </w:pPr>
            <w:r w:rsidRPr="00A06F1E">
              <w:rPr>
                <w:rFonts w:eastAsia="Times New Roman"/>
              </w:rPr>
              <w:t>3.0</w:t>
            </w:r>
          </w:p>
        </w:tc>
      </w:tr>
      <w:tr w:rsidR="0033262D" w:rsidRPr="00A06F1E" w14:paraId="7AACA54E" w14:textId="77777777" w:rsidTr="0033262D">
        <w:trPr>
          <w:jc w:val="center"/>
        </w:trPr>
        <w:tc>
          <w:tcPr>
            <w:tcW w:w="1432" w:type="dxa"/>
          </w:tcPr>
          <w:p w14:paraId="11DC6F57" w14:textId="77777777" w:rsidR="0033262D" w:rsidRPr="00A06F1E" w:rsidRDefault="0033262D">
            <w:pPr>
              <w:pStyle w:val="TableText"/>
            </w:pPr>
            <w:r w:rsidRPr="00A06F1E">
              <w:t>Grades 6-8</w:t>
            </w:r>
          </w:p>
        </w:tc>
        <w:tc>
          <w:tcPr>
            <w:tcW w:w="874" w:type="dxa"/>
          </w:tcPr>
          <w:p w14:paraId="50A81075" w14:textId="77777777" w:rsidR="0033262D" w:rsidRPr="00A06F1E" w:rsidRDefault="0033262D">
            <w:pPr>
              <w:pStyle w:val="TableTextCentered"/>
              <w:rPr>
                <w:rFonts w:eastAsia="Times New Roman"/>
              </w:rPr>
            </w:pPr>
            <w:r w:rsidRPr="00A06F1E">
              <w:rPr>
                <w:rFonts w:eastAsia="Times New Roman"/>
              </w:rPr>
              <w:t>5</w:t>
            </w:r>
          </w:p>
        </w:tc>
        <w:tc>
          <w:tcPr>
            <w:tcW w:w="874" w:type="dxa"/>
          </w:tcPr>
          <w:p w14:paraId="5A8C26A7" w14:textId="77777777" w:rsidR="0033262D" w:rsidRPr="00A06F1E" w:rsidRDefault="0033262D">
            <w:pPr>
              <w:pStyle w:val="TableTextCentered"/>
              <w:rPr>
                <w:rFonts w:eastAsia="Times New Roman"/>
              </w:rPr>
            </w:pPr>
            <w:r w:rsidRPr="00A06F1E">
              <w:rPr>
                <w:rFonts w:eastAsia="Times New Roman"/>
              </w:rPr>
              <w:t>7</w:t>
            </w:r>
          </w:p>
        </w:tc>
        <w:tc>
          <w:tcPr>
            <w:tcW w:w="874" w:type="dxa"/>
          </w:tcPr>
          <w:p w14:paraId="4DB3BFD1" w14:textId="77777777" w:rsidR="0033262D" w:rsidRPr="00A06F1E" w:rsidRDefault="0033262D">
            <w:pPr>
              <w:pStyle w:val="TableTextCentered"/>
              <w:rPr>
                <w:rFonts w:eastAsia="Times New Roman"/>
              </w:rPr>
            </w:pPr>
            <w:r w:rsidRPr="00A06F1E">
              <w:rPr>
                <w:rFonts w:eastAsia="Times New Roman"/>
              </w:rPr>
              <w:t>2</w:t>
            </w:r>
          </w:p>
        </w:tc>
        <w:tc>
          <w:tcPr>
            <w:tcW w:w="875" w:type="dxa"/>
          </w:tcPr>
          <w:p w14:paraId="03D28507" w14:textId="77777777" w:rsidR="0033262D" w:rsidRPr="00A06F1E" w:rsidRDefault="0033262D">
            <w:pPr>
              <w:pStyle w:val="TableTextCentered"/>
              <w:rPr>
                <w:rFonts w:eastAsia="Times New Roman"/>
              </w:rPr>
            </w:pPr>
            <w:r w:rsidRPr="00A06F1E">
              <w:rPr>
                <w:rFonts w:eastAsia="Times New Roman"/>
              </w:rPr>
              <w:t>2</w:t>
            </w:r>
          </w:p>
        </w:tc>
        <w:tc>
          <w:tcPr>
            <w:tcW w:w="874" w:type="dxa"/>
          </w:tcPr>
          <w:p w14:paraId="3E4617B0"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220792FB"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179E6B12" w14:textId="77777777" w:rsidR="0033262D" w:rsidRPr="00A06F1E" w:rsidRDefault="0033262D">
            <w:pPr>
              <w:pStyle w:val="TableTextCentered"/>
              <w:rPr>
                <w:rFonts w:eastAsia="Times New Roman"/>
              </w:rPr>
            </w:pPr>
            <w:r w:rsidRPr="00A06F1E">
              <w:rPr>
                <w:rFonts w:eastAsia="Times New Roman"/>
              </w:rPr>
              <w:t>0</w:t>
            </w:r>
          </w:p>
        </w:tc>
        <w:tc>
          <w:tcPr>
            <w:tcW w:w="900" w:type="dxa"/>
          </w:tcPr>
          <w:p w14:paraId="337E5ABF" w14:textId="77777777" w:rsidR="0033262D" w:rsidRPr="00A06F1E" w:rsidRDefault="0033262D">
            <w:pPr>
              <w:pStyle w:val="TableTextCentered"/>
              <w:rPr>
                <w:rFonts w:eastAsia="Times New Roman"/>
              </w:rPr>
            </w:pPr>
            <w:r w:rsidRPr="00A06F1E">
              <w:rPr>
                <w:rFonts w:eastAsia="Times New Roman"/>
              </w:rPr>
              <w:t>17</w:t>
            </w:r>
          </w:p>
        </w:tc>
        <w:tc>
          <w:tcPr>
            <w:tcW w:w="892" w:type="dxa"/>
          </w:tcPr>
          <w:p w14:paraId="116C16A0" w14:textId="77777777" w:rsidR="0033262D" w:rsidRPr="00A06F1E" w:rsidRDefault="0033262D">
            <w:pPr>
              <w:pStyle w:val="TableTextCentered"/>
              <w:rPr>
                <w:rFonts w:eastAsia="Times New Roman"/>
              </w:rPr>
            </w:pPr>
            <w:r w:rsidRPr="00A06F1E">
              <w:rPr>
                <w:rFonts w:eastAsia="Times New Roman"/>
              </w:rPr>
              <w:t>2.2</w:t>
            </w:r>
          </w:p>
        </w:tc>
      </w:tr>
      <w:tr w:rsidR="0033262D" w:rsidRPr="00A06F1E" w14:paraId="52A9B2C1" w14:textId="77777777" w:rsidTr="0033262D">
        <w:trPr>
          <w:jc w:val="center"/>
        </w:trPr>
        <w:tc>
          <w:tcPr>
            <w:tcW w:w="1432" w:type="dxa"/>
          </w:tcPr>
          <w:p w14:paraId="4C4E8F7B" w14:textId="77777777" w:rsidR="0033262D" w:rsidRPr="00A06F1E" w:rsidRDefault="0033262D">
            <w:pPr>
              <w:pStyle w:val="TableText"/>
            </w:pPr>
            <w:r w:rsidRPr="00A06F1E">
              <w:t>Grades 9-12</w:t>
            </w:r>
          </w:p>
        </w:tc>
        <w:tc>
          <w:tcPr>
            <w:tcW w:w="874" w:type="dxa"/>
          </w:tcPr>
          <w:p w14:paraId="7CE33C1E" w14:textId="77777777" w:rsidR="0033262D" w:rsidRPr="00A06F1E" w:rsidRDefault="0033262D">
            <w:pPr>
              <w:pStyle w:val="TableTextCentered"/>
              <w:rPr>
                <w:rFonts w:eastAsia="Times New Roman"/>
              </w:rPr>
            </w:pPr>
            <w:r w:rsidRPr="00A06F1E">
              <w:rPr>
                <w:rFonts w:eastAsia="Times New Roman"/>
              </w:rPr>
              <w:t>6</w:t>
            </w:r>
          </w:p>
        </w:tc>
        <w:tc>
          <w:tcPr>
            <w:tcW w:w="874" w:type="dxa"/>
          </w:tcPr>
          <w:p w14:paraId="34865451" w14:textId="77777777" w:rsidR="0033262D" w:rsidRPr="00A06F1E" w:rsidRDefault="0033262D">
            <w:pPr>
              <w:pStyle w:val="TableTextCentered"/>
              <w:rPr>
                <w:rFonts w:eastAsia="Times New Roman"/>
              </w:rPr>
            </w:pPr>
            <w:r w:rsidRPr="00A06F1E">
              <w:rPr>
                <w:rFonts w:eastAsia="Times New Roman"/>
              </w:rPr>
              <w:t>4</w:t>
            </w:r>
          </w:p>
        </w:tc>
        <w:tc>
          <w:tcPr>
            <w:tcW w:w="874" w:type="dxa"/>
          </w:tcPr>
          <w:p w14:paraId="205D865D" w14:textId="77777777" w:rsidR="0033262D" w:rsidRPr="00A06F1E" w:rsidRDefault="0033262D">
            <w:pPr>
              <w:pStyle w:val="TableTextCentered"/>
              <w:rPr>
                <w:rFonts w:eastAsia="Times New Roman"/>
              </w:rPr>
            </w:pPr>
            <w:r w:rsidRPr="00A06F1E">
              <w:rPr>
                <w:rFonts w:eastAsia="Times New Roman"/>
              </w:rPr>
              <w:t>5</w:t>
            </w:r>
          </w:p>
        </w:tc>
        <w:tc>
          <w:tcPr>
            <w:tcW w:w="875" w:type="dxa"/>
          </w:tcPr>
          <w:p w14:paraId="3EF85695"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581E5FD4"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204F2FB8"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18E6684F" w14:textId="77777777" w:rsidR="0033262D" w:rsidRPr="00A06F1E" w:rsidRDefault="0033262D">
            <w:pPr>
              <w:pStyle w:val="TableTextCentered"/>
              <w:rPr>
                <w:rFonts w:eastAsia="Times New Roman"/>
              </w:rPr>
            </w:pPr>
            <w:r w:rsidRPr="00A06F1E">
              <w:rPr>
                <w:rFonts w:eastAsia="Times New Roman"/>
              </w:rPr>
              <w:t>0</w:t>
            </w:r>
          </w:p>
        </w:tc>
        <w:tc>
          <w:tcPr>
            <w:tcW w:w="900" w:type="dxa"/>
          </w:tcPr>
          <w:p w14:paraId="5A3C5698" w14:textId="77777777" w:rsidR="0033262D" w:rsidRPr="00A06F1E" w:rsidRDefault="0033262D">
            <w:pPr>
              <w:pStyle w:val="TableTextCentered"/>
              <w:rPr>
                <w:rFonts w:eastAsia="Times New Roman"/>
              </w:rPr>
            </w:pPr>
            <w:r w:rsidRPr="00A06F1E">
              <w:rPr>
                <w:rFonts w:eastAsia="Times New Roman"/>
              </w:rPr>
              <w:t>16</w:t>
            </w:r>
          </w:p>
        </w:tc>
        <w:tc>
          <w:tcPr>
            <w:tcW w:w="892" w:type="dxa"/>
          </w:tcPr>
          <w:p w14:paraId="57D2F263" w14:textId="77777777" w:rsidR="0033262D" w:rsidRPr="00A06F1E" w:rsidRDefault="0033262D">
            <w:pPr>
              <w:pStyle w:val="TableTextCentered"/>
              <w:rPr>
                <w:rFonts w:eastAsia="Times New Roman"/>
              </w:rPr>
            </w:pPr>
            <w:r w:rsidRPr="00A06F1E">
              <w:rPr>
                <w:rFonts w:eastAsia="Times New Roman"/>
              </w:rPr>
              <w:t>2.1</w:t>
            </w:r>
          </w:p>
        </w:tc>
      </w:tr>
    </w:tbl>
    <w:bookmarkEnd w:id="160"/>
    <w:p w14:paraId="533B7A71" w14:textId="77777777" w:rsidR="0033262D" w:rsidRPr="00A06F1E" w:rsidRDefault="0033262D">
      <w:pPr>
        <w:pStyle w:val="TableNote"/>
      </w:pPr>
      <w:r w:rsidRPr="00A06F1E">
        <w:t xml:space="preserve">*The district average is an average of the observation scores. In Table 12, the district average is computed as: </w:t>
      </w:r>
      <w:r w:rsidRPr="00A06F1E">
        <w:br/>
      </w:r>
      <w:bookmarkStart w:id="161" w:name="Dist_AI_Calc"/>
      <w:r w:rsidRPr="00A06F1E">
        <w:t>([1 x 12] + [2 x 13] + [3 x 11] + [4 x 3] + [5 x 3]) ÷ 42 observations = 2.3</w:t>
      </w:r>
      <w:bookmarkEnd w:id="161"/>
    </w:p>
    <w:p w14:paraId="2BD52335" w14:textId="77777777" w:rsidR="0033262D" w:rsidRPr="00A06F1E" w:rsidRDefault="0033262D">
      <w:pPr>
        <w:pStyle w:val="TableNote"/>
      </w:pPr>
      <w:r w:rsidRPr="00A06F1E">
        <w:t>**Analysis and Inquiry does not appear in the CLASS K-3 Manual, therefore scores for the Elementary School Level represent grades 4-5 only.</w:t>
      </w:r>
    </w:p>
    <w:p w14:paraId="2AB48025" w14:textId="77777777" w:rsidR="0033262D" w:rsidRPr="00A06F1E" w:rsidRDefault="0033262D">
      <w:pPr>
        <w:pStyle w:val="BodyText"/>
      </w:pPr>
      <w:r w:rsidRPr="00A06F1E">
        <w:rPr>
          <w:rStyle w:val="BodyTextDemiChar"/>
        </w:rPr>
        <w:t>Ratings in the Low Range.</w:t>
      </w:r>
      <w:r w:rsidRPr="00A06F1E">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69A4E7C0" w14:textId="77777777" w:rsidR="0033262D" w:rsidRPr="00A06F1E" w:rsidRDefault="0033262D">
      <w:pPr>
        <w:pStyle w:val="BodyText"/>
      </w:pPr>
      <w:r w:rsidRPr="00A06F1E">
        <w:rPr>
          <w:rStyle w:val="BodyTextDemiChar"/>
        </w:rPr>
        <w:t>Ratings in the Middle Range.</w:t>
      </w:r>
      <w:r w:rsidRPr="00A06F1E">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765BA88F" w14:textId="77777777" w:rsidR="0033262D" w:rsidRPr="00A06F1E" w:rsidRDefault="0033262D">
      <w:pPr>
        <w:pStyle w:val="BodyText"/>
      </w:pPr>
      <w:r w:rsidRPr="00A06F1E">
        <w:rPr>
          <w:rStyle w:val="BodyTextDemiChar"/>
        </w:rPr>
        <w:t>Ratings in the High Range.</w:t>
      </w:r>
      <w:r w:rsidRPr="00A06F1E">
        <w:t xml:space="preserve"> </w:t>
      </w:r>
      <w:r w:rsidRPr="00A06F1E">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355E60CC" w14:textId="77777777" w:rsidR="0033262D" w:rsidRPr="00A06F1E" w:rsidRDefault="0033262D">
      <w:pPr>
        <w:spacing w:after="160" w:line="259" w:lineRule="auto"/>
      </w:pPr>
      <w:r w:rsidRPr="00A06F1E">
        <w:br w:type="page"/>
      </w:r>
    </w:p>
    <w:p w14:paraId="00B44CDA" w14:textId="77777777" w:rsidR="0033262D" w:rsidRPr="00A06F1E" w:rsidRDefault="0033262D">
      <w:pPr>
        <w:pStyle w:val="Heading2-SIOR"/>
      </w:pPr>
      <w:bookmarkStart w:id="162" w:name="_Toc411329836"/>
      <w:bookmarkStart w:id="163" w:name="_Toc430114885"/>
      <w:bookmarkStart w:id="164" w:name="_Toc92194264"/>
      <w:r w:rsidRPr="00A06F1E">
        <w:lastRenderedPageBreak/>
        <w:t>Quality of Feedback</w:t>
      </w:r>
      <w:bookmarkEnd w:id="162"/>
      <w:bookmarkEnd w:id="163"/>
      <w:bookmarkEnd w:id="164"/>
    </w:p>
    <w:p w14:paraId="1FF4F966" w14:textId="77777777" w:rsidR="0033262D" w:rsidRPr="00A06F1E" w:rsidRDefault="0033262D">
      <w:pPr>
        <w:pStyle w:val="BodyTextDomain"/>
      </w:pPr>
      <w:r w:rsidRPr="00A06F1E">
        <w:t>Instructional Support domain, Grades K</w:t>
      </w:r>
      <w:r w:rsidRPr="00A06F1E">
        <w:rPr>
          <w:rFonts w:ascii="Vijaya" w:hAnsi="Vijaya" w:cs="Vijaya"/>
        </w:rPr>
        <w:t>−</w:t>
      </w:r>
      <w:r w:rsidRPr="00A06F1E">
        <w:t xml:space="preserve"> 12</w:t>
      </w:r>
    </w:p>
    <w:p w14:paraId="70ACD3A4" w14:textId="77777777" w:rsidR="006C1DC9" w:rsidRPr="00A06F1E" w:rsidRDefault="0033262D">
      <w:pPr>
        <w:pStyle w:val="BodyText"/>
      </w:pPr>
      <w:r w:rsidRPr="00A06F1E">
        <w:t>Quality of Feedback refers to the degree to which the teacher provides feedback that expands learning and understanding and encourages continued participation in the learning activity (</w:t>
      </w:r>
      <w:r w:rsidRPr="00A06F1E">
        <w:rPr>
          <w:i/>
        </w:rPr>
        <w:t>CLASS K–3 Manual</w:t>
      </w:r>
      <w:r w:rsidRPr="00A06F1E">
        <w:t>, p. 72). In the upper elementary and secondary classrooms, significant feedback also may be provided by peers (</w:t>
      </w:r>
      <w:r w:rsidRPr="00A06F1E">
        <w:rPr>
          <w:i/>
        </w:rPr>
        <w:t>CLASS Upper Elementary Manual</w:t>
      </w:r>
      <w:r w:rsidRPr="00A06F1E">
        <w:t xml:space="preserve">, p. 89, </w:t>
      </w:r>
      <w:r w:rsidRPr="00A06F1E">
        <w:rPr>
          <w:i/>
          <w:spacing w:val="-2"/>
        </w:rPr>
        <w:t>CLASS Secondary Manual</w:t>
      </w:r>
      <w:r w:rsidRPr="00A06F1E">
        <w:rPr>
          <w:spacing w:val="-2"/>
        </w:rPr>
        <w:t>, p. 93</w:t>
      </w:r>
      <w:r w:rsidRPr="00A06F1E">
        <w:t>). Regardless of the source, the focus of the feedback motivates learning.</w:t>
      </w:r>
    </w:p>
    <w:p w14:paraId="59E55D48" w14:textId="7C94B9E7" w:rsidR="0033262D" w:rsidRPr="00A06F1E" w:rsidRDefault="0033262D">
      <w:pPr>
        <w:pStyle w:val="TableTitle0"/>
      </w:pPr>
      <w:bookmarkStart w:id="165" w:name="_Toc170701919"/>
      <w:r w:rsidRPr="00A06F1E">
        <w:t>Table 13. Quality of Feedback: Number of Classrooms for Each Rating and District Average</w:t>
      </w:r>
      <w:bookmarkEnd w:id="165"/>
    </w:p>
    <w:p w14:paraId="4F3869A9" w14:textId="77777777" w:rsidR="0033262D" w:rsidRPr="00A06F1E" w:rsidRDefault="0033262D">
      <w:pPr>
        <w:pStyle w:val="BodyTextDemi"/>
      </w:pPr>
      <w:r w:rsidRPr="00A06F1E">
        <w:t xml:space="preserve">Quality of Feedback District Average*: </w:t>
      </w:r>
      <w:bookmarkStart w:id="166" w:name="Dist_QF_Avg"/>
      <w:r w:rsidRPr="00A06F1E">
        <w:t>2.9</w:t>
      </w:r>
      <w:bookmarkEnd w:id="166"/>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3262D" w:rsidRPr="00A06F1E" w14:paraId="0B04A054" w14:textId="77777777" w:rsidTr="0033262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23A5A1A" w14:textId="77777777" w:rsidR="0033262D" w:rsidRPr="00DF7902" w:rsidRDefault="0033262D">
            <w:pPr>
              <w:pStyle w:val="TableColHeadingCenter"/>
              <w:rPr>
                <w:rFonts w:eastAsia="MS Mincho"/>
              </w:rPr>
            </w:pPr>
            <w:bookmarkStart w:id="167" w:name="Tbl_QF"/>
            <w:r w:rsidRPr="00DF7902">
              <w:rPr>
                <w:rFonts w:eastAsia="MS Mincho"/>
              </w:rPr>
              <w:t>Grade Band</w:t>
            </w:r>
          </w:p>
        </w:tc>
        <w:tc>
          <w:tcPr>
            <w:tcW w:w="1748" w:type="dxa"/>
            <w:gridSpan w:val="2"/>
          </w:tcPr>
          <w:p w14:paraId="539F6BE3" w14:textId="77777777" w:rsidR="0033262D" w:rsidRPr="00A06F1E" w:rsidRDefault="0033262D">
            <w:pPr>
              <w:pStyle w:val="TableColHeadingCenter"/>
              <w:rPr>
                <w:rFonts w:eastAsia="MS Mincho"/>
              </w:rPr>
            </w:pPr>
            <w:r w:rsidRPr="00A06F1E">
              <w:rPr>
                <w:rFonts w:eastAsia="MS Mincho"/>
              </w:rPr>
              <w:t>Low Range</w:t>
            </w:r>
          </w:p>
        </w:tc>
        <w:tc>
          <w:tcPr>
            <w:tcW w:w="2623" w:type="dxa"/>
            <w:gridSpan w:val="3"/>
          </w:tcPr>
          <w:p w14:paraId="25FAD881" w14:textId="77777777" w:rsidR="0033262D" w:rsidRPr="00A06F1E" w:rsidRDefault="0033262D">
            <w:pPr>
              <w:pStyle w:val="TableColHeadingCenter"/>
              <w:rPr>
                <w:rFonts w:eastAsia="MS Mincho"/>
              </w:rPr>
            </w:pPr>
            <w:r w:rsidRPr="00A06F1E">
              <w:rPr>
                <w:rFonts w:eastAsia="MS Mincho"/>
              </w:rPr>
              <w:t>Middle Range</w:t>
            </w:r>
          </w:p>
        </w:tc>
        <w:tc>
          <w:tcPr>
            <w:tcW w:w="1749" w:type="dxa"/>
            <w:gridSpan w:val="2"/>
          </w:tcPr>
          <w:p w14:paraId="23509C11" w14:textId="77777777" w:rsidR="0033262D" w:rsidRPr="00A06F1E" w:rsidRDefault="0033262D">
            <w:pPr>
              <w:pStyle w:val="TableColHeadingCenter"/>
              <w:rPr>
                <w:rFonts w:eastAsia="MS Mincho"/>
              </w:rPr>
            </w:pPr>
            <w:r w:rsidRPr="00A06F1E">
              <w:rPr>
                <w:rFonts w:eastAsia="MS Mincho"/>
              </w:rPr>
              <w:t>High Range</w:t>
            </w:r>
          </w:p>
        </w:tc>
        <w:tc>
          <w:tcPr>
            <w:tcW w:w="900" w:type="dxa"/>
          </w:tcPr>
          <w:p w14:paraId="667FEB6D" w14:textId="77777777" w:rsidR="0033262D" w:rsidRPr="00A06F1E" w:rsidRDefault="0033262D">
            <w:pPr>
              <w:pStyle w:val="TableColHeadingCenter"/>
              <w:rPr>
                <w:rFonts w:eastAsia="MS Mincho"/>
              </w:rPr>
            </w:pPr>
            <w:r w:rsidRPr="00A06F1E">
              <w:rPr>
                <w:rFonts w:eastAsia="MS Mincho"/>
              </w:rPr>
              <w:t>n</w:t>
            </w:r>
          </w:p>
        </w:tc>
        <w:tc>
          <w:tcPr>
            <w:tcW w:w="892" w:type="dxa"/>
          </w:tcPr>
          <w:p w14:paraId="547797BA" w14:textId="77777777" w:rsidR="0033262D" w:rsidRPr="00A06F1E" w:rsidRDefault="0033262D">
            <w:pPr>
              <w:pStyle w:val="TableColHeadingCenter"/>
              <w:rPr>
                <w:rFonts w:eastAsia="MS Mincho"/>
              </w:rPr>
            </w:pPr>
            <w:r w:rsidRPr="00A06F1E">
              <w:rPr>
                <w:rFonts w:eastAsia="MS Mincho"/>
              </w:rPr>
              <w:t>Average</w:t>
            </w:r>
          </w:p>
        </w:tc>
      </w:tr>
      <w:tr w:rsidR="0033262D" w:rsidRPr="00A06F1E" w14:paraId="5CEBF205" w14:textId="77777777" w:rsidTr="0033262D">
        <w:trPr>
          <w:jc w:val="center"/>
        </w:trPr>
        <w:tc>
          <w:tcPr>
            <w:tcW w:w="1432" w:type="dxa"/>
            <w:shd w:val="clear" w:color="auto" w:fill="D9E2F3" w:themeFill="accent5" w:themeFillTint="33"/>
          </w:tcPr>
          <w:p w14:paraId="4B875D41" w14:textId="77777777" w:rsidR="0033262D" w:rsidRPr="00A06F1E" w:rsidRDefault="0033262D">
            <w:pPr>
              <w:pStyle w:val="TableSubheadingCentered"/>
            </w:pPr>
          </w:p>
        </w:tc>
        <w:tc>
          <w:tcPr>
            <w:tcW w:w="874" w:type="dxa"/>
            <w:shd w:val="clear" w:color="auto" w:fill="D9E2F3" w:themeFill="accent5" w:themeFillTint="33"/>
          </w:tcPr>
          <w:p w14:paraId="23115CEF" w14:textId="77777777" w:rsidR="0033262D" w:rsidRPr="00A06F1E" w:rsidRDefault="0033262D">
            <w:pPr>
              <w:pStyle w:val="TableSubheadingCentered"/>
            </w:pPr>
            <w:r w:rsidRPr="00A06F1E">
              <w:t>1</w:t>
            </w:r>
          </w:p>
        </w:tc>
        <w:tc>
          <w:tcPr>
            <w:tcW w:w="874" w:type="dxa"/>
            <w:shd w:val="clear" w:color="auto" w:fill="D9E2F3" w:themeFill="accent5" w:themeFillTint="33"/>
          </w:tcPr>
          <w:p w14:paraId="6C26F9E3" w14:textId="77777777" w:rsidR="0033262D" w:rsidRPr="00A06F1E" w:rsidRDefault="0033262D">
            <w:pPr>
              <w:pStyle w:val="TableSubheadingCentered"/>
            </w:pPr>
            <w:r w:rsidRPr="00A06F1E">
              <w:t>2</w:t>
            </w:r>
          </w:p>
        </w:tc>
        <w:tc>
          <w:tcPr>
            <w:tcW w:w="874" w:type="dxa"/>
            <w:shd w:val="clear" w:color="auto" w:fill="D9E2F3" w:themeFill="accent5" w:themeFillTint="33"/>
          </w:tcPr>
          <w:p w14:paraId="2E4D7B18" w14:textId="77777777" w:rsidR="0033262D" w:rsidRPr="00A06F1E" w:rsidRDefault="0033262D">
            <w:pPr>
              <w:pStyle w:val="TableSubheadingCentered"/>
            </w:pPr>
            <w:r w:rsidRPr="00A06F1E">
              <w:t>3</w:t>
            </w:r>
          </w:p>
        </w:tc>
        <w:tc>
          <w:tcPr>
            <w:tcW w:w="875" w:type="dxa"/>
            <w:shd w:val="clear" w:color="auto" w:fill="D9E2F3" w:themeFill="accent5" w:themeFillTint="33"/>
          </w:tcPr>
          <w:p w14:paraId="6D78047C" w14:textId="77777777" w:rsidR="0033262D" w:rsidRPr="00A06F1E" w:rsidRDefault="0033262D">
            <w:pPr>
              <w:pStyle w:val="TableSubheadingCentered"/>
            </w:pPr>
            <w:r w:rsidRPr="00A06F1E">
              <w:t>4</w:t>
            </w:r>
          </w:p>
        </w:tc>
        <w:tc>
          <w:tcPr>
            <w:tcW w:w="874" w:type="dxa"/>
            <w:shd w:val="clear" w:color="auto" w:fill="D9E2F3" w:themeFill="accent5" w:themeFillTint="33"/>
          </w:tcPr>
          <w:p w14:paraId="3050EECD" w14:textId="77777777" w:rsidR="0033262D" w:rsidRPr="00A06F1E" w:rsidRDefault="0033262D">
            <w:pPr>
              <w:pStyle w:val="TableSubheadingCentered"/>
            </w:pPr>
            <w:r w:rsidRPr="00A06F1E">
              <w:t>5</w:t>
            </w:r>
          </w:p>
        </w:tc>
        <w:tc>
          <w:tcPr>
            <w:tcW w:w="874" w:type="dxa"/>
            <w:shd w:val="clear" w:color="auto" w:fill="D9E2F3" w:themeFill="accent5" w:themeFillTint="33"/>
          </w:tcPr>
          <w:p w14:paraId="2BE5FBBA" w14:textId="77777777" w:rsidR="0033262D" w:rsidRPr="00A06F1E" w:rsidRDefault="0033262D">
            <w:pPr>
              <w:pStyle w:val="TableSubheadingCentered"/>
            </w:pPr>
            <w:r w:rsidRPr="00A06F1E">
              <w:t>6</w:t>
            </w:r>
          </w:p>
        </w:tc>
        <w:tc>
          <w:tcPr>
            <w:tcW w:w="875" w:type="dxa"/>
            <w:shd w:val="clear" w:color="auto" w:fill="D9E2F3" w:themeFill="accent5" w:themeFillTint="33"/>
          </w:tcPr>
          <w:p w14:paraId="30F6CC76" w14:textId="77777777" w:rsidR="0033262D" w:rsidRPr="00A06F1E" w:rsidRDefault="0033262D">
            <w:pPr>
              <w:pStyle w:val="TableSubheadingCentered"/>
            </w:pPr>
            <w:r w:rsidRPr="00A06F1E">
              <w:t>7</w:t>
            </w:r>
          </w:p>
        </w:tc>
        <w:tc>
          <w:tcPr>
            <w:tcW w:w="900" w:type="dxa"/>
            <w:shd w:val="clear" w:color="auto" w:fill="D9E2F3" w:themeFill="accent5" w:themeFillTint="33"/>
          </w:tcPr>
          <w:p w14:paraId="070EA60F" w14:textId="77777777" w:rsidR="0033262D" w:rsidRPr="00A06F1E" w:rsidRDefault="0033262D">
            <w:pPr>
              <w:pStyle w:val="TableSubheadingCentered"/>
            </w:pPr>
            <w:r w:rsidRPr="00A06F1E">
              <w:t>56</w:t>
            </w:r>
          </w:p>
        </w:tc>
        <w:tc>
          <w:tcPr>
            <w:tcW w:w="892" w:type="dxa"/>
            <w:shd w:val="clear" w:color="auto" w:fill="D9E2F3" w:themeFill="accent5" w:themeFillTint="33"/>
          </w:tcPr>
          <w:p w14:paraId="58054319" w14:textId="77777777" w:rsidR="0033262D" w:rsidRPr="00A06F1E" w:rsidRDefault="0033262D">
            <w:pPr>
              <w:pStyle w:val="TableSubheadingCentered"/>
            </w:pPr>
            <w:r w:rsidRPr="00A06F1E">
              <w:t>2.9</w:t>
            </w:r>
          </w:p>
        </w:tc>
      </w:tr>
      <w:tr w:rsidR="0033262D" w:rsidRPr="00A06F1E" w14:paraId="33B82958" w14:textId="77777777" w:rsidTr="0033262D">
        <w:trPr>
          <w:jc w:val="center"/>
        </w:trPr>
        <w:tc>
          <w:tcPr>
            <w:tcW w:w="1432" w:type="dxa"/>
          </w:tcPr>
          <w:p w14:paraId="62B07EC9" w14:textId="77777777" w:rsidR="0033262D" w:rsidRPr="00A06F1E" w:rsidRDefault="0033262D">
            <w:pPr>
              <w:pStyle w:val="TableText"/>
            </w:pPr>
            <w:r w:rsidRPr="00A06F1E">
              <w:t>Grades K-5</w:t>
            </w:r>
          </w:p>
        </w:tc>
        <w:tc>
          <w:tcPr>
            <w:tcW w:w="874" w:type="dxa"/>
          </w:tcPr>
          <w:p w14:paraId="27FCBE1C" w14:textId="77777777" w:rsidR="0033262D" w:rsidRPr="00A06F1E" w:rsidRDefault="0033262D">
            <w:pPr>
              <w:pStyle w:val="TableTextCentered"/>
              <w:rPr>
                <w:rFonts w:eastAsia="Times New Roman"/>
              </w:rPr>
            </w:pPr>
            <w:r w:rsidRPr="00A06F1E">
              <w:rPr>
                <w:rFonts w:eastAsia="Times New Roman"/>
              </w:rPr>
              <w:t>2</w:t>
            </w:r>
          </w:p>
        </w:tc>
        <w:tc>
          <w:tcPr>
            <w:tcW w:w="874" w:type="dxa"/>
          </w:tcPr>
          <w:p w14:paraId="261610E4" w14:textId="77777777" w:rsidR="0033262D" w:rsidRPr="00A06F1E" w:rsidRDefault="0033262D">
            <w:pPr>
              <w:pStyle w:val="TableTextCentered"/>
              <w:rPr>
                <w:rFonts w:eastAsia="Times New Roman"/>
              </w:rPr>
            </w:pPr>
            <w:r w:rsidRPr="00A06F1E">
              <w:rPr>
                <w:rFonts w:eastAsia="Times New Roman"/>
              </w:rPr>
              <w:t>8</w:t>
            </w:r>
          </w:p>
        </w:tc>
        <w:tc>
          <w:tcPr>
            <w:tcW w:w="874" w:type="dxa"/>
          </w:tcPr>
          <w:p w14:paraId="3792B0B4" w14:textId="77777777" w:rsidR="0033262D" w:rsidRPr="00A06F1E" w:rsidRDefault="0033262D">
            <w:pPr>
              <w:pStyle w:val="TableTextCentered"/>
              <w:rPr>
                <w:rFonts w:eastAsia="Times New Roman"/>
              </w:rPr>
            </w:pPr>
            <w:r w:rsidRPr="00A06F1E">
              <w:rPr>
                <w:rFonts w:eastAsia="Times New Roman"/>
              </w:rPr>
              <w:t>6</w:t>
            </w:r>
          </w:p>
        </w:tc>
        <w:tc>
          <w:tcPr>
            <w:tcW w:w="875" w:type="dxa"/>
          </w:tcPr>
          <w:p w14:paraId="1191B3DF" w14:textId="77777777" w:rsidR="0033262D" w:rsidRPr="00A06F1E" w:rsidRDefault="0033262D">
            <w:pPr>
              <w:pStyle w:val="TableTextCentered"/>
              <w:rPr>
                <w:rFonts w:eastAsia="Times New Roman"/>
              </w:rPr>
            </w:pPr>
            <w:r w:rsidRPr="00A06F1E">
              <w:rPr>
                <w:rFonts w:eastAsia="Times New Roman"/>
              </w:rPr>
              <w:t>6</w:t>
            </w:r>
          </w:p>
        </w:tc>
        <w:tc>
          <w:tcPr>
            <w:tcW w:w="874" w:type="dxa"/>
          </w:tcPr>
          <w:p w14:paraId="1DAE3A9F"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400B999D" w14:textId="77777777" w:rsidR="0033262D" w:rsidRPr="00A06F1E" w:rsidRDefault="0033262D">
            <w:pPr>
              <w:pStyle w:val="TableTextCentered"/>
              <w:rPr>
                <w:rFonts w:eastAsia="Times New Roman"/>
              </w:rPr>
            </w:pPr>
            <w:r w:rsidRPr="00A06F1E">
              <w:rPr>
                <w:rFonts w:eastAsia="Times New Roman"/>
              </w:rPr>
              <w:t>1</w:t>
            </w:r>
          </w:p>
        </w:tc>
        <w:tc>
          <w:tcPr>
            <w:tcW w:w="875" w:type="dxa"/>
          </w:tcPr>
          <w:p w14:paraId="1810EA30" w14:textId="77777777" w:rsidR="0033262D" w:rsidRPr="00A06F1E" w:rsidRDefault="0033262D">
            <w:pPr>
              <w:pStyle w:val="TableTextCentered"/>
              <w:rPr>
                <w:rFonts w:eastAsia="Times New Roman"/>
              </w:rPr>
            </w:pPr>
            <w:r w:rsidRPr="00A06F1E">
              <w:rPr>
                <w:rFonts w:eastAsia="Times New Roman"/>
              </w:rPr>
              <w:t>0</w:t>
            </w:r>
          </w:p>
        </w:tc>
        <w:tc>
          <w:tcPr>
            <w:tcW w:w="900" w:type="dxa"/>
          </w:tcPr>
          <w:p w14:paraId="5BF4F838" w14:textId="77777777" w:rsidR="0033262D" w:rsidRPr="00A06F1E" w:rsidRDefault="0033262D">
            <w:pPr>
              <w:pStyle w:val="TableTextCentered"/>
              <w:rPr>
                <w:rFonts w:eastAsia="Times New Roman"/>
              </w:rPr>
            </w:pPr>
            <w:r w:rsidRPr="00A06F1E">
              <w:rPr>
                <w:rFonts w:eastAsia="Times New Roman"/>
              </w:rPr>
              <w:t>23</w:t>
            </w:r>
          </w:p>
        </w:tc>
        <w:tc>
          <w:tcPr>
            <w:tcW w:w="892" w:type="dxa"/>
          </w:tcPr>
          <w:p w14:paraId="5FE372CE" w14:textId="77777777" w:rsidR="0033262D" w:rsidRPr="00A06F1E" w:rsidRDefault="0033262D">
            <w:pPr>
              <w:pStyle w:val="TableTextCentered"/>
              <w:rPr>
                <w:rFonts w:eastAsia="Times New Roman"/>
              </w:rPr>
            </w:pPr>
            <w:r w:rsidRPr="00A06F1E">
              <w:rPr>
                <w:rFonts w:eastAsia="Times New Roman"/>
              </w:rPr>
              <w:t>2.9</w:t>
            </w:r>
          </w:p>
        </w:tc>
      </w:tr>
      <w:tr w:rsidR="0033262D" w:rsidRPr="00A06F1E" w14:paraId="4679AFEC" w14:textId="77777777" w:rsidTr="0033262D">
        <w:trPr>
          <w:jc w:val="center"/>
        </w:trPr>
        <w:tc>
          <w:tcPr>
            <w:tcW w:w="1432" w:type="dxa"/>
          </w:tcPr>
          <w:p w14:paraId="3B16ED03" w14:textId="77777777" w:rsidR="0033262D" w:rsidRPr="00A06F1E" w:rsidRDefault="0033262D">
            <w:pPr>
              <w:pStyle w:val="TableText"/>
            </w:pPr>
            <w:r w:rsidRPr="00A06F1E">
              <w:t>Grades 6-8</w:t>
            </w:r>
          </w:p>
        </w:tc>
        <w:tc>
          <w:tcPr>
            <w:tcW w:w="874" w:type="dxa"/>
          </w:tcPr>
          <w:p w14:paraId="798F4FF9"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09FBF307" w14:textId="77777777" w:rsidR="0033262D" w:rsidRPr="00A06F1E" w:rsidRDefault="0033262D">
            <w:pPr>
              <w:pStyle w:val="TableTextCentered"/>
              <w:rPr>
                <w:rFonts w:eastAsia="Times New Roman"/>
              </w:rPr>
            </w:pPr>
            <w:r w:rsidRPr="00A06F1E">
              <w:rPr>
                <w:rFonts w:eastAsia="Times New Roman"/>
              </w:rPr>
              <w:t>7</w:t>
            </w:r>
          </w:p>
        </w:tc>
        <w:tc>
          <w:tcPr>
            <w:tcW w:w="874" w:type="dxa"/>
          </w:tcPr>
          <w:p w14:paraId="21A718DB" w14:textId="77777777" w:rsidR="0033262D" w:rsidRPr="00A06F1E" w:rsidRDefault="0033262D">
            <w:pPr>
              <w:pStyle w:val="TableTextCentered"/>
              <w:rPr>
                <w:rFonts w:eastAsia="Times New Roman"/>
              </w:rPr>
            </w:pPr>
            <w:r w:rsidRPr="00A06F1E">
              <w:rPr>
                <w:rFonts w:eastAsia="Times New Roman"/>
              </w:rPr>
              <w:t>5</w:t>
            </w:r>
          </w:p>
        </w:tc>
        <w:tc>
          <w:tcPr>
            <w:tcW w:w="875" w:type="dxa"/>
          </w:tcPr>
          <w:p w14:paraId="22713DB6" w14:textId="77777777" w:rsidR="0033262D" w:rsidRPr="00A06F1E" w:rsidRDefault="0033262D">
            <w:pPr>
              <w:pStyle w:val="TableTextCentered"/>
              <w:rPr>
                <w:rFonts w:eastAsia="Times New Roman"/>
              </w:rPr>
            </w:pPr>
            <w:r w:rsidRPr="00A06F1E">
              <w:rPr>
                <w:rFonts w:eastAsia="Times New Roman"/>
              </w:rPr>
              <w:t>2</w:t>
            </w:r>
          </w:p>
        </w:tc>
        <w:tc>
          <w:tcPr>
            <w:tcW w:w="874" w:type="dxa"/>
          </w:tcPr>
          <w:p w14:paraId="6D5932C6" w14:textId="77777777" w:rsidR="0033262D" w:rsidRPr="00A06F1E" w:rsidRDefault="0033262D">
            <w:pPr>
              <w:pStyle w:val="TableTextCentered"/>
              <w:rPr>
                <w:rFonts w:eastAsia="Times New Roman"/>
              </w:rPr>
            </w:pPr>
            <w:r w:rsidRPr="00A06F1E">
              <w:rPr>
                <w:rFonts w:eastAsia="Times New Roman"/>
              </w:rPr>
              <w:t>2</w:t>
            </w:r>
          </w:p>
        </w:tc>
        <w:tc>
          <w:tcPr>
            <w:tcW w:w="874" w:type="dxa"/>
          </w:tcPr>
          <w:p w14:paraId="11FDD6F6"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522C46C0" w14:textId="77777777" w:rsidR="0033262D" w:rsidRPr="00A06F1E" w:rsidRDefault="0033262D">
            <w:pPr>
              <w:pStyle w:val="TableTextCentered"/>
              <w:rPr>
                <w:rFonts w:eastAsia="Times New Roman"/>
              </w:rPr>
            </w:pPr>
            <w:r w:rsidRPr="00A06F1E">
              <w:rPr>
                <w:rFonts w:eastAsia="Times New Roman"/>
              </w:rPr>
              <w:t>1</w:t>
            </w:r>
          </w:p>
        </w:tc>
        <w:tc>
          <w:tcPr>
            <w:tcW w:w="900" w:type="dxa"/>
          </w:tcPr>
          <w:p w14:paraId="07A3141D" w14:textId="77777777" w:rsidR="0033262D" w:rsidRPr="00A06F1E" w:rsidRDefault="0033262D">
            <w:pPr>
              <w:pStyle w:val="TableTextCentered"/>
              <w:rPr>
                <w:rFonts w:eastAsia="Times New Roman"/>
              </w:rPr>
            </w:pPr>
            <w:r w:rsidRPr="00A06F1E">
              <w:rPr>
                <w:rFonts w:eastAsia="Times New Roman"/>
              </w:rPr>
              <w:t>17</w:t>
            </w:r>
          </w:p>
        </w:tc>
        <w:tc>
          <w:tcPr>
            <w:tcW w:w="892" w:type="dxa"/>
          </w:tcPr>
          <w:p w14:paraId="16474047" w14:textId="77777777" w:rsidR="0033262D" w:rsidRPr="00A06F1E" w:rsidRDefault="0033262D">
            <w:pPr>
              <w:pStyle w:val="TableTextCentered"/>
              <w:rPr>
                <w:rFonts w:eastAsia="Times New Roman"/>
              </w:rPr>
            </w:pPr>
            <w:r w:rsidRPr="00A06F1E">
              <w:rPr>
                <w:rFonts w:eastAsia="Times New Roman"/>
              </w:rPr>
              <w:t>3.2</w:t>
            </w:r>
          </w:p>
        </w:tc>
      </w:tr>
      <w:tr w:rsidR="0033262D" w:rsidRPr="00A06F1E" w14:paraId="208D40B5" w14:textId="77777777" w:rsidTr="0033262D">
        <w:trPr>
          <w:jc w:val="center"/>
        </w:trPr>
        <w:tc>
          <w:tcPr>
            <w:tcW w:w="1432" w:type="dxa"/>
          </w:tcPr>
          <w:p w14:paraId="455EB931" w14:textId="77777777" w:rsidR="0033262D" w:rsidRPr="00A06F1E" w:rsidRDefault="0033262D">
            <w:pPr>
              <w:pStyle w:val="TableText"/>
            </w:pPr>
            <w:r w:rsidRPr="00A06F1E">
              <w:t>Grades 9-12</w:t>
            </w:r>
          </w:p>
        </w:tc>
        <w:tc>
          <w:tcPr>
            <w:tcW w:w="874" w:type="dxa"/>
          </w:tcPr>
          <w:p w14:paraId="5DF35914" w14:textId="77777777" w:rsidR="0033262D" w:rsidRPr="00A06F1E" w:rsidRDefault="0033262D">
            <w:pPr>
              <w:pStyle w:val="TableTextCentered"/>
              <w:rPr>
                <w:rFonts w:eastAsia="Times New Roman"/>
              </w:rPr>
            </w:pPr>
            <w:r w:rsidRPr="00A06F1E">
              <w:rPr>
                <w:rFonts w:eastAsia="Times New Roman"/>
              </w:rPr>
              <w:t>3</w:t>
            </w:r>
          </w:p>
        </w:tc>
        <w:tc>
          <w:tcPr>
            <w:tcW w:w="874" w:type="dxa"/>
          </w:tcPr>
          <w:p w14:paraId="5BAD2AA8" w14:textId="77777777" w:rsidR="0033262D" w:rsidRPr="00A06F1E" w:rsidRDefault="0033262D">
            <w:pPr>
              <w:pStyle w:val="TableTextCentered"/>
              <w:rPr>
                <w:rFonts w:eastAsia="Times New Roman"/>
              </w:rPr>
            </w:pPr>
            <w:r w:rsidRPr="00A06F1E">
              <w:rPr>
                <w:rFonts w:eastAsia="Times New Roman"/>
              </w:rPr>
              <w:t>6</w:t>
            </w:r>
          </w:p>
        </w:tc>
        <w:tc>
          <w:tcPr>
            <w:tcW w:w="874" w:type="dxa"/>
          </w:tcPr>
          <w:p w14:paraId="1D4A596F" w14:textId="77777777" w:rsidR="0033262D" w:rsidRPr="00A06F1E" w:rsidRDefault="0033262D">
            <w:pPr>
              <w:pStyle w:val="TableTextCentered"/>
              <w:rPr>
                <w:rFonts w:eastAsia="Times New Roman"/>
              </w:rPr>
            </w:pPr>
            <w:r w:rsidRPr="00A06F1E">
              <w:rPr>
                <w:rFonts w:eastAsia="Times New Roman"/>
              </w:rPr>
              <w:t>4</w:t>
            </w:r>
          </w:p>
        </w:tc>
        <w:tc>
          <w:tcPr>
            <w:tcW w:w="875" w:type="dxa"/>
          </w:tcPr>
          <w:p w14:paraId="4855A81A"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191ED0CE" w14:textId="77777777" w:rsidR="0033262D" w:rsidRPr="00A06F1E" w:rsidRDefault="0033262D">
            <w:pPr>
              <w:pStyle w:val="TableTextCentered"/>
              <w:rPr>
                <w:rFonts w:eastAsia="Times New Roman"/>
              </w:rPr>
            </w:pPr>
            <w:r w:rsidRPr="00A06F1E">
              <w:rPr>
                <w:rFonts w:eastAsia="Times New Roman"/>
              </w:rPr>
              <w:t>2</w:t>
            </w:r>
          </w:p>
        </w:tc>
        <w:tc>
          <w:tcPr>
            <w:tcW w:w="874" w:type="dxa"/>
          </w:tcPr>
          <w:p w14:paraId="4E3D1CC4"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1985724F" w14:textId="77777777" w:rsidR="0033262D" w:rsidRPr="00A06F1E" w:rsidRDefault="0033262D">
            <w:pPr>
              <w:pStyle w:val="TableTextCentered"/>
              <w:rPr>
                <w:rFonts w:eastAsia="Times New Roman"/>
              </w:rPr>
            </w:pPr>
            <w:r w:rsidRPr="00A06F1E">
              <w:rPr>
                <w:rFonts w:eastAsia="Times New Roman"/>
              </w:rPr>
              <w:t>0</w:t>
            </w:r>
          </w:p>
        </w:tc>
        <w:tc>
          <w:tcPr>
            <w:tcW w:w="900" w:type="dxa"/>
          </w:tcPr>
          <w:p w14:paraId="2F7EF1C7" w14:textId="77777777" w:rsidR="0033262D" w:rsidRPr="00A06F1E" w:rsidRDefault="0033262D">
            <w:pPr>
              <w:pStyle w:val="TableTextCentered"/>
              <w:rPr>
                <w:rFonts w:eastAsia="Times New Roman"/>
              </w:rPr>
            </w:pPr>
            <w:r w:rsidRPr="00A06F1E">
              <w:rPr>
                <w:rFonts w:eastAsia="Times New Roman"/>
              </w:rPr>
              <w:t>16</w:t>
            </w:r>
          </w:p>
        </w:tc>
        <w:tc>
          <w:tcPr>
            <w:tcW w:w="892" w:type="dxa"/>
          </w:tcPr>
          <w:p w14:paraId="340E3829" w14:textId="77777777" w:rsidR="0033262D" w:rsidRPr="00A06F1E" w:rsidRDefault="0033262D">
            <w:pPr>
              <w:pStyle w:val="TableTextCentered"/>
              <w:rPr>
                <w:rFonts w:eastAsia="Times New Roman"/>
              </w:rPr>
            </w:pPr>
            <w:r w:rsidRPr="00A06F1E">
              <w:rPr>
                <w:rFonts w:eastAsia="Times New Roman"/>
              </w:rPr>
              <w:t>2.6</w:t>
            </w:r>
          </w:p>
        </w:tc>
      </w:tr>
    </w:tbl>
    <w:bookmarkEnd w:id="167"/>
    <w:p w14:paraId="65F821FD" w14:textId="77777777" w:rsidR="0033262D" w:rsidRPr="00A06F1E" w:rsidRDefault="0033262D">
      <w:pPr>
        <w:pStyle w:val="TableNote"/>
        <w:rPr>
          <w:rFonts w:ascii="Franklin Gothic Book" w:hAnsi="Franklin Gothic Book"/>
        </w:rPr>
      </w:pPr>
      <w:r w:rsidRPr="00A06F1E">
        <w:rPr>
          <w:rFonts w:ascii="Franklin Gothic Book" w:hAnsi="Franklin Gothic Book"/>
        </w:rPr>
        <w:t xml:space="preserve">*The district average is an average of the observation scores. In Table 13, the district average is computed as: </w:t>
      </w:r>
      <w:r w:rsidRPr="00A06F1E">
        <w:rPr>
          <w:rFonts w:ascii="Franklin Gothic Book" w:hAnsi="Franklin Gothic Book"/>
        </w:rPr>
        <w:br/>
      </w:r>
      <w:bookmarkStart w:id="168" w:name="Dist_QF_Calc"/>
      <w:r w:rsidRPr="00A06F1E">
        <w:rPr>
          <w:rFonts w:ascii="Franklin Gothic Book" w:hAnsi="Franklin Gothic Book"/>
        </w:rPr>
        <w:t>([1 x 5] + [2 x 21] + [3 x 15] + [4 x 9] + [5 x 4] + [6 x 1] + [7 x 1]) ÷ 56 observations = 2.9</w:t>
      </w:r>
      <w:bookmarkEnd w:id="168"/>
    </w:p>
    <w:p w14:paraId="7B3CD6A0" w14:textId="77777777" w:rsidR="0033262D" w:rsidRPr="00A06F1E" w:rsidRDefault="0033262D">
      <w:pPr>
        <w:pStyle w:val="BodyText"/>
      </w:pPr>
      <w:r w:rsidRPr="00A06F1E">
        <w:rPr>
          <w:rStyle w:val="BodyTextDemiChar"/>
        </w:rPr>
        <w:t>Ratings in the Low Range.</w:t>
      </w:r>
      <w:r w:rsidRPr="00A06F1E">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6802B1A8" w14:textId="77777777" w:rsidR="0033262D" w:rsidRPr="00A06F1E" w:rsidRDefault="0033262D">
      <w:pPr>
        <w:pStyle w:val="BodyText"/>
      </w:pPr>
      <w:r w:rsidRPr="00A06F1E">
        <w:rPr>
          <w:rStyle w:val="BodyTextDemiChar"/>
        </w:rPr>
        <w:t>Ratings in the Middle Range.</w:t>
      </w:r>
      <w:r w:rsidRPr="00A06F1E">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4A666BD9" w14:textId="67B44EAD" w:rsidR="0033262D" w:rsidRPr="00A06F1E" w:rsidRDefault="0033262D">
      <w:pPr>
        <w:pStyle w:val="BodyText"/>
      </w:pPr>
      <w:r w:rsidRPr="00A06F1E">
        <w:rPr>
          <w:rStyle w:val="BodyTextDemiChar"/>
        </w:rPr>
        <w:t>Ratings in the High Range.</w:t>
      </w:r>
      <w:r w:rsidRPr="00A06F1E">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w:t>
      </w:r>
      <w:r w:rsidR="00040362" w:rsidRPr="00A06F1E">
        <w:t>’</w:t>
      </w:r>
      <w:r w:rsidRPr="00A06F1E">
        <w:t xml:space="preserve"> efforts and persistence.</w:t>
      </w:r>
    </w:p>
    <w:p w14:paraId="56443A4C" w14:textId="77777777" w:rsidR="0033262D" w:rsidRPr="00A06F1E" w:rsidRDefault="0033262D">
      <w:pPr>
        <w:spacing w:after="160" w:line="259" w:lineRule="auto"/>
      </w:pPr>
      <w:r w:rsidRPr="00A06F1E">
        <w:br w:type="page"/>
      </w:r>
    </w:p>
    <w:p w14:paraId="127D66FB" w14:textId="77777777" w:rsidR="0033262D" w:rsidRPr="00A06F1E" w:rsidRDefault="0033262D">
      <w:pPr>
        <w:pStyle w:val="Heading2-SIOR"/>
      </w:pPr>
      <w:bookmarkStart w:id="169" w:name="_Toc411329837"/>
      <w:bookmarkStart w:id="170" w:name="_Toc430114886"/>
      <w:bookmarkStart w:id="171" w:name="_Toc92194265"/>
      <w:r w:rsidRPr="00A06F1E">
        <w:lastRenderedPageBreak/>
        <w:t>Language Modeling</w:t>
      </w:r>
      <w:bookmarkEnd w:id="169"/>
      <w:bookmarkEnd w:id="170"/>
      <w:bookmarkEnd w:id="171"/>
    </w:p>
    <w:p w14:paraId="250311E3" w14:textId="77777777" w:rsidR="006C1DC9" w:rsidRPr="00A06F1E" w:rsidRDefault="0033262D">
      <w:pPr>
        <w:pStyle w:val="BodyTextDomain"/>
      </w:pPr>
      <w:r w:rsidRPr="00A06F1E">
        <w:t>Instructional Support domain, Grades K</w:t>
      </w:r>
      <w:r w:rsidRPr="00A06F1E">
        <w:rPr>
          <w:rFonts w:ascii="Vijaya" w:hAnsi="Vijaya" w:cs="Vijaya"/>
        </w:rPr>
        <w:t xml:space="preserve">− </w:t>
      </w:r>
      <w:r w:rsidRPr="00A06F1E">
        <w:t>3</w:t>
      </w:r>
    </w:p>
    <w:p w14:paraId="260AB6D6" w14:textId="77AB47E1" w:rsidR="0033262D" w:rsidRPr="00A06F1E" w:rsidRDefault="0033262D">
      <w:pPr>
        <w:pStyle w:val="BodyText"/>
      </w:pPr>
      <w:r w:rsidRPr="00A06F1E">
        <w:t>Language Modeling refers to the quality and amount of the teacher</w:t>
      </w:r>
      <w:r w:rsidR="00040362" w:rsidRPr="00A06F1E">
        <w:t>’</w:t>
      </w:r>
      <w:r w:rsidRPr="00A06F1E">
        <w:t>s use of language stimulation and language facilitation techniques (</w:t>
      </w:r>
      <w:r w:rsidRPr="00A06F1E">
        <w:rPr>
          <w:i/>
        </w:rPr>
        <w:t>CLASS K–3 Manual</w:t>
      </w:r>
      <w:r w:rsidRPr="00A06F1E">
        <w:t>, p. 79).</w:t>
      </w:r>
    </w:p>
    <w:p w14:paraId="04150098" w14:textId="77777777" w:rsidR="0033262D" w:rsidRPr="00A06F1E" w:rsidRDefault="0033262D">
      <w:pPr>
        <w:pStyle w:val="TableTitle0"/>
      </w:pPr>
      <w:bookmarkStart w:id="172" w:name="_Toc170701920"/>
      <w:r w:rsidRPr="00A06F1E">
        <w:t>Table 14. Language Modeling: Number of Classrooms for Each Rating and District Average</w:t>
      </w:r>
      <w:bookmarkEnd w:id="172"/>
    </w:p>
    <w:p w14:paraId="34C47A52" w14:textId="77777777" w:rsidR="0033262D" w:rsidRPr="00A06F1E" w:rsidRDefault="0033262D">
      <w:pPr>
        <w:pStyle w:val="BodyTextDemi"/>
      </w:pPr>
      <w:r w:rsidRPr="00A06F1E">
        <w:t xml:space="preserve">Language Modeling District Average*: </w:t>
      </w:r>
      <w:bookmarkStart w:id="173" w:name="Dist_LM_Avg"/>
      <w:r w:rsidRPr="00A06F1E">
        <w:t>2.9</w:t>
      </w:r>
      <w:bookmarkEnd w:id="173"/>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3262D" w:rsidRPr="00A06F1E" w14:paraId="339CD9C7" w14:textId="77777777" w:rsidTr="0033262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09570FB" w14:textId="77777777" w:rsidR="0033262D" w:rsidRPr="00A06F1E" w:rsidRDefault="0033262D">
            <w:pPr>
              <w:pStyle w:val="TableColHeadingCenter"/>
              <w:rPr>
                <w:rFonts w:eastAsia="MS Mincho"/>
              </w:rPr>
            </w:pPr>
            <w:bookmarkStart w:id="174" w:name="Tbl_LM"/>
            <w:r w:rsidRPr="00A06F1E">
              <w:rPr>
                <w:rFonts w:eastAsia="MS Mincho"/>
              </w:rPr>
              <w:t>Grade Band</w:t>
            </w:r>
          </w:p>
        </w:tc>
        <w:tc>
          <w:tcPr>
            <w:tcW w:w="1748" w:type="dxa"/>
            <w:gridSpan w:val="2"/>
          </w:tcPr>
          <w:p w14:paraId="301C3B2E" w14:textId="77777777" w:rsidR="0033262D" w:rsidRPr="00A06F1E" w:rsidRDefault="0033262D">
            <w:pPr>
              <w:pStyle w:val="TableColHeadingCenter"/>
              <w:rPr>
                <w:rFonts w:eastAsia="MS Mincho"/>
              </w:rPr>
            </w:pPr>
            <w:r w:rsidRPr="00A06F1E">
              <w:rPr>
                <w:rFonts w:eastAsia="MS Mincho"/>
              </w:rPr>
              <w:t>Low Range</w:t>
            </w:r>
          </w:p>
        </w:tc>
        <w:tc>
          <w:tcPr>
            <w:tcW w:w="2623" w:type="dxa"/>
            <w:gridSpan w:val="3"/>
          </w:tcPr>
          <w:p w14:paraId="46172010" w14:textId="77777777" w:rsidR="0033262D" w:rsidRPr="00A06F1E" w:rsidRDefault="0033262D">
            <w:pPr>
              <w:pStyle w:val="TableColHeadingCenter"/>
              <w:rPr>
                <w:rFonts w:eastAsia="MS Mincho"/>
              </w:rPr>
            </w:pPr>
            <w:r w:rsidRPr="00A06F1E">
              <w:rPr>
                <w:rFonts w:eastAsia="MS Mincho"/>
              </w:rPr>
              <w:t>Middle Range</w:t>
            </w:r>
          </w:p>
        </w:tc>
        <w:tc>
          <w:tcPr>
            <w:tcW w:w="1749" w:type="dxa"/>
            <w:gridSpan w:val="2"/>
          </w:tcPr>
          <w:p w14:paraId="0035E32D" w14:textId="77777777" w:rsidR="0033262D" w:rsidRPr="00A06F1E" w:rsidRDefault="0033262D">
            <w:pPr>
              <w:pStyle w:val="TableColHeadingCenter"/>
              <w:rPr>
                <w:rFonts w:eastAsia="MS Mincho"/>
              </w:rPr>
            </w:pPr>
            <w:r w:rsidRPr="00A06F1E">
              <w:rPr>
                <w:rFonts w:eastAsia="MS Mincho"/>
              </w:rPr>
              <w:t>High Range</w:t>
            </w:r>
          </w:p>
        </w:tc>
        <w:tc>
          <w:tcPr>
            <w:tcW w:w="900" w:type="dxa"/>
          </w:tcPr>
          <w:p w14:paraId="2E58F543" w14:textId="77777777" w:rsidR="0033262D" w:rsidRPr="00A06F1E" w:rsidRDefault="0033262D">
            <w:pPr>
              <w:pStyle w:val="TableColHeadingCenter"/>
              <w:rPr>
                <w:rFonts w:eastAsia="MS Mincho"/>
              </w:rPr>
            </w:pPr>
            <w:r w:rsidRPr="00A06F1E">
              <w:rPr>
                <w:rFonts w:eastAsia="MS Mincho"/>
              </w:rPr>
              <w:t>n</w:t>
            </w:r>
          </w:p>
        </w:tc>
        <w:tc>
          <w:tcPr>
            <w:tcW w:w="892" w:type="dxa"/>
          </w:tcPr>
          <w:p w14:paraId="25C5E2DC" w14:textId="77777777" w:rsidR="0033262D" w:rsidRPr="00A06F1E" w:rsidRDefault="0033262D">
            <w:pPr>
              <w:pStyle w:val="TableColHeadingCenter"/>
              <w:rPr>
                <w:rFonts w:eastAsia="MS Mincho"/>
              </w:rPr>
            </w:pPr>
            <w:r w:rsidRPr="00A06F1E">
              <w:rPr>
                <w:rFonts w:eastAsia="MS Mincho"/>
              </w:rPr>
              <w:t>Average</w:t>
            </w:r>
          </w:p>
        </w:tc>
      </w:tr>
      <w:tr w:rsidR="0033262D" w:rsidRPr="00A06F1E" w14:paraId="5BC9F363" w14:textId="77777777" w:rsidTr="0033262D">
        <w:trPr>
          <w:jc w:val="center"/>
        </w:trPr>
        <w:tc>
          <w:tcPr>
            <w:tcW w:w="1432" w:type="dxa"/>
            <w:shd w:val="clear" w:color="auto" w:fill="D9E2F3" w:themeFill="accent5" w:themeFillTint="33"/>
          </w:tcPr>
          <w:p w14:paraId="235B888D" w14:textId="77777777" w:rsidR="0033262D" w:rsidRPr="00A06F1E" w:rsidRDefault="0033262D">
            <w:pPr>
              <w:pStyle w:val="TableSubheadingCentered"/>
            </w:pPr>
          </w:p>
        </w:tc>
        <w:tc>
          <w:tcPr>
            <w:tcW w:w="874" w:type="dxa"/>
            <w:shd w:val="clear" w:color="auto" w:fill="D9E2F3" w:themeFill="accent5" w:themeFillTint="33"/>
          </w:tcPr>
          <w:p w14:paraId="09925A39" w14:textId="77777777" w:rsidR="0033262D" w:rsidRPr="00A06F1E" w:rsidRDefault="0033262D">
            <w:pPr>
              <w:pStyle w:val="TableSubheadingCentered"/>
            </w:pPr>
            <w:r w:rsidRPr="00A06F1E">
              <w:t>1</w:t>
            </w:r>
          </w:p>
        </w:tc>
        <w:tc>
          <w:tcPr>
            <w:tcW w:w="874" w:type="dxa"/>
            <w:shd w:val="clear" w:color="auto" w:fill="D9E2F3" w:themeFill="accent5" w:themeFillTint="33"/>
          </w:tcPr>
          <w:p w14:paraId="4E9BFDBF" w14:textId="77777777" w:rsidR="0033262D" w:rsidRPr="00A06F1E" w:rsidRDefault="0033262D">
            <w:pPr>
              <w:pStyle w:val="TableSubheadingCentered"/>
            </w:pPr>
            <w:r w:rsidRPr="00A06F1E">
              <w:t>2</w:t>
            </w:r>
          </w:p>
        </w:tc>
        <w:tc>
          <w:tcPr>
            <w:tcW w:w="874" w:type="dxa"/>
            <w:shd w:val="clear" w:color="auto" w:fill="D9E2F3" w:themeFill="accent5" w:themeFillTint="33"/>
          </w:tcPr>
          <w:p w14:paraId="51625556" w14:textId="77777777" w:rsidR="0033262D" w:rsidRPr="00A06F1E" w:rsidRDefault="0033262D">
            <w:pPr>
              <w:pStyle w:val="TableSubheadingCentered"/>
            </w:pPr>
            <w:r w:rsidRPr="00A06F1E">
              <w:t>3</w:t>
            </w:r>
          </w:p>
        </w:tc>
        <w:tc>
          <w:tcPr>
            <w:tcW w:w="875" w:type="dxa"/>
            <w:shd w:val="clear" w:color="auto" w:fill="D9E2F3" w:themeFill="accent5" w:themeFillTint="33"/>
          </w:tcPr>
          <w:p w14:paraId="4470B2FC" w14:textId="77777777" w:rsidR="0033262D" w:rsidRPr="00A06F1E" w:rsidRDefault="0033262D">
            <w:pPr>
              <w:pStyle w:val="TableSubheadingCentered"/>
            </w:pPr>
            <w:r w:rsidRPr="00A06F1E">
              <w:t>4</w:t>
            </w:r>
          </w:p>
        </w:tc>
        <w:tc>
          <w:tcPr>
            <w:tcW w:w="874" w:type="dxa"/>
            <w:shd w:val="clear" w:color="auto" w:fill="D9E2F3" w:themeFill="accent5" w:themeFillTint="33"/>
          </w:tcPr>
          <w:p w14:paraId="328F5938" w14:textId="77777777" w:rsidR="0033262D" w:rsidRPr="00A06F1E" w:rsidRDefault="0033262D">
            <w:pPr>
              <w:pStyle w:val="TableSubheadingCentered"/>
            </w:pPr>
            <w:r w:rsidRPr="00A06F1E">
              <w:t>5</w:t>
            </w:r>
          </w:p>
        </w:tc>
        <w:tc>
          <w:tcPr>
            <w:tcW w:w="874" w:type="dxa"/>
            <w:shd w:val="clear" w:color="auto" w:fill="D9E2F3" w:themeFill="accent5" w:themeFillTint="33"/>
          </w:tcPr>
          <w:p w14:paraId="405E93DC" w14:textId="77777777" w:rsidR="0033262D" w:rsidRPr="00A06F1E" w:rsidRDefault="0033262D">
            <w:pPr>
              <w:pStyle w:val="TableSubheadingCentered"/>
            </w:pPr>
            <w:r w:rsidRPr="00A06F1E">
              <w:t>6</w:t>
            </w:r>
          </w:p>
        </w:tc>
        <w:tc>
          <w:tcPr>
            <w:tcW w:w="875" w:type="dxa"/>
            <w:shd w:val="clear" w:color="auto" w:fill="D9E2F3" w:themeFill="accent5" w:themeFillTint="33"/>
          </w:tcPr>
          <w:p w14:paraId="075B2296" w14:textId="77777777" w:rsidR="0033262D" w:rsidRPr="00A06F1E" w:rsidRDefault="0033262D">
            <w:pPr>
              <w:pStyle w:val="TableSubheadingCentered"/>
            </w:pPr>
            <w:r w:rsidRPr="00A06F1E">
              <w:t>7</w:t>
            </w:r>
          </w:p>
        </w:tc>
        <w:tc>
          <w:tcPr>
            <w:tcW w:w="900" w:type="dxa"/>
            <w:shd w:val="clear" w:color="auto" w:fill="D9E2F3" w:themeFill="accent5" w:themeFillTint="33"/>
          </w:tcPr>
          <w:p w14:paraId="4E4A88CB" w14:textId="77777777" w:rsidR="0033262D" w:rsidRPr="00A06F1E" w:rsidRDefault="0033262D">
            <w:pPr>
              <w:pStyle w:val="TableSubheadingCentered"/>
            </w:pPr>
            <w:r w:rsidRPr="00A06F1E">
              <w:t>14</w:t>
            </w:r>
          </w:p>
        </w:tc>
        <w:tc>
          <w:tcPr>
            <w:tcW w:w="892" w:type="dxa"/>
            <w:shd w:val="clear" w:color="auto" w:fill="D9E2F3" w:themeFill="accent5" w:themeFillTint="33"/>
          </w:tcPr>
          <w:p w14:paraId="1C6EA558" w14:textId="77777777" w:rsidR="0033262D" w:rsidRPr="00A06F1E" w:rsidRDefault="0033262D">
            <w:pPr>
              <w:pStyle w:val="TableSubheadingCentered"/>
            </w:pPr>
            <w:r w:rsidRPr="00A06F1E">
              <w:t>2.9</w:t>
            </w:r>
          </w:p>
        </w:tc>
      </w:tr>
      <w:tr w:rsidR="0033262D" w:rsidRPr="00A06F1E" w14:paraId="0EFB5C5E" w14:textId="77777777" w:rsidTr="0033262D">
        <w:trPr>
          <w:jc w:val="center"/>
        </w:trPr>
        <w:tc>
          <w:tcPr>
            <w:tcW w:w="1432" w:type="dxa"/>
          </w:tcPr>
          <w:p w14:paraId="6D8B15AC" w14:textId="77777777" w:rsidR="0033262D" w:rsidRPr="00A06F1E" w:rsidRDefault="0033262D">
            <w:pPr>
              <w:pStyle w:val="TableText"/>
            </w:pPr>
            <w:r w:rsidRPr="00A06F1E">
              <w:t>Grades K-3**</w:t>
            </w:r>
          </w:p>
        </w:tc>
        <w:tc>
          <w:tcPr>
            <w:tcW w:w="874" w:type="dxa"/>
          </w:tcPr>
          <w:p w14:paraId="0BCB593B"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132AD5B9" w14:textId="77777777" w:rsidR="0033262D" w:rsidRPr="00A06F1E" w:rsidRDefault="0033262D">
            <w:pPr>
              <w:pStyle w:val="TableTextCentered"/>
              <w:rPr>
                <w:rFonts w:eastAsia="Times New Roman"/>
              </w:rPr>
            </w:pPr>
            <w:r w:rsidRPr="00A06F1E">
              <w:rPr>
                <w:rFonts w:eastAsia="Times New Roman"/>
              </w:rPr>
              <w:t>4</w:t>
            </w:r>
          </w:p>
        </w:tc>
        <w:tc>
          <w:tcPr>
            <w:tcW w:w="874" w:type="dxa"/>
          </w:tcPr>
          <w:p w14:paraId="6D55D0E7" w14:textId="77777777" w:rsidR="0033262D" w:rsidRPr="00A06F1E" w:rsidRDefault="0033262D">
            <w:pPr>
              <w:pStyle w:val="TableTextCentered"/>
              <w:rPr>
                <w:rFonts w:eastAsia="Times New Roman"/>
              </w:rPr>
            </w:pPr>
            <w:r w:rsidRPr="00A06F1E">
              <w:rPr>
                <w:rFonts w:eastAsia="Times New Roman"/>
              </w:rPr>
              <w:t>5</w:t>
            </w:r>
          </w:p>
        </w:tc>
        <w:tc>
          <w:tcPr>
            <w:tcW w:w="875" w:type="dxa"/>
          </w:tcPr>
          <w:p w14:paraId="103C1EB0" w14:textId="77777777" w:rsidR="0033262D" w:rsidRPr="00A06F1E" w:rsidRDefault="0033262D">
            <w:pPr>
              <w:pStyle w:val="TableTextCentered"/>
              <w:rPr>
                <w:rFonts w:eastAsia="Times New Roman"/>
              </w:rPr>
            </w:pPr>
            <w:r w:rsidRPr="00A06F1E">
              <w:rPr>
                <w:rFonts w:eastAsia="Times New Roman"/>
              </w:rPr>
              <w:t>3</w:t>
            </w:r>
          </w:p>
        </w:tc>
        <w:tc>
          <w:tcPr>
            <w:tcW w:w="874" w:type="dxa"/>
          </w:tcPr>
          <w:p w14:paraId="6D7207A6"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4A9C509B"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69CD3A53" w14:textId="77777777" w:rsidR="0033262D" w:rsidRPr="00A06F1E" w:rsidRDefault="0033262D">
            <w:pPr>
              <w:pStyle w:val="TableTextCentered"/>
              <w:rPr>
                <w:rFonts w:eastAsia="Times New Roman"/>
              </w:rPr>
            </w:pPr>
            <w:r w:rsidRPr="00A06F1E">
              <w:rPr>
                <w:rFonts w:eastAsia="Times New Roman"/>
              </w:rPr>
              <w:t>0</w:t>
            </w:r>
          </w:p>
        </w:tc>
        <w:tc>
          <w:tcPr>
            <w:tcW w:w="900" w:type="dxa"/>
          </w:tcPr>
          <w:p w14:paraId="01437133" w14:textId="77777777" w:rsidR="0033262D" w:rsidRPr="00A06F1E" w:rsidRDefault="0033262D">
            <w:pPr>
              <w:pStyle w:val="TableTextCentered"/>
              <w:rPr>
                <w:rFonts w:eastAsia="Times New Roman"/>
              </w:rPr>
            </w:pPr>
            <w:r w:rsidRPr="00A06F1E">
              <w:rPr>
                <w:rFonts w:eastAsia="Times New Roman"/>
              </w:rPr>
              <w:t>14</w:t>
            </w:r>
          </w:p>
        </w:tc>
        <w:tc>
          <w:tcPr>
            <w:tcW w:w="892" w:type="dxa"/>
          </w:tcPr>
          <w:p w14:paraId="135A6C59" w14:textId="77777777" w:rsidR="0033262D" w:rsidRPr="00A06F1E" w:rsidRDefault="0033262D">
            <w:pPr>
              <w:pStyle w:val="TableTextCentered"/>
              <w:rPr>
                <w:rFonts w:eastAsia="Times New Roman"/>
              </w:rPr>
            </w:pPr>
            <w:r w:rsidRPr="00A06F1E">
              <w:rPr>
                <w:rFonts w:eastAsia="Times New Roman"/>
              </w:rPr>
              <w:t>2.9</w:t>
            </w:r>
          </w:p>
        </w:tc>
      </w:tr>
    </w:tbl>
    <w:bookmarkEnd w:id="174"/>
    <w:p w14:paraId="5C132C72" w14:textId="77777777" w:rsidR="0033262D" w:rsidRPr="00A06F1E" w:rsidRDefault="0033262D">
      <w:pPr>
        <w:pStyle w:val="TableNote"/>
      </w:pPr>
      <w:r w:rsidRPr="00A06F1E">
        <w:t xml:space="preserve">*The district average is an average of the observation scores. In Table 14, the district average is computed as: </w:t>
      </w:r>
      <w:r w:rsidRPr="00A06F1E">
        <w:br/>
      </w:r>
      <w:bookmarkStart w:id="175" w:name="Dist_LM_Calc"/>
      <w:r w:rsidRPr="00A06F1E">
        <w:t>([1 x 1] + [2 x 4] + [3 x 5] + [4 x 3] + [5 x 1]) ÷ 14 observations = 2.9</w:t>
      </w:r>
      <w:bookmarkEnd w:id="175"/>
    </w:p>
    <w:p w14:paraId="669CECA3" w14:textId="77777777" w:rsidR="0033262D" w:rsidRPr="00A06F1E" w:rsidRDefault="0033262D">
      <w:pPr>
        <w:pStyle w:val="TableNote"/>
      </w:pPr>
      <w:r w:rsidRPr="00A06F1E">
        <w:t>**Language Modeling does not appear in the CLASS Upper Elementary Manual, therefore scores for the Elementary School Level represent grades K-3 only.</w:t>
      </w:r>
    </w:p>
    <w:p w14:paraId="02AF7CB7" w14:textId="3CA37391" w:rsidR="006C1DC9" w:rsidRPr="00A06F1E" w:rsidRDefault="0033262D">
      <w:pPr>
        <w:pStyle w:val="BodyText"/>
      </w:pPr>
      <w:r w:rsidRPr="00A06F1E">
        <w:rPr>
          <w:rStyle w:val="BodyTextDemiChar"/>
        </w:rPr>
        <w:t>Ratings in the Low Range.</w:t>
      </w:r>
      <w:r w:rsidRPr="00A06F1E">
        <w:t xml:space="preserve"> In the low range, there are few conversations in the classroom, particularly between the students and the teacher. The teacher responds to students</w:t>
      </w:r>
      <w:r w:rsidR="00040362" w:rsidRPr="00A06F1E">
        <w:t>’</w:t>
      </w:r>
      <w:r w:rsidRPr="00A06F1E">
        <w:t xml:space="preserve"> initiating talk with only a few words, limits students</w:t>
      </w:r>
      <w:r w:rsidR="00040362" w:rsidRPr="00A06F1E">
        <w:t>’</w:t>
      </w:r>
      <w:r w:rsidRPr="00A06F1E">
        <w:t xml:space="preserve"> use of language (in responding to questions) and asks questions that mainly elicit closed-ended responses. The teacher does not or rarely extends students</w:t>
      </w:r>
      <w:r w:rsidR="00040362" w:rsidRPr="00A06F1E">
        <w:t>’</w:t>
      </w:r>
      <w:r w:rsidRPr="00A06F1E">
        <w:t xml:space="preserve"> responses or repeats them for clarification. The teacher does not engage in self-talk or parallel talk—explaining what he or she or the students are doing. The teacher does not use new words or advanced language with students. The language used has little variety.</w:t>
      </w:r>
    </w:p>
    <w:p w14:paraId="71CD98EA" w14:textId="7BE72384" w:rsidR="006C1DC9" w:rsidRPr="00A06F1E" w:rsidRDefault="0033262D">
      <w:pPr>
        <w:pStyle w:val="BodyText"/>
      </w:pPr>
      <w:r w:rsidRPr="00A06F1E">
        <w:rPr>
          <w:rStyle w:val="BodyTextDemiChar"/>
        </w:rPr>
        <w:t>Ratings in the Middle Range.</w:t>
      </w:r>
      <w:r w:rsidRPr="00A06F1E">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w:t>
      </w:r>
      <w:r w:rsidR="00040362" w:rsidRPr="00A06F1E">
        <w:t>’</w:t>
      </w:r>
      <w:r w:rsidRPr="00A06F1E">
        <w:t xml:space="preserve"> responses or repeats what students say. Sometimes, the teacher maps his or her own actions and the students</w:t>
      </w:r>
      <w:r w:rsidR="00040362" w:rsidRPr="00A06F1E">
        <w:t>’</w:t>
      </w:r>
      <w:r w:rsidRPr="00A06F1E">
        <w:t xml:space="preserve"> actions through language and description. The teacher sometimes uses advanced language with students.</w:t>
      </w:r>
    </w:p>
    <w:p w14:paraId="37B45402" w14:textId="77777777" w:rsidR="006C1DC9" w:rsidRPr="00A06F1E" w:rsidRDefault="0033262D">
      <w:pPr>
        <w:pStyle w:val="BodyText"/>
      </w:pPr>
      <w:r w:rsidRPr="00A06F1E">
        <w:rPr>
          <w:rStyle w:val="BodyTextDemiChar"/>
        </w:rPr>
        <w:t>Ratings in the High Range.</w:t>
      </w:r>
      <w:r w:rsidRPr="00A06F1E">
        <w:rPr>
          <w:b/>
        </w:rPr>
        <w:t xml:space="preserve"> </w:t>
      </w:r>
      <w:r w:rsidRPr="00A06F1E">
        <w:t>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w:t>
      </w:r>
    </w:p>
    <w:p w14:paraId="0F2A2626" w14:textId="77777777" w:rsidR="006C1DC9" w:rsidRPr="00A06F1E" w:rsidRDefault="0033262D">
      <w:pPr>
        <w:pStyle w:val="Heading2-SIOR"/>
      </w:pPr>
      <w:bookmarkStart w:id="176" w:name="_Toc379881745"/>
      <w:bookmarkStart w:id="177" w:name="_Toc411329838"/>
      <w:bookmarkStart w:id="178" w:name="_Toc430114887"/>
      <w:bookmarkStart w:id="179" w:name="_Toc92194266"/>
      <w:r w:rsidRPr="00A06F1E">
        <w:lastRenderedPageBreak/>
        <w:t>Instructional Dialogue</w:t>
      </w:r>
      <w:bookmarkEnd w:id="176"/>
      <w:bookmarkEnd w:id="177"/>
      <w:bookmarkEnd w:id="178"/>
      <w:bookmarkEnd w:id="179"/>
    </w:p>
    <w:p w14:paraId="38A6FD45" w14:textId="43BEF0D6" w:rsidR="0033262D" w:rsidRPr="00A06F1E" w:rsidRDefault="0033262D">
      <w:pPr>
        <w:pStyle w:val="BodyTextDomain"/>
      </w:pPr>
      <w:r w:rsidRPr="00A06F1E">
        <w:t>Instructional Support domain, Grades 4</w:t>
      </w:r>
      <w:r w:rsidRPr="00A06F1E">
        <w:rPr>
          <w:rFonts w:ascii="Vijaya" w:hAnsi="Vijaya" w:cs="Vijaya"/>
        </w:rPr>
        <w:t xml:space="preserve">− </w:t>
      </w:r>
      <w:r w:rsidRPr="00A06F1E">
        <w:t>12</w:t>
      </w:r>
    </w:p>
    <w:p w14:paraId="794F0B4B" w14:textId="77777777" w:rsidR="0033262D" w:rsidRPr="00A06F1E" w:rsidRDefault="0033262D">
      <w:pPr>
        <w:pStyle w:val="BodyText"/>
      </w:pPr>
      <w:r w:rsidRPr="00A06F1E">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A06F1E">
        <w:rPr>
          <w:i/>
        </w:rPr>
        <w:t>CLASS Upper Elementary Manual</w:t>
      </w:r>
      <w:r w:rsidRPr="00A06F1E">
        <w:t xml:space="preserve">, p. 97, </w:t>
      </w:r>
      <w:r w:rsidRPr="00A06F1E">
        <w:rPr>
          <w:i/>
        </w:rPr>
        <w:t>CLASS Secondary Manual</w:t>
      </w:r>
      <w:r w:rsidRPr="00A06F1E">
        <w:t>, p. 101).</w:t>
      </w:r>
    </w:p>
    <w:p w14:paraId="6871242B" w14:textId="77777777" w:rsidR="0033262D" w:rsidRPr="00A06F1E" w:rsidRDefault="0033262D">
      <w:pPr>
        <w:pStyle w:val="TableTitle0"/>
        <w:rPr>
          <w:spacing w:val="-4"/>
        </w:rPr>
      </w:pPr>
      <w:bookmarkStart w:id="180" w:name="_Toc170701921"/>
      <w:r w:rsidRPr="00A06F1E">
        <w:rPr>
          <w:spacing w:val="-4"/>
        </w:rPr>
        <w:t>Table 15. Instructional Dialogue: Number of Classrooms for Each Rating and District Average</w:t>
      </w:r>
      <w:bookmarkEnd w:id="180"/>
    </w:p>
    <w:p w14:paraId="5785836D" w14:textId="77777777" w:rsidR="0033262D" w:rsidRPr="00A06F1E" w:rsidRDefault="0033262D" w:rsidP="0033262D">
      <w:pPr>
        <w:pStyle w:val="BodyTextDemi"/>
        <w:spacing w:before="120"/>
      </w:pPr>
      <w:r w:rsidRPr="00A06F1E">
        <w:t xml:space="preserve">Instructional Dialogue District Average*: </w:t>
      </w:r>
      <w:bookmarkStart w:id="181" w:name="Dist_ID_Avg"/>
      <w:r w:rsidRPr="00A06F1E">
        <w:t>2.7</w:t>
      </w:r>
      <w:bookmarkEnd w:id="18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3262D" w:rsidRPr="00A06F1E" w14:paraId="0EBAA741" w14:textId="77777777" w:rsidTr="0033262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80FC577" w14:textId="77777777" w:rsidR="0033262D" w:rsidRPr="00A06F1E" w:rsidRDefault="0033262D">
            <w:pPr>
              <w:pStyle w:val="TableColHeadingCenter"/>
              <w:rPr>
                <w:rFonts w:eastAsia="MS Mincho"/>
              </w:rPr>
            </w:pPr>
            <w:bookmarkStart w:id="182" w:name="Tbl_ID"/>
            <w:r w:rsidRPr="00A06F1E">
              <w:rPr>
                <w:rFonts w:eastAsia="MS Mincho"/>
              </w:rPr>
              <w:t>Grade Band</w:t>
            </w:r>
          </w:p>
        </w:tc>
        <w:tc>
          <w:tcPr>
            <w:tcW w:w="1748" w:type="dxa"/>
            <w:gridSpan w:val="2"/>
          </w:tcPr>
          <w:p w14:paraId="50172A0A" w14:textId="77777777" w:rsidR="0033262D" w:rsidRPr="00A06F1E" w:rsidRDefault="0033262D">
            <w:pPr>
              <w:pStyle w:val="TableColHeadingCenter"/>
              <w:rPr>
                <w:rFonts w:eastAsia="MS Mincho"/>
              </w:rPr>
            </w:pPr>
            <w:r w:rsidRPr="00A06F1E">
              <w:rPr>
                <w:rFonts w:eastAsia="MS Mincho"/>
              </w:rPr>
              <w:t>Low Range</w:t>
            </w:r>
          </w:p>
        </w:tc>
        <w:tc>
          <w:tcPr>
            <w:tcW w:w="2623" w:type="dxa"/>
            <w:gridSpan w:val="3"/>
          </w:tcPr>
          <w:p w14:paraId="23B4AA3C" w14:textId="77777777" w:rsidR="0033262D" w:rsidRPr="00A06F1E" w:rsidRDefault="0033262D">
            <w:pPr>
              <w:pStyle w:val="TableColHeadingCenter"/>
              <w:rPr>
                <w:rFonts w:eastAsia="MS Mincho"/>
              </w:rPr>
            </w:pPr>
            <w:r w:rsidRPr="00A06F1E">
              <w:rPr>
                <w:rFonts w:eastAsia="MS Mincho"/>
              </w:rPr>
              <w:t>Middle Range</w:t>
            </w:r>
          </w:p>
        </w:tc>
        <w:tc>
          <w:tcPr>
            <w:tcW w:w="1749" w:type="dxa"/>
            <w:gridSpan w:val="2"/>
          </w:tcPr>
          <w:p w14:paraId="64F38926" w14:textId="77777777" w:rsidR="0033262D" w:rsidRPr="00A06F1E" w:rsidRDefault="0033262D">
            <w:pPr>
              <w:pStyle w:val="TableColHeadingCenter"/>
              <w:rPr>
                <w:rFonts w:eastAsia="MS Mincho"/>
              </w:rPr>
            </w:pPr>
            <w:r w:rsidRPr="00A06F1E">
              <w:rPr>
                <w:rFonts w:eastAsia="MS Mincho"/>
              </w:rPr>
              <w:t>High Range</w:t>
            </w:r>
          </w:p>
        </w:tc>
        <w:tc>
          <w:tcPr>
            <w:tcW w:w="900" w:type="dxa"/>
          </w:tcPr>
          <w:p w14:paraId="6DE17056" w14:textId="77777777" w:rsidR="0033262D" w:rsidRPr="00A06F1E" w:rsidRDefault="0033262D">
            <w:pPr>
              <w:pStyle w:val="TableColHeadingCenter"/>
              <w:rPr>
                <w:rFonts w:eastAsia="MS Mincho"/>
              </w:rPr>
            </w:pPr>
            <w:r w:rsidRPr="00A06F1E">
              <w:rPr>
                <w:rFonts w:eastAsia="MS Mincho"/>
              </w:rPr>
              <w:t>n</w:t>
            </w:r>
          </w:p>
        </w:tc>
        <w:tc>
          <w:tcPr>
            <w:tcW w:w="892" w:type="dxa"/>
          </w:tcPr>
          <w:p w14:paraId="7C9F84E8" w14:textId="77777777" w:rsidR="0033262D" w:rsidRPr="00A06F1E" w:rsidRDefault="0033262D">
            <w:pPr>
              <w:pStyle w:val="TableColHeadingCenter"/>
              <w:rPr>
                <w:rFonts w:eastAsia="MS Mincho"/>
              </w:rPr>
            </w:pPr>
            <w:r w:rsidRPr="00A06F1E">
              <w:rPr>
                <w:rFonts w:eastAsia="MS Mincho"/>
              </w:rPr>
              <w:t>Average</w:t>
            </w:r>
          </w:p>
        </w:tc>
      </w:tr>
      <w:tr w:rsidR="0033262D" w:rsidRPr="00A06F1E" w14:paraId="36FBBB4F" w14:textId="77777777" w:rsidTr="0033262D">
        <w:trPr>
          <w:jc w:val="center"/>
        </w:trPr>
        <w:tc>
          <w:tcPr>
            <w:tcW w:w="1432" w:type="dxa"/>
            <w:shd w:val="clear" w:color="auto" w:fill="D9E2F3" w:themeFill="accent5" w:themeFillTint="33"/>
          </w:tcPr>
          <w:p w14:paraId="29AF1C8A" w14:textId="77777777" w:rsidR="0033262D" w:rsidRPr="00A06F1E" w:rsidRDefault="0033262D">
            <w:pPr>
              <w:pStyle w:val="TableSubheadingCentered"/>
            </w:pPr>
          </w:p>
        </w:tc>
        <w:tc>
          <w:tcPr>
            <w:tcW w:w="874" w:type="dxa"/>
            <w:shd w:val="clear" w:color="auto" w:fill="D9E2F3" w:themeFill="accent5" w:themeFillTint="33"/>
          </w:tcPr>
          <w:p w14:paraId="3DE6AF40" w14:textId="77777777" w:rsidR="0033262D" w:rsidRPr="00A06F1E" w:rsidRDefault="0033262D">
            <w:pPr>
              <w:pStyle w:val="TableSubheadingCentered"/>
            </w:pPr>
            <w:r w:rsidRPr="00A06F1E">
              <w:t>1</w:t>
            </w:r>
          </w:p>
        </w:tc>
        <w:tc>
          <w:tcPr>
            <w:tcW w:w="874" w:type="dxa"/>
            <w:shd w:val="clear" w:color="auto" w:fill="D9E2F3" w:themeFill="accent5" w:themeFillTint="33"/>
          </w:tcPr>
          <w:p w14:paraId="55DE1147" w14:textId="77777777" w:rsidR="0033262D" w:rsidRPr="00A06F1E" w:rsidRDefault="0033262D">
            <w:pPr>
              <w:pStyle w:val="TableSubheadingCentered"/>
            </w:pPr>
            <w:r w:rsidRPr="00A06F1E">
              <w:t>2</w:t>
            </w:r>
          </w:p>
        </w:tc>
        <w:tc>
          <w:tcPr>
            <w:tcW w:w="874" w:type="dxa"/>
            <w:shd w:val="clear" w:color="auto" w:fill="D9E2F3" w:themeFill="accent5" w:themeFillTint="33"/>
          </w:tcPr>
          <w:p w14:paraId="4349A144" w14:textId="77777777" w:rsidR="0033262D" w:rsidRPr="00A06F1E" w:rsidRDefault="0033262D">
            <w:pPr>
              <w:pStyle w:val="TableSubheadingCentered"/>
            </w:pPr>
            <w:r w:rsidRPr="00A06F1E">
              <w:t>3</w:t>
            </w:r>
          </w:p>
        </w:tc>
        <w:tc>
          <w:tcPr>
            <w:tcW w:w="875" w:type="dxa"/>
            <w:shd w:val="clear" w:color="auto" w:fill="D9E2F3" w:themeFill="accent5" w:themeFillTint="33"/>
          </w:tcPr>
          <w:p w14:paraId="7ABC8AB0" w14:textId="77777777" w:rsidR="0033262D" w:rsidRPr="00A06F1E" w:rsidRDefault="0033262D">
            <w:pPr>
              <w:pStyle w:val="TableSubheadingCentered"/>
            </w:pPr>
            <w:r w:rsidRPr="00A06F1E">
              <w:t>4</w:t>
            </w:r>
          </w:p>
        </w:tc>
        <w:tc>
          <w:tcPr>
            <w:tcW w:w="874" w:type="dxa"/>
            <w:shd w:val="clear" w:color="auto" w:fill="D9E2F3" w:themeFill="accent5" w:themeFillTint="33"/>
          </w:tcPr>
          <w:p w14:paraId="2E216BBD" w14:textId="77777777" w:rsidR="0033262D" w:rsidRPr="00A06F1E" w:rsidRDefault="0033262D">
            <w:pPr>
              <w:pStyle w:val="TableSubheadingCentered"/>
            </w:pPr>
            <w:r w:rsidRPr="00A06F1E">
              <w:t>5</w:t>
            </w:r>
          </w:p>
        </w:tc>
        <w:tc>
          <w:tcPr>
            <w:tcW w:w="874" w:type="dxa"/>
            <w:shd w:val="clear" w:color="auto" w:fill="D9E2F3" w:themeFill="accent5" w:themeFillTint="33"/>
          </w:tcPr>
          <w:p w14:paraId="532EF76B" w14:textId="77777777" w:rsidR="0033262D" w:rsidRPr="00A06F1E" w:rsidRDefault="0033262D">
            <w:pPr>
              <w:pStyle w:val="TableSubheadingCentered"/>
            </w:pPr>
            <w:r w:rsidRPr="00A06F1E">
              <w:t>6</w:t>
            </w:r>
          </w:p>
        </w:tc>
        <w:tc>
          <w:tcPr>
            <w:tcW w:w="875" w:type="dxa"/>
            <w:shd w:val="clear" w:color="auto" w:fill="D9E2F3" w:themeFill="accent5" w:themeFillTint="33"/>
          </w:tcPr>
          <w:p w14:paraId="4BD6A1D5" w14:textId="77777777" w:rsidR="0033262D" w:rsidRPr="00A06F1E" w:rsidRDefault="0033262D">
            <w:pPr>
              <w:pStyle w:val="TableSubheadingCentered"/>
            </w:pPr>
            <w:r w:rsidRPr="00A06F1E">
              <w:t>7</w:t>
            </w:r>
          </w:p>
        </w:tc>
        <w:tc>
          <w:tcPr>
            <w:tcW w:w="900" w:type="dxa"/>
            <w:shd w:val="clear" w:color="auto" w:fill="D9E2F3" w:themeFill="accent5" w:themeFillTint="33"/>
          </w:tcPr>
          <w:p w14:paraId="040B39AE" w14:textId="77777777" w:rsidR="0033262D" w:rsidRPr="00A06F1E" w:rsidRDefault="0033262D">
            <w:pPr>
              <w:pStyle w:val="TableSubheadingCentered"/>
            </w:pPr>
            <w:r w:rsidRPr="00A06F1E">
              <w:t>42</w:t>
            </w:r>
          </w:p>
        </w:tc>
        <w:tc>
          <w:tcPr>
            <w:tcW w:w="892" w:type="dxa"/>
            <w:shd w:val="clear" w:color="auto" w:fill="D9E2F3" w:themeFill="accent5" w:themeFillTint="33"/>
          </w:tcPr>
          <w:p w14:paraId="3DB07EC2" w14:textId="77777777" w:rsidR="0033262D" w:rsidRPr="00A06F1E" w:rsidRDefault="0033262D">
            <w:pPr>
              <w:pStyle w:val="TableSubheadingCentered"/>
            </w:pPr>
            <w:r w:rsidRPr="00A06F1E">
              <w:t>2.7</w:t>
            </w:r>
          </w:p>
        </w:tc>
      </w:tr>
      <w:tr w:rsidR="0033262D" w:rsidRPr="00A06F1E" w14:paraId="167C733E" w14:textId="77777777" w:rsidTr="0033262D">
        <w:trPr>
          <w:jc w:val="center"/>
        </w:trPr>
        <w:tc>
          <w:tcPr>
            <w:tcW w:w="1432" w:type="dxa"/>
          </w:tcPr>
          <w:p w14:paraId="724D8F93" w14:textId="77777777" w:rsidR="0033262D" w:rsidRPr="00A06F1E" w:rsidRDefault="0033262D">
            <w:pPr>
              <w:pStyle w:val="TableText"/>
            </w:pPr>
            <w:r w:rsidRPr="00A06F1E">
              <w:t>Grades 4-5**</w:t>
            </w:r>
          </w:p>
        </w:tc>
        <w:tc>
          <w:tcPr>
            <w:tcW w:w="874" w:type="dxa"/>
          </w:tcPr>
          <w:p w14:paraId="2489FE5A" w14:textId="77777777" w:rsidR="0033262D" w:rsidRPr="00A06F1E" w:rsidRDefault="0033262D">
            <w:pPr>
              <w:pStyle w:val="TableTextCentered"/>
              <w:rPr>
                <w:rFonts w:eastAsia="Times New Roman"/>
              </w:rPr>
            </w:pPr>
            <w:r w:rsidRPr="00A06F1E">
              <w:rPr>
                <w:rFonts w:eastAsia="Times New Roman"/>
              </w:rPr>
              <w:t>3</w:t>
            </w:r>
          </w:p>
        </w:tc>
        <w:tc>
          <w:tcPr>
            <w:tcW w:w="874" w:type="dxa"/>
          </w:tcPr>
          <w:p w14:paraId="5CEF9796"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6E974DF9" w14:textId="77777777" w:rsidR="0033262D" w:rsidRPr="00A06F1E" w:rsidRDefault="0033262D">
            <w:pPr>
              <w:pStyle w:val="TableTextCentered"/>
              <w:rPr>
                <w:rFonts w:eastAsia="Times New Roman"/>
              </w:rPr>
            </w:pPr>
            <w:r w:rsidRPr="00A06F1E">
              <w:rPr>
                <w:rFonts w:eastAsia="Times New Roman"/>
              </w:rPr>
              <w:t>3</w:t>
            </w:r>
          </w:p>
        </w:tc>
        <w:tc>
          <w:tcPr>
            <w:tcW w:w="875" w:type="dxa"/>
          </w:tcPr>
          <w:p w14:paraId="3D974CA8"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7064A4F7"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60199310" w14:textId="77777777" w:rsidR="0033262D" w:rsidRPr="00A06F1E" w:rsidRDefault="0033262D">
            <w:pPr>
              <w:pStyle w:val="TableTextCentered"/>
              <w:rPr>
                <w:rFonts w:eastAsia="Times New Roman"/>
              </w:rPr>
            </w:pPr>
            <w:r w:rsidRPr="00A06F1E">
              <w:rPr>
                <w:rFonts w:eastAsia="Times New Roman"/>
              </w:rPr>
              <w:t>1</w:t>
            </w:r>
          </w:p>
        </w:tc>
        <w:tc>
          <w:tcPr>
            <w:tcW w:w="875" w:type="dxa"/>
          </w:tcPr>
          <w:p w14:paraId="502BA60D" w14:textId="77777777" w:rsidR="0033262D" w:rsidRPr="00A06F1E" w:rsidRDefault="0033262D">
            <w:pPr>
              <w:pStyle w:val="TableTextCentered"/>
              <w:rPr>
                <w:rFonts w:eastAsia="Times New Roman"/>
              </w:rPr>
            </w:pPr>
            <w:r w:rsidRPr="00A06F1E">
              <w:rPr>
                <w:rFonts w:eastAsia="Times New Roman"/>
              </w:rPr>
              <w:t>0</w:t>
            </w:r>
          </w:p>
        </w:tc>
        <w:tc>
          <w:tcPr>
            <w:tcW w:w="900" w:type="dxa"/>
          </w:tcPr>
          <w:p w14:paraId="358E2760" w14:textId="77777777" w:rsidR="0033262D" w:rsidRPr="00A06F1E" w:rsidRDefault="0033262D">
            <w:pPr>
              <w:pStyle w:val="TableTextCentered"/>
              <w:rPr>
                <w:rFonts w:eastAsia="Times New Roman"/>
              </w:rPr>
            </w:pPr>
            <w:r w:rsidRPr="00A06F1E">
              <w:rPr>
                <w:rFonts w:eastAsia="Times New Roman"/>
              </w:rPr>
              <w:t>9</w:t>
            </w:r>
          </w:p>
        </w:tc>
        <w:tc>
          <w:tcPr>
            <w:tcW w:w="892" w:type="dxa"/>
          </w:tcPr>
          <w:p w14:paraId="298961DF" w14:textId="77777777" w:rsidR="0033262D" w:rsidRPr="00A06F1E" w:rsidRDefault="0033262D">
            <w:pPr>
              <w:pStyle w:val="TableTextCentered"/>
              <w:rPr>
                <w:rFonts w:eastAsia="Times New Roman"/>
              </w:rPr>
            </w:pPr>
            <w:r w:rsidRPr="00A06F1E">
              <w:rPr>
                <w:rFonts w:eastAsia="Times New Roman"/>
              </w:rPr>
              <w:t>2.8</w:t>
            </w:r>
          </w:p>
        </w:tc>
      </w:tr>
      <w:tr w:rsidR="0033262D" w:rsidRPr="00A06F1E" w14:paraId="2119C532" w14:textId="77777777" w:rsidTr="0033262D">
        <w:trPr>
          <w:jc w:val="center"/>
        </w:trPr>
        <w:tc>
          <w:tcPr>
            <w:tcW w:w="1432" w:type="dxa"/>
          </w:tcPr>
          <w:p w14:paraId="3F5DD316" w14:textId="77777777" w:rsidR="0033262D" w:rsidRPr="00A06F1E" w:rsidRDefault="0033262D">
            <w:pPr>
              <w:pStyle w:val="TableText"/>
            </w:pPr>
            <w:r w:rsidRPr="00A06F1E">
              <w:t>Grades 6-8</w:t>
            </w:r>
          </w:p>
        </w:tc>
        <w:tc>
          <w:tcPr>
            <w:tcW w:w="874" w:type="dxa"/>
          </w:tcPr>
          <w:p w14:paraId="0D77CA5D" w14:textId="77777777" w:rsidR="0033262D" w:rsidRPr="00A06F1E" w:rsidRDefault="0033262D">
            <w:pPr>
              <w:pStyle w:val="TableTextCentered"/>
              <w:rPr>
                <w:rFonts w:eastAsia="Times New Roman"/>
              </w:rPr>
            </w:pPr>
            <w:r w:rsidRPr="00A06F1E">
              <w:rPr>
                <w:rFonts w:eastAsia="Times New Roman"/>
              </w:rPr>
              <w:t>3</w:t>
            </w:r>
          </w:p>
        </w:tc>
        <w:tc>
          <w:tcPr>
            <w:tcW w:w="874" w:type="dxa"/>
          </w:tcPr>
          <w:p w14:paraId="479AFD52" w14:textId="77777777" w:rsidR="0033262D" w:rsidRPr="00A06F1E" w:rsidRDefault="0033262D">
            <w:pPr>
              <w:pStyle w:val="TableTextCentered"/>
              <w:rPr>
                <w:rFonts w:eastAsia="Times New Roman"/>
              </w:rPr>
            </w:pPr>
            <w:r w:rsidRPr="00A06F1E">
              <w:rPr>
                <w:rFonts w:eastAsia="Times New Roman"/>
              </w:rPr>
              <w:t>5</w:t>
            </w:r>
          </w:p>
        </w:tc>
        <w:tc>
          <w:tcPr>
            <w:tcW w:w="874" w:type="dxa"/>
          </w:tcPr>
          <w:p w14:paraId="1FF4FAB9" w14:textId="77777777" w:rsidR="0033262D" w:rsidRPr="00A06F1E" w:rsidRDefault="0033262D">
            <w:pPr>
              <w:pStyle w:val="TableTextCentered"/>
              <w:rPr>
                <w:rFonts w:eastAsia="Times New Roman"/>
              </w:rPr>
            </w:pPr>
            <w:r w:rsidRPr="00A06F1E">
              <w:rPr>
                <w:rFonts w:eastAsia="Times New Roman"/>
              </w:rPr>
              <w:t>1</w:t>
            </w:r>
          </w:p>
        </w:tc>
        <w:tc>
          <w:tcPr>
            <w:tcW w:w="875" w:type="dxa"/>
          </w:tcPr>
          <w:p w14:paraId="14434D12" w14:textId="77777777" w:rsidR="0033262D" w:rsidRPr="00A06F1E" w:rsidRDefault="0033262D">
            <w:pPr>
              <w:pStyle w:val="TableTextCentered"/>
              <w:rPr>
                <w:rFonts w:eastAsia="Times New Roman"/>
              </w:rPr>
            </w:pPr>
            <w:r w:rsidRPr="00A06F1E">
              <w:rPr>
                <w:rFonts w:eastAsia="Times New Roman"/>
              </w:rPr>
              <w:t>5</w:t>
            </w:r>
          </w:p>
        </w:tc>
        <w:tc>
          <w:tcPr>
            <w:tcW w:w="874" w:type="dxa"/>
          </w:tcPr>
          <w:p w14:paraId="74F0786A"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48486249" w14:textId="77777777" w:rsidR="0033262D" w:rsidRPr="00A06F1E" w:rsidRDefault="0033262D">
            <w:pPr>
              <w:pStyle w:val="TableTextCentered"/>
              <w:rPr>
                <w:rFonts w:eastAsia="Times New Roman"/>
              </w:rPr>
            </w:pPr>
            <w:r w:rsidRPr="00A06F1E">
              <w:rPr>
                <w:rFonts w:eastAsia="Times New Roman"/>
              </w:rPr>
              <w:t>1</w:t>
            </w:r>
          </w:p>
        </w:tc>
        <w:tc>
          <w:tcPr>
            <w:tcW w:w="875" w:type="dxa"/>
          </w:tcPr>
          <w:p w14:paraId="1BEF5407" w14:textId="77777777" w:rsidR="0033262D" w:rsidRPr="00A06F1E" w:rsidRDefault="0033262D">
            <w:pPr>
              <w:pStyle w:val="TableTextCentered"/>
              <w:rPr>
                <w:rFonts w:eastAsia="Times New Roman"/>
              </w:rPr>
            </w:pPr>
            <w:r w:rsidRPr="00A06F1E">
              <w:rPr>
                <w:rFonts w:eastAsia="Times New Roman"/>
              </w:rPr>
              <w:t>1</w:t>
            </w:r>
          </w:p>
        </w:tc>
        <w:tc>
          <w:tcPr>
            <w:tcW w:w="900" w:type="dxa"/>
          </w:tcPr>
          <w:p w14:paraId="47774B49" w14:textId="77777777" w:rsidR="0033262D" w:rsidRPr="00A06F1E" w:rsidRDefault="0033262D">
            <w:pPr>
              <w:pStyle w:val="TableTextCentered"/>
              <w:rPr>
                <w:rFonts w:eastAsia="Times New Roman"/>
              </w:rPr>
            </w:pPr>
            <w:r w:rsidRPr="00A06F1E">
              <w:rPr>
                <w:rFonts w:eastAsia="Times New Roman"/>
              </w:rPr>
              <w:t>17</w:t>
            </w:r>
          </w:p>
        </w:tc>
        <w:tc>
          <w:tcPr>
            <w:tcW w:w="892" w:type="dxa"/>
          </w:tcPr>
          <w:p w14:paraId="469018F2" w14:textId="77777777" w:rsidR="0033262D" w:rsidRPr="00A06F1E" w:rsidRDefault="0033262D">
            <w:pPr>
              <w:pStyle w:val="TableTextCentered"/>
              <w:rPr>
                <w:rFonts w:eastAsia="Times New Roman"/>
              </w:rPr>
            </w:pPr>
            <w:r w:rsidRPr="00A06F1E">
              <w:rPr>
                <w:rFonts w:eastAsia="Times New Roman"/>
              </w:rPr>
              <w:t>3.2</w:t>
            </w:r>
          </w:p>
        </w:tc>
      </w:tr>
      <w:tr w:rsidR="0033262D" w:rsidRPr="00A06F1E" w14:paraId="31E1CB8A" w14:textId="77777777" w:rsidTr="0033262D">
        <w:trPr>
          <w:jc w:val="center"/>
        </w:trPr>
        <w:tc>
          <w:tcPr>
            <w:tcW w:w="1432" w:type="dxa"/>
          </w:tcPr>
          <w:p w14:paraId="74AEDB5D" w14:textId="77777777" w:rsidR="0033262D" w:rsidRPr="00A06F1E" w:rsidRDefault="0033262D">
            <w:pPr>
              <w:pStyle w:val="TableText"/>
            </w:pPr>
            <w:r w:rsidRPr="00A06F1E">
              <w:t>Grades 9-12</w:t>
            </w:r>
          </w:p>
        </w:tc>
        <w:tc>
          <w:tcPr>
            <w:tcW w:w="874" w:type="dxa"/>
          </w:tcPr>
          <w:p w14:paraId="73227492" w14:textId="77777777" w:rsidR="0033262D" w:rsidRPr="00A06F1E" w:rsidRDefault="0033262D">
            <w:pPr>
              <w:pStyle w:val="TableTextCentered"/>
              <w:rPr>
                <w:rFonts w:eastAsia="Times New Roman"/>
              </w:rPr>
            </w:pPr>
            <w:r w:rsidRPr="00A06F1E">
              <w:rPr>
                <w:rFonts w:eastAsia="Times New Roman"/>
              </w:rPr>
              <w:t>8</w:t>
            </w:r>
          </w:p>
        </w:tc>
        <w:tc>
          <w:tcPr>
            <w:tcW w:w="874" w:type="dxa"/>
          </w:tcPr>
          <w:p w14:paraId="0BDEF390" w14:textId="77777777" w:rsidR="0033262D" w:rsidRPr="00A06F1E" w:rsidRDefault="0033262D">
            <w:pPr>
              <w:pStyle w:val="TableTextCentered"/>
              <w:rPr>
                <w:rFonts w:eastAsia="Times New Roman"/>
              </w:rPr>
            </w:pPr>
            <w:r w:rsidRPr="00A06F1E">
              <w:rPr>
                <w:rFonts w:eastAsia="Times New Roman"/>
              </w:rPr>
              <w:t>2</w:t>
            </w:r>
          </w:p>
        </w:tc>
        <w:tc>
          <w:tcPr>
            <w:tcW w:w="874" w:type="dxa"/>
          </w:tcPr>
          <w:p w14:paraId="03328BCC" w14:textId="77777777" w:rsidR="0033262D" w:rsidRPr="00A06F1E" w:rsidRDefault="0033262D">
            <w:pPr>
              <w:pStyle w:val="TableTextCentered"/>
              <w:rPr>
                <w:rFonts w:eastAsia="Times New Roman"/>
              </w:rPr>
            </w:pPr>
            <w:r w:rsidRPr="00A06F1E">
              <w:rPr>
                <w:rFonts w:eastAsia="Times New Roman"/>
              </w:rPr>
              <w:t>3</w:t>
            </w:r>
          </w:p>
        </w:tc>
        <w:tc>
          <w:tcPr>
            <w:tcW w:w="875" w:type="dxa"/>
          </w:tcPr>
          <w:p w14:paraId="4529B23A"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6BA73FD9" w14:textId="77777777" w:rsidR="0033262D" w:rsidRPr="00A06F1E" w:rsidRDefault="0033262D">
            <w:pPr>
              <w:pStyle w:val="TableTextCentered"/>
              <w:rPr>
                <w:rFonts w:eastAsia="Times New Roman"/>
              </w:rPr>
            </w:pPr>
            <w:r w:rsidRPr="00A06F1E">
              <w:rPr>
                <w:rFonts w:eastAsia="Times New Roman"/>
              </w:rPr>
              <w:t>2</w:t>
            </w:r>
          </w:p>
        </w:tc>
        <w:tc>
          <w:tcPr>
            <w:tcW w:w="874" w:type="dxa"/>
          </w:tcPr>
          <w:p w14:paraId="0A496471"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3C9EF939" w14:textId="77777777" w:rsidR="0033262D" w:rsidRPr="00A06F1E" w:rsidRDefault="0033262D">
            <w:pPr>
              <w:pStyle w:val="TableTextCentered"/>
              <w:rPr>
                <w:rFonts w:eastAsia="Times New Roman"/>
              </w:rPr>
            </w:pPr>
            <w:r w:rsidRPr="00A06F1E">
              <w:rPr>
                <w:rFonts w:eastAsia="Times New Roman"/>
              </w:rPr>
              <w:t>0</w:t>
            </w:r>
          </w:p>
        </w:tc>
        <w:tc>
          <w:tcPr>
            <w:tcW w:w="900" w:type="dxa"/>
          </w:tcPr>
          <w:p w14:paraId="39CBE60F" w14:textId="77777777" w:rsidR="0033262D" w:rsidRPr="00A06F1E" w:rsidRDefault="0033262D">
            <w:pPr>
              <w:pStyle w:val="TableTextCentered"/>
              <w:rPr>
                <w:rFonts w:eastAsia="Times New Roman"/>
              </w:rPr>
            </w:pPr>
            <w:r w:rsidRPr="00A06F1E">
              <w:rPr>
                <w:rFonts w:eastAsia="Times New Roman"/>
              </w:rPr>
              <w:t>16</w:t>
            </w:r>
          </w:p>
        </w:tc>
        <w:tc>
          <w:tcPr>
            <w:tcW w:w="892" w:type="dxa"/>
          </w:tcPr>
          <w:p w14:paraId="5E45ABEF" w14:textId="77777777" w:rsidR="0033262D" w:rsidRPr="00A06F1E" w:rsidRDefault="0033262D">
            <w:pPr>
              <w:pStyle w:val="TableTextCentered"/>
              <w:rPr>
                <w:rFonts w:eastAsia="Times New Roman"/>
              </w:rPr>
            </w:pPr>
            <w:r w:rsidRPr="00A06F1E">
              <w:rPr>
                <w:rFonts w:eastAsia="Times New Roman"/>
              </w:rPr>
              <w:t>2.2</w:t>
            </w:r>
          </w:p>
        </w:tc>
      </w:tr>
    </w:tbl>
    <w:bookmarkEnd w:id="182"/>
    <w:p w14:paraId="3E4A2D32" w14:textId="77777777" w:rsidR="0033262D" w:rsidRPr="00A06F1E" w:rsidRDefault="0033262D">
      <w:pPr>
        <w:pStyle w:val="TableNote"/>
      </w:pPr>
      <w:r w:rsidRPr="00A06F1E">
        <w:t xml:space="preserve">*The district average is an average of the observation scores. In Table 15, the district average is computed as: </w:t>
      </w:r>
      <w:r w:rsidRPr="00A06F1E">
        <w:br/>
      </w:r>
      <w:bookmarkStart w:id="183" w:name="Dist_ID_Calc"/>
      <w:r w:rsidRPr="00A06F1E">
        <w:t>([1 x 14] + [2 x 8] + [3 x 7] + [4 x 6] + [5 x 4] + [6 x 2] + [7 x 1]) ÷ 42 observations = 2.7</w:t>
      </w:r>
      <w:bookmarkEnd w:id="183"/>
    </w:p>
    <w:p w14:paraId="3EB4BC9E" w14:textId="77777777" w:rsidR="0033262D" w:rsidRPr="00A06F1E" w:rsidRDefault="0033262D">
      <w:pPr>
        <w:pStyle w:val="TableNote"/>
      </w:pPr>
      <w:r w:rsidRPr="00A06F1E">
        <w:t>**Instructional Dialogue does not appear in the CLASS K-3 Manual, therefore scores for the Elementary School Level represent grades 4-5 only.</w:t>
      </w:r>
    </w:p>
    <w:p w14:paraId="36B4D0FE" w14:textId="6E8D93C2" w:rsidR="0033262D" w:rsidRPr="00A06F1E" w:rsidRDefault="0033262D" w:rsidP="0033262D">
      <w:pPr>
        <w:pStyle w:val="BodyText"/>
        <w:spacing w:before="180"/>
      </w:pPr>
      <w:r w:rsidRPr="00A06F1E">
        <w:rPr>
          <w:rStyle w:val="BodyTextDemiChar"/>
        </w:rPr>
        <w:t>Ratings in the Low Range.</w:t>
      </w:r>
      <w:r w:rsidRPr="00A06F1E">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w:t>
      </w:r>
      <w:r w:rsidR="00040362" w:rsidRPr="00A06F1E">
        <w:t>’</w:t>
      </w:r>
      <w:r w:rsidRPr="00A06F1E">
        <w:t xml:space="preserve"> comments; and/or appear disinterested in other students</w:t>
      </w:r>
      <w:r w:rsidR="00040362" w:rsidRPr="00A06F1E">
        <w:t>’</w:t>
      </w:r>
      <w:r w:rsidRPr="00A06F1E">
        <w:t xml:space="preserve"> comments, resulting in many students not being engaged in instructional dialogues.</w:t>
      </w:r>
    </w:p>
    <w:p w14:paraId="51C260B6" w14:textId="77777777" w:rsidR="0033262D" w:rsidRPr="00A06F1E" w:rsidRDefault="0033262D" w:rsidP="0033262D">
      <w:pPr>
        <w:pStyle w:val="BodyText"/>
        <w:spacing w:before="180"/>
      </w:pPr>
      <w:r w:rsidRPr="00A06F1E">
        <w:rPr>
          <w:rStyle w:val="BodyTextDemiChar"/>
        </w:rPr>
        <w:t>Ratings in the Middle Range.</w:t>
      </w:r>
      <w:r w:rsidRPr="00A06F1E">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4E84655F" w14:textId="77777777" w:rsidR="006C1DC9" w:rsidRPr="00A06F1E" w:rsidRDefault="0033262D" w:rsidP="0033262D">
      <w:pPr>
        <w:pStyle w:val="BodyText"/>
        <w:spacing w:before="180"/>
      </w:pPr>
      <w:r w:rsidRPr="00A06F1E">
        <w:rPr>
          <w:rStyle w:val="BodyTextDemiChar"/>
        </w:rPr>
        <w:t>Ratings in the High Range.</w:t>
      </w:r>
      <w:r w:rsidRPr="00A06F1E">
        <w:rPr>
          <w:b/>
        </w:rPr>
        <w:t xml:space="preserve"> </w:t>
      </w:r>
      <w:r w:rsidRPr="00A06F1E">
        <w:t>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role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w:t>
      </w:r>
    </w:p>
    <w:p w14:paraId="41129DB5" w14:textId="10635A1B" w:rsidR="0033262D" w:rsidRPr="00A06F1E" w:rsidRDefault="0033262D">
      <w:pPr>
        <w:pStyle w:val="Heading2-SIOR"/>
      </w:pPr>
      <w:bookmarkStart w:id="184" w:name="_Toc379881746"/>
      <w:bookmarkStart w:id="185" w:name="_Toc411329839"/>
      <w:bookmarkStart w:id="186" w:name="_Toc430114888"/>
      <w:bookmarkStart w:id="187" w:name="_Toc92194267"/>
      <w:r w:rsidRPr="00A06F1E">
        <w:lastRenderedPageBreak/>
        <w:t>Student Engagement</w:t>
      </w:r>
      <w:bookmarkEnd w:id="184"/>
      <w:bookmarkEnd w:id="185"/>
      <w:bookmarkEnd w:id="186"/>
      <w:bookmarkEnd w:id="187"/>
    </w:p>
    <w:p w14:paraId="0BC366A1" w14:textId="77777777" w:rsidR="006C1DC9" w:rsidRPr="00A06F1E" w:rsidRDefault="0033262D">
      <w:pPr>
        <w:pStyle w:val="BodyTextDomain"/>
      </w:pPr>
      <w:r w:rsidRPr="00A06F1E">
        <w:t>Student Engagement domain, Grades 4</w:t>
      </w:r>
      <w:r w:rsidRPr="00A06F1E">
        <w:rPr>
          <w:rFonts w:ascii="Vijaya" w:hAnsi="Vijaya" w:cs="Vijaya"/>
        </w:rPr>
        <w:t>−</w:t>
      </w:r>
      <w:r w:rsidRPr="00A06F1E">
        <w:t>12</w:t>
      </w:r>
    </w:p>
    <w:p w14:paraId="2699E17B" w14:textId="77777777" w:rsidR="006C1DC9" w:rsidRPr="00A06F1E" w:rsidRDefault="0033262D">
      <w:pPr>
        <w:pStyle w:val="BodyText"/>
      </w:pPr>
      <w:r w:rsidRPr="00A06F1E">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A06F1E">
        <w:rPr>
          <w:i/>
        </w:rPr>
        <w:t>CLASS Upper Elementary Manual</w:t>
      </w:r>
      <w:r w:rsidRPr="00A06F1E">
        <w:t>, p. 105).</w:t>
      </w:r>
    </w:p>
    <w:p w14:paraId="5D5FB492" w14:textId="6086989E" w:rsidR="0033262D" w:rsidRPr="00A06F1E" w:rsidRDefault="0033262D">
      <w:pPr>
        <w:pStyle w:val="TableTitle0"/>
        <w:rPr>
          <w:spacing w:val="-4"/>
        </w:rPr>
      </w:pPr>
      <w:bookmarkStart w:id="188" w:name="_Toc170701922"/>
      <w:r w:rsidRPr="00A06F1E">
        <w:rPr>
          <w:spacing w:val="-4"/>
        </w:rPr>
        <w:t>Table 16. Student Engagement: Number of Classrooms for Each Rating and District Average</w:t>
      </w:r>
      <w:bookmarkEnd w:id="188"/>
    </w:p>
    <w:p w14:paraId="3B9F27B8" w14:textId="77777777" w:rsidR="0033262D" w:rsidRPr="00A06F1E" w:rsidRDefault="0033262D">
      <w:pPr>
        <w:pStyle w:val="BodyTextDemi"/>
      </w:pPr>
      <w:r w:rsidRPr="00A06F1E">
        <w:t xml:space="preserve">Student Engagement District Average*: </w:t>
      </w:r>
      <w:bookmarkStart w:id="189" w:name="Dist_SE_Avg"/>
      <w:r w:rsidRPr="00A06F1E">
        <w:t>4.6</w:t>
      </w:r>
      <w:bookmarkEnd w:id="189"/>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3262D" w:rsidRPr="00A06F1E" w14:paraId="6B3ED9C9" w14:textId="77777777" w:rsidTr="0033262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63C3A026" w14:textId="77777777" w:rsidR="0033262D" w:rsidRPr="00DF7902" w:rsidRDefault="0033262D">
            <w:pPr>
              <w:pStyle w:val="TableColHeadingCenter"/>
              <w:rPr>
                <w:rFonts w:eastAsia="MS Mincho"/>
              </w:rPr>
            </w:pPr>
            <w:bookmarkStart w:id="190" w:name="Tbl_SE"/>
            <w:r w:rsidRPr="00DF7902">
              <w:rPr>
                <w:rFonts w:eastAsia="MS Mincho"/>
              </w:rPr>
              <w:t>Grade Band</w:t>
            </w:r>
          </w:p>
        </w:tc>
        <w:tc>
          <w:tcPr>
            <w:tcW w:w="1748" w:type="dxa"/>
            <w:gridSpan w:val="2"/>
          </w:tcPr>
          <w:p w14:paraId="62E3B7A1" w14:textId="77777777" w:rsidR="0033262D" w:rsidRPr="00A06F1E" w:rsidRDefault="0033262D">
            <w:pPr>
              <w:pStyle w:val="TableColHeadingCenter"/>
              <w:rPr>
                <w:rFonts w:eastAsia="MS Mincho"/>
              </w:rPr>
            </w:pPr>
            <w:r w:rsidRPr="00A06F1E">
              <w:rPr>
                <w:rFonts w:eastAsia="MS Mincho"/>
              </w:rPr>
              <w:t>Low Range</w:t>
            </w:r>
          </w:p>
        </w:tc>
        <w:tc>
          <w:tcPr>
            <w:tcW w:w="2623" w:type="dxa"/>
            <w:gridSpan w:val="3"/>
          </w:tcPr>
          <w:p w14:paraId="550895EC" w14:textId="77777777" w:rsidR="0033262D" w:rsidRPr="00A06F1E" w:rsidRDefault="0033262D">
            <w:pPr>
              <w:pStyle w:val="TableColHeadingCenter"/>
              <w:rPr>
                <w:rFonts w:eastAsia="MS Mincho"/>
              </w:rPr>
            </w:pPr>
            <w:r w:rsidRPr="00A06F1E">
              <w:rPr>
                <w:rFonts w:eastAsia="MS Mincho"/>
              </w:rPr>
              <w:t>Middle Range</w:t>
            </w:r>
          </w:p>
        </w:tc>
        <w:tc>
          <w:tcPr>
            <w:tcW w:w="1749" w:type="dxa"/>
            <w:gridSpan w:val="2"/>
          </w:tcPr>
          <w:p w14:paraId="456C50EE" w14:textId="77777777" w:rsidR="0033262D" w:rsidRPr="00A06F1E" w:rsidRDefault="0033262D">
            <w:pPr>
              <w:pStyle w:val="TableColHeadingCenter"/>
              <w:rPr>
                <w:rFonts w:eastAsia="MS Mincho"/>
              </w:rPr>
            </w:pPr>
            <w:r w:rsidRPr="00A06F1E">
              <w:rPr>
                <w:rFonts w:eastAsia="MS Mincho"/>
              </w:rPr>
              <w:t>High Range</w:t>
            </w:r>
          </w:p>
        </w:tc>
        <w:tc>
          <w:tcPr>
            <w:tcW w:w="900" w:type="dxa"/>
          </w:tcPr>
          <w:p w14:paraId="67699E43" w14:textId="77777777" w:rsidR="0033262D" w:rsidRPr="00A06F1E" w:rsidRDefault="0033262D">
            <w:pPr>
              <w:pStyle w:val="TableColHeadingCenter"/>
              <w:rPr>
                <w:rFonts w:eastAsia="MS Mincho"/>
              </w:rPr>
            </w:pPr>
            <w:r w:rsidRPr="00A06F1E">
              <w:rPr>
                <w:rFonts w:eastAsia="MS Mincho"/>
              </w:rPr>
              <w:t>n</w:t>
            </w:r>
          </w:p>
        </w:tc>
        <w:tc>
          <w:tcPr>
            <w:tcW w:w="892" w:type="dxa"/>
          </w:tcPr>
          <w:p w14:paraId="59E96E71" w14:textId="77777777" w:rsidR="0033262D" w:rsidRPr="00A06F1E" w:rsidRDefault="0033262D">
            <w:pPr>
              <w:pStyle w:val="TableColHeadingCenter"/>
              <w:rPr>
                <w:rFonts w:eastAsia="MS Mincho"/>
              </w:rPr>
            </w:pPr>
            <w:r w:rsidRPr="00A06F1E">
              <w:rPr>
                <w:rFonts w:eastAsia="MS Mincho"/>
              </w:rPr>
              <w:t>Average</w:t>
            </w:r>
          </w:p>
        </w:tc>
      </w:tr>
      <w:tr w:rsidR="0033262D" w:rsidRPr="00A06F1E" w14:paraId="2CE96B6C" w14:textId="77777777" w:rsidTr="0033262D">
        <w:trPr>
          <w:jc w:val="center"/>
        </w:trPr>
        <w:tc>
          <w:tcPr>
            <w:tcW w:w="1432" w:type="dxa"/>
            <w:shd w:val="clear" w:color="auto" w:fill="D9E2F3" w:themeFill="accent5" w:themeFillTint="33"/>
          </w:tcPr>
          <w:p w14:paraId="6535F412" w14:textId="77777777" w:rsidR="0033262D" w:rsidRPr="00A06F1E" w:rsidRDefault="0033262D">
            <w:pPr>
              <w:pStyle w:val="TableSubheadingCentered"/>
            </w:pPr>
          </w:p>
        </w:tc>
        <w:tc>
          <w:tcPr>
            <w:tcW w:w="874" w:type="dxa"/>
            <w:shd w:val="clear" w:color="auto" w:fill="D9E2F3" w:themeFill="accent5" w:themeFillTint="33"/>
          </w:tcPr>
          <w:p w14:paraId="61E140B6" w14:textId="77777777" w:rsidR="0033262D" w:rsidRPr="00A06F1E" w:rsidRDefault="0033262D">
            <w:pPr>
              <w:pStyle w:val="TableSubheadingCentered"/>
            </w:pPr>
            <w:r w:rsidRPr="00A06F1E">
              <w:t>1</w:t>
            </w:r>
          </w:p>
        </w:tc>
        <w:tc>
          <w:tcPr>
            <w:tcW w:w="874" w:type="dxa"/>
            <w:shd w:val="clear" w:color="auto" w:fill="D9E2F3" w:themeFill="accent5" w:themeFillTint="33"/>
          </w:tcPr>
          <w:p w14:paraId="197C6EB8" w14:textId="77777777" w:rsidR="0033262D" w:rsidRPr="00A06F1E" w:rsidRDefault="0033262D">
            <w:pPr>
              <w:pStyle w:val="TableSubheadingCentered"/>
            </w:pPr>
            <w:r w:rsidRPr="00A06F1E">
              <w:t>2</w:t>
            </w:r>
          </w:p>
        </w:tc>
        <w:tc>
          <w:tcPr>
            <w:tcW w:w="874" w:type="dxa"/>
            <w:shd w:val="clear" w:color="auto" w:fill="D9E2F3" w:themeFill="accent5" w:themeFillTint="33"/>
          </w:tcPr>
          <w:p w14:paraId="55B05233" w14:textId="77777777" w:rsidR="0033262D" w:rsidRPr="00A06F1E" w:rsidRDefault="0033262D">
            <w:pPr>
              <w:pStyle w:val="TableSubheadingCentered"/>
            </w:pPr>
            <w:r w:rsidRPr="00A06F1E">
              <w:t>3</w:t>
            </w:r>
          </w:p>
        </w:tc>
        <w:tc>
          <w:tcPr>
            <w:tcW w:w="875" w:type="dxa"/>
            <w:shd w:val="clear" w:color="auto" w:fill="D9E2F3" w:themeFill="accent5" w:themeFillTint="33"/>
          </w:tcPr>
          <w:p w14:paraId="684E41B2" w14:textId="77777777" w:rsidR="0033262D" w:rsidRPr="00A06F1E" w:rsidRDefault="0033262D">
            <w:pPr>
              <w:pStyle w:val="TableSubheadingCentered"/>
            </w:pPr>
            <w:r w:rsidRPr="00A06F1E">
              <w:t>4</w:t>
            </w:r>
          </w:p>
        </w:tc>
        <w:tc>
          <w:tcPr>
            <w:tcW w:w="874" w:type="dxa"/>
            <w:shd w:val="clear" w:color="auto" w:fill="D9E2F3" w:themeFill="accent5" w:themeFillTint="33"/>
          </w:tcPr>
          <w:p w14:paraId="1D3B3B55" w14:textId="77777777" w:rsidR="0033262D" w:rsidRPr="00A06F1E" w:rsidRDefault="0033262D">
            <w:pPr>
              <w:pStyle w:val="TableSubheadingCentered"/>
            </w:pPr>
            <w:r w:rsidRPr="00A06F1E">
              <w:t>5</w:t>
            </w:r>
          </w:p>
        </w:tc>
        <w:tc>
          <w:tcPr>
            <w:tcW w:w="874" w:type="dxa"/>
            <w:shd w:val="clear" w:color="auto" w:fill="D9E2F3" w:themeFill="accent5" w:themeFillTint="33"/>
          </w:tcPr>
          <w:p w14:paraId="045FF46A" w14:textId="77777777" w:rsidR="0033262D" w:rsidRPr="00A06F1E" w:rsidRDefault="0033262D">
            <w:pPr>
              <w:pStyle w:val="TableSubheadingCentered"/>
            </w:pPr>
            <w:r w:rsidRPr="00A06F1E">
              <w:t>6</w:t>
            </w:r>
          </w:p>
        </w:tc>
        <w:tc>
          <w:tcPr>
            <w:tcW w:w="875" w:type="dxa"/>
            <w:shd w:val="clear" w:color="auto" w:fill="D9E2F3" w:themeFill="accent5" w:themeFillTint="33"/>
          </w:tcPr>
          <w:p w14:paraId="70303363" w14:textId="77777777" w:rsidR="0033262D" w:rsidRPr="00A06F1E" w:rsidRDefault="0033262D">
            <w:pPr>
              <w:pStyle w:val="TableSubheadingCentered"/>
            </w:pPr>
            <w:r w:rsidRPr="00A06F1E">
              <w:t>7</w:t>
            </w:r>
          </w:p>
        </w:tc>
        <w:tc>
          <w:tcPr>
            <w:tcW w:w="900" w:type="dxa"/>
            <w:shd w:val="clear" w:color="auto" w:fill="D9E2F3" w:themeFill="accent5" w:themeFillTint="33"/>
          </w:tcPr>
          <w:p w14:paraId="0430559A" w14:textId="77777777" w:rsidR="0033262D" w:rsidRPr="00A06F1E" w:rsidRDefault="0033262D">
            <w:pPr>
              <w:pStyle w:val="TableSubheadingCentered"/>
            </w:pPr>
            <w:r w:rsidRPr="00A06F1E">
              <w:t>42</w:t>
            </w:r>
          </w:p>
        </w:tc>
        <w:tc>
          <w:tcPr>
            <w:tcW w:w="892" w:type="dxa"/>
            <w:shd w:val="clear" w:color="auto" w:fill="D9E2F3" w:themeFill="accent5" w:themeFillTint="33"/>
          </w:tcPr>
          <w:p w14:paraId="4D50B981" w14:textId="77777777" w:rsidR="0033262D" w:rsidRPr="00A06F1E" w:rsidRDefault="0033262D">
            <w:pPr>
              <w:pStyle w:val="TableSubheadingCentered"/>
            </w:pPr>
            <w:r w:rsidRPr="00A06F1E">
              <w:t>4.6</w:t>
            </w:r>
          </w:p>
        </w:tc>
      </w:tr>
      <w:tr w:rsidR="0033262D" w:rsidRPr="00A06F1E" w14:paraId="28664F4C" w14:textId="77777777" w:rsidTr="0033262D">
        <w:trPr>
          <w:jc w:val="center"/>
        </w:trPr>
        <w:tc>
          <w:tcPr>
            <w:tcW w:w="1432" w:type="dxa"/>
          </w:tcPr>
          <w:p w14:paraId="11CAD4BF" w14:textId="77777777" w:rsidR="0033262D" w:rsidRPr="00A06F1E" w:rsidRDefault="0033262D">
            <w:pPr>
              <w:pStyle w:val="TableText"/>
            </w:pPr>
            <w:r w:rsidRPr="00A06F1E">
              <w:t>Grades 4-5**</w:t>
            </w:r>
          </w:p>
        </w:tc>
        <w:tc>
          <w:tcPr>
            <w:tcW w:w="874" w:type="dxa"/>
          </w:tcPr>
          <w:p w14:paraId="2D5053F1"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7DB112FF"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0D32C7A9" w14:textId="77777777" w:rsidR="0033262D" w:rsidRPr="00A06F1E" w:rsidRDefault="0033262D">
            <w:pPr>
              <w:pStyle w:val="TableTextCentered"/>
              <w:rPr>
                <w:rFonts w:eastAsia="Times New Roman"/>
              </w:rPr>
            </w:pPr>
            <w:r w:rsidRPr="00A06F1E">
              <w:rPr>
                <w:rFonts w:eastAsia="Times New Roman"/>
              </w:rPr>
              <w:t>0</w:t>
            </w:r>
          </w:p>
        </w:tc>
        <w:tc>
          <w:tcPr>
            <w:tcW w:w="875" w:type="dxa"/>
          </w:tcPr>
          <w:p w14:paraId="70225E28" w14:textId="77777777" w:rsidR="0033262D" w:rsidRPr="00A06F1E" w:rsidRDefault="0033262D">
            <w:pPr>
              <w:pStyle w:val="TableTextCentered"/>
              <w:rPr>
                <w:rFonts w:eastAsia="Times New Roman"/>
              </w:rPr>
            </w:pPr>
            <w:r w:rsidRPr="00A06F1E">
              <w:rPr>
                <w:rFonts w:eastAsia="Times New Roman"/>
              </w:rPr>
              <w:t>1</w:t>
            </w:r>
          </w:p>
        </w:tc>
        <w:tc>
          <w:tcPr>
            <w:tcW w:w="874" w:type="dxa"/>
          </w:tcPr>
          <w:p w14:paraId="71831479" w14:textId="77777777" w:rsidR="0033262D" w:rsidRPr="00A06F1E" w:rsidRDefault="0033262D">
            <w:pPr>
              <w:pStyle w:val="TableTextCentered"/>
              <w:rPr>
                <w:rFonts w:eastAsia="Times New Roman"/>
              </w:rPr>
            </w:pPr>
            <w:r w:rsidRPr="00A06F1E">
              <w:rPr>
                <w:rFonts w:eastAsia="Times New Roman"/>
              </w:rPr>
              <w:t>6</w:t>
            </w:r>
          </w:p>
        </w:tc>
        <w:tc>
          <w:tcPr>
            <w:tcW w:w="874" w:type="dxa"/>
          </w:tcPr>
          <w:p w14:paraId="4CB54E2F" w14:textId="77777777" w:rsidR="0033262D" w:rsidRPr="00A06F1E" w:rsidRDefault="0033262D">
            <w:pPr>
              <w:pStyle w:val="TableTextCentered"/>
              <w:rPr>
                <w:rFonts w:eastAsia="Times New Roman"/>
              </w:rPr>
            </w:pPr>
            <w:r w:rsidRPr="00A06F1E">
              <w:rPr>
                <w:rFonts w:eastAsia="Times New Roman"/>
              </w:rPr>
              <w:t>1</w:t>
            </w:r>
          </w:p>
        </w:tc>
        <w:tc>
          <w:tcPr>
            <w:tcW w:w="875" w:type="dxa"/>
          </w:tcPr>
          <w:p w14:paraId="62852E06" w14:textId="77777777" w:rsidR="0033262D" w:rsidRPr="00A06F1E" w:rsidRDefault="0033262D">
            <w:pPr>
              <w:pStyle w:val="TableTextCentered"/>
              <w:rPr>
                <w:rFonts w:eastAsia="Times New Roman"/>
              </w:rPr>
            </w:pPr>
            <w:r w:rsidRPr="00A06F1E">
              <w:rPr>
                <w:rFonts w:eastAsia="Times New Roman"/>
              </w:rPr>
              <w:t>1</w:t>
            </w:r>
          </w:p>
        </w:tc>
        <w:tc>
          <w:tcPr>
            <w:tcW w:w="900" w:type="dxa"/>
          </w:tcPr>
          <w:p w14:paraId="2A438AED" w14:textId="77777777" w:rsidR="0033262D" w:rsidRPr="00A06F1E" w:rsidRDefault="0033262D">
            <w:pPr>
              <w:pStyle w:val="TableTextCentered"/>
              <w:rPr>
                <w:rFonts w:eastAsia="Times New Roman"/>
              </w:rPr>
            </w:pPr>
            <w:r w:rsidRPr="00A06F1E">
              <w:rPr>
                <w:rFonts w:eastAsia="Times New Roman"/>
              </w:rPr>
              <w:t>9</w:t>
            </w:r>
          </w:p>
        </w:tc>
        <w:tc>
          <w:tcPr>
            <w:tcW w:w="892" w:type="dxa"/>
          </w:tcPr>
          <w:p w14:paraId="7C356B67" w14:textId="77777777" w:rsidR="0033262D" w:rsidRPr="00A06F1E" w:rsidRDefault="0033262D">
            <w:pPr>
              <w:pStyle w:val="TableTextCentered"/>
              <w:rPr>
                <w:rFonts w:eastAsia="Times New Roman"/>
              </w:rPr>
            </w:pPr>
            <w:r w:rsidRPr="00A06F1E">
              <w:rPr>
                <w:rFonts w:eastAsia="Times New Roman"/>
              </w:rPr>
              <w:t>5.2</w:t>
            </w:r>
          </w:p>
        </w:tc>
      </w:tr>
      <w:tr w:rsidR="0033262D" w:rsidRPr="00A06F1E" w14:paraId="786B7517" w14:textId="77777777" w:rsidTr="0033262D">
        <w:trPr>
          <w:jc w:val="center"/>
        </w:trPr>
        <w:tc>
          <w:tcPr>
            <w:tcW w:w="1432" w:type="dxa"/>
          </w:tcPr>
          <w:p w14:paraId="77FCDA44" w14:textId="77777777" w:rsidR="0033262D" w:rsidRPr="00A06F1E" w:rsidRDefault="0033262D">
            <w:pPr>
              <w:pStyle w:val="TableText"/>
            </w:pPr>
            <w:r w:rsidRPr="00A06F1E">
              <w:t>Grades 6-8</w:t>
            </w:r>
          </w:p>
        </w:tc>
        <w:tc>
          <w:tcPr>
            <w:tcW w:w="874" w:type="dxa"/>
          </w:tcPr>
          <w:p w14:paraId="3A4E63BB"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6C54CEAE"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0C89C992" w14:textId="77777777" w:rsidR="0033262D" w:rsidRPr="00A06F1E" w:rsidRDefault="0033262D">
            <w:pPr>
              <w:pStyle w:val="TableTextCentered"/>
              <w:rPr>
                <w:rFonts w:eastAsia="Times New Roman"/>
              </w:rPr>
            </w:pPr>
            <w:r w:rsidRPr="00A06F1E">
              <w:rPr>
                <w:rFonts w:eastAsia="Times New Roman"/>
              </w:rPr>
              <w:t>1</w:t>
            </w:r>
          </w:p>
        </w:tc>
        <w:tc>
          <w:tcPr>
            <w:tcW w:w="875" w:type="dxa"/>
          </w:tcPr>
          <w:p w14:paraId="1D06B04C" w14:textId="77777777" w:rsidR="0033262D" w:rsidRPr="00A06F1E" w:rsidRDefault="0033262D">
            <w:pPr>
              <w:pStyle w:val="TableTextCentered"/>
              <w:rPr>
                <w:rFonts w:eastAsia="Times New Roman"/>
              </w:rPr>
            </w:pPr>
            <w:r w:rsidRPr="00A06F1E">
              <w:rPr>
                <w:rFonts w:eastAsia="Times New Roman"/>
              </w:rPr>
              <w:t>3</w:t>
            </w:r>
          </w:p>
        </w:tc>
        <w:tc>
          <w:tcPr>
            <w:tcW w:w="874" w:type="dxa"/>
          </w:tcPr>
          <w:p w14:paraId="24A60750" w14:textId="77777777" w:rsidR="0033262D" w:rsidRPr="00A06F1E" w:rsidRDefault="0033262D">
            <w:pPr>
              <w:pStyle w:val="TableTextCentered"/>
              <w:rPr>
                <w:rFonts w:eastAsia="Times New Roman"/>
              </w:rPr>
            </w:pPr>
            <w:r w:rsidRPr="00A06F1E">
              <w:rPr>
                <w:rFonts w:eastAsia="Times New Roman"/>
              </w:rPr>
              <w:t>6</w:t>
            </w:r>
          </w:p>
        </w:tc>
        <w:tc>
          <w:tcPr>
            <w:tcW w:w="874" w:type="dxa"/>
          </w:tcPr>
          <w:p w14:paraId="10734847" w14:textId="77777777" w:rsidR="0033262D" w:rsidRPr="00A06F1E" w:rsidRDefault="0033262D">
            <w:pPr>
              <w:pStyle w:val="TableTextCentered"/>
              <w:rPr>
                <w:rFonts w:eastAsia="Times New Roman"/>
              </w:rPr>
            </w:pPr>
            <w:r w:rsidRPr="00A06F1E">
              <w:rPr>
                <w:rFonts w:eastAsia="Times New Roman"/>
              </w:rPr>
              <w:t>6</w:t>
            </w:r>
          </w:p>
        </w:tc>
        <w:tc>
          <w:tcPr>
            <w:tcW w:w="875" w:type="dxa"/>
          </w:tcPr>
          <w:p w14:paraId="31A898D2" w14:textId="77777777" w:rsidR="0033262D" w:rsidRPr="00A06F1E" w:rsidRDefault="0033262D">
            <w:pPr>
              <w:pStyle w:val="TableTextCentered"/>
              <w:rPr>
                <w:rFonts w:eastAsia="Times New Roman"/>
              </w:rPr>
            </w:pPr>
            <w:r w:rsidRPr="00A06F1E">
              <w:rPr>
                <w:rFonts w:eastAsia="Times New Roman"/>
              </w:rPr>
              <w:t>1</w:t>
            </w:r>
          </w:p>
        </w:tc>
        <w:tc>
          <w:tcPr>
            <w:tcW w:w="900" w:type="dxa"/>
          </w:tcPr>
          <w:p w14:paraId="2BFB7FA4" w14:textId="77777777" w:rsidR="0033262D" w:rsidRPr="00A06F1E" w:rsidRDefault="0033262D">
            <w:pPr>
              <w:pStyle w:val="TableTextCentered"/>
              <w:rPr>
                <w:rFonts w:eastAsia="Times New Roman"/>
              </w:rPr>
            </w:pPr>
            <w:r w:rsidRPr="00A06F1E">
              <w:rPr>
                <w:rFonts w:eastAsia="Times New Roman"/>
              </w:rPr>
              <w:t>17</w:t>
            </w:r>
          </w:p>
        </w:tc>
        <w:tc>
          <w:tcPr>
            <w:tcW w:w="892" w:type="dxa"/>
          </w:tcPr>
          <w:p w14:paraId="6A5C77C3" w14:textId="77777777" w:rsidR="0033262D" w:rsidRPr="00A06F1E" w:rsidRDefault="0033262D">
            <w:pPr>
              <w:pStyle w:val="TableTextCentered"/>
              <w:rPr>
                <w:rFonts w:eastAsia="Times New Roman"/>
              </w:rPr>
            </w:pPr>
            <w:r w:rsidRPr="00A06F1E">
              <w:rPr>
                <w:rFonts w:eastAsia="Times New Roman"/>
              </w:rPr>
              <w:t>5.2</w:t>
            </w:r>
          </w:p>
        </w:tc>
      </w:tr>
      <w:tr w:rsidR="0033262D" w:rsidRPr="00A06F1E" w14:paraId="4A376C89" w14:textId="77777777" w:rsidTr="0033262D">
        <w:trPr>
          <w:jc w:val="center"/>
        </w:trPr>
        <w:tc>
          <w:tcPr>
            <w:tcW w:w="1432" w:type="dxa"/>
          </w:tcPr>
          <w:p w14:paraId="4D77D9DB" w14:textId="77777777" w:rsidR="0033262D" w:rsidRPr="00A06F1E" w:rsidRDefault="0033262D">
            <w:pPr>
              <w:pStyle w:val="TableText"/>
            </w:pPr>
            <w:r w:rsidRPr="00A06F1E">
              <w:t>Grades 9-12</w:t>
            </w:r>
          </w:p>
        </w:tc>
        <w:tc>
          <w:tcPr>
            <w:tcW w:w="874" w:type="dxa"/>
          </w:tcPr>
          <w:p w14:paraId="09ED92FC" w14:textId="77777777" w:rsidR="0033262D" w:rsidRPr="00A06F1E" w:rsidRDefault="0033262D">
            <w:pPr>
              <w:pStyle w:val="TableTextCentered"/>
              <w:rPr>
                <w:rFonts w:eastAsia="Times New Roman"/>
              </w:rPr>
            </w:pPr>
            <w:r w:rsidRPr="00A06F1E">
              <w:rPr>
                <w:rFonts w:eastAsia="Times New Roman"/>
              </w:rPr>
              <w:t>0</w:t>
            </w:r>
          </w:p>
        </w:tc>
        <w:tc>
          <w:tcPr>
            <w:tcW w:w="874" w:type="dxa"/>
          </w:tcPr>
          <w:p w14:paraId="7A2C7AA7" w14:textId="77777777" w:rsidR="0033262D" w:rsidRPr="00A06F1E" w:rsidRDefault="0033262D">
            <w:pPr>
              <w:pStyle w:val="TableTextCentered"/>
              <w:rPr>
                <w:rFonts w:eastAsia="Times New Roman"/>
              </w:rPr>
            </w:pPr>
            <w:r w:rsidRPr="00A06F1E">
              <w:rPr>
                <w:rFonts w:eastAsia="Times New Roman"/>
              </w:rPr>
              <w:t>4</w:t>
            </w:r>
          </w:p>
        </w:tc>
        <w:tc>
          <w:tcPr>
            <w:tcW w:w="874" w:type="dxa"/>
          </w:tcPr>
          <w:p w14:paraId="176A3FD9" w14:textId="77777777" w:rsidR="0033262D" w:rsidRPr="00A06F1E" w:rsidRDefault="0033262D">
            <w:pPr>
              <w:pStyle w:val="TableTextCentered"/>
              <w:rPr>
                <w:rFonts w:eastAsia="Times New Roman"/>
              </w:rPr>
            </w:pPr>
            <w:r w:rsidRPr="00A06F1E">
              <w:rPr>
                <w:rFonts w:eastAsia="Times New Roman"/>
              </w:rPr>
              <w:t>3</w:t>
            </w:r>
          </w:p>
        </w:tc>
        <w:tc>
          <w:tcPr>
            <w:tcW w:w="875" w:type="dxa"/>
          </w:tcPr>
          <w:p w14:paraId="62201FF4" w14:textId="77777777" w:rsidR="0033262D" w:rsidRPr="00A06F1E" w:rsidRDefault="0033262D">
            <w:pPr>
              <w:pStyle w:val="TableTextCentered"/>
              <w:rPr>
                <w:rFonts w:eastAsia="Times New Roman"/>
              </w:rPr>
            </w:pPr>
            <w:r w:rsidRPr="00A06F1E">
              <w:rPr>
                <w:rFonts w:eastAsia="Times New Roman"/>
              </w:rPr>
              <w:t>4</w:t>
            </w:r>
          </w:p>
        </w:tc>
        <w:tc>
          <w:tcPr>
            <w:tcW w:w="874" w:type="dxa"/>
          </w:tcPr>
          <w:p w14:paraId="0576AF5B" w14:textId="77777777" w:rsidR="0033262D" w:rsidRPr="00A06F1E" w:rsidRDefault="0033262D">
            <w:pPr>
              <w:pStyle w:val="TableTextCentered"/>
              <w:rPr>
                <w:rFonts w:eastAsia="Times New Roman"/>
              </w:rPr>
            </w:pPr>
            <w:r w:rsidRPr="00A06F1E">
              <w:rPr>
                <w:rFonts w:eastAsia="Times New Roman"/>
              </w:rPr>
              <w:t>3</w:t>
            </w:r>
          </w:p>
        </w:tc>
        <w:tc>
          <w:tcPr>
            <w:tcW w:w="874" w:type="dxa"/>
          </w:tcPr>
          <w:p w14:paraId="3531F620" w14:textId="77777777" w:rsidR="0033262D" w:rsidRPr="00A06F1E" w:rsidRDefault="0033262D">
            <w:pPr>
              <w:pStyle w:val="TableTextCentered"/>
              <w:rPr>
                <w:rFonts w:eastAsia="Times New Roman"/>
              </w:rPr>
            </w:pPr>
            <w:r w:rsidRPr="00A06F1E">
              <w:rPr>
                <w:rFonts w:eastAsia="Times New Roman"/>
              </w:rPr>
              <w:t>2</w:t>
            </w:r>
          </w:p>
        </w:tc>
        <w:tc>
          <w:tcPr>
            <w:tcW w:w="875" w:type="dxa"/>
          </w:tcPr>
          <w:p w14:paraId="58BBE8B7" w14:textId="77777777" w:rsidR="0033262D" w:rsidRPr="00A06F1E" w:rsidRDefault="0033262D">
            <w:pPr>
              <w:pStyle w:val="TableTextCentered"/>
              <w:rPr>
                <w:rFonts w:eastAsia="Times New Roman"/>
              </w:rPr>
            </w:pPr>
            <w:r w:rsidRPr="00A06F1E">
              <w:rPr>
                <w:rFonts w:eastAsia="Times New Roman"/>
              </w:rPr>
              <w:t>0</w:t>
            </w:r>
          </w:p>
        </w:tc>
        <w:tc>
          <w:tcPr>
            <w:tcW w:w="900" w:type="dxa"/>
          </w:tcPr>
          <w:p w14:paraId="3BDB8C12" w14:textId="77777777" w:rsidR="0033262D" w:rsidRPr="00A06F1E" w:rsidRDefault="0033262D">
            <w:pPr>
              <w:pStyle w:val="TableTextCentered"/>
              <w:rPr>
                <w:rFonts w:eastAsia="Times New Roman"/>
              </w:rPr>
            </w:pPr>
            <w:r w:rsidRPr="00A06F1E">
              <w:rPr>
                <w:rFonts w:eastAsia="Times New Roman"/>
              </w:rPr>
              <w:t>16</w:t>
            </w:r>
          </w:p>
        </w:tc>
        <w:tc>
          <w:tcPr>
            <w:tcW w:w="892" w:type="dxa"/>
          </w:tcPr>
          <w:p w14:paraId="70997557" w14:textId="77777777" w:rsidR="0033262D" w:rsidRPr="00A06F1E" w:rsidRDefault="0033262D">
            <w:pPr>
              <w:pStyle w:val="TableTextCentered"/>
              <w:rPr>
                <w:rFonts w:eastAsia="Times New Roman"/>
              </w:rPr>
            </w:pPr>
            <w:r w:rsidRPr="00A06F1E">
              <w:rPr>
                <w:rFonts w:eastAsia="Times New Roman"/>
              </w:rPr>
              <w:t>3.8</w:t>
            </w:r>
          </w:p>
        </w:tc>
      </w:tr>
    </w:tbl>
    <w:bookmarkEnd w:id="190"/>
    <w:p w14:paraId="4B4BAD31" w14:textId="77777777" w:rsidR="0033262D" w:rsidRPr="00A06F1E" w:rsidRDefault="0033262D">
      <w:pPr>
        <w:pStyle w:val="TableNote"/>
      </w:pPr>
      <w:r w:rsidRPr="00A06F1E">
        <w:t xml:space="preserve">*The district average is an average of the observation scores. In Table 16, the district average is computed as: </w:t>
      </w:r>
      <w:r w:rsidRPr="00A06F1E">
        <w:br/>
      </w:r>
      <w:bookmarkStart w:id="191" w:name="Dist_SE_Calc"/>
      <w:r w:rsidRPr="00A06F1E">
        <w:t>([2 x 4] + [3 x 4] + [4 x 8] + [5 x 15] + [6 x 9] + [7 x 2]) ÷ 42 observations = 4.6</w:t>
      </w:r>
      <w:bookmarkEnd w:id="191"/>
    </w:p>
    <w:p w14:paraId="31402072" w14:textId="77777777" w:rsidR="0033262D" w:rsidRPr="00A06F1E" w:rsidRDefault="0033262D">
      <w:pPr>
        <w:pStyle w:val="TableNote"/>
      </w:pPr>
      <w:r w:rsidRPr="00A06F1E">
        <w:t>**Student Engagement does not appear in the CLASS K-3 Manual, therefore scores for the Elementary School Level represent grades 4-5 only.</w:t>
      </w:r>
    </w:p>
    <w:p w14:paraId="0429819F" w14:textId="77777777" w:rsidR="0033262D" w:rsidRPr="00A06F1E" w:rsidRDefault="0033262D">
      <w:pPr>
        <w:pStyle w:val="BodyText"/>
      </w:pPr>
      <w:r w:rsidRPr="00A06F1E">
        <w:rPr>
          <w:rStyle w:val="BodyTextDemiChar"/>
        </w:rPr>
        <w:t>Ratings in the Low Range.</w:t>
      </w:r>
      <w:r w:rsidRPr="00A06F1E">
        <w:t xml:space="preserve"> In the low range, the majority of students appear distracted or disengaged.</w:t>
      </w:r>
    </w:p>
    <w:p w14:paraId="475E59D3" w14:textId="77777777" w:rsidR="0033262D" w:rsidRPr="00A06F1E" w:rsidRDefault="0033262D">
      <w:pPr>
        <w:pStyle w:val="BodyText"/>
      </w:pPr>
      <w:r w:rsidRPr="00A06F1E">
        <w:rPr>
          <w:rStyle w:val="BodyTextDemiChar"/>
        </w:rPr>
        <w:t>Ratings in the Middle Range.</w:t>
      </w:r>
      <w:r w:rsidRPr="00A06F1E">
        <w:t xml:space="preserve"> In the middle range, students are passively engaged, listening to or watching the teacher; student engagement is mixed, with the majority of students actively engaged for part of the time and disengaged for the rest of the time; or there is a mix of student engagement, with some students actively engaged and some students disengaged.</w:t>
      </w:r>
    </w:p>
    <w:p w14:paraId="09A8BBD0" w14:textId="77777777" w:rsidR="0033262D" w:rsidRPr="00A06F1E" w:rsidRDefault="0033262D">
      <w:pPr>
        <w:pStyle w:val="BodyText"/>
      </w:pPr>
      <w:r w:rsidRPr="00A06F1E">
        <w:rPr>
          <w:rStyle w:val="BodyTextDemiChar"/>
        </w:rPr>
        <w:t>Ratings in the High Range.</w:t>
      </w:r>
      <w:r w:rsidRPr="00A06F1E">
        <w:t xml:space="preserve"> In the high range, most students are actively engaged in the classroom discussions and activities.</w:t>
      </w:r>
    </w:p>
    <w:p w14:paraId="2939CAF8" w14:textId="77777777" w:rsidR="0033262D" w:rsidRPr="00A06F1E" w:rsidRDefault="0033262D">
      <w:pPr>
        <w:pStyle w:val="Heading2-SIOR"/>
      </w:pPr>
      <w:bookmarkStart w:id="192" w:name="_Toc430114889"/>
      <w:bookmarkStart w:id="193" w:name="_Toc496109991"/>
      <w:bookmarkStart w:id="194" w:name="_Toc92194268"/>
      <w:bookmarkStart w:id="195" w:name="_Toc92194269"/>
      <w:r w:rsidRPr="00A06F1E">
        <w:lastRenderedPageBreak/>
        <w:t>Summary of Average Ratings</w:t>
      </w:r>
      <w:bookmarkEnd w:id="192"/>
      <w:bookmarkEnd w:id="193"/>
      <w:r w:rsidRPr="00A06F1E">
        <w:t xml:space="preserve">: </w:t>
      </w:r>
      <w:bookmarkEnd w:id="194"/>
      <w:r w:rsidRPr="00A06F1E">
        <w:t>Grades K–5</w:t>
      </w:r>
    </w:p>
    <w:p w14:paraId="292C4C9C" w14:textId="77777777" w:rsidR="0033262D" w:rsidRPr="00A06F1E" w:rsidRDefault="0033262D">
      <w:pPr>
        <w:pStyle w:val="TableTitle0"/>
      </w:pPr>
      <w:bookmarkStart w:id="196" w:name="_Toc170701923"/>
      <w:r w:rsidRPr="00A06F1E">
        <w:t>Table 17. Summary Table of Average Ratings for Each Dimension in Grades K–5</w:t>
      </w:r>
      <w:bookmarkEnd w:id="196"/>
    </w:p>
    <w:tbl>
      <w:tblPr>
        <w:tblStyle w:val="MSVTable1"/>
        <w:tblW w:w="5000" w:type="pct"/>
        <w:tblLayout w:type="fixed"/>
        <w:tblLook w:val="04A0" w:firstRow="1" w:lastRow="0" w:firstColumn="1" w:lastColumn="0" w:noHBand="0" w:noVBand="1"/>
      </w:tblPr>
      <w:tblGrid>
        <w:gridCol w:w="3297"/>
        <w:gridCol w:w="654"/>
        <w:gridCol w:w="721"/>
        <w:gridCol w:w="587"/>
        <w:gridCol w:w="655"/>
        <w:gridCol w:w="653"/>
        <w:gridCol w:w="655"/>
        <w:gridCol w:w="655"/>
        <w:gridCol w:w="515"/>
        <w:gridCol w:w="952"/>
      </w:tblGrid>
      <w:tr w:rsidR="0033262D" w:rsidRPr="00A06F1E" w14:paraId="11D6FB15" w14:textId="77777777" w:rsidTr="0033262D">
        <w:trPr>
          <w:cnfStyle w:val="100000000000" w:firstRow="1" w:lastRow="0" w:firstColumn="0" w:lastColumn="0" w:oddVBand="0" w:evenVBand="0" w:oddHBand="0" w:evenHBand="0" w:firstRowFirstColumn="0" w:firstRowLastColumn="0" w:lastRowFirstColumn="0" w:lastRowLastColumn="0"/>
          <w:tblHeader/>
        </w:trPr>
        <w:tc>
          <w:tcPr>
            <w:tcW w:w="3297" w:type="dxa"/>
            <w:vMerge w:val="restart"/>
          </w:tcPr>
          <w:p w14:paraId="2383BF36" w14:textId="77777777" w:rsidR="0033262D" w:rsidRPr="00A06F1E" w:rsidRDefault="0033262D">
            <w:pPr>
              <w:pStyle w:val="TableColHeadingCenter"/>
              <w:rPr>
                <w:rFonts w:eastAsia="MS Mincho"/>
              </w:rPr>
            </w:pPr>
            <w:bookmarkStart w:id="197" w:name="SummaryTbl_Elem"/>
          </w:p>
        </w:tc>
        <w:tc>
          <w:tcPr>
            <w:tcW w:w="1375" w:type="dxa"/>
            <w:gridSpan w:val="2"/>
            <w:vAlign w:val="center"/>
          </w:tcPr>
          <w:p w14:paraId="104B397C" w14:textId="77777777" w:rsidR="0033262D" w:rsidRPr="00A06F1E" w:rsidRDefault="0033262D">
            <w:pPr>
              <w:pStyle w:val="TableColHeadingCenter"/>
              <w:rPr>
                <w:rFonts w:eastAsia="MS Mincho"/>
              </w:rPr>
            </w:pPr>
            <w:r w:rsidRPr="00A06F1E">
              <w:rPr>
                <w:rFonts w:eastAsia="MS Mincho"/>
              </w:rPr>
              <w:t>Low Range</w:t>
            </w:r>
          </w:p>
        </w:tc>
        <w:tc>
          <w:tcPr>
            <w:tcW w:w="1895" w:type="dxa"/>
            <w:gridSpan w:val="3"/>
            <w:vAlign w:val="center"/>
          </w:tcPr>
          <w:p w14:paraId="30E90CBC" w14:textId="77777777" w:rsidR="0033262D" w:rsidRPr="00A06F1E" w:rsidRDefault="0033262D">
            <w:pPr>
              <w:pStyle w:val="TableColHeadingCenter"/>
              <w:rPr>
                <w:rFonts w:eastAsia="MS Mincho"/>
              </w:rPr>
            </w:pPr>
            <w:r w:rsidRPr="00A06F1E">
              <w:rPr>
                <w:rFonts w:eastAsia="MS Mincho"/>
              </w:rPr>
              <w:t>Middle Range</w:t>
            </w:r>
          </w:p>
        </w:tc>
        <w:tc>
          <w:tcPr>
            <w:tcW w:w="1310" w:type="dxa"/>
            <w:gridSpan w:val="2"/>
            <w:vAlign w:val="center"/>
          </w:tcPr>
          <w:p w14:paraId="779A5518" w14:textId="77777777" w:rsidR="0033262D" w:rsidRPr="00A06F1E" w:rsidRDefault="0033262D">
            <w:pPr>
              <w:pStyle w:val="TableColHeadingCenter"/>
              <w:rPr>
                <w:rFonts w:eastAsia="MS Mincho"/>
              </w:rPr>
            </w:pPr>
            <w:r w:rsidRPr="00A06F1E">
              <w:rPr>
                <w:rFonts w:eastAsia="MS Mincho"/>
              </w:rPr>
              <w:t>High Range</w:t>
            </w:r>
          </w:p>
        </w:tc>
        <w:tc>
          <w:tcPr>
            <w:tcW w:w="515" w:type="dxa"/>
            <w:vMerge w:val="restart"/>
            <w:vAlign w:val="center"/>
          </w:tcPr>
          <w:p w14:paraId="76BF80E3" w14:textId="77777777" w:rsidR="0033262D" w:rsidRPr="00A06F1E" w:rsidRDefault="0033262D">
            <w:pPr>
              <w:pStyle w:val="TableColHeadingCenter"/>
              <w:rPr>
                <w:rFonts w:eastAsia="MS Mincho"/>
              </w:rPr>
            </w:pPr>
            <w:r w:rsidRPr="00A06F1E">
              <w:rPr>
                <w:rFonts w:eastAsia="MS Mincho"/>
              </w:rPr>
              <w:t>n</w:t>
            </w:r>
          </w:p>
        </w:tc>
        <w:tc>
          <w:tcPr>
            <w:tcW w:w="952" w:type="dxa"/>
            <w:vMerge w:val="restart"/>
            <w:vAlign w:val="center"/>
          </w:tcPr>
          <w:p w14:paraId="2BC07861" w14:textId="77777777" w:rsidR="0033262D" w:rsidRPr="00A06F1E" w:rsidRDefault="0033262D">
            <w:pPr>
              <w:pStyle w:val="TableColHeadingCenter"/>
              <w:rPr>
                <w:rFonts w:eastAsia="MS Mincho"/>
              </w:rPr>
            </w:pPr>
            <w:r w:rsidRPr="00A06F1E">
              <w:rPr>
                <w:rFonts w:eastAsia="MS Mincho"/>
              </w:rPr>
              <w:t>Average Scores*</w:t>
            </w:r>
          </w:p>
        </w:tc>
      </w:tr>
      <w:tr w:rsidR="0033262D" w:rsidRPr="00A06F1E" w14:paraId="7D5FF347" w14:textId="77777777" w:rsidTr="0033262D">
        <w:trPr>
          <w:cnfStyle w:val="100000000000" w:firstRow="1" w:lastRow="0" w:firstColumn="0" w:lastColumn="0" w:oddVBand="0" w:evenVBand="0" w:oddHBand="0" w:evenHBand="0" w:firstRowFirstColumn="0" w:firstRowLastColumn="0" w:lastRowFirstColumn="0" w:lastRowLastColumn="0"/>
          <w:tblHeader/>
        </w:trPr>
        <w:tc>
          <w:tcPr>
            <w:tcW w:w="3297" w:type="dxa"/>
            <w:vMerge/>
          </w:tcPr>
          <w:p w14:paraId="7F6AFFEF" w14:textId="77777777" w:rsidR="0033262D" w:rsidRPr="00A06F1E" w:rsidRDefault="0033262D">
            <w:pPr>
              <w:pStyle w:val="TableColHeadingCenter"/>
              <w:rPr>
                <w:rFonts w:eastAsia="MS Mincho"/>
              </w:rPr>
            </w:pPr>
          </w:p>
        </w:tc>
        <w:tc>
          <w:tcPr>
            <w:tcW w:w="654" w:type="dxa"/>
            <w:vAlign w:val="center"/>
          </w:tcPr>
          <w:p w14:paraId="46E97394" w14:textId="77777777" w:rsidR="0033262D" w:rsidRPr="00A06F1E" w:rsidRDefault="0033262D">
            <w:pPr>
              <w:pStyle w:val="TableColHeadingCenter"/>
              <w:rPr>
                <w:rFonts w:eastAsia="MS Mincho"/>
              </w:rPr>
            </w:pPr>
            <w:r w:rsidRPr="00A06F1E">
              <w:rPr>
                <w:rFonts w:eastAsia="MS Mincho"/>
              </w:rPr>
              <w:t>1</w:t>
            </w:r>
          </w:p>
        </w:tc>
        <w:tc>
          <w:tcPr>
            <w:tcW w:w="721" w:type="dxa"/>
            <w:vAlign w:val="center"/>
          </w:tcPr>
          <w:p w14:paraId="0503C312" w14:textId="77777777" w:rsidR="0033262D" w:rsidRPr="00A06F1E" w:rsidRDefault="0033262D">
            <w:pPr>
              <w:pStyle w:val="TableColHeadingCenter"/>
              <w:rPr>
                <w:rFonts w:eastAsia="MS Mincho"/>
              </w:rPr>
            </w:pPr>
            <w:r w:rsidRPr="00A06F1E">
              <w:rPr>
                <w:rFonts w:eastAsia="MS Mincho"/>
              </w:rPr>
              <w:t>2</w:t>
            </w:r>
          </w:p>
        </w:tc>
        <w:tc>
          <w:tcPr>
            <w:tcW w:w="587" w:type="dxa"/>
            <w:vAlign w:val="center"/>
          </w:tcPr>
          <w:p w14:paraId="7C5F35E5" w14:textId="77777777" w:rsidR="0033262D" w:rsidRPr="00A06F1E" w:rsidRDefault="0033262D">
            <w:pPr>
              <w:pStyle w:val="TableColHeadingCenter"/>
              <w:rPr>
                <w:rFonts w:eastAsia="MS Mincho"/>
              </w:rPr>
            </w:pPr>
            <w:r w:rsidRPr="00A06F1E">
              <w:rPr>
                <w:rFonts w:eastAsia="MS Mincho"/>
              </w:rPr>
              <w:t>3</w:t>
            </w:r>
          </w:p>
        </w:tc>
        <w:tc>
          <w:tcPr>
            <w:tcW w:w="655" w:type="dxa"/>
            <w:vAlign w:val="center"/>
          </w:tcPr>
          <w:p w14:paraId="6BA38069" w14:textId="77777777" w:rsidR="0033262D" w:rsidRPr="00A06F1E" w:rsidRDefault="0033262D">
            <w:pPr>
              <w:pStyle w:val="TableColHeadingCenter"/>
              <w:rPr>
                <w:rFonts w:eastAsia="MS Mincho"/>
              </w:rPr>
            </w:pPr>
            <w:r w:rsidRPr="00A06F1E">
              <w:rPr>
                <w:rFonts w:eastAsia="MS Mincho"/>
              </w:rPr>
              <w:t>4</w:t>
            </w:r>
          </w:p>
        </w:tc>
        <w:tc>
          <w:tcPr>
            <w:tcW w:w="653" w:type="dxa"/>
            <w:vAlign w:val="center"/>
          </w:tcPr>
          <w:p w14:paraId="7A821D79" w14:textId="77777777" w:rsidR="0033262D" w:rsidRPr="00A06F1E" w:rsidRDefault="0033262D">
            <w:pPr>
              <w:pStyle w:val="TableColHeadingCenter"/>
              <w:rPr>
                <w:rFonts w:eastAsia="MS Mincho"/>
              </w:rPr>
            </w:pPr>
            <w:r w:rsidRPr="00A06F1E">
              <w:rPr>
                <w:rFonts w:eastAsia="MS Mincho"/>
              </w:rPr>
              <w:t>5</w:t>
            </w:r>
          </w:p>
        </w:tc>
        <w:tc>
          <w:tcPr>
            <w:tcW w:w="655" w:type="dxa"/>
            <w:vAlign w:val="center"/>
          </w:tcPr>
          <w:p w14:paraId="6CB1A95C" w14:textId="77777777" w:rsidR="0033262D" w:rsidRPr="00A06F1E" w:rsidRDefault="0033262D">
            <w:pPr>
              <w:pStyle w:val="TableColHeadingCenter"/>
              <w:rPr>
                <w:rFonts w:eastAsia="MS Mincho"/>
              </w:rPr>
            </w:pPr>
            <w:r w:rsidRPr="00A06F1E">
              <w:rPr>
                <w:rFonts w:eastAsia="MS Mincho"/>
              </w:rPr>
              <w:t>6</w:t>
            </w:r>
          </w:p>
        </w:tc>
        <w:tc>
          <w:tcPr>
            <w:tcW w:w="655" w:type="dxa"/>
            <w:vAlign w:val="center"/>
          </w:tcPr>
          <w:p w14:paraId="76BB18BE" w14:textId="77777777" w:rsidR="0033262D" w:rsidRPr="00A06F1E" w:rsidRDefault="0033262D">
            <w:pPr>
              <w:pStyle w:val="TableColHeadingCenter"/>
              <w:rPr>
                <w:rFonts w:eastAsia="MS Mincho"/>
              </w:rPr>
            </w:pPr>
            <w:r w:rsidRPr="00A06F1E">
              <w:rPr>
                <w:rFonts w:eastAsia="MS Mincho"/>
              </w:rPr>
              <w:t>7</w:t>
            </w:r>
          </w:p>
        </w:tc>
        <w:tc>
          <w:tcPr>
            <w:tcW w:w="515" w:type="dxa"/>
            <w:vMerge/>
          </w:tcPr>
          <w:p w14:paraId="02B127A4" w14:textId="77777777" w:rsidR="0033262D" w:rsidRPr="00A06F1E" w:rsidRDefault="0033262D">
            <w:pPr>
              <w:pStyle w:val="TableColHeadingCenter"/>
              <w:rPr>
                <w:rFonts w:eastAsia="MS Mincho"/>
              </w:rPr>
            </w:pPr>
          </w:p>
        </w:tc>
        <w:tc>
          <w:tcPr>
            <w:tcW w:w="952" w:type="dxa"/>
            <w:vMerge/>
          </w:tcPr>
          <w:p w14:paraId="614A605E" w14:textId="77777777" w:rsidR="0033262D" w:rsidRPr="00A06F1E" w:rsidRDefault="0033262D">
            <w:pPr>
              <w:pStyle w:val="TableColHeadingCenter"/>
              <w:rPr>
                <w:rFonts w:eastAsia="MS Mincho"/>
              </w:rPr>
            </w:pPr>
          </w:p>
        </w:tc>
      </w:tr>
      <w:tr w:rsidR="0033262D" w:rsidRPr="00A06F1E" w14:paraId="762E5D20" w14:textId="77777777" w:rsidTr="0033262D">
        <w:trPr>
          <w:cnfStyle w:val="000000100000" w:firstRow="0" w:lastRow="0" w:firstColumn="0" w:lastColumn="0" w:oddVBand="0" w:evenVBand="0" w:oddHBand="1" w:evenHBand="0" w:firstRowFirstColumn="0" w:firstRowLastColumn="0" w:lastRowFirstColumn="0" w:lastRowLastColumn="0"/>
        </w:trPr>
        <w:tc>
          <w:tcPr>
            <w:tcW w:w="3297" w:type="dxa"/>
          </w:tcPr>
          <w:p w14:paraId="6504E8AC" w14:textId="77777777" w:rsidR="0033262D" w:rsidRPr="00A06F1E" w:rsidRDefault="0033262D" w:rsidP="0033262D">
            <w:pPr>
              <w:pStyle w:val="TableSubheading"/>
            </w:pPr>
            <w:r w:rsidRPr="00A06F1E">
              <w:t>Emotional Support Domain</w:t>
            </w:r>
          </w:p>
        </w:tc>
        <w:tc>
          <w:tcPr>
            <w:tcW w:w="654" w:type="dxa"/>
          </w:tcPr>
          <w:p w14:paraId="085EEE52" w14:textId="77777777" w:rsidR="0033262D" w:rsidRPr="00A06F1E" w:rsidRDefault="0033262D">
            <w:pPr>
              <w:pStyle w:val="TableTextCenteredDemi"/>
              <w:rPr>
                <w:rFonts w:eastAsia="Times New Roman"/>
              </w:rPr>
            </w:pPr>
            <w:r w:rsidRPr="00A06F1E">
              <w:rPr>
                <w:rFonts w:eastAsia="Times New Roman"/>
              </w:rPr>
              <w:t>1</w:t>
            </w:r>
          </w:p>
        </w:tc>
        <w:tc>
          <w:tcPr>
            <w:tcW w:w="721" w:type="dxa"/>
          </w:tcPr>
          <w:p w14:paraId="3CE97F7B" w14:textId="77777777" w:rsidR="0033262D" w:rsidRPr="00A06F1E" w:rsidRDefault="0033262D">
            <w:pPr>
              <w:pStyle w:val="TableTextCenteredDemi"/>
              <w:rPr>
                <w:rFonts w:eastAsia="Times New Roman"/>
              </w:rPr>
            </w:pPr>
            <w:r w:rsidRPr="00A06F1E">
              <w:rPr>
                <w:rFonts w:eastAsia="Times New Roman"/>
              </w:rPr>
              <w:t>3</w:t>
            </w:r>
          </w:p>
        </w:tc>
        <w:tc>
          <w:tcPr>
            <w:tcW w:w="587" w:type="dxa"/>
          </w:tcPr>
          <w:p w14:paraId="64CC544B" w14:textId="77777777" w:rsidR="0033262D" w:rsidRPr="00A06F1E" w:rsidRDefault="0033262D">
            <w:pPr>
              <w:pStyle w:val="TableTextCenteredDemi"/>
              <w:rPr>
                <w:rFonts w:eastAsia="Times New Roman"/>
              </w:rPr>
            </w:pPr>
            <w:r w:rsidRPr="00A06F1E">
              <w:rPr>
                <w:rFonts w:eastAsia="Times New Roman"/>
              </w:rPr>
              <w:t>7</w:t>
            </w:r>
          </w:p>
        </w:tc>
        <w:tc>
          <w:tcPr>
            <w:tcW w:w="655" w:type="dxa"/>
          </w:tcPr>
          <w:p w14:paraId="0DCAAD72" w14:textId="77777777" w:rsidR="0033262D" w:rsidRPr="00A06F1E" w:rsidRDefault="0033262D">
            <w:pPr>
              <w:pStyle w:val="TableTextCenteredDemi"/>
              <w:rPr>
                <w:rFonts w:eastAsia="Times New Roman"/>
              </w:rPr>
            </w:pPr>
            <w:r w:rsidRPr="00A06F1E">
              <w:rPr>
                <w:rFonts w:eastAsia="Times New Roman"/>
              </w:rPr>
              <w:t>11</w:t>
            </w:r>
          </w:p>
        </w:tc>
        <w:tc>
          <w:tcPr>
            <w:tcW w:w="653" w:type="dxa"/>
          </w:tcPr>
          <w:p w14:paraId="336CACFB" w14:textId="77777777" w:rsidR="0033262D" w:rsidRPr="00A06F1E" w:rsidRDefault="0033262D">
            <w:pPr>
              <w:pStyle w:val="TableTextCenteredDemi"/>
              <w:rPr>
                <w:rFonts w:eastAsia="Times New Roman"/>
              </w:rPr>
            </w:pPr>
            <w:r w:rsidRPr="00A06F1E">
              <w:rPr>
                <w:rFonts w:eastAsia="Times New Roman"/>
              </w:rPr>
              <w:t>20</w:t>
            </w:r>
          </w:p>
        </w:tc>
        <w:tc>
          <w:tcPr>
            <w:tcW w:w="655" w:type="dxa"/>
          </w:tcPr>
          <w:p w14:paraId="6B34E65C" w14:textId="77777777" w:rsidR="0033262D" w:rsidRPr="00A06F1E" w:rsidRDefault="0033262D">
            <w:pPr>
              <w:pStyle w:val="TableTextCenteredDemi"/>
              <w:rPr>
                <w:rFonts w:eastAsia="Times New Roman"/>
              </w:rPr>
            </w:pPr>
            <w:r w:rsidRPr="00A06F1E">
              <w:rPr>
                <w:rFonts w:eastAsia="Times New Roman"/>
              </w:rPr>
              <w:t>18</w:t>
            </w:r>
          </w:p>
        </w:tc>
        <w:tc>
          <w:tcPr>
            <w:tcW w:w="655" w:type="dxa"/>
          </w:tcPr>
          <w:p w14:paraId="677634B5" w14:textId="77777777" w:rsidR="0033262D" w:rsidRPr="00A06F1E" w:rsidRDefault="0033262D">
            <w:pPr>
              <w:pStyle w:val="TableTextCenteredDemi"/>
              <w:rPr>
                <w:rFonts w:eastAsia="Times New Roman"/>
              </w:rPr>
            </w:pPr>
            <w:r w:rsidRPr="00A06F1E">
              <w:rPr>
                <w:rFonts w:eastAsia="Times New Roman"/>
              </w:rPr>
              <w:t>32</w:t>
            </w:r>
          </w:p>
        </w:tc>
        <w:tc>
          <w:tcPr>
            <w:tcW w:w="515" w:type="dxa"/>
          </w:tcPr>
          <w:p w14:paraId="3CD0E323" w14:textId="77777777" w:rsidR="0033262D" w:rsidRPr="00A06F1E" w:rsidRDefault="0033262D">
            <w:pPr>
              <w:pStyle w:val="TableTextCenteredDemi"/>
              <w:rPr>
                <w:rFonts w:eastAsia="Times New Roman"/>
              </w:rPr>
            </w:pPr>
            <w:r w:rsidRPr="00A06F1E">
              <w:rPr>
                <w:rFonts w:eastAsia="Times New Roman"/>
              </w:rPr>
              <w:t>92</w:t>
            </w:r>
          </w:p>
        </w:tc>
        <w:tc>
          <w:tcPr>
            <w:tcW w:w="952" w:type="dxa"/>
          </w:tcPr>
          <w:p w14:paraId="34A69852" w14:textId="77777777" w:rsidR="0033262D" w:rsidRPr="00A06F1E" w:rsidRDefault="0033262D">
            <w:pPr>
              <w:pStyle w:val="TableTextCenteredDemi"/>
              <w:rPr>
                <w:rFonts w:eastAsia="Times New Roman"/>
              </w:rPr>
            </w:pPr>
            <w:r w:rsidRPr="00A06F1E">
              <w:rPr>
                <w:rFonts w:eastAsia="Times New Roman"/>
              </w:rPr>
              <w:t>5.5</w:t>
            </w:r>
          </w:p>
        </w:tc>
      </w:tr>
      <w:tr w:rsidR="0033262D" w:rsidRPr="00A06F1E" w14:paraId="7BFE4974" w14:textId="77777777" w:rsidTr="0033262D">
        <w:tc>
          <w:tcPr>
            <w:tcW w:w="3297" w:type="dxa"/>
          </w:tcPr>
          <w:p w14:paraId="6BB77E92" w14:textId="77777777" w:rsidR="0033262D" w:rsidRPr="00A06F1E" w:rsidRDefault="0033262D">
            <w:pPr>
              <w:pStyle w:val="TableText"/>
              <w:ind w:left="204"/>
              <w:rPr>
                <w:rFonts w:ascii="Franklin Gothic Book" w:hAnsi="Franklin Gothic Book"/>
                <w:b/>
                <w:bCs/>
              </w:rPr>
            </w:pPr>
            <w:r w:rsidRPr="00A06F1E">
              <w:rPr>
                <w:rFonts w:ascii="Franklin Gothic Book" w:hAnsi="Franklin Gothic Book"/>
              </w:rPr>
              <w:t>Positive Climate</w:t>
            </w:r>
          </w:p>
        </w:tc>
        <w:tc>
          <w:tcPr>
            <w:tcW w:w="654" w:type="dxa"/>
          </w:tcPr>
          <w:p w14:paraId="797FA13E" w14:textId="77777777" w:rsidR="0033262D" w:rsidRPr="00A06F1E" w:rsidRDefault="0033262D">
            <w:pPr>
              <w:pStyle w:val="TableTextCentered"/>
              <w:rPr>
                <w:rFonts w:eastAsia="Times New Roman"/>
              </w:rPr>
            </w:pPr>
            <w:r w:rsidRPr="00A06F1E">
              <w:rPr>
                <w:rFonts w:eastAsia="Times New Roman"/>
              </w:rPr>
              <w:t>0</w:t>
            </w:r>
          </w:p>
        </w:tc>
        <w:tc>
          <w:tcPr>
            <w:tcW w:w="721" w:type="dxa"/>
          </w:tcPr>
          <w:p w14:paraId="3059D19E" w14:textId="77777777" w:rsidR="0033262D" w:rsidRPr="00A06F1E" w:rsidRDefault="0033262D">
            <w:pPr>
              <w:pStyle w:val="TableTextCentered"/>
              <w:rPr>
                <w:rFonts w:eastAsia="Times New Roman"/>
              </w:rPr>
            </w:pPr>
            <w:r w:rsidRPr="00A06F1E">
              <w:rPr>
                <w:rFonts w:eastAsia="Times New Roman"/>
              </w:rPr>
              <w:t>0</w:t>
            </w:r>
          </w:p>
        </w:tc>
        <w:tc>
          <w:tcPr>
            <w:tcW w:w="587" w:type="dxa"/>
          </w:tcPr>
          <w:p w14:paraId="00CB6B40" w14:textId="77777777" w:rsidR="0033262D" w:rsidRPr="00A06F1E" w:rsidRDefault="0033262D">
            <w:pPr>
              <w:pStyle w:val="TableTextCentered"/>
              <w:rPr>
                <w:rFonts w:eastAsia="Times New Roman"/>
              </w:rPr>
            </w:pPr>
            <w:r w:rsidRPr="00A06F1E">
              <w:rPr>
                <w:rFonts w:eastAsia="Times New Roman"/>
              </w:rPr>
              <w:t>1</w:t>
            </w:r>
          </w:p>
        </w:tc>
        <w:tc>
          <w:tcPr>
            <w:tcW w:w="655" w:type="dxa"/>
          </w:tcPr>
          <w:p w14:paraId="16DE295B" w14:textId="77777777" w:rsidR="0033262D" w:rsidRPr="00A06F1E" w:rsidRDefault="0033262D">
            <w:pPr>
              <w:pStyle w:val="TableTextCentered"/>
              <w:rPr>
                <w:rFonts w:eastAsia="Times New Roman"/>
              </w:rPr>
            </w:pPr>
            <w:r w:rsidRPr="00A06F1E">
              <w:rPr>
                <w:rFonts w:eastAsia="Times New Roman"/>
              </w:rPr>
              <w:t>3</w:t>
            </w:r>
          </w:p>
        </w:tc>
        <w:tc>
          <w:tcPr>
            <w:tcW w:w="653" w:type="dxa"/>
          </w:tcPr>
          <w:p w14:paraId="63E536E3" w14:textId="77777777" w:rsidR="0033262D" w:rsidRPr="00A06F1E" w:rsidRDefault="0033262D">
            <w:pPr>
              <w:pStyle w:val="TableTextCentered"/>
              <w:rPr>
                <w:rFonts w:eastAsia="Times New Roman"/>
              </w:rPr>
            </w:pPr>
            <w:r w:rsidRPr="00A06F1E">
              <w:rPr>
                <w:rFonts w:eastAsia="Times New Roman"/>
              </w:rPr>
              <w:t>7</w:t>
            </w:r>
          </w:p>
        </w:tc>
        <w:tc>
          <w:tcPr>
            <w:tcW w:w="655" w:type="dxa"/>
          </w:tcPr>
          <w:p w14:paraId="6B779BF5" w14:textId="77777777" w:rsidR="0033262D" w:rsidRPr="00A06F1E" w:rsidRDefault="0033262D">
            <w:pPr>
              <w:pStyle w:val="TableTextCentered"/>
              <w:rPr>
                <w:rFonts w:eastAsia="Times New Roman"/>
              </w:rPr>
            </w:pPr>
            <w:r w:rsidRPr="00A06F1E">
              <w:rPr>
                <w:rFonts w:eastAsia="Times New Roman"/>
              </w:rPr>
              <w:t>7</w:t>
            </w:r>
          </w:p>
        </w:tc>
        <w:tc>
          <w:tcPr>
            <w:tcW w:w="655" w:type="dxa"/>
          </w:tcPr>
          <w:p w14:paraId="66A70754" w14:textId="77777777" w:rsidR="0033262D" w:rsidRPr="00A06F1E" w:rsidRDefault="0033262D">
            <w:pPr>
              <w:pStyle w:val="TableTextCentered"/>
              <w:rPr>
                <w:rFonts w:eastAsia="Times New Roman"/>
              </w:rPr>
            </w:pPr>
            <w:r w:rsidRPr="00A06F1E">
              <w:rPr>
                <w:rFonts w:eastAsia="Times New Roman"/>
              </w:rPr>
              <w:t>5</w:t>
            </w:r>
          </w:p>
        </w:tc>
        <w:tc>
          <w:tcPr>
            <w:tcW w:w="515" w:type="dxa"/>
          </w:tcPr>
          <w:p w14:paraId="30D10F23" w14:textId="77777777" w:rsidR="0033262D" w:rsidRPr="00A06F1E" w:rsidRDefault="0033262D">
            <w:pPr>
              <w:pStyle w:val="TableTextCentered"/>
              <w:rPr>
                <w:rFonts w:eastAsia="Times New Roman"/>
              </w:rPr>
            </w:pPr>
            <w:r w:rsidRPr="00A06F1E">
              <w:rPr>
                <w:rFonts w:eastAsia="Times New Roman"/>
              </w:rPr>
              <w:t>23</w:t>
            </w:r>
          </w:p>
        </w:tc>
        <w:tc>
          <w:tcPr>
            <w:tcW w:w="952" w:type="dxa"/>
          </w:tcPr>
          <w:p w14:paraId="5F3E8196" w14:textId="77777777" w:rsidR="0033262D" w:rsidRPr="00A06F1E" w:rsidRDefault="0033262D">
            <w:pPr>
              <w:pStyle w:val="TableTextCentered"/>
              <w:rPr>
                <w:rFonts w:eastAsia="Times New Roman"/>
              </w:rPr>
            </w:pPr>
            <w:r w:rsidRPr="00A06F1E">
              <w:rPr>
                <w:rFonts w:eastAsia="Times New Roman"/>
              </w:rPr>
              <w:t>5.5</w:t>
            </w:r>
          </w:p>
        </w:tc>
      </w:tr>
      <w:tr w:rsidR="0033262D" w:rsidRPr="00A06F1E" w14:paraId="5B84BAC3" w14:textId="77777777" w:rsidTr="0033262D">
        <w:trPr>
          <w:cnfStyle w:val="000000100000" w:firstRow="0" w:lastRow="0" w:firstColumn="0" w:lastColumn="0" w:oddVBand="0" w:evenVBand="0" w:oddHBand="1" w:evenHBand="0" w:firstRowFirstColumn="0" w:firstRowLastColumn="0" w:lastRowFirstColumn="0" w:lastRowLastColumn="0"/>
        </w:trPr>
        <w:tc>
          <w:tcPr>
            <w:tcW w:w="3297" w:type="dxa"/>
          </w:tcPr>
          <w:p w14:paraId="6554F1E8" w14:textId="77777777" w:rsidR="0033262D" w:rsidRPr="00A06F1E" w:rsidRDefault="0033262D">
            <w:pPr>
              <w:pStyle w:val="TableText"/>
              <w:ind w:left="204"/>
              <w:rPr>
                <w:rFonts w:ascii="Franklin Gothic Book" w:hAnsi="Franklin Gothic Book"/>
                <w:b/>
                <w:bCs/>
              </w:rPr>
            </w:pPr>
            <w:r w:rsidRPr="00A06F1E">
              <w:rPr>
                <w:rFonts w:ascii="Franklin Gothic Book" w:hAnsi="Franklin Gothic Book"/>
              </w:rPr>
              <w:t>Negative Climate**</w:t>
            </w:r>
          </w:p>
        </w:tc>
        <w:tc>
          <w:tcPr>
            <w:tcW w:w="654" w:type="dxa"/>
          </w:tcPr>
          <w:p w14:paraId="06D13A69" w14:textId="77777777" w:rsidR="0033262D" w:rsidRPr="00A06F1E" w:rsidRDefault="0033262D">
            <w:pPr>
              <w:pStyle w:val="TableTextCentered"/>
              <w:rPr>
                <w:rFonts w:eastAsia="Times New Roman"/>
              </w:rPr>
            </w:pPr>
            <w:r w:rsidRPr="00A06F1E">
              <w:rPr>
                <w:rFonts w:eastAsia="Times New Roman"/>
              </w:rPr>
              <w:t>0</w:t>
            </w:r>
          </w:p>
        </w:tc>
        <w:tc>
          <w:tcPr>
            <w:tcW w:w="721" w:type="dxa"/>
          </w:tcPr>
          <w:p w14:paraId="23BA7B8E" w14:textId="77777777" w:rsidR="0033262D" w:rsidRPr="00A06F1E" w:rsidRDefault="0033262D">
            <w:pPr>
              <w:pStyle w:val="TableTextCentered"/>
              <w:rPr>
                <w:rFonts w:eastAsia="Times New Roman"/>
              </w:rPr>
            </w:pPr>
            <w:r w:rsidRPr="00A06F1E">
              <w:rPr>
                <w:rFonts w:eastAsia="Times New Roman"/>
              </w:rPr>
              <w:t>0</w:t>
            </w:r>
          </w:p>
        </w:tc>
        <w:tc>
          <w:tcPr>
            <w:tcW w:w="587" w:type="dxa"/>
          </w:tcPr>
          <w:p w14:paraId="4422ACE9" w14:textId="77777777" w:rsidR="0033262D" w:rsidRPr="00A06F1E" w:rsidRDefault="0033262D">
            <w:pPr>
              <w:pStyle w:val="TableTextCentered"/>
              <w:rPr>
                <w:rFonts w:eastAsia="Times New Roman"/>
              </w:rPr>
            </w:pPr>
            <w:r w:rsidRPr="00A06F1E">
              <w:rPr>
                <w:rFonts w:eastAsia="Times New Roman"/>
              </w:rPr>
              <w:t>0</w:t>
            </w:r>
          </w:p>
        </w:tc>
        <w:tc>
          <w:tcPr>
            <w:tcW w:w="655" w:type="dxa"/>
          </w:tcPr>
          <w:p w14:paraId="01503493" w14:textId="77777777" w:rsidR="0033262D" w:rsidRPr="00A06F1E" w:rsidRDefault="0033262D">
            <w:pPr>
              <w:pStyle w:val="TableTextCentered"/>
              <w:rPr>
                <w:rFonts w:eastAsia="Times New Roman"/>
              </w:rPr>
            </w:pPr>
            <w:r w:rsidRPr="00A06F1E">
              <w:rPr>
                <w:rFonts w:eastAsia="Times New Roman"/>
              </w:rPr>
              <w:t>0</w:t>
            </w:r>
          </w:p>
        </w:tc>
        <w:tc>
          <w:tcPr>
            <w:tcW w:w="653" w:type="dxa"/>
          </w:tcPr>
          <w:p w14:paraId="7CFD9B47" w14:textId="77777777" w:rsidR="0033262D" w:rsidRPr="00A06F1E" w:rsidRDefault="0033262D">
            <w:pPr>
              <w:pStyle w:val="TableTextCentered"/>
              <w:rPr>
                <w:rFonts w:eastAsia="Times New Roman"/>
              </w:rPr>
            </w:pPr>
            <w:r w:rsidRPr="00A06F1E">
              <w:rPr>
                <w:rFonts w:eastAsia="Times New Roman"/>
              </w:rPr>
              <w:t>1</w:t>
            </w:r>
          </w:p>
        </w:tc>
        <w:tc>
          <w:tcPr>
            <w:tcW w:w="655" w:type="dxa"/>
          </w:tcPr>
          <w:p w14:paraId="283AF59F" w14:textId="77777777" w:rsidR="0033262D" w:rsidRPr="00A06F1E" w:rsidRDefault="0033262D">
            <w:pPr>
              <w:pStyle w:val="TableTextCentered"/>
              <w:rPr>
                <w:rFonts w:eastAsia="Times New Roman"/>
              </w:rPr>
            </w:pPr>
            <w:r w:rsidRPr="00A06F1E">
              <w:rPr>
                <w:rFonts w:eastAsia="Times New Roman"/>
              </w:rPr>
              <w:t>2</w:t>
            </w:r>
          </w:p>
        </w:tc>
        <w:tc>
          <w:tcPr>
            <w:tcW w:w="655" w:type="dxa"/>
          </w:tcPr>
          <w:p w14:paraId="78ED9951" w14:textId="77777777" w:rsidR="0033262D" w:rsidRPr="00A06F1E" w:rsidRDefault="0033262D">
            <w:pPr>
              <w:pStyle w:val="TableTextCentered"/>
              <w:rPr>
                <w:rFonts w:eastAsia="Times New Roman"/>
              </w:rPr>
            </w:pPr>
            <w:r w:rsidRPr="00A06F1E">
              <w:rPr>
                <w:rFonts w:eastAsia="Times New Roman"/>
              </w:rPr>
              <w:t>20</w:t>
            </w:r>
          </w:p>
        </w:tc>
        <w:tc>
          <w:tcPr>
            <w:tcW w:w="515" w:type="dxa"/>
          </w:tcPr>
          <w:p w14:paraId="4E1FC058" w14:textId="77777777" w:rsidR="0033262D" w:rsidRPr="00A06F1E" w:rsidRDefault="0033262D">
            <w:pPr>
              <w:pStyle w:val="TableTextCentered"/>
              <w:rPr>
                <w:rFonts w:eastAsia="Times New Roman"/>
              </w:rPr>
            </w:pPr>
            <w:r w:rsidRPr="00A06F1E">
              <w:rPr>
                <w:rFonts w:eastAsia="Times New Roman"/>
              </w:rPr>
              <w:t>23</w:t>
            </w:r>
          </w:p>
        </w:tc>
        <w:tc>
          <w:tcPr>
            <w:tcW w:w="952" w:type="dxa"/>
          </w:tcPr>
          <w:p w14:paraId="3322DCFE" w14:textId="77777777" w:rsidR="0033262D" w:rsidRPr="00A06F1E" w:rsidRDefault="0033262D">
            <w:pPr>
              <w:pStyle w:val="TableTextCentered"/>
              <w:rPr>
                <w:rFonts w:eastAsia="Times New Roman"/>
              </w:rPr>
            </w:pPr>
            <w:r w:rsidRPr="00A06F1E">
              <w:rPr>
                <w:rFonts w:eastAsia="Times New Roman"/>
              </w:rPr>
              <w:t>6.8</w:t>
            </w:r>
          </w:p>
        </w:tc>
      </w:tr>
      <w:tr w:rsidR="0033262D" w:rsidRPr="00A06F1E" w14:paraId="4E71EBBD" w14:textId="77777777" w:rsidTr="0033262D">
        <w:tc>
          <w:tcPr>
            <w:tcW w:w="3297" w:type="dxa"/>
          </w:tcPr>
          <w:p w14:paraId="0DFDB76A" w14:textId="77777777" w:rsidR="0033262D" w:rsidRPr="00A06F1E" w:rsidRDefault="0033262D">
            <w:pPr>
              <w:pStyle w:val="TableText"/>
              <w:ind w:left="204"/>
              <w:rPr>
                <w:rFonts w:ascii="Franklin Gothic Book" w:hAnsi="Franklin Gothic Book"/>
                <w:b/>
                <w:bCs/>
              </w:rPr>
            </w:pPr>
            <w:r w:rsidRPr="00A06F1E">
              <w:rPr>
                <w:rFonts w:ascii="Franklin Gothic Book" w:hAnsi="Franklin Gothic Book"/>
              </w:rPr>
              <w:t>Teacher Sensitivity</w:t>
            </w:r>
          </w:p>
        </w:tc>
        <w:tc>
          <w:tcPr>
            <w:tcW w:w="654" w:type="dxa"/>
          </w:tcPr>
          <w:p w14:paraId="5972188D" w14:textId="77777777" w:rsidR="0033262D" w:rsidRPr="00A06F1E" w:rsidRDefault="0033262D">
            <w:pPr>
              <w:pStyle w:val="TableTextCentered"/>
              <w:rPr>
                <w:rFonts w:eastAsia="Times New Roman"/>
              </w:rPr>
            </w:pPr>
            <w:r w:rsidRPr="00A06F1E">
              <w:rPr>
                <w:rFonts w:eastAsia="Times New Roman"/>
              </w:rPr>
              <w:t>0</w:t>
            </w:r>
          </w:p>
        </w:tc>
        <w:tc>
          <w:tcPr>
            <w:tcW w:w="721" w:type="dxa"/>
          </w:tcPr>
          <w:p w14:paraId="0924B829" w14:textId="77777777" w:rsidR="0033262D" w:rsidRPr="00A06F1E" w:rsidRDefault="0033262D">
            <w:pPr>
              <w:pStyle w:val="TableTextCentered"/>
              <w:rPr>
                <w:rFonts w:eastAsia="Times New Roman"/>
              </w:rPr>
            </w:pPr>
            <w:r w:rsidRPr="00A06F1E">
              <w:rPr>
                <w:rFonts w:eastAsia="Times New Roman"/>
              </w:rPr>
              <w:t>0</w:t>
            </w:r>
          </w:p>
        </w:tc>
        <w:tc>
          <w:tcPr>
            <w:tcW w:w="587" w:type="dxa"/>
          </w:tcPr>
          <w:p w14:paraId="60B9B5B0" w14:textId="77777777" w:rsidR="0033262D" w:rsidRPr="00A06F1E" w:rsidRDefault="0033262D">
            <w:pPr>
              <w:pStyle w:val="TableTextCentered"/>
              <w:rPr>
                <w:rFonts w:eastAsia="Times New Roman"/>
              </w:rPr>
            </w:pPr>
            <w:r w:rsidRPr="00A06F1E">
              <w:rPr>
                <w:rFonts w:eastAsia="Times New Roman"/>
              </w:rPr>
              <w:t>0</w:t>
            </w:r>
          </w:p>
        </w:tc>
        <w:tc>
          <w:tcPr>
            <w:tcW w:w="655" w:type="dxa"/>
          </w:tcPr>
          <w:p w14:paraId="4F7C1500" w14:textId="77777777" w:rsidR="0033262D" w:rsidRPr="00A06F1E" w:rsidRDefault="0033262D">
            <w:pPr>
              <w:pStyle w:val="TableTextCentered"/>
              <w:rPr>
                <w:rFonts w:eastAsia="Times New Roman"/>
              </w:rPr>
            </w:pPr>
            <w:r w:rsidRPr="00A06F1E">
              <w:rPr>
                <w:rFonts w:eastAsia="Times New Roman"/>
              </w:rPr>
              <w:t>1</w:t>
            </w:r>
          </w:p>
        </w:tc>
        <w:tc>
          <w:tcPr>
            <w:tcW w:w="653" w:type="dxa"/>
          </w:tcPr>
          <w:p w14:paraId="663E88B3" w14:textId="77777777" w:rsidR="0033262D" w:rsidRPr="00A06F1E" w:rsidRDefault="0033262D">
            <w:pPr>
              <w:pStyle w:val="TableTextCentered"/>
              <w:rPr>
                <w:rFonts w:eastAsia="Times New Roman"/>
              </w:rPr>
            </w:pPr>
            <w:r w:rsidRPr="00A06F1E">
              <w:rPr>
                <w:rFonts w:eastAsia="Times New Roman"/>
              </w:rPr>
              <w:t>7</w:t>
            </w:r>
          </w:p>
        </w:tc>
        <w:tc>
          <w:tcPr>
            <w:tcW w:w="655" w:type="dxa"/>
          </w:tcPr>
          <w:p w14:paraId="080F23DB" w14:textId="77777777" w:rsidR="0033262D" w:rsidRPr="00A06F1E" w:rsidRDefault="0033262D">
            <w:pPr>
              <w:pStyle w:val="TableTextCentered"/>
              <w:rPr>
                <w:rFonts w:eastAsia="Times New Roman"/>
              </w:rPr>
            </w:pPr>
            <w:r w:rsidRPr="00A06F1E">
              <w:rPr>
                <w:rFonts w:eastAsia="Times New Roman"/>
              </w:rPr>
              <w:t>8</w:t>
            </w:r>
          </w:p>
        </w:tc>
        <w:tc>
          <w:tcPr>
            <w:tcW w:w="655" w:type="dxa"/>
          </w:tcPr>
          <w:p w14:paraId="47DF4074" w14:textId="77777777" w:rsidR="0033262D" w:rsidRPr="00A06F1E" w:rsidRDefault="0033262D">
            <w:pPr>
              <w:pStyle w:val="TableTextCentered"/>
              <w:rPr>
                <w:rFonts w:eastAsia="Times New Roman"/>
              </w:rPr>
            </w:pPr>
            <w:r w:rsidRPr="00A06F1E">
              <w:rPr>
                <w:rFonts w:eastAsia="Times New Roman"/>
              </w:rPr>
              <w:t>7</w:t>
            </w:r>
          </w:p>
        </w:tc>
        <w:tc>
          <w:tcPr>
            <w:tcW w:w="515" w:type="dxa"/>
          </w:tcPr>
          <w:p w14:paraId="5AB88F4F" w14:textId="77777777" w:rsidR="0033262D" w:rsidRPr="00A06F1E" w:rsidRDefault="0033262D">
            <w:pPr>
              <w:pStyle w:val="TableTextCentered"/>
              <w:rPr>
                <w:rFonts w:eastAsia="Times New Roman"/>
              </w:rPr>
            </w:pPr>
            <w:r w:rsidRPr="00A06F1E">
              <w:rPr>
                <w:rFonts w:eastAsia="Times New Roman"/>
              </w:rPr>
              <w:t>23</w:t>
            </w:r>
          </w:p>
        </w:tc>
        <w:tc>
          <w:tcPr>
            <w:tcW w:w="952" w:type="dxa"/>
          </w:tcPr>
          <w:p w14:paraId="755EBC7D" w14:textId="77777777" w:rsidR="0033262D" w:rsidRPr="00A06F1E" w:rsidRDefault="0033262D">
            <w:pPr>
              <w:pStyle w:val="TableTextCentered"/>
              <w:rPr>
                <w:rFonts w:eastAsia="Times New Roman"/>
              </w:rPr>
            </w:pPr>
            <w:r w:rsidRPr="00A06F1E">
              <w:rPr>
                <w:rFonts w:eastAsia="Times New Roman"/>
              </w:rPr>
              <w:t>5.9</w:t>
            </w:r>
          </w:p>
        </w:tc>
      </w:tr>
      <w:tr w:rsidR="0033262D" w:rsidRPr="00A06F1E" w14:paraId="3DBF433A" w14:textId="77777777" w:rsidTr="0033262D">
        <w:trPr>
          <w:cnfStyle w:val="000000100000" w:firstRow="0" w:lastRow="0" w:firstColumn="0" w:lastColumn="0" w:oddVBand="0" w:evenVBand="0" w:oddHBand="1" w:evenHBand="0" w:firstRowFirstColumn="0" w:firstRowLastColumn="0" w:lastRowFirstColumn="0" w:lastRowLastColumn="0"/>
        </w:trPr>
        <w:tc>
          <w:tcPr>
            <w:tcW w:w="3297" w:type="dxa"/>
          </w:tcPr>
          <w:p w14:paraId="036D93E5" w14:textId="77777777" w:rsidR="0033262D" w:rsidRPr="00A06F1E" w:rsidRDefault="0033262D">
            <w:pPr>
              <w:pStyle w:val="TableText"/>
              <w:ind w:left="204"/>
              <w:rPr>
                <w:rFonts w:ascii="Franklin Gothic Book" w:hAnsi="Franklin Gothic Book"/>
                <w:b/>
                <w:bCs/>
              </w:rPr>
            </w:pPr>
            <w:r w:rsidRPr="00A06F1E">
              <w:rPr>
                <w:rFonts w:ascii="Franklin Gothic Book" w:hAnsi="Franklin Gothic Book"/>
              </w:rPr>
              <w:t>Regard for Student Perspectives</w:t>
            </w:r>
          </w:p>
        </w:tc>
        <w:tc>
          <w:tcPr>
            <w:tcW w:w="654" w:type="dxa"/>
          </w:tcPr>
          <w:p w14:paraId="1DCF70B1" w14:textId="77777777" w:rsidR="0033262D" w:rsidRPr="00A06F1E" w:rsidRDefault="0033262D">
            <w:pPr>
              <w:pStyle w:val="TableTextCentered"/>
              <w:rPr>
                <w:rFonts w:eastAsia="Times New Roman"/>
              </w:rPr>
            </w:pPr>
            <w:r w:rsidRPr="00A06F1E">
              <w:rPr>
                <w:rFonts w:eastAsia="Times New Roman"/>
              </w:rPr>
              <w:t>1</w:t>
            </w:r>
          </w:p>
        </w:tc>
        <w:tc>
          <w:tcPr>
            <w:tcW w:w="721" w:type="dxa"/>
          </w:tcPr>
          <w:p w14:paraId="3A22E821" w14:textId="77777777" w:rsidR="0033262D" w:rsidRPr="00A06F1E" w:rsidRDefault="0033262D">
            <w:pPr>
              <w:pStyle w:val="TableTextCentered"/>
              <w:rPr>
                <w:rFonts w:eastAsia="Times New Roman"/>
              </w:rPr>
            </w:pPr>
            <w:r w:rsidRPr="00A06F1E">
              <w:rPr>
                <w:rFonts w:eastAsia="Times New Roman"/>
              </w:rPr>
              <w:t>3</w:t>
            </w:r>
          </w:p>
        </w:tc>
        <w:tc>
          <w:tcPr>
            <w:tcW w:w="587" w:type="dxa"/>
          </w:tcPr>
          <w:p w14:paraId="68300BCF" w14:textId="77777777" w:rsidR="0033262D" w:rsidRPr="00A06F1E" w:rsidRDefault="0033262D">
            <w:pPr>
              <w:pStyle w:val="TableTextCentered"/>
              <w:rPr>
                <w:rFonts w:eastAsia="Times New Roman"/>
              </w:rPr>
            </w:pPr>
            <w:r w:rsidRPr="00A06F1E">
              <w:rPr>
                <w:rFonts w:eastAsia="Times New Roman"/>
              </w:rPr>
              <w:t>6</w:t>
            </w:r>
          </w:p>
        </w:tc>
        <w:tc>
          <w:tcPr>
            <w:tcW w:w="655" w:type="dxa"/>
          </w:tcPr>
          <w:p w14:paraId="1641EB87" w14:textId="77777777" w:rsidR="0033262D" w:rsidRPr="00A06F1E" w:rsidRDefault="0033262D">
            <w:pPr>
              <w:pStyle w:val="TableTextCentered"/>
              <w:rPr>
                <w:rFonts w:eastAsia="Times New Roman"/>
              </w:rPr>
            </w:pPr>
            <w:r w:rsidRPr="00A06F1E">
              <w:rPr>
                <w:rFonts w:eastAsia="Times New Roman"/>
              </w:rPr>
              <w:t>7</w:t>
            </w:r>
          </w:p>
        </w:tc>
        <w:tc>
          <w:tcPr>
            <w:tcW w:w="653" w:type="dxa"/>
          </w:tcPr>
          <w:p w14:paraId="79F56006" w14:textId="77777777" w:rsidR="0033262D" w:rsidRPr="00A06F1E" w:rsidRDefault="0033262D">
            <w:pPr>
              <w:pStyle w:val="TableTextCentered"/>
              <w:rPr>
                <w:rFonts w:eastAsia="Times New Roman"/>
              </w:rPr>
            </w:pPr>
            <w:r w:rsidRPr="00A06F1E">
              <w:rPr>
                <w:rFonts w:eastAsia="Times New Roman"/>
              </w:rPr>
              <w:t>5</w:t>
            </w:r>
          </w:p>
        </w:tc>
        <w:tc>
          <w:tcPr>
            <w:tcW w:w="655" w:type="dxa"/>
          </w:tcPr>
          <w:p w14:paraId="5571B90B" w14:textId="77777777" w:rsidR="0033262D" w:rsidRPr="00A06F1E" w:rsidRDefault="0033262D">
            <w:pPr>
              <w:pStyle w:val="TableTextCentered"/>
              <w:rPr>
                <w:rFonts w:eastAsia="Times New Roman"/>
              </w:rPr>
            </w:pPr>
            <w:r w:rsidRPr="00A06F1E">
              <w:rPr>
                <w:rFonts w:eastAsia="Times New Roman"/>
              </w:rPr>
              <w:t>1</w:t>
            </w:r>
          </w:p>
        </w:tc>
        <w:tc>
          <w:tcPr>
            <w:tcW w:w="655" w:type="dxa"/>
          </w:tcPr>
          <w:p w14:paraId="06D4C65F" w14:textId="77777777" w:rsidR="0033262D" w:rsidRPr="00A06F1E" w:rsidRDefault="0033262D">
            <w:pPr>
              <w:pStyle w:val="TableTextCentered"/>
              <w:rPr>
                <w:rFonts w:eastAsia="Times New Roman"/>
              </w:rPr>
            </w:pPr>
            <w:r w:rsidRPr="00A06F1E">
              <w:rPr>
                <w:rFonts w:eastAsia="Times New Roman"/>
              </w:rPr>
              <w:t>0</w:t>
            </w:r>
          </w:p>
        </w:tc>
        <w:tc>
          <w:tcPr>
            <w:tcW w:w="515" w:type="dxa"/>
          </w:tcPr>
          <w:p w14:paraId="2BCAE927" w14:textId="77777777" w:rsidR="0033262D" w:rsidRPr="00A06F1E" w:rsidRDefault="0033262D">
            <w:pPr>
              <w:pStyle w:val="TableTextCentered"/>
              <w:rPr>
                <w:rFonts w:eastAsia="Times New Roman"/>
              </w:rPr>
            </w:pPr>
            <w:r w:rsidRPr="00A06F1E">
              <w:rPr>
                <w:rFonts w:eastAsia="Times New Roman"/>
              </w:rPr>
              <w:t>23</w:t>
            </w:r>
          </w:p>
        </w:tc>
        <w:tc>
          <w:tcPr>
            <w:tcW w:w="952" w:type="dxa"/>
          </w:tcPr>
          <w:p w14:paraId="225F5151" w14:textId="77777777" w:rsidR="0033262D" w:rsidRPr="00A06F1E" w:rsidRDefault="0033262D">
            <w:pPr>
              <w:pStyle w:val="TableTextCentered"/>
              <w:rPr>
                <w:rFonts w:eastAsia="Times New Roman"/>
              </w:rPr>
            </w:pPr>
            <w:r w:rsidRPr="00A06F1E">
              <w:rPr>
                <w:rFonts w:eastAsia="Times New Roman"/>
              </w:rPr>
              <w:t>3.7</w:t>
            </w:r>
          </w:p>
        </w:tc>
      </w:tr>
      <w:tr w:rsidR="0033262D" w:rsidRPr="00A06F1E" w14:paraId="26BF3CE2" w14:textId="77777777" w:rsidTr="0033262D">
        <w:tc>
          <w:tcPr>
            <w:tcW w:w="3297" w:type="dxa"/>
            <w:shd w:val="clear" w:color="auto" w:fill="D9E2F3" w:themeFill="accent5" w:themeFillTint="33"/>
          </w:tcPr>
          <w:p w14:paraId="6D82E7C0" w14:textId="77777777" w:rsidR="0033262D" w:rsidRPr="00A06F1E" w:rsidRDefault="0033262D" w:rsidP="0033262D">
            <w:pPr>
              <w:pStyle w:val="TableSubheading"/>
              <w:rPr>
                <w:szCs w:val="20"/>
              </w:rPr>
            </w:pPr>
            <w:r w:rsidRPr="00A06F1E">
              <w:t>Classroom Organization Domain</w:t>
            </w:r>
          </w:p>
        </w:tc>
        <w:tc>
          <w:tcPr>
            <w:tcW w:w="654" w:type="dxa"/>
            <w:shd w:val="clear" w:color="auto" w:fill="D9E2F3" w:themeFill="accent5" w:themeFillTint="33"/>
          </w:tcPr>
          <w:p w14:paraId="5201AF3A" w14:textId="77777777" w:rsidR="0033262D" w:rsidRPr="00A06F1E" w:rsidRDefault="0033262D">
            <w:pPr>
              <w:pStyle w:val="TableTextCenteredDemi"/>
              <w:rPr>
                <w:rFonts w:eastAsia="Times New Roman"/>
              </w:rPr>
            </w:pPr>
            <w:r w:rsidRPr="00A06F1E">
              <w:rPr>
                <w:rFonts w:eastAsia="Times New Roman"/>
              </w:rPr>
              <w:t>0</w:t>
            </w:r>
          </w:p>
        </w:tc>
        <w:tc>
          <w:tcPr>
            <w:tcW w:w="721" w:type="dxa"/>
            <w:shd w:val="clear" w:color="auto" w:fill="D9E2F3" w:themeFill="accent5" w:themeFillTint="33"/>
          </w:tcPr>
          <w:p w14:paraId="25AC354A" w14:textId="77777777" w:rsidR="0033262D" w:rsidRPr="00A06F1E" w:rsidRDefault="0033262D">
            <w:pPr>
              <w:pStyle w:val="TableTextCenteredDemi"/>
              <w:rPr>
                <w:rFonts w:eastAsia="Times New Roman"/>
              </w:rPr>
            </w:pPr>
            <w:r w:rsidRPr="00A06F1E">
              <w:rPr>
                <w:rFonts w:eastAsia="Times New Roman"/>
              </w:rPr>
              <w:t>0</w:t>
            </w:r>
          </w:p>
        </w:tc>
        <w:tc>
          <w:tcPr>
            <w:tcW w:w="587" w:type="dxa"/>
            <w:shd w:val="clear" w:color="auto" w:fill="D9E2F3" w:themeFill="accent5" w:themeFillTint="33"/>
          </w:tcPr>
          <w:p w14:paraId="5A851CF7" w14:textId="77777777" w:rsidR="0033262D" w:rsidRPr="00A06F1E" w:rsidRDefault="0033262D">
            <w:pPr>
              <w:pStyle w:val="TableTextCenteredDemi"/>
              <w:rPr>
                <w:rFonts w:eastAsia="Times New Roman"/>
              </w:rPr>
            </w:pPr>
            <w:r w:rsidRPr="00A06F1E">
              <w:rPr>
                <w:rFonts w:eastAsia="Times New Roman"/>
              </w:rPr>
              <w:t>1</w:t>
            </w:r>
          </w:p>
        </w:tc>
        <w:tc>
          <w:tcPr>
            <w:tcW w:w="655" w:type="dxa"/>
            <w:shd w:val="clear" w:color="auto" w:fill="D9E2F3" w:themeFill="accent5" w:themeFillTint="33"/>
          </w:tcPr>
          <w:p w14:paraId="3FB51BB4" w14:textId="77777777" w:rsidR="0033262D" w:rsidRPr="00A06F1E" w:rsidRDefault="0033262D">
            <w:pPr>
              <w:pStyle w:val="TableTextCenteredDemi"/>
              <w:rPr>
                <w:rFonts w:eastAsia="Times New Roman"/>
              </w:rPr>
            </w:pPr>
            <w:r w:rsidRPr="00A06F1E">
              <w:rPr>
                <w:rFonts w:eastAsia="Times New Roman"/>
              </w:rPr>
              <w:t>4</w:t>
            </w:r>
          </w:p>
        </w:tc>
        <w:tc>
          <w:tcPr>
            <w:tcW w:w="653" w:type="dxa"/>
            <w:shd w:val="clear" w:color="auto" w:fill="D9E2F3" w:themeFill="accent5" w:themeFillTint="33"/>
          </w:tcPr>
          <w:p w14:paraId="21F4986B" w14:textId="77777777" w:rsidR="0033262D" w:rsidRPr="00A06F1E" w:rsidRDefault="0033262D">
            <w:pPr>
              <w:pStyle w:val="TableTextCenteredDemi"/>
              <w:rPr>
                <w:rFonts w:eastAsia="Times New Roman"/>
              </w:rPr>
            </w:pPr>
            <w:r w:rsidRPr="00A06F1E">
              <w:rPr>
                <w:rFonts w:eastAsia="Times New Roman"/>
              </w:rPr>
              <w:t>17</w:t>
            </w:r>
          </w:p>
        </w:tc>
        <w:tc>
          <w:tcPr>
            <w:tcW w:w="655" w:type="dxa"/>
            <w:shd w:val="clear" w:color="auto" w:fill="D9E2F3" w:themeFill="accent5" w:themeFillTint="33"/>
          </w:tcPr>
          <w:p w14:paraId="3F87F40C" w14:textId="77777777" w:rsidR="0033262D" w:rsidRPr="00A06F1E" w:rsidRDefault="0033262D">
            <w:pPr>
              <w:pStyle w:val="TableTextCenteredDemi"/>
              <w:rPr>
                <w:rFonts w:eastAsia="Times New Roman"/>
              </w:rPr>
            </w:pPr>
            <w:r w:rsidRPr="00A06F1E">
              <w:rPr>
                <w:rFonts w:eastAsia="Times New Roman"/>
              </w:rPr>
              <w:t>17</w:t>
            </w:r>
          </w:p>
        </w:tc>
        <w:tc>
          <w:tcPr>
            <w:tcW w:w="655" w:type="dxa"/>
            <w:shd w:val="clear" w:color="auto" w:fill="D9E2F3" w:themeFill="accent5" w:themeFillTint="33"/>
          </w:tcPr>
          <w:p w14:paraId="5DAA4C85" w14:textId="77777777" w:rsidR="0033262D" w:rsidRPr="00A06F1E" w:rsidRDefault="0033262D">
            <w:pPr>
              <w:pStyle w:val="TableTextCenteredDemi"/>
              <w:rPr>
                <w:rFonts w:eastAsia="Times New Roman"/>
              </w:rPr>
            </w:pPr>
            <w:r w:rsidRPr="00A06F1E">
              <w:rPr>
                <w:rFonts w:eastAsia="Times New Roman"/>
              </w:rPr>
              <w:t>30</w:t>
            </w:r>
          </w:p>
        </w:tc>
        <w:tc>
          <w:tcPr>
            <w:tcW w:w="515" w:type="dxa"/>
            <w:shd w:val="clear" w:color="auto" w:fill="D9E2F3" w:themeFill="accent5" w:themeFillTint="33"/>
          </w:tcPr>
          <w:p w14:paraId="69467430" w14:textId="77777777" w:rsidR="0033262D" w:rsidRPr="00A06F1E" w:rsidRDefault="0033262D">
            <w:pPr>
              <w:pStyle w:val="TableTextCenteredDemi"/>
              <w:rPr>
                <w:rFonts w:eastAsia="Times New Roman"/>
              </w:rPr>
            </w:pPr>
            <w:r w:rsidRPr="00A06F1E">
              <w:rPr>
                <w:rFonts w:eastAsia="Times New Roman"/>
              </w:rPr>
              <w:t>69</w:t>
            </w:r>
          </w:p>
        </w:tc>
        <w:tc>
          <w:tcPr>
            <w:tcW w:w="952" w:type="dxa"/>
            <w:shd w:val="clear" w:color="auto" w:fill="D9E2F3" w:themeFill="accent5" w:themeFillTint="33"/>
          </w:tcPr>
          <w:p w14:paraId="4EE44887" w14:textId="77777777" w:rsidR="0033262D" w:rsidRPr="00A06F1E" w:rsidRDefault="0033262D">
            <w:pPr>
              <w:pStyle w:val="TableTextCenteredDemi"/>
              <w:rPr>
                <w:rFonts w:eastAsia="Times New Roman"/>
              </w:rPr>
            </w:pPr>
            <w:r w:rsidRPr="00A06F1E">
              <w:rPr>
                <w:rFonts w:eastAsia="Times New Roman"/>
              </w:rPr>
              <w:t>6.0</w:t>
            </w:r>
          </w:p>
        </w:tc>
      </w:tr>
      <w:tr w:rsidR="0033262D" w:rsidRPr="00A06F1E" w14:paraId="4F66A332" w14:textId="77777777" w:rsidTr="0033262D">
        <w:trPr>
          <w:cnfStyle w:val="000000100000" w:firstRow="0" w:lastRow="0" w:firstColumn="0" w:lastColumn="0" w:oddVBand="0" w:evenVBand="0" w:oddHBand="1" w:evenHBand="0" w:firstRowFirstColumn="0" w:firstRowLastColumn="0" w:lastRowFirstColumn="0" w:lastRowLastColumn="0"/>
        </w:trPr>
        <w:tc>
          <w:tcPr>
            <w:tcW w:w="3297" w:type="dxa"/>
          </w:tcPr>
          <w:p w14:paraId="118F7BC7" w14:textId="77777777" w:rsidR="0033262D" w:rsidRPr="00A06F1E" w:rsidRDefault="0033262D">
            <w:pPr>
              <w:pStyle w:val="TableText"/>
              <w:ind w:left="204"/>
              <w:rPr>
                <w:rFonts w:ascii="Franklin Gothic Book" w:hAnsi="Franklin Gothic Book"/>
                <w:b/>
                <w:bCs/>
              </w:rPr>
            </w:pPr>
            <w:r w:rsidRPr="00A06F1E">
              <w:rPr>
                <w:rFonts w:ascii="Franklin Gothic Book" w:hAnsi="Franklin Gothic Book"/>
              </w:rPr>
              <w:t>Behavior Management</w:t>
            </w:r>
          </w:p>
        </w:tc>
        <w:tc>
          <w:tcPr>
            <w:tcW w:w="654" w:type="dxa"/>
          </w:tcPr>
          <w:p w14:paraId="488C3452" w14:textId="77777777" w:rsidR="0033262D" w:rsidRPr="00A06F1E" w:rsidRDefault="0033262D">
            <w:pPr>
              <w:pStyle w:val="TableTextCentered"/>
              <w:rPr>
                <w:rFonts w:eastAsia="Times New Roman"/>
              </w:rPr>
            </w:pPr>
            <w:r w:rsidRPr="00A06F1E">
              <w:rPr>
                <w:rFonts w:eastAsia="Times New Roman"/>
              </w:rPr>
              <w:t>0</w:t>
            </w:r>
          </w:p>
        </w:tc>
        <w:tc>
          <w:tcPr>
            <w:tcW w:w="721" w:type="dxa"/>
          </w:tcPr>
          <w:p w14:paraId="45BFFC04" w14:textId="77777777" w:rsidR="0033262D" w:rsidRPr="00A06F1E" w:rsidRDefault="0033262D">
            <w:pPr>
              <w:pStyle w:val="TableTextCentered"/>
              <w:rPr>
                <w:rFonts w:eastAsia="Times New Roman"/>
              </w:rPr>
            </w:pPr>
            <w:r w:rsidRPr="00A06F1E">
              <w:rPr>
                <w:rFonts w:eastAsia="Times New Roman"/>
              </w:rPr>
              <w:t>0</w:t>
            </w:r>
          </w:p>
        </w:tc>
        <w:tc>
          <w:tcPr>
            <w:tcW w:w="587" w:type="dxa"/>
          </w:tcPr>
          <w:p w14:paraId="7133F134" w14:textId="77777777" w:rsidR="0033262D" w:rsidRPr="00A06F1E" w:rsidRDefault="0033262D">
            <w:pPr>
              <w:pStyle w:val="TableTextCentered"/>
              <w:rPr>
                <w:rFonts w:eastAsia="Times New Roman"/>
              </w:rPr>
            </w:pPr>
            <w:r w:rsidRPr="00A06F1E">
              <w:rPr>
                <w:rFonts w:eastAsia="Times New Roman"/>
              </w:rPr>
              <w:t>1</w:t>
            </w:r>
          </w:p>
        </w:tc>
        <w:tc>
          <w:tcPr>
            <w:tcW w:w="655" w:type="dxa"/>
          </w:tcPr>
          <w:p w14:paraId="70B94A3B" w14:textId="77777777" w:rsidR="0033262D" w:rsidRPr="00A06F1E" w:rsidRDefault="0033262D">
            <w:pPr>
              <w:pStyle w:val="TableTextCentered"/>
              <w:rPr>
                <w:rFonts w:eastAsia="Times New Roman"/>
              </w:rPr>
            </w:pPr>
            <w:r w:rsidRPr="00A06F1E">
              <w:rPr>
                <w:rFonts w:eastAsia="Times New Roman"/>
              </w:rPr>
              <w:t>2</w:t>
            </w:r>
          </w:p>
        </w:tc>
        <w:tc>
          <w:tcPr>
            <w:tcW w:w="653" w:type="dxa"/>
          </w:tcPr>
          <w:p w14:paraId="0F619A78" w14:textId="77777777" w:rsidR="0033262D" w:rsidRPr="00A06F1E" w:rsidRDefault="0033262D">
            <w:pPr>
              <w:pStyle w:val="TableTextCentered"/>
              <w:rPr>
                <w:rFonts w:eastAsia="Times New Roman"/>
              </w:rPr>
            </w:pPr>
            <w:r w:rsidRPr="00A06F1E">
              <w:rPr>
                <w:rFonts w:eastAsia="Times New Roman"/>
              </w:rPr>
              <w:t>1</w:t>
            </w:r>
          </w:p>
        </w:tc>
        <w:tc>
          <w:tcPr>
            <w:tcW w:w="655" w:type="dxa"/>
          </w:tcPr>
          <w:p w14:paraId="2E6FA9C3" w14:textId="77777777" w:rsidR="0033262D" w:rsidRPr="00A06F1E" w:rsidRDefault="0033262D">
            <w:pPr>
              <w:pStyle w:val="TableTextCentered"/>
              <w:rPr>
                <w:rFonts w:eastAsia="Times New Roman"/>
              </w:rPr>
            </w:pPr>
            <w:r w:rsidRPr="00A06F1E">
              <w:rPr>
                <w:rFonts w:eastAsia="Times New Roman"/>
              </w:rPr>
              <w:t>7</w:t>
            </w:r>
          </w:p>
        </w:tc>
        <w:tc>
          <w:tcPr>
            <w:tcW w:w="655" w:type="dxa"/>
          </w:tcPr>
          <w:p w14:paraId="0CD07236" w14:textId="77777777" w:rsidR="0033262D" w:rsidRPr="00A06F1E" w:rsidRDefault="0033262D">
            <w:pPr>
              <w:pStyle w:val="TableTextCentered"/>
              <w:rPr>
                <w:rFonts w:eastAsia="Times New Roman"/>
              </w:rPr>
            </w:pPr>
            <w:r w:rsidRPr="00A06F1E">
              <w:rPr>
                <w:rFonts w:eastAsia="Times New Roman"/>
              </w:rPr>
              <w:t>12</w:t>
            </w:r>
          </w:p>
        </w:tc>
        <w:tc>
          <w:tcPr>
            <w:tcW w:w="515" w:type="dxa"/>
          </w:tcPr>
          <w:p w14:paraId="33BA4953" w14:textId="77777777" w:rsidR="0033262D" w:rsidRPr="00A06F1E" w:rsidRDefault="0033262D">
            <w:pPr>
              <w:pStyle w:val="TableTextCentered"/>
              <w:rPr>
                <w:rFonts w:eastAsia="Times New Roman"/>
              </w:rPr>
            </w:pPr>
            <w:r w:rsidRPr="00A06F1E">
              <w:rPr>
                <w:rFonts w:eastAsia="Times New Roman"/>
              </w:rPr>
              <w:t>23</w:t>
            </w:r>
          </w:p>
        </w:tc>
        <w:tc>
          <w:tcPr>
            <w:tcW w:w="952" w:type="dxa"/>
          </w:tcPr>
          <w:p w14:paraId="0C9BC87A" w14:textId="77777777" w:rsidR="0033262D" w:rsidRPr="00A06F1E" w:rsidRDefault="0033262D">
            <w:pPr>
              <w:pStyle w:val="TableTextCentered"/>
              <w:rPr>
                <w:rFonts w:eastAsia="Times New Roman"/>
              </w:rPr>
            </w:pPr>
            <w:r w:rsidRPr="00A06F1E">
              <w:rPr>
                <w:rFonts w:eastAsia="Times New Roman"/>
              </w:rPr>
              <w:t>6.2</w:t>
            </w:r>
          </w:p>
        </w:tc>
      </w:tr>
      <w:tr w:rsidR="0033262D" w:rsidRPr="00A06F1E" w14:paraId="7227594B" w14:textId="77777777" w:rsidTr="0033262D">
        <w:tc>
          <w:tcPr>
            <w:tcW w:w="3297" w:type="dxa"/>
          </w:tcPr>
          <w:p w14:paraId="2F8F9BD1" w14:textId="77777777" w:rsidR="0033262D" w:rsidRPr="00A06F1E" w:rsidRDefault="0033262D">
            <w:pPr>
              <w:pStyle w:val="TableText"/>
              <w:ind w:left="204"/>
              <w:rPr>
                <w:rFonts w:ascii="Franklin Gothic Book" w:hAnsi="Franklin Gothic Book"/>
                <w:b/>
                <w:bCs/>
              </w:rPr>
            </w:pPr>
            <w:r w:rsidRPr="00A06F1E">
              <w:rPr>
                <w:rFonts w:ascii="Franklin Gothic Book" w:hAnsi="Franklin Gothic Book"/>
              </w:rPr>
              <w:t>Productivity</w:t>
            </w:r>
          </w:p>
        </w:tc>
        <w:tc>
          <w:tcPr>
            <w:tcW w:w="654" w:type="dxa"/>
          </w:tcPr>
          <w:p w14:paraId="335974EC" w14:textId="77777777" w:rsidR="0033262D" w:rsidRPr="00A06F1E" w:rsidRDefault="0033262D">
            <w:pPr>
              <w:pStyle w:val="TableTextCentered"/>
              <w:rPr>
                <w:rFonts w:eastAsia="Times New Roman"/>
              </w:rPr>
            </w:pPr>
            <w:r w:rsidRPr="00A06F1E">
              <w:rPr>
                <w:rFonts w:eastAsia="Times New Roman"/>
              </w:rPr>
              <w:t>0</w:t>
            </w:r>
          </w:p>
        </w:tc>
        <w:tc>
          <w:tcPr>
            <w:tcW w:w="721" w:type="dxa"/>
          </w:tcPr>
          <w:p w14:paraId="09E74CF7" w14:textId="77777777" w:rsidR="0033262D" w:rsidRPr="00A06F1E" w:rsidRDefault="0033262D">
            <w:pPr>
              <w:pStyle w:val="TableTextCentered"/>
              <w:rPr>
                <w:rFonts w:eastAsia="Times New Roman"/>
              </w:rPr>
            </w:pPr>
            <w:r w:rsidRPr="00A06F1E">
              <w:rPr>
                <w:rFonts w:eastAsia="Times New Roman"/>
              </w:rPr>
              <w:t>0</w:t>
            </w:r>
          </w:p>
        </w:tc>
        <w:tc>
          <w:tcPr>
            <w:tcW w:w="587" w:type="dxa"/>
          </w:tcPr>
          <w:p w14:paraId="0980614C" w14:textId="77777777" w:rsidR="0033262D" w:rsidRPr="00A06F1E" w:rsidRDefault="0033262D">
            <w:pPr>
              <w:pStyle w:val="TableTextCentered"/>
              <w:rPr>
                <w:rFonts w:eastAsia="Times New Roman"/>
              </w:rPr>
            </w:pPr>
            <w:r w:rsidRPr="00A06F1E">
              <w:rPr>
                <w:rFonts w:eastAsia="Times New Roman"/>
              </w:rPr>
              <w:t>0</w:t>
            </w:r>
          </w:p>
        </w:tc>
        <w:tc>
          <w:tcPr>
            <w:tcW w:w="655" w:type="dxa"/>
          </w:tcPr>
          <w:p w14:paraId="1D21519D" w14:textId="77777777" w:rsidR="0033262D" w:rsidRPr="00A06F1E" w:rsidRDefault="0033262D">
            <w:pPr>
              <w:pStyle w:val="TableTextCentered"/>
              <w:rPr>
                <w:rFonts w:eastAsia="Times New Roman"/>
              </w:rPr>
            </w:pPr>
            <w:r w:rsidRPr="00A06F1E">
              <w:rPr>
                <w:rFonts w:eastAsia="Times New Roman"/>
              </w:rPr>
              <w:t>0</w:t>
            </w:r>
          </w:p>
        </w:tc>
        <w:tc>
          <w:tcPr>
            <w:tcW w:w="653" w:type="dxa"/>
          </w:tcPr>
          <w:p w14:paraId="2244C5EF" w14:textId="77777777" w:rsidR="0033262D" w:rsidRPr="00A06F1E" w:rsidRDefault="0033262D">
            <w:pPr>
              <w:pStyle w:val="TableTextCentered"/>
              <w:rPr>
                <w:rFonts w:eastAsia="Times New Roman"/>
              </w:rPr>
            </w:pPr>
            <w:r w:rsidRPr="00A06F1E">
              <w:rPr>
                <w:rFonts w:eastAsia="Times New Roman"/>
              </w:rPr>
              <w:t>2</w:t>
            </w:r>
          </w:p>
        </w:tc>
        <w:tc>
          <w:tcPr>
            <w:tcW w:w="655" w:type="dxa"/>
          </w:tcPr>
          <w:p w14:paraId="436A29C1" w14:textId="77777777" w:rsidR="0033262D" w:rsidRPr="00A06F1E" w:rsidRDefault="0033262D">
            <w:pPr>
              <w:pStyle w:val="TableTextCentered"/>
              <w:rPr>
                <w:rFonts w:eastAsia="Times New Roman"/>
              </w:rPr>
            </w:pPr>
            <w:r w:rsidRPr="00A06F1E">
              <w:rPr>
                <w:rFonts w:eastAsia="Times New Roman"/>
              </w:rPr>
              <w:t>5</w:t>
            </w:r>
          </w:p>
        </w:tc>
        <w:tc>
          <w:tcPr>
            <w:tcW w:w="655" w:type="dxa"/>
          </w:tcPr>
          <w:p w14:paraId="5AD0B956" w14:textId="77777777" w:rsidR="0033262D" w:rsidRPr="00A06F1E" w:rsidRDefault="0033262D">
            <w:pPr>
              <w:pStyle w:val="TableTextCentered"/>
              <w:rPr>
                <w:rFonts w:eastAsia="Times New Roman"/>
              </w:rPr>
            </w:pPr>
            <w:r w:rsidRPr="00A06F1E">
              <w:rPr>
                <w:rFonts w:eastAsia="Times New Roman"/>
              </w:rPr>
              <w:t>16</w:t>
            </w:r>
          </w:p>
        </w:tc>
        <w:tc>
          <w:tcPr>
            <w:tcW w:w="515" w:type="dxa"/>
          </w:tcPr>
          <w:p w14:paraId="14630B7C" w14:textId="77777777" w:rsidR="0033262D" w:rsidRPr="00A06F1E" w:rsidRDefault="0033262D">
            <w:pPr>
              <w:pStyle w:val="TableTextCentered"/>
              <w:rPr>
                <w:rFonts w:eastAsia="Times New Roman"/>
              </w:rPr>
            </w:pPr>
            <w:r w:rsidRPr="00A06F1E">
              <w:rPr>
                <w:rFonts w:eastAsia="Times New Roman"/>
              </w:rPr>
              <w:t>23</w:t>
            </w:r>
          </w:p>
        </w:tc>
        <w:tc>
          <w:tcPr>
            <w:tcW w:w="952" w:type="dxa"/>
          </w:tcPr>
          <w:p w14:paraId="36BC5576" w14:textId="77777777" w:rsidR="0033262D" w:rsidRPr="00A06F1E" w:rsidRDefault="0033262D">
            <w:pPr>
              <w:pStyle w:val="TableTextCentered"/>
              <w:rPr>
                <w:rFonts w:eastAsia="Times New Roman"/>
              </w:rPr>
            </w:pPr>
            <w:r w:rsidRPr="00A06F1E">
              <w:rPr>
                <w:rFonts w:eastAsia="Times New Roman"/>
              </w:rPr>
              <w:t>6.6</w:t>
            </w:r>
          </w:p>
        </w:tc>
      </w:tr>
      <w:tr w:rsidR="0033262D" w:rsidRPr="00A06F1E" w14:paraId="4594B581" w14:textId="77777777" w:rsidTr="0033262D">
        <w:trPr>
          <w:cnfStyle w:val="000000100000" w:firstRow="0" w:lastRow="0" w:firstColumn="0" w:lastColumn="0" w:oddVBand="0" w:evenVBand="0" w:oddHBand="1" w:evenHBand="0" w:firstRowFirstColumn="0" w:firstRowLastColumn="0" w:lastRowFirstColumn="0" w:lastRowLastColumn="0"/>
        </w:trPr>
        <w:tc>
          <w:tcPr>
            <w:tcW w:w="3297" w:type="dxa"/>
          </w:tcPr>
          <w:p w14:paraId="6A9992BF" w14:textId="77777777" w:rsidR="0033262D" w:rsidRPr="00A06F1E" w:rsidRDefault="0033262D">
            <w:pPr>
              <w:pStyle w:val="TableText"/>
              <w:ind w:left="204"/>
              <w:rPr>
                <w:rFonts w:ascii="Franklin Gothic Book" w:hAnsi="Franklin Gothic Book"/>
                <w:b/>
                <w:bCs/>
              </w:rPr>
            </w:pPr>
            <w:r w:rsidRPr="00A06F1E">
              <w:rPr>
                <w:rFonts w:ascii="Franklin Gothic Book" w:hAnsi="Franklin Gothic Book"/>
              </w:rPr>
              <w:t>Instructional Learning Formats***</w:t>
            </w:r>
          </w:p>
        </w:tc>
        <w:tc>
          <w:tcPr>
            <w:tcW w:w="654" w:type="dxa"/>
          </w:tcPr>
          <w:p w14:paraId="209F9702" w14:textId="77777777" w:rsidR="0033262D" w:rsidRPr="00A06F1E" w:rsidRDefault="0033262D">
            <w:pPr>
              <w:pStyle w:val="TableTextCentered"/>
              <w:rPr>
                <w:rFonts w:eastAsia="Times New Roman"/>
              </w:rPr>
            </w:pPr>
            <w:r w:rsidRPr="00A06F1E">
              <w:rPr>
                <w:rFonts w:eastAsia="Times New Roman"/>
              </w:rPr>
              <w:t>0</w:t>
            </w:r>
          </w:p>
        </w:tc>
        <w:tc>
          <w:tcPr>
            <w:tcW w:w="721" w:type="dxa"/>
          </w:tcPr>
          <w:p w14:paraId="2570F79A" w14:textId="77777777" w:rsidR="0033262D" w:rsidRPr="00A06F1E" w:rsidRDefault="0033262D">
            <w:pPr>
              <w:pStyle w:val="TableTextCentered"/>
              <w:rPr>
                <w:rFonts w:eastAsia="Times New Roman"/>
              </w:rPr>
            </w:pPr>
            <w:r w:rsidRPr="00A06F1E">
              <w:rPr>
                <w:rFonts w:eastAsia="Times New Roman"/>
              </w:rPr>
              <w:t>0</w:t>
            </w:r>
          </w:p>
        </w:tc>
        <w:tc>
          <w:tcPr>
            <w:tcW w:w="587" w:type="dxa"/>
          </w:tcPr>
          <w:p w14:paraId="79D79A8B" w14:textId="77777777" w:rsidR="0033262D" w:rsidRPr="00A06F1E" w:rsidRDefault="0033262D">
            <w:pPr>
              <w:pStyle w:val="TableTextCentered"/>
              <w:rPr>
                <w:rFonts w:eastAsia="Times New Roman"/>
              </w:rPr>
            </w:pPr>
            <w:r w:rsidRPr="00A06F1E">
              <w:rPr>
                <w:rFonts w:eastAsia="Times New Roman"/>
              </w:rPr>
              <w:t>0</w:t>
            </w:r>
          </w:p>
        </w:tc>
        <w:tc>
          <w:tcPr>
            <w:tcW w:w="655" w:type="dxa"/>
          </w:tcPr>
          <w:p w14:paraId="5F50D143" w14:textId="77777777" w:rsidR="0033262D" w:rsidRPr="00A06F1E" w:rsidRDefault="0033262D">
            <w:pPr>
              <w:pStyle w:val="TableTextCentered"/>
              <w:rPr>
                <w:rFonts w:eastAsia="Times New Roman"/>
              </w:rPr>
            </w:pPr>
            <w:r w:rsidRPr="00A06F1E">
              <w:rPr>
                <w:rFonts w:eastAsia="Times New Roman"/>
              </w:rPr>
              <w:t>2</w:t>
            </w:r>
          </w:p>
        </w:tc>
        <w:tc>
          <w:tcPr>
            <w:tcW w:w="653" w:type="dxa"/>
          </w:tcPr>
          <w:p w14:paraId="3A78E077" w14:textId="77777777" w:rsidR="0033262D" w:rsidRPr="00A06F1E" w:rsidRDefault="0033262D">
            <w:pPr>
              <w:pStyle w:val="TableTextCentered"/>
              <w:rPr>
                <w:rFonts w:eastAsia="Times New Roman"/>
              </w:rPr>
            </w:pPr>
            <w:r w:rsidRPr="00A06F1E">
              <w:rPr>
                <w:rFonts w:eastAsia="Times New Roman"/>
              </w:rPr>
              <w:t>14</w:t>
            </w:r>
          </w:p>
        </w:tc>
        <w:tc>
          <w:tcPr>
            <w:tcW w:w="655" w:type="dxa"/>
          </w:tcPr>
          <w:p w14:paraId="4A480900" w14:textId="77777777" w:rsidR="0033262D" w:rsidRPr="00A06F1E" w:rsidRDefault="0033262D">
            <w:pPr>
              <w:pStyle w:val="TableTextCentered"/>
              <w:rPr>
                <w:rFonts w:eastAsia="Times New Roman"/>
              </w:rPr>
            </w:pPr>
            <w:r w:rsidRPr="00A06F1E">
              <w:rPr>
                <w:rFonts w:eastAsia="Times New Roman"/>
              </w:rPr>
              <w:t>5</w:t>
            </w:r>
          </w:p>
        </w:tc>
        <w:tc>
          <w:tcPr>
            <w:tcW w:w="655" w:type="dxa"/>
          </w:tcPr>
          <w:p w14:paraId="488E21B0" w14:textId="77777777" w:rsidR="0033262D" w:rsidRPr="00A06F1E" w:rsidRDefault="0033262D">
            <w:pPr>
              <w:pStyle w:val="TableTextCentered"/>
              <w:rPr>
                <w:rFonts w:eastAsia="Times New Roman"/>
              </w:rPr>
            </w:pPr>
            <w:r w:rsidRPr="00A06F1E">
              <w:rPr>
                <w:rFonts w:eastAsia="Times New Roman"/>
              </w:rPr>
              <w:t>2</w:t>
            </w:r>
          </w:p>
        </w:tc>
        <w:tc>
          <w:tcPr>
            <w:tcW w:w="515" w:type="dxa"/>
          </w:tcPr>
          <w:p w14:paraId="0FAF2ADE" w14:textId="77777777" w:rsidR="0033262D" w:rsidRPr="00A06F1E" w:rsidRDefault="0033262D">
            <w:pPr>
              <w:pStyle w:val="TableTextCentered"/>
              <w:rPr>
                <w:rFonts w:eastAsia="Times New Roman"/>
              </w:rPr>
            </w:pPr>
            <w:r w:rsidRPr="00A06F1E">
              <w:rPr>
                <w:rFonts w:eastAsia="Times New Roman"/>
              </w:rPr>
              <w:t>23</w:t>
            </w:r>
          </w:p>
        </w:tc>
        <w:tc>
          <w:tcPr>
            <w:tcW w:w="952" w:type="dxa"/>
          </w:tcPr>
          <w:p w14:paraId="4E0C3687" w14:textId="77777777" w:rsidR="0033262D" w:rsidRPr="00A06F1E" w:rsidRDefault="0033262D">
            <w:pPr>
              <w:pStyle w:val="TableTextCentered"/>
              <w:rPr>
                <w:rFonts w:eastAsia="Times New Roman"/>
              </w:rPr>
            </w:pPr>
            <w:r w:rsidRPr="00A06F1E">
              <w:rPr>
                <w:rFonts w:eastAsia="Times New Roman"/>
              </w:rPr>
              <w:t>5.3</w:t>
            </w:r>
          </w:p>
        </w:tc>
      </w:tr>
      <w:tr w:rsidR="0033262D" w:rsidRPr="00A06F1E" w14:paraId="6B80321E" w14:textId="77777777" w:rsidTr="0033262D">
        <w:tc>
          <w:tcPr>
            <w:tcW w:w="3297" w:type="dxa"/>
            <w:shd w:val="clear" w:color="auto" w:fill="D9E2F3" w:themeFill="accent5" w:themeFillTint="33"/>
          </w:tcPr>
          <w:p w14:paraId="7503F53E" w14:textId="77777777" w:rsidR="0033262D" w:rsidRPr="00A06F1E" w:rsidRDefault="0033262D" w:rsidP="0033262D">
            <w:pPr>
              <w:pStyle w:val="TableSubheading"/>
              <w:rPr>
                <w:szCs w:val="20"/>
              </w:rPr>
            </w:pPr>
            <w:r w:rsidRPr="00A06F1E">
              <w:t>Instructional Support Domain</w:t>
            </w:r>
          </w:p>
        </w:tc>
        <w:tc>
          <w:tcPr>
            <w:tcW w:w="654" w:type="dxa"/>
            <w:shd w:val="clear" w:color="auto" w:fill="D9E2F3" w:themeFill="accent5" w:themeFillTint="33"/>
          </w:tcPr>
          <w:p w14:paraId="33E4547E" w14:textId="77777777" w:rsidR="0033262D" w:rsidRPr="00A06F1E" w:rsidRDefault="0033262D">
            <w:pPr>
              <w:pStyle w:val="TableTextCenteredDemi"/>
              <w:rPr>
                <w:rFonts w:eastAsia="Times New Roman"/>
              </w:rPr>
            </w:pPr>
            <w:r w:rsidRPr="00A06F1E">
              <w:rPr>
                <w:rFonts w:eastAsia="Times New Roman"/>
              </w:rPr>
              <w:t>8</w:t>
            </w:r>
          </w:p>
        </w:tc>
        <w:tc>
          <w:tcPr>
            <w:tcW w:w="721" w:type="dxa"/>
            <w:shd w:val="clear" w:color="auto" w:fill="D9E2F3" w:themeFill="accent5" w:themeFillTint="33"/>
          </w:tcPr>
          <w:p w14:paraId="598A411C" w14:textId="77777777" w:rsidR="0033262D" w:rsidRPr="00A06F1E" w:rsidRDefault="0033262D">
            <w:pPr>
              <w:pStyle w:val="TableTextCenteredDemi"/>
              <w:rPr>
                <w:rFonts w:eastAsia="Times New Roman"/>
              </w:rPr>
            </w:pPr>
            <w:r w:rsidRPr="00A06F1E">
              <w:rPr>
                <w:rFonts w:eastAsia="Times New Roman"/>
              </w:rPr>
              <w:t>23</w:t>
            </w:r>
          </w:p>
        </w:tc>
        <w:tc>
          <w:tcPr>
            <w:tcW w:w="587" w:type="dxa"/>
            <w:shd w:val="clear" w:color="auto" w:fill="D9E2F3" w:themeFill="accent5" w:themeFillTint="33"/>
          </w:tcPr>
          <w:p w14:paraId="27F0B91F" w14:textId="77777777" w:rsidR="0033262D" w:rsidRPr="00A06F1E" w:rsidRDefault="0033262D">
            <w:pPr>
              <w:pStyle w:val="TableTextCenteredDemi"/>
              <w:rPr>
                <w:rFonts w:eastAsia="Times New Roman"/>
              </w:rPr>
            </w:pPr>
            <w:r w:rsidRPr="00A06F1E">
              <w:rPr>
                <w:rFonts w:eastAsia="Times New Roman"/>
              </w:rPr>
              <w:t>26</w:t>
            </w:r>
          </w:p>
        </w:tc>
        <w:tc>
          <w:tcPr>
            <w:tcW w:w="655" w:type="dxa"/>
            <w:shd w:val="clear" w:color="auto" w:fill="D9E2F3" w:themeFill="accent5" w:themeFillTint="33"/>
          </w:tcPr>
          <w:p w14:paraId="58FAADF5" w14:textId="77777777" w:rsidR="0033262D" w:rsidRPr="00A06F1E" w:rsidRDefault="0033262D">
            <w:pPr>
              <w:pStyle w:val="TableTextCenteredDemi"/>
              <w:rPr>
                <w:rFonts w:eastAsia="Times New Roman"/>
              </w:rPr>
            </w:pPr>
            <w:r w:rsidRPr="00A06F1E">
              <w:rPr>
                <w:rFonts w:eastAsia="Times New Roman"/>
              </w:rPr>
              <w:t>12</w:t>
            </w:r>
          </w:p>
        </w:tc>
        <w:tc>
          <w:tcPr>
            <w:tcW w:w="653" w:type="dxa"/>
            <w:shd w:val="clear" w:color="auto" w:fill="D9E2F3" w:themeFill="accent5" w:themeFillTint="33"/>
          </w:tcPr>
          <w:p w14:paraId="23F065B9" w14:textId="77777777" w:rsidR="0033262D" w:rsidRPr="00A06F1E" w:rsidRDefault="0033262D">
            <w:pPr>
              <w:pStyle w:val="TableTextCenteredDemi"/>
              <w:rPr>
                <w:rFonts w:eastAsia="Times New Roman"/>
              </w:rPr>
            </w:pPr>
            <w:r w:rsidRPr="00A06F1E">
              <w:rPr>
                <w:rFonts w:eastAsia="Times New Roman"/>
              </w:rPr>
              <w:t>7</w:t>
            </w:r>
          </w:p>
        </w:tc>
        <w:tc>
          <w:tcPr>
            <w:tcW w:w="655" w:type="dxa"/>
            <w:shd w:val="clear" w:color="auto" w:fill="D9E2F3" w:themeFill="accent5" w:themeFillTint="33"/>
          </w:tcPr>
          <w:p w14:paraId="587B3C41" w14:textId="77777777" w:rsidR="0033262D" w:rsidRPr="00A06F1E" w:rsidRDefault="0033262D">
            <w:pPr>
              <w:pStyle w:val="TableTextCenteredDemi"/>
              <w:rPr>
                <w:rFonts w:eastAsia="Times New Roman"/>
              </w:rPr>
            </w:pPr>
            <w:r w:rsidRPr="00A06F1E">
              <w:rPr>
                <w:rFonts w:eastAsia="Times New Roman"/>
              </w:rPr>
              <w:t>2</w:t>
            </w:r>
          </w:p>
        </w:tc>
        <w:tc>
          <w:tcPr>
            <w:tcW w:w="655" w:type="dxa"/>
            <w:shd w:val="clear" w:color="auto" w:fill="D9E2F3" w:themeFill="accent5" w:themeFillTint="33"/>
          </w:tcPr>
          <w:p w14:paraId="0AC35F7C" w14:textId="77777777" w:rsidR="0033262D" w:rsidRPr="00A06F1E" w:rsidRDefault="0033262D">
            <w:pPr>
              <w:pStyle w:val="TableTextCenteredDemi"/>
              <w:rPr>
                <w:rFonts w:eastAsia="Times New Roman"/>
              </w:rPr>
            </w:pPr>
            <w:r w:rsidRPr="00A06F1E">
              <w:rPr>
                <w:rFonts w:eastAsia="Times New Roman"/>
              </w:rPr>
              <w:t>0</w:t>
            </w:r>
          </w:p>
        </w:tc>
        <w:tc>
          <w:tcPr>
            <w:tcW w:w="515" w:type="dxa"/>
            <w:shd w:val="clear" w:color="auto" w:fill="D9E2F3" w:themeFill="accent5" w:themeFillTint="33"/>
          </w:tcPr>
          <w:p w14:paraId="0432D1AC" w14:textId="77777777" w:rsidR="0033262D" w:rsidRPr="00A06F1E" w:rsidRDefault="0033262D">
            <w:pPr>
              <w:pStyle w:val="TableTextCenteredDemi"/>
              <w:rPr>
                <w:rFonts w:eastAsia="Times New Roman"/>
              </w:rPr>
            </w:pPr>
            <w:r w:rsidRPr="00A06F1E">
              <w:rPr>
                <w:rFonts w:eastAsia="Times New Roman"/>
              </w:rPr>
              <w:t>78</w:t>
            </w:r>
          </w:p>
        </w:tc>
        <w:tc>
          <w:tcPr>
            <w:tcW w:w="952" w:type="dxa"/>
            <w:shd w:val="clear" w:color="auto" w:fill="D9E2F3" w:themeFill="accent5" w:themeFillTint="33"/>
          </w:tcPr>
          <w:p w14:paraId="2CA25AC0" w14:textId="77777777" w:rsidR="0033262D" w:rsidRPr="00A06F1E" w:rsidRDefault="0033262D">
            <w:pPr>
              <w:pStyle w:val="TableTextCenteredDemi"/>
              <w:rPr>
                <w:rFonts w:eastAsia="Times New Roman"/>
              </w:rPr>
            </w:pPr>
            <w:r w:rsidRPr="00A06F1E">
              <w:rPr>
                <w:rFonts w:eastAsia="Times New Roman"/>
              </w:rPr>
              <w:t>2.9</w:t>
            </w:r>
          </w:p>
        </w:tc>
      </w:tr>
      <w:tr w:rsidR="0033262D" w:rsidRPr="00A06F1E" w14:paraId="5B2E92F2" w14:textId="77777777" w:rsidTr="0033262D">
        <w:trPr>
          <w:cnfStyle w:val="000000100000" w:firstRow="0" w:lastRow="0" w:firstColumn="0" w:lastColumn="0" w:oddVBand="0" w:evenVBand="0" w:oddHBand="1" w:evenHBand="0" w:firstRowFirstColumn="0" w:firstRowLastColumn="0" w:lastRowFirstColumn="0" w:lastRowLastColumn="0"/>
        </w:trPr>
        <w:tc>
          <w:tcPr>
            <w:tcW w:w="3297" w:type="dxa"/>
          </w:tcPr>
          <w:p w14:paraId="300F95D8" w14:textId="77777777" w:rsidR="0033262D" w:rsidRPr="00A06F1E" w:rsidRDefault="0033262D">
            <w:pPr>
              <w:pStyle w:val="TableText"/>
              <w:ind w:left="204"/>
              <w:rPr>
                <w:rFonts w:ascii="Franklin Gothic Book" w:hAnsi="Franklin Gothic Book"/>
                <w:b/>
                <w:bCs/>
              </w:rPr>
            </w:pPr>
            <w:r w:rsidRPr="00A06F1E">
              <w:rPr>
                <w:rFonts w:ascii="Franklin Gothic Book" w:hAnsi="Franklin Gothic Book"/>
              </w:rPr>
              <w:t>Concept Development (K-3 only)</w:t>
            </w:r>
          </w:p>
        </w:tc>
        <w:tc>
          <w:tcPr>
            <w:tcW w:w="654" w:type="dxa"/>
          </w:tcPr>
          <w:p w14:paraId="60F45D81" w14:textId="77777777" w:rsidR="0033262D" w:rsidRPr="00A06F1E" w:rsidRDefault="0033262D">
            <w:pPr>
              <w:pStyle w:val="TableTextCentered"/>
              <w:rPr>
                <w:rFonts w:eastAsia="Times New Roman"/>
              </w:rPr>
            </w:pPr>
            <w:r w:rsidRPr="00A06F1E">
              <w:rPr>
                <w:rFonts w:eastAsia="Times New Roman"/>
              </w:rPr>
              <w:t>1</w:t>
            </w:r>
          </w:p>
        </w:tc>
        <w:tc>
          <w:tcPr>
            <w:tcW w:w="721" w:type="dxa"/>
          </w:tcPr>
          <w:p w14:paraId="19B3F622" w14:textId="77777777" w:rsidR="0033262D" w:rsidRPr="00A06F1E" w:rsidRDefault="0033262D">
            <w:pPr>
              <w:pStyle w:val="TableTextCentered"/>
              <w:rPr>
                <w:rFonts w:eastAsia="Times New Roman"/>
              </w:rPr>
            </w:pPr>
            <w:r w:rsidRPr="00A06F1E">
              <w:rPr>
                <w:rFonts w:eastAsia="Times New Roman"/>
              </w:rPr>
              <w:t>8</w:t>
            </w:r>
          </w:p>
        </w:tc>
        <w:tc>
          <w:tcPr>
            <w:tcW w:w="587" w:type="dxa"/>
          </w:tcPr>
          <w:p w14:paraId="27F628C8" w14:textId="77777777" w:rsidR="0033262D" w:rsidRPr="00A06F1E" w:rsidRDefault="0033262D">
            <w:pPr>
              <w:pStyle w:val="TableTextCentered"/>
              <w:rPr>
                <w:rFonts w:eastAsia="Times New Roman"/>
              </w:rPr>
            </w:pPr>
            <w:r w:rsidRPr="00A06F1E">
              <w:rPr>
                <w:rFonts w:eastAsia="Times New Roman"/>
              </w:rPr>
              <w:t>4</w:t>
            </w:r>
          </w:p>
        </w:tc>
        <w:tc>
          <w:tcPr>
            <w:tcW w:w="655" w:type="dxa"/>
          </w:tcPr>
          <w:p w14:paraId="29873D80" w14:textId="77777777" w:rsidR="0033262D" w:rsidRPr="00A06F1E" w:rsidRDefault="0033262D">
            <w:pPr>
              <w:pStyle w:val="TableTextCentered"/>
              <w:rPr>
                <w:rFonts w:eastAsia="Times New Roman"/>
              </w:rPr>
            </w:pPr>
            <w:r w:rsidRPr="00A06F1E">
              <w:rPr>
                <w:rFonts w:eastAsia="Times New Roman"/>
              </w:rPr>
              <w:t>0</w:t>
            </w:r>
          </w:p>
        </w:tc>
        <w:tc>
          <w:tcPr>
            <w:tcW w:w="653" w:type="dxa"/>
          </w:tcPr>
          <w:p w14:paraId="444F1DDC" w14:textId="77777777" w:rsidR="0033262D" w:rsidRPr="00A06F1E" w:rsidRDefault="0033262D">
            <w:pPr>
              <w:pStyle w:val="TableTextCentered"/>
              <w:rPr>
                <w:rFonts w:eastAsia="Times New Roman"/>
              </w:rPr>
            </w:pPr>
            <w:r w:rsidRPr="00A06F1E">
              <w:rPr>
                <w:rFonts w:eastAsia="Times New Roman"/>
              </w:rPr>
              <w:t>1</w:t>
            </w:r>
          </w:p>
        </w:tc>
        <w:tc>
          <w:tcPr>
            <w:tcW w:w="655" w:type="dxa"/>
          </w:tcPr>
          <w:p w14:paraId="2A3949E7" w14:textId="77777777" w:rsidR="0033262D" w:rsidRPr="00A06F1E" w:rsidRDefault="0033262D">
            <w:pPr>
              <w:pStyle w:val="TableTextCentered"/>
              <w:rPr>
                <w:rFonts w:eastAsia="Times New Roman"/>
              </w:rPr>
            </w:pPr>
            <w:r w:rsidRPr="00A06F1E">
              <w:rPr>
                <w:rFonts w:eastAsia="Times New Roman"/>
              </w:rPr>
              <w:t>0</w:t>
            </w:r>
          </w:p>
        </w:tc>
        <w:tc>
          <w:tcPr>
            <w:tcW w:w="655" w:type="dxa"/>
          </w:tcPr>
          <w:p w14:paraId="72D4F99B" w14:textId="77777777" w:rsidR="0033262D" w:rsidRPr="00A06F1E" w:rsidRDefault="0033262D">
            <w:pPr>
              <w:pStyle w:val="TableTextCentered"/>
              <w:rPr>
                <w:rFonts w:eastAsia="Times New Roman"/>
              </w:rPr>
            </w:pPr>
            <w:r w:rsidRPr="00A06F1E">
              <w:rPr>
                <w:rFonts w:eastAsia="Times New Roman"/>
              </w:rPr>
              <w:t>0</w:t>
            </w:r>
          </w:p>
        </w:tc>
        <w:tc>
          <w:tcPr>
            <w:tcW w:w="515" w:type="dxa"/>
          </w:tcPr>
          <w:p w14:paraId="6F78B594" w14:textId="77777777" w:rsidR="0033262D" w:rsidRPr="00A06F1E" w:rsidRDefault="0033262D">
            <w:pPr>
              <w:pStyle w:val="TableTextCentered"/>
              <w:rPr>
                <w:rFonts w:eastAsia="Times New Roman"/>
              </w:rPr>
            </w:pPr>
            <w:r w:rsidRPr="00A06F1E">
              <w:rPr>
                <w:rFonts w:eastAsia="Times New Roman"/>
              </w:rPr>
              <w:t>14</w:t>
            </w:r>
          </w:p>
        </w:tc>
        <w:tc>
          <w:tcPr>
            <w:tcW w:w="952" w:type="dxa"/>
          </w:tcPr>
          <w:p w14:paraId="04DADBCA" w14:textId="77777777" w:rsidR="0033262D" w:rsidRPr="00A06F1E" w:rsidRDefault="0033262D">
            <w:pPr>
              <w:pStyle w:val="TableTextCentered"/>
              <w:rPr>
                <w:rFonts w:eastAsia="Times New Roman"/>
              </w:rPr>
            </w:pPr>
            <w:r w:rsidRPr="00A06F1E">
              <w:rPr>
                <w:rFonts w:eastAsia="Times New Roman"/>
              </w:rPr>
              <w:t>2.4</w:t>
            </w:r>
          </w:p>
        </w:tc>
      </w:tr>
      <w:tr w:rsidR="0033262D" w:rsidRPr="00A06F1E" w14:paraId="7FB24B4B" w14:textId="77777777" w:rsidTr="0033262D">
        <w:trPr>
          <w:trHeight w:val="70"/>
        </w:trPr>
        <w:tc>
          <w:tcPr>
            <w:tcW w:w="3297" w:type="dxa"/>
            <w:vAlign w:val="center"/>
          </w:tcPr>
          <w:p w14:paraId="24C84175" w14:textId="77777777" w:rsidR="0033262D" w:rsidRPr="00A06F1E" w:rsidRDefault="0033262D">
            <w:pPr>
              <w:pStyle w:val="TableText"/>
              <w:ind w:left="204"/>
              <w:rPr>
                <w:rFonts w:ascii="Franklin Gothic Book" w:hAnsi="Franklin Gothic Book"/>
              </w:rPr>
            </w:pPr>
            <w:r w:rsidRPr="00A06F1E">
              <w:rPr>
                <w:rFonts w:ascii="Franklin Gothic Book" w:hAnsi="Franklin Gothic Book"/>
              </w:rPr>
              <w:t>Content Understanding (UE only)</w:t>
            </w:r>
          </w:p>
        </w:tc>
        <w:tc>
          <w:tcPr>
            <w:tcW w:w="654" w:type="dxa"/>
          </w:tcPr>
          <w:p w14:paraId="3183DC6D" w14:textId="77777777" w:rsidR="0033262D" w:rsidRPr="00A06F1E" w:rsidRDefault="0033262D">
            <w:pPr>
              <w:pStyle w:val="TableTextCentered"/>
              <w:rPr>
                <w:rFonts w:eastAsia="Times New Roman"/>
              </w:rPr>
            </w:pPr>
            <w:r w:rsidRPr="00A06F1E">
              <w:rPr>
                <w:rFonts w:eastAsia="Times New Roman"/>
              </w:rPr>
              <w:t>0</w:t>
            </w:r>
          </w:p>
        </w:tc>
        <w:tc>
          <w:tcPr>
            <w:tcW w:w="721" w:type="dxa"/>
          </w:tcPr>
          <w:p w14:paraId="2AAC20E8" w14:textId="77777777" w:rsidR="0033262D" w:rsidRPr="00A06F1E" w:rsidRDefault="0033262D">
            <w:pPr>
              <w:pStyle w:val="TableTextCentered"/>
              <w:rPr>
                <w:rFonts w:eastAsia="Times New Roman"/>
              </w:rPr>
            </w:pPr>
            <w:r w:rsidRPr="00A06F1E">
              <w:rPr>
                <w:rFonts w:eastAsia="Times New Roman"/>
              </w:rPr>
              <w:t>0</w:t>
            </w:r>
          </w:p>
        </w:tc>
        <w:tc>
          <w:tcPr>
            <w:tcW w:w="587" w:type="dxa"/>
          </w:tcPr>
          <w:p w14:paraId="28773FEC" w14:textId="77777777" w:rsidR="0033262D" w:rsidRPr="00A06F1E" w:rsidRDefault="0033262D">
            <w:pPr>
              <w:pStyle w:val="TableTextCentered"/>
              <w:rPr>
                <w:rFonts w:eastAsia="Times New Roman"/>
              </w:rPr>
            </w:pPr>
            <w:r w:rsidRPr="00A06F1E">
              <w:rPr>
                <w:rFonts w:eastAsia="Times New Roman"/>
              </w:rPr>
              <w:t>4</w:t>
            </w:r>
          </w:p>
        </w:tc>
        <w:tc>
          <w:tcPr>
            <w:tcW w:w="655" w:type="dxa"/>
          </w:tcPr>
          <w:p w14:paraId="01DBF9D5" w14:textId="77777777" w:rsidR="0033262D" w:rsidRPr="00A06F1E" w:rsidRDefault="0033262D">
            <w:pPr>
              <w:pStyle w:val="TableTextCentered"/>
              <w:rPr>
                <w:rFonts w:eastAsia="Times New Roman"/>
              </w:rPr>
            </w:pPr>
            <w:r w:rsidRPr="00A06F1E">
              <w:rPr>
                <w:rFonts w:eastAsia="Times New Roman"/>
              </w:rPr>
              <w:t>3</w:t>
            </w:r>
          </w:p>
        </w:tc>
        <w:tc>
          <w:tcPr>
            <w:tcW w:w="653" w:type="dxa"/>
          </w:tcPr>
          <w:p w14:paraId="6F0C2396" w14:textId="77777777" w:rsidR="0033262D" w:rsidRPr="00A06F1E" w:rsidRDefault="0033262D">
            <w:pPr>
              <w:pStyle w:val="TableTextCentered"/>
              <w:rPr>
                <w:rFonts w:eastAsia="Times New Roman"/>
              </w:rPr>
            </w:pPr>
            <w:r w:rsidRPr="00A06F1E">
              <w:rPr>
                <w:rFonts w:eastAsia="Times New Roman"/>
              </w:rPr>
              <w:t>2</w:t>
            </w:r>
          </w:p>
        </w:tc>
        <w:tc>
          <w:tcPr>
            <w:tcW w:w="655" w:type="dxa"/>
          </w:tcPr>
          <w:p w14:paraId="3FBE2F13" w14:textId="77777777" w:rsidR="0033262D" w:rsidRPr="00A06F1E" w:rsidRDefault="0033262D">
            <w:pPr>
              <w:pStyle w:val="TableTextCentered"/>
              <w:rPr>
                <w:rFonts w:eastAsia="Times New Roman"/>
              </w:rPr>
            </w:pPr>
            <w:r w:rsidRPr="00A06F1E">
              <w:rPr>
                <w:rFonts w:eastAsia="Times New Roman"/>
              </w:rPr>
              <w:t>0</w:t>
            </w:r>
          </w:p>
        </w:tc>
        <w:tc>
          <w:tcPr>
            <w:tcW w:w="655" w:type="dxa"/>
          </w:tcPr>
          <w:p w14:paraId="7E20C6F0" w14:textId="77777777" w:rsidR="0033262D" w:rsidRPr="00A06F1E" w:rsidRDefault="0033262D">
            <w:pPr>
              <w:pStyle w:val="TableTextCentered"/>
              <w:rPr>
                <w:rFonts w:eastAsia="Times New Roman"/>
              </w:rPr>
            </w:pPr>
            <w:r w:rsidRPr="00A06F1E">
              <w:rPr>
                <w:rFonts w:eastAsia="Times New Roman"/>
              </w:rPr>
              <w:t>0</w:t>
            </w:r>
          </w:p>
        </w:tc>
        <w:tc>
          <w:tcPr>
            <w:tcW w:w="515" w:type="dxa"/>
          </w:tcPr>
          <w:p w14:paraId="4A7CD9A0" w14:textId="77777777" w:rsidR="0033262D" w:rsidRPr="00A06F1E" w:rsidRDefault="0033262D">
            <w:pPr>
              <w:pStyle w:val="TableTextCentered"/>
              <w:rPr>
                <w:rFonts w:eastAsia="Times New Roman"/>
              </w:rPr>
            </w:pPr>
            <w:r w:rsidRPr="00A06F1E">
              <w:rPr>
                <w:rFonts w:eastAsia="Times New Roman"/>
              </w:rPr>
              <w:t>9</w:t>
            </w:r>
          </w:p>
        </w:tc>
        <w:tc>
          <w:tcPr>
            <w:tcW w:w="952" w:type="dxa"/>
          </w:tcPr>
          <w:p w14:paraId="32B5B375" w14:textId="77777777" w:rsidR="0033262D" w:rsidRPr="00A06F1E" w:rsidRDefault="0033262D">
            <w:pPr>
              <w:pStyle w:val="TableTextCentered"/>
              <w:rPr>
                <w:rFonts w:eastAsia="Times New Roman"/>
              </w:rPr>
            </w:pPr>
            <w:r w:rsidRPr="00A06F1E">
              <w:rPr>
                <w:rFonts w:eastAsia="Times New Roman"/>
              </w:rPr>
              <w:t>3.8</w:t>
            </w:r>
          </w:p>
        </w:tc>
      </w:tr>
      <w:tr w:rsidR="0033262D" w:rsidRPr="00A06F1E" w14:paraId="1FD8271F" w14:textId="77777777" w:rsidTr="0033262D">
        <w:trPr>
          <w:cnfStyle w:val="000000100000" w:firstRow="0" w:lastRow="0" w:firstColumn="0" w:lastColumn="0" w:oddVBand="0" w:evenVBand="0" w:oddHBand="1" w:evenHBand="0" w:firstRowFirstColumn="0" w:firstRowLastColumn="0" w:lastRowFirstColumn="0" w:lastRowLastColumn="0"/>
          <w:trHeight w:val="70"/>
        </w:trPr>
        <w:tc>
          <w:tcPr>
            <w:tcW w:w="3297" w:type="dxa"/>
            <w:vAlign w:val="center"/>
          </w:tcPr>
          <w:p w14:paraId="75FF7A7F" w14:textId="77777777" w:rsidR="0033262D" w:rsidRPr="00A06F1E" w:rsidRDefault="0033262D">
            <w:pPr>
              <w:pStyle w:val="TableText"/>
              <w:ind w:left="204"/>
              <w:rPr>
                <w:rFonts w:ascii="Franklin Gothic Book" w:hAnsi="Franklin Gothic Book"/>
              </w:rPr>
            </w:pPr>
            <w:r w:rsidRPr="00A06F1E">
              <w:rPr>
                <w:rFonts w:ascii="Franklin Gothic Book" w:hAnsi="Franklin Gothic Book"/>
              </w:rPr>
              <w:t>Analysis and Inquiry (UE only)</w:t>
            </w:r>
          </w:p>
        </w:tc>
        <w:tc>
          <w:tcPr>
            <w:tcW w:w="654" w:type="dxa"/>
          </w:tcPr>
          <w:p w14:paraId="650B5CE2" w14:textId="77777777" w:rsidR="0033262D" w:rsidRPr="00A06F1E" w:rsidRDefault="0033262D">
            <w:pPr>
              <w:pStyle w:val="TableTextCentered"/>
              <w:rPr>
                <w:rFonts w:eastAsia="Times New Roman"/>
              </w:rPr>
            </w:pPr>
            <w:r w:rsidRPr="00A06F1E">
              <w:rPr>
                <w:rFonts w:eastAsia="Times New Roman"/>
              </w:rPr>
              <w:t>1</w:t>
            </w:r>
          </w:p>
        </w:tc>
        <w:tc>
          <w:tcPr>
            <w:tcW w:w="721" w:type="dxa"/>
          </w:tcPr>
          <w:p w14:paraId="7FF748F4" w14:textId="77777777" w:rsidR="0033262D" w:rsidRPr="00A06F1E" w:rsidRDefault="0033262D">
            <w:pPr>
              <w:pStyle w:val="TableTextCentered"/>
              <w:rPr>
                <w:rFonts w:eastAsia="Times New Roman"/>
              </w:rPr>
            </w:pPr>
            <w:r w:rsidRPr="00A06F1E">
              <w:rPr>
                <w:rFonts w:eastAsia="Times New Roman"/>
              </w:rPr>
              <w:t>2</w:t>
            </w:r>
          </w:p>
        </w:tc>
        <w:tc>
          <w:tcPr>
            <w:tcW w:w="587" w:type="dxa"/>
          </w:tcPr>
          <w:p w14:paraId="4CB6A656" w14:textId="77777777" w:rsidR="0033262D" w:rsidRPr="00A06F1E" w:rsidRDefault="0033262D">
            <w:pPr>
              <w:pStyle w:val="TableTextCentered"/>
              <w:rPr>
                <w:rFonts w:eastAsia="Times New Roman"/>
              </w:rPr>
            </w:pPr>
            <w:r w:rsidRPr="00A06F1E">
              <w:rPr>
                <w:rFonts w:eastAsia="Times New Roman"/>
              </w:rPr>
              <w:t>4</w:t>
            </w:r>
          </w:p>
        </w:tc>
        <w:tc>
          <w:tcPr>
            <w:tcW w:w="655" w:type="dxa"/>
          </w:tcPr>
          <w:p w14:paraId="16180816" w14:textId="77777777" w:rsidR="0033262D" w:rsidRPr="00A06F1E" w:rsidRDefault="0033262D">
            <w:pPr>
              <w:pStyle w:val="TableTextCentered"/>
              <w:rPr>
                <w:rFonts w:eastAsia="Times New Roman"/>
              </w:rPr>
            </w:pPr>
            <w:r w:rsidRPr="00A06F1E">
              <w:rPr>
                <w:rFonts w:eastAsia="Times New Roman"/>
              </w:rPr>
              <w:t>0</w:t>
            </w:r>
          </w:p>
        </w:tc>
        <w:tc>
          <w:tcPr>
            <w:tcW w:w="653" w:type="dxa"/>
          </w:tcPr>
          <w:p w14:paraId="32FAFB7A" w14:textId="77777777" w:rsidR="0033262D" w:rsidRPr="00A06F1E" w:rsidRDefault="0033262D">
            <w:pPr>
              <w:pStyle w:val="TableTextCentered"/>
              <w:rPr>
                <w:rFonts w:eastAsia="Times New Roman"/>
              </w:rPr>
            </w:pPr>
            <w:r w:rsidRPr="00A06F1E">
              <w:rPr>
                <w:rFonts w:eastAsia="Times New Roman"/>
              </w:rPr>
              <w:t>2</w:t>
            </w:r>
          </w:p>
        </w:tc>
        <w:tc>
          <w:tcPr>
            <w:tcW w:w="655" w:type="dxa"/>
          </w:tcPr>
          <w:p w14:paraId="618E35BC" w14:textId="77777777" w:rsidR="0033262D" w:rsidRPr="00A06F1E" w:rsidRDefault="0033262D">
            <w:pPr>
              <w:pStyle w:val="TableTextCentered"/>
              <w:rPr>
                <w:rFonts w:eastAsia="Times New Roman"/>
              </w:rPr>
            </w:pPr>
            <w:r w:rsidRPr="00A06F1E">
              <w:rPr>
                <w:rFonts w:eastAsia="Times New Roman"/>
              </w:rPr>
              <w:t>0</w:t>
            </w:r>
          </w:p>
        </w:tc>
        <w:tc>
          <w:tcPr>
            <w:tcW w:w="655" w:type="dxa"/>
          </w:tcPr>
          <w:p w14:paraId="27B052E7" w14:textId="77777777" w:rsidR="0033262D" w:rsidRPr="00A06F1E" w:rsidRDefault="0033262D">
            <w:pPr>
              <w:pStyle w:val="TableTextCentered"/>
              <w:rPr>
                <w:rFonts w:eastAsia="Times New Roman"/>
              </w:rPr>
            </w:pPr>
            <w:r w:rsidRPr="00A06F1E">
              <w:rPr>
                <w:rFonts w:eastAsia="Times New Roman"/>
              </w:rPr>
              <w:t>0</w:t>
            </w:r>
          </w:p>
        </w:tc>
        <w:tc>
          <w:tcPr>
            <w:tcW w:w="515" w:type="dxa"/>
          </w:tcPr>
          <w:p w14:paraId="32692715" w14:textId="77777777" w:rsidR="0033262D" w:rsidRPr="00A06F1E" w:rsidRDefault="0033262D">
            <w:pPr>
              <w:pStyle w:val="TableTextCentered"/>
              <w:rPr>
                <w:rFonts w:eastAsia="Times New Roman"/>
              </w:rPr>
            </w:pPr>
            <w:r w:rsidRPr="00A06F1E">
              <w:rPr>
                <w:rFonts w:eastAsia="Times New Roman"/>
              </w:rPr>
              <w:t>9</w:t>
            </w:r>
          </w:p>
        </w:tc>
        <w:tc>
          <w:tcPr>
            <w:tcW w:w="952" w:type="dxa"/>
          </w:tcPr>
          <w:p w14:paraId="070D2F31" w14:textId="77777777" w:rsidR="0033262D" w:rsidRPr="00A06F1E" w:rsidRDefault="0033262D">
            <w:pPr>
              <w:pStyle w:val="TableTextCentered"/>
              <w:rPr>
                <w:rFonts w:eastAsia="Times New Roman"/>
              </w:rPr>
            </w:pPr>
            <w:r w:rsidRPr="00A06F1E">
              <w:rPr>
                <w:rFonts w:eastAsia="Times New Roman"/>
              </w:rPr>
              <w:t>3.0</w:t>
            </w:r>
          </w:p>
        </w:tc>
      </w:tr>
      <w:tr w:rsidR="0033262D" w:rsidRPr="00A06F1E" w14:paraId="4E29A474" w14:textId="77777777" w:rsidTr="0033262D">
        <w:trPr>
          <w:trHeight w:val="70"/>
        </w:trPr>
        <w:tc>
          <w:tcPr>
            <w:tcW w:w="3297" w:type="dxa"/>
          </w:tcPr>
          <w:p w14:paraId="42618C34" w14:textId="77777777" w:rsidR="0033262D" w:rsidRPr="00A06F1E" w:rsidRDefault="0033262D">
            <w:pPr>
              <w:pStyle w:val="TableText"/>
              <w:ind w:left="204"/>
              <w:rPr>
                <w:rFonts w:ascii="Franklin Gothic Book" w:hAnsi="Franklin Gothic Book"/>
                <w:b/>
                <w:bCs/>
              </w:rPr>
            </w:pPr>
            <w:r w:rsidRPr="00A06F1E">
              <w:rPr>
                <w:rFonts w:ascii="Franklin Gothic Book" w:hAnsi="Franklin Gothic Book"/>
              </w:rPr>
              <w:t>Quality of Feedback</w:t>
            </w:r>
          </w:p>
        </w:tc>
        <w:tc>
          <w:tcPr>
            <w:tcW w:w="654" w:type="dxa"/>
          </w:tcPr>
          <w:p w14:paraId="334C8CB8" w14:textId="77777777" w:rsidR="0033262D" w:rsidRPr="00A06F1E" w:rsidRDefault="0033262D">
            <w:pPr>
              <w:pStyle w:val="TableTextCentered"/>
              <w:rPr>
                <w:rFonts w:eastAsia="Times New Roman"/>
              </w:rPr>
            </w:pPr>
            <w:r w:rsidRPr="00A06F1E">
              <w:rPr>
                <w:rFonts w:eastAsia="Times New Roman"/>
              </w:rPr>
              <w:t>2</w:t>
            </w:r>
          </w:p>
        </w:tc>
        <w:tc>
          <w:tcPr>
            <w:tcW w:w="721" w:type="dxa"/>
          </w:tcPr>
          <w:p w14:paraId="1ABF42EA" w14:textId="77777777" w:rsidR="0033262D" w:rsidRPr="00A06F1E" w:rsidRDefault="0033262D">
            <w:pPr>
              <w:pStyle w:val="TableTextCentered"/>
              <w:rPr>
                <w:rFonts w:eastAsia="Times New Roman"/>
              </w:rPr>
            </w:pPr>
            <w:r w:rsidRPr="00A06F1E">
              <w:rPr>
                <w:rFonts w:eastAsia="Times New Roman"/>
              </w:rPr>
              <w:t>8</w:t>
            </w:r>
          </w:p>
        </w:tc>
        <w:tc>
          <w:tcPr>
            <w:tcW w:w="587" w:type="dxa"/>
          </w:tcPr>
          <w:p w14:paraId="3676DD34" w14:textId="77777777" w:rsidR="0033262D" w:rsidRPr="00A06F1E" w:rsidRDefault="0033262D">
            <w:pPr>
              <w:pStyle w:val="TableTextCentered"/>
              <w:rPr>
                <w:rFonts w:eastAsia="Times New Roman"/>
              </w:rPr>
            </w:pPr>
            <w:r w:rsidRPr="00A06F1E">
              <w:rPr>
                <w:rFonts w:eastAsia="Times New Roman"/>
              </w:rPr>
              <w:t>6</w:t>
            </w:r>
          </w:p>
        </w:tc>
        <w:tc>
          <w:tcPr>
            <w:tcW w:w="655" w:type="dxa"/>
          </w:tcPr>
          <w:p w14:paraId="0910F7B3" w14:textId="77777777" w:rsidR="0033262D" w:rsidRPr="00A06F1E" w:rsidRDefault="0033262D">
            <w:pPr>
              <w:pStyle w:val="TableTextCentered"/>
              <w:rPr>
                <w:rFonts w:eastAsia="Times New Roman"/>
              </w:rPr>
            </w:pPr>
            <w:r w:rsidRPr="00A06F1E">
              <w:rPr>
                <w:rFonts w:eastAsia="Times New Roman"/>
              </w:rPr>
              <w:t>6</w:t>
            </w:r>
          </w:p>
        </w:tc>
        <w:tc>
          <w:tcPr>
            <w:tcW w:w="653" w:type="dxa"/>
          </w:tcPr>
          <w:p w14:paraId="6AFB3F67" w14:textId="77777777" w:rsidR="0033262D" w:rsidRPr="00A06F1E" w:rsidRDefault="0033262D">
            <w:pPr>
              <w:pStyle w:val="TableTextCentered"/>
              <w:rPr>
                <w:rFonts w:eastAsia="Times New Roman"/>
              </w:rPr>
            </w:pPr>
            <w:r w:rsidRPr="00A06F1E">
              <w:rPr>
                <w:rFonts w:eastAsia="Times New Roman"/>
              </w:rPr>
              <w:t>0</w:t>
            </w:r>
          </w:p>
        </w:tc>
        <w:tc>
          <w:tcPr>
            <w:tcW w:w="655" w:type="dxa"/>
          </w:tcPr>
          <w:p w14:paraId="43BC4728" w14:textId="77777777" w:rsidR="0033262D" w:rsidRPr="00A06F1E" w:rsidRDefault="0033262D">
            <w:pPr>
              <w:pStyle w:val="TableTextCentered"/>
              <w:rPr>
                <w:rFonts w:eastAsia="Times New Roman"/>
              </w:rPr>
            </w:pPr>
            <w:r w:rsidRPr="00A06F1E">
              <w:rPr>
                <w:rFonts w:eastAsia="Times New Roman"/>
              </w:rPr>
              <w:t>1</w:t>
            </w:r>
          </w:p>
        </w:tc>
        <w:tc>
          <w:tcPr>
            <w:tcW w:w="655" w:type="dxa"/>
          </w:tcPr>
          <w:p w14:paraId="2902A35F" w14:textId="77777777" w:rsidR="0033262D" w:rsidRPr="00A06F1E" w:rsidRDefault="0033262D">
            <w:pPr>
              <w:pStyle w:val="TableTextCentered"/>
              <w:rPr>
                <w:rFonts w:eastAsia="Times New Roman"/>
              </w:rPr>
            </w:pPr>
            <w:r w:rsidRPr="00A06F1E">
              <w:rPr>
                <w:rFonts w:eastAsia="Times New Roman"/>
              </w:rPr>
              <w:t>0</w:t>
            </w:r>
          </w:p>
        </w:tc>
        <w:tc>
          <w:tcPr>
            <w:tcW w:w="515" w:type="dxa"/>
          </w:tcPr>
          <w:p w14:paraId="6542452E" w14:textId="77777777" w:rsidR="0033262D" w:rsidRPr="00A06F1E" w:rsidRDefault="0033262D">
            <w:pPr>
              <w:pStyle w:val="TableTextCentered"/>
              <w:rPr>
                <w:rFonts w:eastAsia="Times New Roman"/>
              </w:rPr>
            </w:pPr>
            <w:r w:rsidRPr="00A06F1E">
              <w:rPr>
                <w:rFonts w:eastAsia="Times New Roman"/>
              </w:rPr>
              <w:t>23</w:t>
            </w:r>
          </w:p>
        </w:tc>
        <w:tc>
          <w:tcPr>
            <w:tcW w:w="952" w:type="dxa"/>
          </w:tcPr>
          <w:p w14:paraId="3A64F577" w14:textId="77777777" w:rsidR="0033262D" w:rsidRPr="00A06F1E" w:rsidRDefault="0033262D">
            <w:pPr>
              <w:pStyle w:val="TableTextCentered"/>
              <w:rPr>
                <w:rFonts w:eastAsia="Times New Roman"/>
              </w:rPr>
            </w:pPr>
            <w:r w:rsidRPr="00A06F1E">
              <w:rPr>
                <w:rFonts w:eastAsia="Times New Roman"/>
              </w:rPr>
              <w:t>2.9</w:t>
            </w:r>
          </w:p>
        </w:tc>
      </w:tr>
      <w:tr w:rsidR="0033262D" w:rsidRPr="00A06F1E" w14:paraId="71FE2CB2" w14:textId="77777777" w:rsidTr="0033262D">
        <w:trPr>
          <w:cnfStyle w:val="000000100000" w:firstRow="0" w:lastRow="0" w:firstColumn="0" w:lastColumn="0" w:oddVBand="0" w:evenVBand="0" w:oddHBand="1" w:evenHBand="0" w:firstRowFirstColumn="0" w:firstRowLastColumn="0" w:lastRowFirstColumn="0" w:lastRowLastColumn="0"/>
        </w:trPr>
        <w:tc>
          <w:tcPr>
            <w:tcW w:w="3297" w:type="dxa"/>
          </w:tcPr>
          <w:p w14:paraId="2E96E842" w14:textId="77777777" w:rsidR="0033262D" w:rsidRPr="00A06F1E" w:rsidRDefault="0033262D">
            <w:pPr>
              <w:pStyle w:val="TableText"/>
              <w:ind w:left="204"/>
              <w:rPr>
                <w:rFonts w:ascii="Franklin Gothic Book" w:hAnsi="Franklin Gothic Book"/>
                <w:b/>
                <w:bCs/>
              </w:rPr>
            </w:pPr>
            <w:r w:rsidRPr="00A06F1E">
              <w:rPr>
                <w:rFonts w:ascii="Franklin Gothic Book" w:hAnsi="Franklin Gothic Book"/>
              </w:rPr>
              <w:t>Language Modeling (K-3 only)</w:t>
            </w:r>
          </w:p>
        </w:tc>
        <w:tc>
          <w:tcPr>
            <w:tcW w:w="654" w:type="dxa"/>
          </w:tcPr>
          <w:p w14:paraId="6E58F7F4" w14:textId="77777777" w:rsidR="0033262D" w:rsidRPr="00A06F1E" w:rsidRDefault="0033262D">
            <w:pPr>
              <w:pStyle w:val="TableTextCentered"/>
              <w:rPr>
                <w:rFonts w:eastAsia="Times New Roman"/>
              </w:rPr>
            </w:pPr>
            <w:r w:rsidRPr="00A06F1E">
              <w:rPr>
                <w:rFonts w:eastAsia="Times New Roman"/>
              </w:rPr>
              <w:t>1</w:t>
            </w:r>
          </w:p>
        </w:tc>
        <w:tc>
          <w:tcPr>
            <w:tcW w:w="721" w:type="dxa"/>
          </w:tcPr>
          <w:p w14:paraId="662D2C85" w14:textId="77777777" w:rsidR="0033262D" w:rsidRPr="00A06F1E" w:rsidRDefault="0033262D">
            <w:pPr>
              <w:pStyle w:val="TableTextCentered"/>
              <w:rPr>
                <w:rFonts w:eastAsia="Times New Roman"/>
              </w:rPr>
            </w:pPr>
            <w:r w:rsidRPr="00A06F1E">
              <w:rPr>
                <w:rFonts w:eastAsia="Times New Roman"/>
              </w:rPr>
              <w:t>4</w:t>
            </w:r>
          </w:p>
        </w:tc>
        <w:tc>
          <w:tcPr>
            <w:tcW w:w="587" w:type="dxa"/>
          </w:tcPr>
          <w:p w14:paraId="6E11E545" w14:textId="77777777" w:rsidR="0033262D" w:rsidRPr="00A06F1E" w:rsidRDefault="0033262D">
            <w:pPr>
              <w:pStyle w:val="TableTextCentered"/>
              <w:rPr>
                <w:rFonts w:eastAsia="Times New Roman"/>
              </w:rPr>
            </w:pPr>
            <w:r w:rsidRPr="00A06F1E">
              <w:rPr>
                <w:rFonts w:eastAsia="Times New Roman"/>
              </w:rPr>
              <w:t>5</w:t>
            </w:r>
          </w:p>
        </w:tc>
        <w:tc>
          <w:tcPr>
            <w:tcW w:w="655" w:type="dxa"/>
          </w:tcPr>
          <w:p w14:paraId="3F958B0B" w14:textId="77777777" w:rsidR="0033262D" w:rsidRPr="00A06F1E" w:rsidRDefault="0033262D">
            <w:pPr>
              <w:pStyle w:val="TableTextCentered"/>
              <w:rPr>
                <w:rFonts w:eastAsia="Times New Roman"/>
              </w:rPr>
            </w:pPr>
            <w:r w:rsidRPr="00A06F1E">
              <w:rPr>
                <w:rFonts w:eastAsia="Times New Roman"/>
              </w:rPr>
              <w:t>3</w:t>
            </w:r>
          </w:p>
        </w:tc>
        <w:tc>
          <w:tcPr>
            <w:tcW w:w="653" w:type="dxa"/>
          </w:tcPr>
          <w:p w14:paraId="6703EBF3" w14:textId="77777777" w:rsidR="0033262D" w:rsidRPr="00A06F1E" w:rsidRDefault="0033262D">
            <w:pPr>
              <w:pStyle w:val="TableTextCentered"/>
              <w:rPr>
                <w:rFonts w:eastAsia="Times New Roman"/>
              </w:rPr>
            </w:pPr>
            <w:r w:rsidRPr="00A06F1E">
              <w:rPr>
                <w:rFonts w:eastAsia="Times New Roman"/>
              </w:rPr>
              <w:t>1</w:t>
            </w:r>
          </w:p>
        </w:tc>
        <w:tc>
          <w:tcPr>
            <w:tcW w:w="655" w:type="dxa"/>
          </w:tcPr>
          <w:p w14:paraId="1C7FCA02" w14:textId="77777777" w:rsidR="0033262D" w:rsidRPr="00A06F1E" w:rsidRDefault="0033262D">
            <w:pPr>
              <w:pStyle w:val="TableTextCentered"/>
              <w:rPr>
                <w:rFonts w:eastAsia="Times New Roman"/>
              </w:rPr>
            </w:pPr>
            <w:r w:rsidRPr="00A06F1E">
              <w:rPr>
                <w:rFonts w:eastAsia="Times New Roman"/>
              </w:rPr>
              <w:t>0</w:t>
            </w:r>
          </w:p>
        </w:tc>
        <w:tc>
          <w:tcPr>
            <w:tcW w:w="655" w:type="dxa"/>
          </w:tcPr>
          <w:p w14:paraId="6D756473" w14:textId="77777777" w:rsidR="0033262D" w:rsidRPr="00A06F1E" w:rsidRDefault="0033262D">
            <w:pPr>
              <w:pStyle w:val="TableTextCentered"/>
              <w:rPr>
                <w:rFonts w:eastAsia="Times New Roman"/>
              </w:rPr>
            </w:pPr>
            <w:r w:rsidRPr="00A06F1E">
              <w:rPr>
                <w:rFonts w:eastAsia="Times New Roman"/>
              </w:rPr>
              <w:t>0</w:t>
            </w:r>
          </w:p>
        </w:tc>
        <w:tc>
          <w:tcPr>
            <w:tcW w:w="515" w:type="dxa"/>
          </w:tcPr>
          <w:p w14:paraId="4B9B72AF" w14:textId="77777777" w:rsidR="0033262D" w:rsidRPr="00A06F1E" w:rsidRDefault="0033262D">
            <w:pPr>
              <w:pStyle w:val="TableTextCentered"/>
              <w:rPr>
                <w:rFonts w:eastAsia="Times New Roman"/>
              </w:rPr>
            </w:pPr>
            <w:r w:rsidRPr="00A06F1E">
              <w:rPr>
                <w:rFonts w:eastAsia="Times New Roman"/>
              </w:rPr>
              <w:t>14</w:t>
            </w:r>
          </w:p>
        </w:tc>
        <w:tc>
          <w:tcPr>
            <w:tcW w:w="952" w:type="dxa"/>
          </w:tcPr>
          <w:p w14:paraId="258B746C" w14:textId="77777777" w:rsidR="0033262D" w:rsidRPr="00A06F1E" w:rsidRDefault="0033262D">
            <w:pPr>
              <w:pStyle w:val="TableTextCentered"/>
              <w:rPr>
                <w:rFonts w:eastAsia="Times New Roman"/>
              </w:rPr>
            </w:pPr>
            <w:r w:rsidRPr="00A06F1E">
              <w:rPr>
                <w:rFonts w:eastAsia="Times New Roman"/>
              </w:rPr>
              <w:t>2.9</w:t>
            </w:r>
          </w:p>
        </w:tc>
      </w:tr>
      <w:tr w:rsidR="0033262D" w:rsidRPr="00A06F1E" w14:paraId="57837FB4" w14:textId="77777777" w:rsidTr="0033262D">
        <w:tc>
          <w:tcPr>
            <w:tcW w:w="3297" w:type="dxa"/>
            <w:vAlign w:val="center"/>
          </w:tcPr>
          <w:p w14:paraId="3F05A439" w14:textId="77777777" w:rsidR="0033262D" w:rsidRPr="00A06F1E" w:rsidRDefault="0033262D">
            <w:pPr>
              <w:pStyle w:val="TableText"/>
              <w:ind w:left="204"/>
              <w:rPr>
                <w:rFonts w:ascii="Franklin Gothic Book" w:hAnsi="Franklin Gothic Book"/>
              </w:rPr>
            </w:pPr>
            <w:r w:rsidRPr="00A06F1E">
              <w:rPr>
                <w:rFonts w:ascii="Franklin Gothic Book" w:hAnsi="Franklin Gothic Book"/>
              </w:rPr>
              <w:t>Instructional Dialogue (UE only)</w:t>
            </w:r>
          </w:p>
        </w:tc>
        <w:tc>
          <w:tcPr>
            <w:tcW w:w="654" w:type="dxa"/>
          </w:tcPr>
          <w:p w14:paraId="5679E66A" w14:textId="77777777" w:rsidR="0033262D" w:rsidRPr="00A06F1E" w:rsidRDefault="0033262D">
            <w:pPr>
              <w:pStyle w:val="TableTextCentered"/>
              <w:rPr>
                <w:rFonts w:eastAsia="Times New Roman"/>
              </w:rPr>
            </w:pPr>
            <w:r w:rsidRPr="00A06F1E">
              <w:rPr>
                <w:rFonts w:eastAsia="Times New Roman"/>
              </w:rPr>
              <w:t>3</w:t>
            </w:r>
          </w:p>
        </w:tc>
        <w:tc>
          <w:tcPr>
            <w:tcW w:w="721" w:type="dxa"/>
          </w:tcPr>
          <w:p w14:paraId="1D8943D5" w14:textId="77777777" w:rsidR="0033262D" w:rsidRPr="00A06F1E" w:rsidRDefault="0033262D">
            <w:pPr>
              <w:pStyle w:val="TableTextCentered"/>
              <w:rPr>
                <w:rFonts w:eastAsia="Times New Roman"/>
              </w:rPr>
            </w:pPr>
            <w:r w:rsidRPr="00A06F1E">
              <w:rPr>
                <w:rFonts w:eastAsia="Times New Roman"/>
              </w:rPr>
              <w:t>1</w:t>
            </w:r>
          </w:p>
        </w:tc>
        <w:tc>
          <w:tcPr>
            <w:tcW w:w="587" w:type="dxa"/>
          </w:tcPr>
          <w:p w14:paraId="35FBF542" w14:textId="77777777" w:rsidR="0033262D" w:rsidRPr="00A06F1E" w:rsidRDefault="0033262D">
            <w:pPr>
              <w:pStyle w:val="TableTextCentered"/>
              <w:rPr>
                <w:rFonts w:eastAsia="Times New Roman"/>
              </w:rPr>
            </w:pPr>
            <w:r w:rsidRPr="00A06F1E">
              <w:rPr>
                <w:rFonts w:eastAsia="Times New Roman"/>
              </w:rPr>
              <w:t>3</w:t>
            </w:r>
          </w:p>
        </w:tc>
        <w:tc>
          <w:tcPr>
            <w:tcW w:w="655" w:type="dxa"/>
          </w:tcPr>
          <w:p w14:paraId="1DFCA544" w14:textId="77777777" w:rsidR="0033262D" w:rsidRPr="00A06F1E" w:rsidRDefault="0033262D">
            <w:pPr>
              <w:pStyle w:val="TableTextCentered"/>
              <w:rPr>
                <w:rFonts w:eastAsia="Times New Roman"/>
              </w:rPr>
            </w:pPr>
            <w:r w:rsidRPr="00A06F1E">
              <w:rPr>
                <w:rFonts w:eastAsia="Times New Roman"/>
              </w:rPr>
              <w:t>0</w:t>
            </w:r>
          </w:p>
        </w:tc>
        <w:tc>
          <w:tcPr>
            <w:tcW w:w="653" w:type="dxa"/>
          </w:tcPr>
          <w:p w14:paraId="005CF5B4" w14:textId="77777777" w:rsidR="0033262D" w:rsidRPr="00A06F1E" w:rsidRDefault="0033262D">
            <w:pPr>
              <w:pStyle w:val="TableTextCentered"/>
              <w:rPr>
                <w:rFonts w:eastAsia="Times New Roman"/>
              </w:rPr>
            </w:pPr>
            <w:r w:rsidRPr="00A06F1E">
              <w:rPr>
                <w:rFonts w:eastAsia="Times New Roman"/>
              </w:rPr>
              <w:t>1</w:t>
            </w:r>
          </w:p>
        </w:tc>
        <w:tc>
          <w:tcPr>
            <w:tcW w:w="655" w:type="dxa"/>
          </w:tcPr>
          <w:p w14:paraId="094A9F42" w14:textId="77777777" w:rsidR="0033262D" w:rsidRPr="00A06F1E" w:rsidRDefault="0033262D">
            <w:pPr>
              <w:pStyle w:val="TableTextCentered"/>
              <w:rPr>
                <w:rFonts w:eastAsia="Times New Roman"/>
              </w:rPr>
            </w:pPr>
            <w:r w:rsidRPr="00A06F1E">
              <w:rPr>
                <w:rFonts w:eastAsia="Times New Roman"/>
              </w:rPr>
              <w:t>1</w:t>
            </w:r>
          </w:p>
        </w:tc>
        <w:tc>
          <w:tcPr>
            <w:tcW w:w="655" w:type="dxa"/>
          </w:tcPr>
          <w:p w14:paraId="0ECC688B" w14:textId="77777777" w:rsidR="0033262D" w:rsidRPr="00A06F1E" w:rsidRDefault="0033262D">
            <w:pPr>
              <w:pStyle w:val="TableTextCentered"/>
              <w:rPr>
                <w:rFonts w:eastAsia="Times New Roman"/>
              </w:rPr>
            </w:pPr>
            <w:r w:rsidRPr="00A06F1E">
              <w:rPr>
                <w:rFonts w:eastAsia="Times New Roman"/>
              </w:rPr>
              <w:t>0</w:t>
            </w:r>
          </w:p>
        </w:tc>
        <w:tc>
          <w:tcPr>
            <w:tcW w:w="515" w:type="dxa"/>
          </w:tcPr>
          <w:p w14:paraId="52D35BE0" w14:textId="77777777" w:rsidR="0033262D" w:rsidRPr="00A06F1E" w:rsidRDefault="0033262D">
            <w:pPr>
              <w:pStyle w:val="TableTextCentered"/>
              <w:rPr>
                <w:rFonts w:eastAsia="Times New Roman"/>
              </w:rPr>
            </w:pPr>
            <w:r w:rsidRPr="00A06F1E">
              <w:rPr>
                <w:rFonts w:eastAsia="Times New Roman"/>
              </w:rPr>
              <w:t>9</w:t>
            </w:r>
          </w:p>
        </w:tc>
        <w:tc>
          <w:tcPr>
            <w:tcW w:w="952" w:type="dxa"/>
          </w:tcPr>
          <w:p w14:paraId="11788498" w14:textId="77777777" w:rsidR="0033262D" w:rsidRPr="00A06F1E" w:rsidRDefault="0033262D">
            <w:pPr>
              <w:pStyle w:val="TableTextCentered"/>
              <w:rPr>
                <w:rFonts w:eastAsia="Times New Roman"/>
              </w:rPr>
            </w:pPr>
            <w:r w:rsidRPr="00A06F1E">
              <w:rPr>
                <w:rFonts w:eastAsia="Times New Roman"/>
              </w:rPr>
              <w:t>2.8</w:t>
            </w:r>
          </w:p>
        </w:tc>
      </w:tr>
      <w:tr w:rsidR="0033262D" w:rsidRPr="00A06F1E" w14:paraId="37117119" w14:textId="77777777" w:rsidTr="0033262D">
        <w:trPr>
          <w:cnfStyle w:val="000000100000" w:firstRow="0" w:lastRow="0" w:firstColumn="0" w:lastColumn="0" w:oddVBand="0" w:evenVBand="0" w:oddHBand="1" w:evenHBand="0" w:firstRowFirstColumn="0" w:firstRowLastColumn="0" w:lastRowFirstColumn="0" w:lastRowLastColumn="0"/>
        </w:trPr>
        <w:tc>
          <w:tcPr>
            <w:tcW w:w="3297" w:type="dxa"/>
            <w:vAlign w:val="center"/>
          </w:tcPr>
          <w:p w14:paraId="6AC6F6FA" w14:textId="77777777" w:rsidR="0033262D" w:rsidRPr="00A06F1E" w:rsidRDefault="0033262D" w:rsidP="0033262D">
            <w:pPr>
              <w:pStyle w:val="TableSubheading"/>
            </w:pPr>
            <w:r w:rsidRPr="00A06F1E">
              <w:t>Student Engagement (UE only)</w:t>
            </w:r>
          </w:p>
        </w:tc>
        <w:tc>
          <w:tcPr>
            <w:tcW w:w="654" w:type="dxa"/>
          </w:tcPr>
          <w:p w14:paraId="6DFDC5CF" w14:textId="77777777" w:rsidR="0033262D" w:rsidRPr="00A06F1E" w:rsidRDefault="0033262D" w:rsidP="0033262D">
            <w:pPr>
              <w:pStyle w:val="TableSubheadingCentered"/>
            </w:pPr>
            <w:r w:rsidRPr="00A06F1E">
              <w:t>0</w:t>
            </w:r>
          </w:p>
        </w:tc>
        <w:tc>
          <w:tcPr>
            <w:tcW w:w="721" w:type="dxa"/>
          </w:tcPr>
          <w:p w14:paraId="3B9A931B" w14:textId="77777777" w:rsidR="0033262D" w:rsidRPr="00A06F1E" w:rsidRDefault="0033262D" w:rsidP="0033262D">
            <w:pPr>
              <w:pStyle w:val="TableSubheadingCentered"/>
            </w:pPr>
            <w:r w:rsidRPr="00A06F1E">
              <w:t>0</w:t>
            </w:r>
          </w:p>
        </w:tc>
        <w:tc>
          <w:tcPr>
            <w:tcW w:w="587" w:type="dxa"/>
          </w:tcPr>
          <w:p w14:paraId="340A44DB" w14:textId="77777777" w:rsidR="0033262D" w:rsidRPr="00A06F1E" w:rsidRDefault="0033262D" w:rsidP="0033262D">
            <w:pPr>
              <w:pStyle w:val="TableSubheadingCentered"/>
            </w:pPr>
            <w:r w:rsidRPr="00A06F1E">
              <w:t>0</w:t>
            </w:r>
          </w:p>
        </w:tc>
        <w:tc>
          <w:tcPr>
            <w:tcW w:w="655" w:type="dxa"/>
          </w:tcPr>
          <w:p w14:paraId="09005B6E" w14:textId="77777777" w:rsidR="0033262D" w:rsidRPr="00A06F1E" w:rsidRDefault="0033262D" w:rsidP="0033262D">
            <w:pPr>
              <w:pStyle w:val="TableSubheadingCentered"/>
            </w:pPr>
            <w:r w:rsidRPr="00A06F1E">
              <w:t>1</w:t>
            </w:r>
          </w:p>
        </w:tc>
        <w:tc>
          <w:tcPr>
            <w:tcW w:w="653" w:type="dxa"/>
          </w:tcPr>
          <w:p w14:paraId="6DC04494" w14:textId="77777777" w:rsidR="0033262D" w:rsidRPr="00A06F1E" w:rsidRDefault="0033262D" w:rsidP="0033262D">
            <w:pPr>
              <w:pStyle w:val="TableSubheadingCentered"/>
            </w:pPr>
            <w:r w:rsidRPr="00A06F1E">
              <w:t>6</w:t>
            </w:r>
          </w:p>
        </w:tc>
        <w:tc>
          <w:tcPr>
            <w:tcW w:w="655" w:type="dxa"/>
          </w:tcPr>
          <w:p w14:paraId="0413D5C2" w14:textId="77777777" w:rsidR="0033262D" w:rsidRPr="00A06F1E" w:rsidRDefault="0033262D" w:rsidP="0033262D">
            <w:pPr>
              <w:pStyle w:val="TableSubheadingCentered"/>
            </w:pPr>
            <w:r w:rsidRPr="00A06F1E">
              <w:t>1</w:t>
            </w:r>
          </w:p>
        </w:tc>
        <w:tc>
          <w:tcPr>
            <w:tcW w:w="655" w:type="dxa"/>
          </w:tcPr>
          <w:p w14:paraId="07FC2DD9" w14:textId="77777777" w:rsidR="0033262D" w:rsidRPr="00A06F1E" w:rsidRDefault="0033262D" w:rsidP="0033262D">
            <w:pPr>
              <w:pStyle w:val="TableSubheadingCentered"/>
            </w:pPr>
            <w:r w:rsidRPr="00A06F1E">
              <w:t>1</w:t>
            </w:r>
          </w:p>
        </w:tc>
        <w:tc>
          <w:tcPr>
            <w:tcW w:w="515" w:type="dxa"/>
          </w:tcPr>
          <w:p w14:paraId="7077A469" w14:textId="77777777" w:rsidR="0033262D" w:rsidRPr="00A06F1E" w:rsidRDefault="0033262D" w:rsidP="0033262D">
            <w:pPr>
              <w:pStyle w:val="TableSubheadingCentered"/>
            </w:pPr>
            <w:r w:rsidRPr="00A06F1E">
              <w:t>9</w:t>
            </w:r>
          </w:p>
        </w:tc>
        <w:tc>
          <w:tcPr>
            <w:tcW w:w="952" w:type="dxa"/>
          </w:tcPr>
          <w:p w14:paraId="38EB5465" w14:textId="77777777" w:rsidR="0033262D" w:rsidRPr="00A06F1E" w:rsidRDefault="0033262D" w:rsidP="0033262D">
            <w:pPr>
              <w:pStyle w:val="TableSubheadingCentered"/>
            </w:pPr>
            <w:r w:rsidRPr="00A06F1E">
              <w:t>5.2</w:t>
            </w:r>
          </w:p>
        </w:tc>
      </w:tr>
    </w:tbl>
    <w:bookmarkEnd w:id="197"/>
    <w:p w14:paraId="332C8DB8" w14:textId="77777777" w:rsidR="0033262D" w:rsidRPr="00A06F1E" w:rsidRDefault="0033262D">
      <w:pPr>
        <w:pStyle w:val="TableNote"/>
        <w:rPr>
          <w:szCs w:val="20"/>
        </w:rPr>
      </w:pPr>
      <w:r w:rsidRPr="00A06F1E">
        <w:t xml:space="preserve">*The district average is an average of the scores. For example, for Positive Climate, the district average is computed as: </w:t>
      </w:r>
      <w:bookmarkStart w:id="198" w:name="Elem_PC_Calc"/>
      <w:r w:rsidRPr="00A06F1E">
        <w:rPr>
          <w:szCs w:val="20"/>
        </w:rPr>
        <w:t>([3 x 1] + [4 x 3] + [5 x 7] + [6 x 7] + [7 x 5]) ÷ 23 observations = 5.5</w:t>
      </w:r>
      <w:bookmarkEnd w:id="198"/>
    </w:p>
    <w:p w14:paraId="4F45AA2E" w14:textId="77777777" w:rsidR="0033262D" w:rsidRPr="00A06F1E" w:rsidRDefault="0033262D">
      <w:pPr>
        <w:pStyle w:val="TableNote"/>
      </w:pPr>
      <w:r w:rsidRPr="00A06F1E">
        <w:t xml:space="preserve">**Negative Climate is rated on an inverse scale. An original score of 1 is given a value of 7. The scoring in the table reflects the normalized adjustment: </w:t>
      </w:r>
      <w:bookmarkStart w:id="199" w:name="Elem_NC_Calc"/>
      <w:r w:rsidRPr="00A06F1E">
        <w:t>([5 x 1] + [6 x 2] + [7 x 20]) ÷ 23 observations = 6.8</w:t>
      </w:r>
      <w:bookmarkEnd w:id="199"/>
      <w:r w:rsidRPr="00A06F1E">
        <w:t>. In addition, Negative Climate appears in the Classroom Organization Domain for the Upper Elementary Manual.</w:t>
      </w:r>
    </w:p>
    <w:p w14:paraId="3E9E747D" w14:textId="77777777" w:rsidR="0033262D" w:rsidRPr="00A06F1E" w:rsidRDefault="0033262D">
      <w:pPr>
        <w:pStyle w:val="TableNote"/>
      </w:pPr>
      <w:r w:rsidRPr="00A06F1E">
        <w:t>***Instructional Learning Formats appears in the Instructional Support Domain for the Upper Elementary Manual.</w:t>
      </w:r>
    </w:p>
    <w:p w14:paraId="61066F9A" w14:textId="77777777" w:rsidR="0033262D" w:rsidRPr="00A06F1E" w:rsidRDefault="0033262D">
      <w:pPr>
        <w:pStyle w:val="TableTitle0"/>
        <w:rPr>
          <w:rFonts w:ascii="Times New Roman" w:eastAsia="MS Mincho" w:hAnsi="Times New Roman" w:cs="Times New Roman"/>
          <w:b/>
          <w:sz w:val="20"/>
        </w:rPr>
      </w:pPr>
    </w:p>
    <w:p w14:paraId="4EF44D26" w14:textId="77777777" w:rsidR="0033262D" w:rsidRPr="00A06F1E" w:rsidRDefault="0033262D">
      <w:pPr>
        <w:pStyle w:val="Heading2-SIOR"/>
      </w:pPr>
      <w:r w:rsidRPr="00A06F1E">
        <w:lastRenderedPageBreak/>
        <w:t xml:space="preserve">Summary of Average Ratings: </w:t>
      </w:r>
      <w:bookmarkEnd w:id="195"/>
      <w:r w:rsidRPr="00A06F1E">
        <w:t>Grades 6–8</w:t>
      </w:r>
    </w:p>
    <w:p w14:paraId="0D407B5B" w14:textId="77777777" w:rsidR="0033262D" w:rsidRPr="00A06F1E" w:rsidRDefault="0033262D">
      <w:pPr>
        <w:pStyle w:val="TableTitle0"/>
      </w:pPr>
      <w:bookmarkStart w:id="200" w:name="_Toc170701924"/>
      <w:r w:rsidRPr="00A06F1E">
        <w:t>Table 18. Summary Table of Average Ratings for Each Dimension in Grades 6–8</w:t>
      </w:r>
      <w:bookmarkEnd w:id="200"/>
    </w:p>
    <w:tbl>
      <w:tblPr>
        <w:tblStyle w:val="MSVTable1"/>
        <w:tblW w:w="5000" w:type="pct"/>
        <w:tblLayout w:type="fixed"/>
        <w:tblLook w:val="04A0" w:firstRow="1" w:lastRow="0" w:firstColumn="1" w:lastColumn="0" w:noHBand="0" w:noVBand="1"/>
      </w:tblPr>
      <w:tblGrid>
        <w:gridCol w:w="3095"/>
        <w:gridCol w:w="683"/>
        <w:gridCol w:w="714"/>
        <w:gridCol w:w="652"/>
        <w:gridCol w:w="684"/>
        <w:gridCol w:w="653"/>
        <w:gridCol w:w="712"/>
        <w:gridCol w:w="684"/>
        <w:gridCol w:w="601"/>
        <w:gridCol w:w="866"/>
      </w:tblGrid>
      <w:tr w:rsidR="0033262D" w:rsidRPr="00A06F1E" w14:paraId="43B30EFF" w14:textId="77777777" w:rsidTr="0033262D">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7DC90FA5" w14:textId="77777777" w:rsidR="0033262D" w:rsidRPr="00A06F1E" w:rsidRDefault="0033262D">
            <w:pPr>
              <w:pStyle w:val="TableColHeadingCenter"/>
              <w:rPr>
                <w:rFonts w:eastAsia="MS Mincho"/>
              </w:rPr>
            </w:pPr>
            <w:bookmarkStart w:id="201" w:name="SummaryTbl_Middle"/>
          </w:p>
        </w:tc>
        <w:tc>
          <w:tcPr>
            <w:tcW w:w="1397" w:type="dxa"/>
            <w:gridSpan w:val="2"/>
            <w:vAlign w:val="center"/>
          </w:tcPr>
          <w:p w14:paraId="256A38FC" w14:textId="77777777" w:rsidR="0033262D" w:rsidRPr="00A06F1E" w:rsidRDefault="0033262D">
            <w:pPr>
              <w:pStyle w:val="TableColHeadingCenter"/>
              <w:rPr>
                <w:rFonts w:eastAsia="MS Mincho"/>
              </w:rPr>
            </w:pPr>
            <w:r w:rsidRPr="00A06F1E">
              <w:rPr>
                <w:rFonts w:eastAsia="MS Mincho"/>
              </w:rPr>
              <w:t>Low Range</w:t>
            </w:r>
          </w:p>
        </w:tc>
        <w:tc>
          <w:tcPr>
            <w:tcW w:w="1989" w:type="dxa"/>
            <w:gridSpan w:val="3"/>
            <w:vAlign w:val="center"/>
          </w:tcPr>
          <w:p w14:paraId="7718E1C0" w14:textId="77777777" w:rsidR="0033262D" w:rsidRPr="00A06F1E" w:rsidRDefault="0033262D">
            <w:pPr>
              <w:pStyle w:val="TableColHeadingCenter"/>
              <w:rPr>
                <w:rFonts w:eastAsia="MS Mincho"/>
              </w:rPr>
            </w:pPr>
            <w:r w:rsidRPr="00A06F1E">
              <w:rPr>
                <w:rFonts w:eastAsia="MS Mincho"/>
              </w:rPr>
              <w:t>Middle Range</w:t>
            </w:r>
          </w:p>
        </w:tc>
        <w:tc>
          <w:tcPr>
            <w:tcW w:w="1396" w:type="dxa"/>
            <w:gridSpan w:val="2"/>
            <w:vAlign w:val="center"/>
          </w:tcPr>
          <w:p w14:paraId="10998A86" w14:textId="77777777" w:rsidR="0033262D" w:rsidRPr="00A06F1E" w:rsidRDefault="0033262D">
            <w:pPr>
              <w:pStyle w:val="TableColHeadingCenter"/>
              <w:rPr>
                <w:rFonts w:eastAsia="MS Mincho"/>
              </w:rPr>
            </w:pPr>
            <w:r w:rsidRPr="00A06F1E">
              <w:rPr>
                <w:rFonts w:eastAsia="MS Mincho"/>
              </w:rPr>
              <w:t>High Range</w:t>
            </w:r>
          </w:p>
        </w:tc>
        <w:tc>
          <w:tcPr>
            <w:tcW w:w="601" w:type="dxa"/>
            <w:vMerge w:val="restart"/>
            <w:vAlign w:val="center"/>
          </w:tcPr>
          <w:p w14:paraId="6D63EF40" w14:textId="77777777" w:rsidR="0033262D" w:rsidRPr="00A06F1E" w:rsidRDefault="0033262D">
            <w:pPr>
              <w:pStyle w:val="TableColHeadingCenter"/>
              <w:rPr>
                <w:rFonts w:eastAsia="MS Mincho"/>
              </w:rPr>
            </w:pPr>
            <w:r w:rsidRPr="00A06F1E">
              <w:rPr>
                <w:rFonts w:eastAsia="MS Mincho"/>
              </w:rPr>
              <w:t>n</w:t>
            </w:r>
          </w:p>
        </w:tc>
        <w:tc>
          <w:tcPr>
            <w:tcW w:w="866" w:type="dxa"/>
            <w:vMerge w:val="restart"/>
            <w:vAlign w:val="center"/>
          </w:tcPr>
          <w:p w14:paraId="2DDE4969" w14:textId="77777777" w:rsidR="0033262D" w:rsidRPr="00A06F1E" w:rsidRDefault="0033262D">
            <w:pPr>
              <w:pStyle w:val="TableColHeadingCenter"/>
              <w:rPr>
                <w:rFonts w:eastAsia="MS Mincho"/>
              </w:rPr>
            </w:pPr>
            <w:r w:rsidRPr="00A06F1E">
              <w:rPr>
                <w:rFonts w:eastAsia="MS Mincho"/>
              </w:rPr>
              <w:t>Average Scores*</w:t>
            </w:r>
          </w:p>
        </w:tc>
      </w:tr>
      <w:tr w:rsidR="0033262D" w:rsidRPr="00A06F1E" w14:paraId="026BDB04" w14:textId="77777777" w:rsidTr="0033262D">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47531BE9" w14:textId="77777777" w:rsidR="0033262D" w:rsidRPr="00A06F1E" w:rsidRDefault="0033262D">
            <w:pPr>
              <w:pStyle w:val="TableColHeadingCenter"/>
              <w:rPr>
                <w:rFonts w:eastAsia="MS Mincho"/>
              </w:rPr>
            </w:pPr>
          </w:p>
        </w:tc>
        <w:tc>
          <w:tcPr>
            <w:tcW w:w="683" w:type="dxa"/>
            <w:vAlign w:val="center"/>
          </w:tcPr>
          <w:p w14:paraId="5A629A3A" w14:textId="77777777" w:rsidR="0033262D" w:rsidRPr="00A06F1E" w:rsidRDefault="0033262D">
            <w:pPr>
              <w:pStyle w:val="TableColHeadingCenter"/>
              <w:rPr>
                <w:rFonts w:eastAsia="MS Mincho"/>
              </w:rPr>
            </w:pPr>
            <w:r w:rsidRPr="00A06F1E">
              <w:rPr>
                <w:rFonts w:eastAsia="MS Mincho"/>
              </w:rPr>
              <w:t>1</w:t>
            </w:r>
          </w:p>
        </w:tc>
        <w:tc>
          <w:tcPr>
            <w:tcW w:w="714" w:type="dxa"/>
            <w:vAlign w:val="center"/>
          </w:tcPr>
          <w:p w14:paraId="13C38215" w14:textId="77777777" w:rsidR="0033262D" w:rsidRPr="00A06F1E" w:rsidRDefault="0033262D">
            <w:pPr>
              <w:pStyle w:val="TableColHeadingCenter"/>
              <w:rPr>
                <w:rFonts w:eastAsia="MS Mincho"/>
              </w:rPr>
            </w:pPr>
            <w:r w:rsidRPr="00A06F1E">
              <w:rPr>
                <w:rFonts w:eastAsia="MS Mincho"/>
              </w:rPr>
              <w:t>2</w:t>
            </w:r>
          </w:p>
        </w:tc>
        <w:tc>
          <w:tcPr>
            <w:tcW w:w="652" w:type="dxa"/>
            <w:vAlign w:val="center"/>
          </w:tcPr>
          <w:p w14:paraId="4E621F64" w14:textId="77777777" w:rsidR="0033262D" w:rsidRPr="00A06F1E" w:rsidRDefault="0033262D">
            <w:pPr>
              <w:pStyle w:val="TableColHeadingCenter"/>
              <w:rPr>
                <w:rFonts w:eastAsia="MS Mincho"/>
              </w:rPr>
            </w:pPr>
            <w:r w:rsidRPr="00A06F1E">
              <w:rPr>
                <w:rFonts w:eastAsia="MS Mincho"/>
              </w:rPr>
              <w:t>3</w:t>
            </w:r>
          </w:p>
        </w:tc>
        <w:tc>
          <w:tcPr>
            <w:tcW w:w="684" w:type="dxa"/>
            <w:vAlign w:val="center"/>
          </w:tcPr>
          <w:p w14:paraId="255B2F46" w14:textId="77777777" w:rsidR="0033262D" w:rsidRPr="00A06F1E" w:rsidRDefault="0033262D">
            <w:pPr>
              <w:pStyle w:val="TableColHeadingCenter"/>
              <w:rPr>
                <w:rFonts w:eastAsia="MS Mincho"/>
              </w:rPr>
            </w:pPr>
            <w:r w:rsidRPr="00A06F1E">
              <w:rPr>
                <w:rFonts w:eastAsia="MS Mincho"/>
              </w:rPr>
              <w:t>4</w:t>
            </w:r>
          </w:p>
        </w:tc>
        <w:tc>
          <w:tcPr>
            <w:tcW w:w="653" w:type="dxa"/>
            <w:vAlign w:val="center"/>
          </w:tcPr>
          <w:p w14:paraId="36315225" w14:textId="77777777" w:rsidR="0033262D" w:rsidRPr="00A06F1E" w:rsidRDefault="0033262D">
            <w:pPr>
              <w:pStyle w:val="TableColHeadingCenter"/>
              <w:rPr>
                <w:rFonts w:eastAsia="MS Mincho"/>
              </w:rPr>
            </w:pPr>
            <w:r w:rsidRPr="00A06F1E">
              <w:rPr>
                <w:rFonts w:eastAsia="MS Mincho"/>
              </w:rPr>
              <w:t>5</w:t>
            </w:r>
          </w:p>
        </w:tc>
        <w:tc>
          <w:tcPr>
            <w:tcW w:w="712" w:type="dxa"/>
            <w:vAlign w:val="center"/>
          </w:tcPr>
          <w:p w14:paraId="1D291462" w14:textId="77777777" w:rsidR="0033262D" w:rsidRPr="00A06F1E" w:rsidRDefault="0033262D">
            <w:pPr>
              <w:pStyle w:val="TableColHeadingCenter"/>
              <w:rPr>
                <w:rFonts w:eastAsia="MS Mincho"/>
              </w:rPr>
            </w:pPr>
            <w:r w:rsidRPr="00A06F1E">
              <w:rPr>
                <w:rFonts w:eastAsia="MS Mincho"/>
              </w:rPr>
              <w:t>6</w:t>
            </w:r>
          </w:p>
        </w:tc>
        <w:tc>
          <w:tcPr>
            <w:tcW w:w="684" w:type="dxa"/>
            <w:vAlign w:val="center"/>
          </w:tcPr>
          <w:p w14:paraId="4BFFBD41" w14:textId="77777777" w:rsidR="0033262D" w:rsidRPr="00A06F1E" w:rsidRDefault="0033262D">
            <w:pPr>
              <w:pStyle w:val="TableColHeadingCenter"/>
              <w:rPr>
                <w:rFonts w:eastAsia="MS Mincho"/>
              </w:rPr>
            </w:pPr>
            <w:r w:rsidRPr="00A06F1E">
              <w:rPr>
                <w:rFonts w:eastAsia="MS Mincho"/>
              </w:rPr>
              <w:t>7</w:t>
            </w:r>
          </w:p>
        </w:tc>
        <w:tc>
          <w:tcPr>
            <w:tcW w:w="601" w:type="dxa"/>
            <w:vMerge/>
          </w:tcPr>
          <w:p w14:paraId="2D0C55A9" w14:textId="77777777" w:rsidR="0033262D" w:rsidRPr="00A06F1E" w:rsidRDefault="0033262D">
            <w:pPr>
              <w:pStyle w:val="TableColHeadingCenter"/>
              <w:rPr>
                <w:rFonts w:eastAsia="MS Mincho"/>
              </w:rPr>
            </w:pPr>
          </w:p>
        </w:tc>
        <w:tc>
          <w:tcPr>
            <w:tcW w:w="866" w:type="dxa"/>
            <w:vMerge/>
          </w:tcPr>
          <w:p w14:paraId="4D3EEF36" w14:textId="77777777" w:rsidR="0033262D" w:rsidRPr="00A06F1E" w:rsidRDefault="0033262D">
            <w:pPr>
              <w:pStyle w:val="TableColHeadingCenter"/>
              <w:rPr>
                <w:rFonts w:eastAsia="MS Mincho"/>
              </w:rPr>
            </w:pPr>
          </w:p>
        </w:tc>
      </w:tr>
      <w:tr w:rsidR="0033262D" w:rsidRPr="00A06F1E" w14:paraId="590379F4" w14:textId="77777777" w:rsidTr="0033262D">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7EBDC73F" w14:textId="77777777" w:rsidR="0033262D" w:rsidRPr="00A06F1E" w:rsidRDefault="0033262D">
            <w:pPr>
              <w:pStyle w:val="TableSubheading"/>
            </w:pPr>
            <w:r w:rsidRPr="00A06F1E">
              <w:t>Emotional Support Domain</w:t>
            </w:r>
          </w:p>
        </w:tc>
        <w:tc>
          <w:tcPr>
            <w:tcW w:w="683" w:type="dxa"/>
          </w:tcPr>
          <w:p w14:paraId="5191AED4" w14:textId="77777777" w:rsidR="0033262D" w:rsidRPr="00A06F1E" w:rsidRDefault="0033262D">
            <w:pPr>
              <w:pStyle w:val="TableTextCenteredDemi"/>
              <w:rPr>
                <w:rFonts w:eastAsia="Times New Roman"/>
              </w:rPr>
            </w:pPr>
            <w:r w:rsidRPr="00A06F1E">
              <w:rPr>
                <w:rFonts w:eastAsia="Times New Roman"/>
              </w:rPr>
              <w:t>1</w:t>
            </w:r>
          </w:p>
        </w:tc>
        <w:tc>
          <w:tcPr>
            <w:tcW w:w="714" w:type="dxa"/>
          </w:tcPr>
          <w:p w14:paraId="5CECDDFF" w14:textId="77777777" w:rsidR="0033262D" w:rsidRPr="00A06F1E" w:rsidRDefault="0033262D">
            <w:pPr>
              <w:pStyle w:val="TableTextCenteredDemi"/>
              <w:rPr>
                <w:rFonts w:eastAsia="Times New Roman"/>
              </w:rPr>
            </w:pPr>
            <w:r w:rsidRPr="00A06F1E">
              <w:rPr>
                <w:rFonts w:eastAsia="Times New Roman"/>
              </w:rPr>
              <w:t>6</w:t>
            </w:r>
          </w:p>
        </w:tc>
        <w:tc>
          <w:tcPr>
            <w:tcW w:w="652" w:type="dxa"/>
          </w:tcPr>
          <w:p w14:paraId="060D5775" w14:textId="77777777" w:rsidR="0033262D" w:rsidRPr="00A06F1E" w:rsidRDefault="0033262D">
            <w:pPr>
              <w:pStyle w:val="TableTextCenteredDemi"/>
              <w:rPr>
                <w:rFonts w:eastAsia="Times New Roman"/>
              </w:rPr>
            </w:pPr>
            <w:r w:rsidRPr="00A06F1E">
              <w:rPr>
                <w:rFonts w:eastAsia="Times New Roman"/>
              </w:rPr>
              <w:t>6</w:t>
            </w:r>
          </w:p>
        </w:tc>
        <w:tc>
          <w:tcPr>
            <w:tcW w:w="684" w:type="dxa"/>
          </w:tcPr>
          <w:p w14:paraId="48E0D27C" w14:textId="77777777" w:rsidR="0033262D" w:rsidRPr="00A06F1E" w:rsidRDefault="0033262D">
            <w:pPr>
              <w:pStyle w:val="TableTextCenteredDemi"/>
              <w:rPr>
                <w:rFonts w:eastAsia="Times New Roman"/>
              </w:rPr>
            </w:pPr>
            <w:r w:rsidRPr="00A06F1E">
              <w:rPr>
                <w:rFonts w:eastAsia="Times New Roman"/>
              </w:rPr>
              <w:t>12</w:t>
            </w:r>
          </w:p>
        </w:tc>
        <w:tc>
          <w:tcPr>
            <w:tcW w:w="653" w:type="dxa"/>
          </w:tcPr>
          <w:p w14:paraId="73F7B49D" w14:textId="77777777" w:rsidR="0033262D" w:rsidRPr="00A06F1E" w:rsidRDefault="0033262D">
            <w:pPr>
              <w:pStyle w:val="TableTextCenteredDemi"/>
              <w:rPr>
                <w:rFonts w:eastAsia="Times New Roman"/>
              </w:rPr>
            </w:pPr>
            <w:r w:rsidRPr="00A06F1E">
              <w:rPr>
                <w:rFonts w:eastAsia="Times New Roman"/>
              </w:rPr>
              <w:t>15</w:t>
            </w:r>
          </w:p>
        </w:tc>
        <w:tc>
          <w:tcPr>
            <w:tcW w:w="712" w:type="dxa"/>
            <w:vAlign w:val="center"/>
          </w:tcPr>
          <w:p w14:paraId="00D8D583" w14:textId="77777777" w:rsidR="0033262D" w:rsidRPr="00A06F1E" w:rsidRDefault="0033262D">
            <w:pPr>
              <w:pStyle w:val="TableTextCenteredDemi"/>
              <w:rPr>
                <w:rFonts w:eastAsia="Times New Roman"/>
              </w:rPr>
            </w:pPr>
            <w:r w:rsidRPr="00A06F1E">
              <w:rPr>
                <w:rFonts w:eastAsia="Times New Roman"/>
              </w:rPr>
              <w:t>6</w:t>
            </w:r>
          </w:p>
        </w:tc>
        <w:tc>
          <w:tcPr>
            <w:tcW w:w="684" w:type="dxa"/>
            <w:vAlign w:val="center"/>
          </w:tcPr>
          <w:p w14:paraId="1983BA6A" w14:textId="77777777" w:rsidR="0033262D" w:rsidRPr="00A06F1E" w:rsidRDefault="0033262D">
            <w:pPr>
              <w:pStyle w:val="TableTextCenteredDemi"/>
              <w:rPr>
                <w:rFonts w:eastAsia="Times New Roman"/>
              </w:rPr>
            </w:pPr>
            <w:r w:rsidRPr="00A06F1E">
              <w:rPr>
                <w:rFonts w:eastAsia="Times New Roman"/>
              </w:rPr>
              <w:t>5</w:t>
            </w:r>
          </w:p>
        </w:tc>
        <w:tc>
          <w:tcPr>
            <w:tcW w:w="601" w:type="dxa"/>
          </w:tcPr>
          <w:p w14:paraId="6D933458" w14:textId="77777777" w:rsidR="0033262D" w:rsidRPr="00A06F1E" w:rsidRDefault="0033262D">
            <w:pPr>
              <w:pStyle w:val="TableTextCenteredDemi"/>
              <w:rPr>
                <w:rFonts w:eastAsia="Times New Roman"/>
              </w:rPr>
            </w:pPr>
            <w:r w:rsidRPr="00A06F1E">
              <w:rPr>
                <w:rFonts w:eastAsia="Times New Roman"/>
              </w:rPr>
              <w:t>51</w:t>
            </w:r>
          </w:p>
        </w:tc>
        <w:tc>
          <w:tcPr>
            <w:tcW w:w="866" w:type="dxa"/>
          </w:tcPr>
          <w:p w14:paraId="434C1662" w14:textId="77777777" w:rsidR="0033262D" w:rsidRPr="00A06F1E" w:rsidRDefault="0033262D">
            <w:pPr>
              <w:pStyle w:val="TableTextCenteredDemi"/>
              <w:rPr>
                <w:rFonts w:eastAsia="Times New Roman"/>
              </w:rPr>
            </w:pPr>
            <w:r w:rsidRPr="00A06F1E">
              <w:rPr>
                <w:rFonts w:eastAsia="Times New Roman"/>
              </w:rPr>
              <w:t>4.4</w:t>
            </w:r>
          </w:p>
        </w:tc>
      </w:tr>
      <w:tr w:rsidR="0033262D" w:rsidRPr="00A06F1E" w14:paraId="66B8725F" w14:textId="77777777" w:rsidTr="0033262D">
        <w:tc>
          <w:tcPr>
            <w:tcW w:w="3095" w:type="dxa"/>
            <w:vAlign w:val="center"/>
          </w:tcPr>
          <w:p w14:paraId="756A6300" w14:textId="77777777" w:rsidR="0033262D" w:rsidRPr="00A06F1E" w:rsidRDefault="0033262D">
            <w:pPr>
              <w:pStyle w:val="TableText"/>
              <w:ind w:left="204"/>
              <w:rPr>
                <w:b/>
                <w:bCs/>
              </w:rPr>
            </w:pPr>
            <w:r w:rsidRPr="00A06F1E">
              <w:t>Positive Climate</w:t>
            </w:r>
          </w:p>
        </w:tc>
        <w:tc>
          <w:tcPr>
            <w:tcW w:w="683" w:type="dxa"/>
          </w:tcPr>
          <w:p w14:paraId="0D64DD48" w14:textId="77777777" w:rsidR="0033262D" w:rsidRPr="00A06F1E" w:rsidRDefault="0033262D">
            <w:pPr>
              <w:pStyle w:val="TableTextCentered"/>
              <w:rPr>
                <w:rFonts w:eastAsia="Times New Roman"/>
              </w:rPr>
            </w:pPr>
            <w:r w:rsidRPr="00A06F1E">
              <w:rPr>
                <w:rFonts w:eastAsia="Times New Roman"/>
              </w:rPr>
              <w:t>0</w:t>
            </w:r>
          </w:p>
        </w:tc>
        <w:tc>
          <w:tcPr>
            <w:tcW w:w="714" w:type="dxa"/>
          </w:tcPr>
          <w:p w14:paraId="7189C462" w14:textId="77777777" w:rsidR="0033262D" w:rsidRPr="00A06F1E" w:rsidRDefault="0033262D">
            <w:pPr>
              <w:pStyle w:val="TableTextCentered"/>
              <w:rPr>
                <w:rFonts w:eastAsia="Times New Roman"/>
              </w:rPr>
            </w:pPr>
            <w:r w:rsidRPr="00A06F1E">
              <w:rPr>
                <w:rFonts w:eastAsia="Times New Roman"/>
              </w:rPr>
              <w:t>1</w:t>
            </w:r>
          </w:p>
        </w:tc>
        <w:tc>
          <w:tcPr>
            <w:tcW w:w="652" w:type="dxa"/>
          </w:tcPr>
          <w:p w14:paraId="4D3FCA67" w14:textId="77777777" w:rsidR="0033262D" w:rsidRPr="00A06F1E" w:rsidRDefault="0033262D">
            <w:pPr>
              <w:pStyle w:val="TableTextCentered"/>
              <w:rPr>
                <w:rFonts w:eastAsia="Times New Roman"/>
              </w:rPr>
            </w:pPr>
            <w:r w:rsidRPr="00A06F1E">
              <w:rPr>
                <w:rFonts w:eastAsia="Times New Roman"/>
              </w:rPr>
              <w:t>2</w:t>
            </w:r>
          </w:p>
        </w:tc>
        <w:tc>
          <w:tcPr>
            <w:tcW w:w="684" w:type="dxa"/>
          </w:tcPr>
          <w:p w14:paraId="2344B35A" w14:textId="77777777" w:rsidR="0033262D" w:rsidRPr="00A06F1E" w:rsidRDefault="0033262D">
            <w:pPr>
              <w:pStyle w:val="TableTextCentered"/>
              <w:rPr>
                <w:rFonts w:eastAsia="Times New Roman"/>
              </w:rPr>
            </w:pPr>
            <w:r w:rsidRPr="00A06F1E">
              <w:rPr>
                <w:rFonts w:eastAsia="Times New Roman"/>
              </w:rPr>
              <w:t>5</w:t>
            </w:r>
          </w:p>
        </w:tc>
        <w:tc>
          <w:tcPr>
            <w:tcW w:w="653" w:type="dxa"/>
          </w:tcPr>
          <w:p w14:paraId="1DA146AF" w14:textId="77777777" w:rsidR="0033262D" w:rsidRPr="00A06F1E" w:rsidRDefault="0033262D">
            <w:pPr>
              <w:pStyle w:val="TableTextCentered"/>
              <w:rPr>
                <w:rFonts w:eastAsia="Times New Roman"/>
              </w:rPr>
            </w:pPr>
            <w:r w:rsidRPr="00A06F1E">
              <w:rPr>
                <w:rFonts w:eastAsia="Times New Roman"/>
              </w:rPr>
              <w:t>6</w:t>
            </w:r>
          </w:p>
        </w:tc>
        <w:tc>
          <w:tcPr>
            <w:tcW w:w="712" w:type="dxa"/>
            <w:vAlign w:val="center"/>
          </w:tcPr>
          <w:p w14:paraId="4F2169E3" w14:textId="77777777" w:rsidR="0033262D" w:rsidRPr="00A06F1E" w:rsidRDefault="0033262D">
            <w:pPr>
              <w:pStyle w:val="TableTextCentered"/>
              <w:rPr>
                <w:rFonts w:eastAsia="Times New Roman"/>
              </w:rPr>
            </w:pPr>
            <w:r w:rsidRPr="00A06F1E">
              <w:rPr>
                <w:rFonts w:eastAsia="Times New Roman"/>
              </w:rPr>
              <w:t>1</w:t>
            </w:r>
          </w:p>
        </w:tc>
        <w:tc>
          <w:tcPr>
            <w:tcW w:w="684" w:type="dxa"/>
            <w:vAlign w:val="center"/>
          </w:tcPr>
          <w:p w14:paraId="4FE7F9CA" w14:textId="77777777" w:rsidR="0033262D" w:rsidRPr="00A06F1E" w:rsidRDefault="0033262D">
            <w:pPr>
              <w:pStyle w:val="TableTextCentered"/>
              <w:rPr>
                <w:rFonts w:eastAsia="Times New Roman"/>
              </w:rPr>
            </w:pPr>
            <w:r w:rsidRPr="00A06F1E">
              <w:rPr>
                <w:rFonts w:eastAsia="Times New Roman"/>
              </w:rPr>
              <w:t>2</w:t>
            </w:r>
          </w:p>
        </w:tc>
        <w:tc>
          <w:tcPr>
            <w:tcW w:w="601" w:type="dxa"/>
          </w:tcPr>
          <w:p w14:paraId="1166896F" w14:textId="77777777" w:rsidR="0033262D" w:rsidRPr="00A06F1E" w:rsidRDefault="0033262D">
            <w:pPr>
              <w:pStyle w:val="TableTextCentered"/>
              <w:rPr>
                <w:rFonts w:eastAsia="Times New Roman"/>
              </w:rPr>
            </w:pPr>
            <w:r w:rsidRPr="00A06F1E">
              <w:rPr>
                <w:rFonts w:eastAsia="Times New Roman"/>
              </w:rPr>
              <w:t>17</w:t>
            </w:r>
          </w:p>
        </w:tc>
        <w:tc>
          <w:tcPr>
            <w:tcW w:w="866" w:type="dxa"/>
          </w:tcPr>
          <w:p w14:paraId="25B33301" w14:textId="77777777" w:rsidR="0033262D" w:rsidRPr="00A06F1E" w:rsidRDefault="0033262D">
            <w:pPr>
              <w:pStyle w:val="TableTextCentered"/>
              <w:rPr>
                <w:rFonts w:eastAsia="Times New Roman"/>
              </w:rPr>
            </w:pPr>
            <w:r w:rsidRPr="00A06F1E">
              <w:rPr>
                <w:rFonts w:eastAsia="Times New Roman"/>
              </w:rPr>
              <w:t>4.6</w:t>
            </w:r>
          </w:p>
        </w:tc>
      </w:tr>
      <w:tr w:rsidR="0033262D" w:rsidRPr="00A06F1E" w14:paraId="69E90308" w14:textId="77777777" w:rsidTr="0033262D">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4D088B84" w14:textId="77777777" w:rsidR="0033262D" w:rsidRPr="00A06F1E" w:rsidRDefault="0033262D">
            <w:pPr>
              <w:pStyle w:val="TableText"/>
              <w:ind w:left="204"/>
              <w:rPr>
                <w:b/>
                <w:bCs/>
              </w:rPr>
            </w:pPr>
            <w:r w:rsidRPr="00A06F1E">
              <w:t>Teacher Sensitivity</w:t>
            </w:r>
          </w:p>
        </w:tc>
        <w:tc>
          <w:tcPr>
            <w:tcW w:w="683" w:type="dxa"/>
          </w:tcPr>
          <w:p w14:paraId="5BDD1B19" w14:textId="77777777" w:rsidR="0033262D" w:rsidRPr="00A06F1E" w:rsidRDefault="0033262D">
            <w:pPr>
              <w:pStyle w:val="TableTextCentered"/>
              <w:rPr>
                <w:rFonts w:eastAsia="Times New Roman"/>
              </w:rPr>
            </w:pPr>
            <w:r w:rsidRPr="00A06F1E">
              <w:rPr>
                <w:rFonts w:eastAsia="Times New Roman"/>
              </w:rPr>
              <w:t>0</w:t>
            </w:r>
          </w:p>
        </w:tc>
        <w:tc>
          <w:tcPr>
            <w:tcW w:w="714" w:type="dxa"/>
          </w:tcPr>
          <w:p w14:paraId="4C65673F" w14:textId="77777777" w:rsidR="0033262D" w:rsidRPr="00A06F1E" w:rsidRDefault="0033262D">
            <w:pPr>
              <w:pStyle w:val="TableTextCentered"/>
              <w:rPr>
                <w:rFonts w:eastAsia="Times New Roman"/>
              </w:rPr>
            </w:pPr>
            <w:r w:rsidRPr="00A06F1E">
              <w:rPr>
                <w:rFonts w:eastAsia="Times New Roman"/>
              </w:rPr>
              <w:t>0</w:t>
            </w:r>
          </w:p>
        </w:tc>
        <w:tc>
          <w:tcPr>
            <w:tcW w:w="652" w:type="dxa"/>
          </w:tcPr>
          <w:p w14:paraId="6936BB91" w14:textId="77777777" w:rsidR="0033262D" w:rsidRPr="00A06F1E" w:rsidRDefault="0033262D">
            <w:pPr>
              <w:pStyle w:val="TableTextCentered"/>
              <w:rPr>
                <w:rFonts w:eastAsia="Times New Roman"/>
              </w:rPr>
            </w:pPr>
            <w:r w:rsidRPr="00A06F1E">
              <w:rPr>
                <w:rFonts w:eastAsia="Times New Roman"/>
              </w:rPr>
              <w:t>0</w:t>
            </w:r>
          </w:p>
        </w:tc>
        <w:tc>
          <w:tcPr>
            <w:tcW w:w="684" w:type="dxa"/>
          </w:tcPr>
          <w:p w14:paraId="73C6A827" w14:textId="77777777" w:rsidR="0033262D" w:rsidRPr="00A06F1E" w:rsidRDefault="0033262D">
            <w:pPr>
              <w:pStyle w:val="TableTextCentered"/>
              <w:rPr>
                <w:rFonts w:eastAsia="Times New Roman"/>
              </w:rPr>
            </w:pPr>
            <w:r w:rsidRPr="00A06F1E">
              <w:rPr>
                <w:rFonts w:eastAsia="Times New Roman"/>
              </w:rPr>
              <w:t>3</w:t>
            </w:r>
          </w:p>
        </w:tc>
        <w:tc>
          <w:tcPr>
            <w:tcW w:w="653" w:type="dxa"/>
          </w:tcPr>
          <w:p w14:paraId="272DD163" w14:textId="77777777" w:rsidR="0033262D" w:rsidRPr="00A06F1E" w:rsidRDefault="0033262D">
            <w:pPr>
              <w:pStyle w:val="TableTextCentered"/>
              <w:rPr>
                <w:rFonts w:eastAsia="Times New Roman"/>
              </w:rPr>
            </w:pPr>
            <w:r w:rsidRPr="00A06F1E">
              <w:rPr>
                <w:rFonts w:eastAsia="Times New Roman"/>
              </w:rPr>
              <w:t>6</w:t>
            </w:r>
          </w:p>
        </w:tc>
        <w:tc>
          <w:tcPr>
            <w:tcW w:w="712" w:type="dxa"/>
            <w:vAlign w:val="center"/>
          </w:tcPr>
          <w:p w14:paraId="23C68820" w14:textId="77777777" w:rsidR="0033262D" w:rsidRPr="00A06F1E" w:rsidRDefault="0033262D">
            <w:pPr>
              <w:pStyle w:val="TableTextCentered"/>
              <w:rPr>
                <w:rFonts w:eastAsia="Times New Roman"/>
              </w:rPr>
            </w:pPr>
            <w:r w:rsidRPr="00A06F1E">
              <w:rPr>
                <w:rFonts w:eastAsia="Times New Roman"/>
              </w:rPr>
              <w:t>5</w:t>
            </w:r>
          </w:p>
        </w:tc>
        <w:tc>
          <w:tcPr>
            <w:tcW w:w="684" w:type="dxa"/>
            <w:vAlign w:val="center"/>
          </w:tcPr>
          <w:p w14:paraId="12610034" w14:textId="77777777" w:rsidR="0033262D" w:rsidRPr="00A06F1E" w:rsidRDefault="0033262D">
            <w:pPr>
              <w:pStyle w:val="TableTextCentered"/>
              <w:rPr>
                <w:rFonts w:eastAsia="Times New Roman"/>
              </w:rPr>
            </w:pPr>
            <w:r w:rsidRPr="00A06F1E">
              <w:rPr>
                <w:rFonts w:eastAsia="Times New Roman"/>
              </w:rPr>
              <w:t>3</w:t>
            </w:r>
          </w:p>
        </w:tc>
        <w:tc>
          <w:tcPr>
            <w:tcW w:w="601" w:type="dxa"/>
          </w:tcPr>
          <w:p w14:paraId="2E5196CB" w14:textId="77777777" w:rsidR="0033262D" w:rsidRPr="00A06F1E" w:rsidRDefault="0033262D">
            <w:pPr>
              <w:pStyle w:val="TableTextCentered"/>
              <w:rPr>
                <w:rFonts w:eastAsia="Times New Roman"/>
              </w:rPr>
            </w:pPr>
            <w:r w:rsidRPr="00A06F1E">
              <w:rPr>
                <w:rFonts w:eastAsia="Times New Roman"/>
              </w:rPr>
              <w:t>17</w:t>
            </w:r>
          </w:p>
        </w:tc>
        <w:tc>
          <w:tcPr>
            <w:tcW w:w="866" w:type="dxa"/>
          </w:tcPr>
          <w:p w14:paraId="0B12C3AA" w14:textId="77777777" w:rsidR="0033262D" w:rsidRPr="00A06F1E" w:rsidRDefault="0033262D">
            <w:pPr>
              <w:pStyle w:val="TableTextCentered"/>
              <w:rPr>
                <w:rFonts w:eastAsia="Times New Roman"/>
              </w:rPr>
            </w:pPr>
            <w:r w:rsidRPr="00A06F1E">
              <w:rPr>
                <w:rFonts w:eastAsia="Times New Roman"/>
              </w:rPr>
              <w:t>5.5</w:t>
            </w:r>
          </w:p>
        </w:tc>
      </w:tr>
      <w:tr w:rsidR="0033262D" w:rsidRPr="00A06F1E" w14:paraId="035A78D7" w14:textId="77777777" w:rsidTr="0033262D">
        <w:tc>
          <w:tcPr>
            <w:tcW w:w="3095" w:type="dxa"/>
            <w:vAlign w:val="center"/>
          </w:tcPr>
          <w:p w14:paraId="2B26458A" w14:textId="77777777" w:rsidR="0033262D" w:rsidRPr="00A06F1E" w:rsidRDefault="0033262D">
            <w:pPr>
              <w:pStyle w:val="TableText"/>
              <w:ind w:left="204"/>
              <w:rPr>
                <w:b/>
                <w:bCs/>
              </w:rPr>
            </w:pPr>
            <w:r w:rsidRPr="00A06F1E">
              <w:t>Regard for Student Perspectives</w:t>
            </w:r>
          </w:p>
        </w:tc>
        <w:tc>
          <w:tcPr>
            <w:tcW w:w="683" w:type="dxa"/>
          </w:tcPr>
          <w:p w14:paraId="76468DBB" w14:textId="77777777" w:rsidR="0033262D" w:rsidRPr="00A06F1E" w:rsidRDefault="0033262D">
            <w:pPr>
              <w:pStyle w:val="TableTextCentered"/>
              <w:rPr>
                <w:rFonts w:eastAsia="Times New Roman"/>
              </w:rPr>
            </w:pPr>
            <w:r w:rsidRPr="00A06F1E">
              <w:rPr>
                <w:rFonts w:eastAsia="Times New Roman"/>
              </w:rPr>
              <w:t>1</w:t>
            </w:r>
          </w:p>
        </w:tc>
        <w:tc>
          <w:tcPr>
            <w:tcW w:w="714" w:type="dxa"/>
          </w:tcPr>
          <w:p w14:paraId="0BB82D88" w14:textId="77777777" w:rsidR="0033262D" w:rsidRPr="00A06F1E" w:rsidRDefault="0033262D">
            <w:pPr>
              <w:pStyle w:val="TableTextCentered"/>
              <w:rPr>
                <w:rFonts w:eastAsia="Times New Roman"/>
              </w:rPr>
            </w:pPr>
            <w:r w:rsidRPr="00A06F1E">
              <w:rPr>
                <w:rFonts w:eastAsia="Times New Roman"/>
              </w:rPr>
              <w:t>5</w:t>
            </w:r>
          </w:p>
        </w:tc>
        <w:tc>
          <w:tcPr>
            <w:tcW w:w="652" w:type="dxa"/>
          </w:tcPr>
          <w:p w14:paraId="33B771C8" w14:textId="77777777" w:rsidR="0033262D" w:rsidRPr="00A06F1E" w:rsidRDefault="0033262D">
            <w:pPr>
              <w:pStyle w:val="TableTextCentered"/>
              <w:rPr>
                <w:rFonts w:eastAsia="Times New Roman"/>
              </w:rPr>
            </w:pPr>
            <w:r w:rsidRPr="00A06F1E">
              <w:rPr>
                <w:rFonts w:eastAsia="Times New Roman"/>
              </w:rPr>
              <w:t>4</w:t>
            </w:r>
          </w:p>
        </w:tc>
        <w:tc>
          <w:tcPr>
            <w:tcW w:w="684" w:type="dxa"/>
          </w:tcPr>
          <w:p w14:paraId="1F94C20D" w14:textId="77777777" w:rsidR="0033262D" w:rsidRPr="00A06F1E" w:rsidRDefault="0033262D">
            <w:pPr>
              <w:pStyle w:val="TableTextCentered"/>
              <w:rPr>
                <w:rFonts w:eastAsia="Times New Roman"/>
              </w:rPr>
            </w:pPr>
            <w:r w:rsidRPr="00A06F1E">
              <w:rPr>
                <w:rFonts w:eastAsia="Times New Roman"/>
              </w:rPr>
              <w:t>4</w:t>
            </w:r>
          </w:p>
        </w:tc>
        <w:tc>
          <w:tcPr>
            <w:tcW w:w="653" w:type="dxa"/>
          </w:tcPr>
          <w:p w14:paraId="28E52FA3" w14:textId="77777777" w:rsidR="0033262D" w:rsidRPr="00A06F1E" w:rsidRDefault="0033262D">
            <w:pPr>
              <w:pStyle w:val="TableTextCentered"/>
              <w:rPr>
                <w:rFonts w:eastAsia="Times New Roman"/>
              </w:rPr>
            </w:pPr>
            <w:r w:rsidRPr="00A06F1E">
              <w:rPr>
                <w:rFonts w:eastAsia="Times New Roman"/>
              </w:rPr>
              <w:t>3</w:t>
            </w:r>
          </w:p>
        </w:tc>
        <w:tc>
          <w:tcPr>
            <w:tcW w:w="712" w:type="dxa"/>
            <w:vAlign w:val="center"/>
          </w:tcPr>
          <w:p w14:paraId="7B613B8E" w14:textId="77777777" w:rsidR="0033262D" w:rsidRPr="00A06F1E" w:rsidRDefault="0033262D">
            <w:pPr>
              <w:pStyle w:val="TableTextCentered"/>
              <w:rPr>
                <w:rFonts w:eastAsia="Times New Roman"/>
              </w:rPr>
            </w:pPr>
            <w:r w:rsidRPr="00A06F1E">
              <w:rPr>
                <w:rFonts w:eastAsia="Times New Roman"/>
              </w:rPr>
              <w:t>0</w:t>
            </w:r>
          </w:p>
        </w:tc>
        <w:tc>
          <w:tcPr>
            <w:tcW w:w="684" w:type="dxa"/>
            <w:vAlign w:val="center"/>
          </w:tcPr>
          <w:p w14:paraId="5C36B164" w14:textId="77777777" w:rsidR="0033262D" w:rsidRPr="00A06F1E" w:rsidRDefault="0033262D">
            <w:pPr>
              <w:pStyle w:val="TableTextCentered"/>
              <w:rPr>
                <w:rFonts w:eastAsia="Times New Roman"/>
              </w:rPr>
            </w:pPr>
            <w:r w:rsidRPr="00A06F1E">
              <w:rPr>
                <w:rFonts w:eastAsia="Times New Roman"/>
              </w:rPr>
              <w:t>0</w:t>
            </w:r>
          </w:p>
        </w:tc>
        <w:tc>
          <w:tcPr>
            <w:tcW w:w="601" w:type="dxa"/>
          </w:tcPr>
          <w:p w14:paraId="39403E71" w14:textId="77777777" w:rsidR="0033262D" w:rsidRPr="00A06F1E" w:rsidRDefault="0033262D">
            <w:pPr>
              <w:pStyle w:val="TableTextCentered"/>
              <w:rPr>
                <w:rFonts w:eastAsia="Times New Roman"/>
              </w:rPr>
            </w:pPr>
            <w:r w:rsidRPr="00A06F1E">
              <w:rPr>
                <w:rFonts w:eastAsia="Times New Roman"/>
              </w:rPr>
              <w:t>17</w:t>
            </w:r>
          </w:p>
        </w:tc>
        <w:tc>
          <w:tcPr>
            <w:tcW w:w="866" w:type="dxa"/>
          </w:tcPr>
          <w:p w14:paraId="70A84B37" w14:textId="77777777" w:rsidR="0033262D" w:rsidRPr="00A06F1E" w:rsidRDefault="0033262D">
            <w:pPr>
              <w:pStyle w:val="TableTextCentered"/>
              <w:rPr>
                <w:rFonts w:eastAsia="Times New Roman"/>
              </w:rPr>
            </w:pPr>
            <w:r w:rsidRPr="00A06F1E">
              <w:rPr>
                <w:rFonts w:eastAsia="Times New Roman"/>
              </w:rPr>
              <w:t>3.2</w:t>
            </w:r>
          </w:p>
        </w:tc>
      </w:tr>
      <w:tr w:rsidR="0033262D" w:rsidRPr="00A06F1E" w14:paraId="351B27A8" w14:textId="77777777" w:rsidTr="0033262D">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40DA8D52" w14:textId="77777777" w:rsidR="0033262D" w:rsidRPr="00A06F1E" w:rsidRDefault="0033262D">
            <w:pPr>
              <w:pStyle w:val="TableSubheading"/>
              <w:rPr>
                <w:szCs w:val="20"/>
              </w:rPr>
            </w:pPr>
            <w:r w:rsidRPr="00A06F1E">
              <w:t>Classroom Organization Domain</w:t>
            </w:r>
          </w:p>
        </w:tc>
        <w:tc>
          <w:tcPr>
            <w:tcW w:w="683" w:type="dxa"/>
          </w:tcPr>
          <w:p w14:paraId="1B6C6BFE" w14:textId="77777777" w:rsidR="0033262D" w:rsidRPr="00A06F1E" w:rsidRDefault="0033262D">
            <w:pPr>
              <w:pStyle w:val="TableTextCenteredDemi"/>
              <w:rPr>
                <w:rFonts w:eastAsia="Times New Roman"/>
              </w:rPr>
            </w:pPr>
            <w:r w:rsidRPr="00A06F1E">
              <w:rPr>
                <w:rFonts w:eastAsia="Times New Roman"/>
              </w:rPr>
              <w:t>0</w:t>
            </w:r>
          </w:p>
        </w:tc>
        <w:tc>
          <w:tcPr>
            <w:tcW w:w="714" w:type="dxa"/>
          </w:tcPr>
          <w:p w14:paraId="2977A3A6" w14:textId="77777777" w:rsidR="0033262D" w:rsidRPr="00A06F1E" w:rsidRDefault="0033262D">
            <w:pPr>
              <w:pStyle w:val="TableTextCenteredDemi"/>
              <w:rPr>
                <w:rFonts w:eastAsia="Times New Roman"/>
              </w:rPr>
            </w:pPr>
            <w:r w:rsidRPr="00A06F1E">
              <w:rPr>
                <w:rFonts w:eastAsia="Times New Roman"/>
              </w:rPr>
              <w:t>0</w:t>
            </w:r>
          </w:p>
        </w:tc>
        <w:tc>
          <w:tcPr>
            <w:tcW w:w="652" w:type="dxa"/>
          </w:tcPr>
          <w:p w14:paraId="6DCDEFDE" w14:textId="77777777" w:rsidR="0033262D" w:rsidRPr="00A06F1E" w:rsidRDefault="0033262D">
            <w:pPr>
              <w:pStyle w:val="TableTextCenteredDemi"/>
              <w:rPr>
                <w:rFonts w:eastAsia="Times New Roman"/>
              </w:rPr>
            </w:pPr>
            <w:r w:rsidRPr="00A06F1E">
              <w:rPr>
                <w:rFonts w:eastAsia="Times New Roman"/>
              </w:rPr>
              <w:t>0</w:t>
            </w:r>
          </w:p>
        </w:tc>
        <w:tc>
          <w:tcPr>
            <w:tcW w:w="684" w:type="dxa"/>
          </w:tcPr>
          <w:p w14:paraId="10780C51" w14:textId="77777777" w:rsidR="0033262D" w:rsidRPr="00A06F1E" w:rsidRDefault="0033262D">
            <w:pPr>
              <w:pStyle w:val="TableTextCenteredDemi"/>
              <w:rPr>
                <w:rFonts w:eastAsia="Times New Roman"/>
              </w:rPr>
            </w:pPr>
            <w:r w:rsidRPr="00A06F1E">
              <w:rPr>
                <w:rFonts w:eastAsia="Times New Roman"/>
              </w:rPr>
              <w:t>0</w:t>
            </w:r>
          </w:p>
        </w:tc>
        <w:tc>
          <w:tcPr>
            <w:tcW w:w="653" w:type="dxa"/>
          </w:tcPr>
          <w:p w14:paraId="687D2BDB" w14:textId="77777777" w:rsidR="0033262D" w:rsidRPr="00A06F1E" w:rsidRDefault="0033262D">
            <w:pPr>
              <w:pStyle w:val="TableTextCenteredDemi"/>
              <w:rPr>
                <w:rFonts w:eastAsia="Times New Roman"/>
              </w:rPr>
            </w:pPr>
            <w:r w:rsidRPr="00A06F1E">
              <w:rPr>
                <w:rFonts w:eastAsia="Times New Roman"/>
              </w:rPr>
              <w:t>5</w:t>
            </w:r>
          </w:p>
        </w:tc>
        <w:tc>
          <w:tcPr>
            <w:tcW w:w="712" w:type="dxa"/>
            <w:vAlign w:val="center"/>
          </w:tcPr>
          <w:p w14:paraId="250865C0" w14:textId="77777777" w:rsidR="0033262D" w:rsidRPr="00A06F1E" w:rsidRDefault="0033262D">
            <w:pPr>
              <w:pStyle w:val="TableTextCenteredDemi"/>
              <w:rPr>
                <w:rFonts w:eastAsia="Times New Roman"/>
              </w:rPr>
            </w:pPr>
            <w:r w:rsidRPr="00A06F1E">
              <w:rPr>
                <w:rFonts w:eastAsia="Times New Roman"/>
              </w:rPr>
              <w:t>6</w:t>
            </w:r>
          </w:p>
        </w:tc>
        <w:tc>
          <w:tcPr>
            <w:tcW w:w="684" w:type="dxa"/>
            <w:vAlign w:val="center"/>
          </w:tcPr>
          <w:p w14:paraId="4E342D86" w14:textId="77777777" w:rsidR="0033262D" w:rsidRPr="00A06F1E" w:rsidRDefault="0033262D">
            <w:pPr>
              <w:pStyle w:val="TableTextCenteredDemi"/>
              <w:rPr>
                <w:rFonts w:eastAsia="Times New Roman"/>
              </w:rPr>
            </w:pPr>
            <w:r w:rsidRPr="00A06F1E">
              <w:rPr>
                <w:rFonts w:eastAsia="Times New Roman"/>
              </w:rPr>
              <w:t>40</w:t>
            </w:r>
          </w:p>
        </w:tc>
        <w:tc>
          <w:tcPr>
            <w:tcW w:w="601" w:type="dxa"/>
          </w:tcPr>
          <w:p w14:paraId="42C33F0D" w14:textId="77777777" w:rsidR="0033262D" w:rsidRPr="00A06F1E" w:rsidRDefault="0033262D">
            <w:pPr>
              <w:pStyle w:val="TableTextCenteredDemi"/>
              <w:rPr>
                <w:rFonts w:eastAsia="Times New Roman"/>
              </w:rPr>
            </w:pPr>
            <w:r w:rsidRPr="00A06F1E">
              <w:rPr>
                <w:rFonts w:eastAsia="Times New Roman"/>
              </w:rPr>
              <w:t>51</w:t>
            </w:r>
          </w:p>
        </w:tc>
        <w:tc>
          <w:tcPr>
            <w:tcW w:w="866" w:type="dxa"/>
          </w:tcPr>
          <w:p w14:paraId="5756B99A" w14:textId="77777777" w:rsidR="0033262D" w:rsidRPr="00A06F1E" w:rsidRDefault="0033262D">
            <w:pPr>
              <w:pStyle w:val="TableTextCenteredDemi"/>
              <w:rPr>
                <w:rFonts w:eastAsia="Times New Roman"/>
              </w:rPr>
            </w:pPr>
            <w:r w:rsidRPr="00A06F1E">
              <w:rPr>
                <w:rFonts w:eastAsia="Times New Roman"/>
              </w:rPr>
              <w:t>6.7</w:t>
            </w:r>
          </w:p>
        </w:tc>
      </w:tr>
      <w:tr w:rsidR="0033262D" w:rsidRPr="00A06F1E" w14:paraId="403E1D5E" w14:textId="77777777" w:rsidTr="0033262D">
        <w:tc>
          <w:tcPr>
            <w:tcW w:w="3095" w:type="dxa"/>
            <w:vAlign w:val="center"/>
          </w:tcPr>
          <w:p w14:paraId="6DCD2248" w14:textId="77777777" w:rsidR="0033262D" w:rsidRPr="00A06F1E" w:rsidRDefault="0033262D">
            <w:pPr>
              <w:pStyle w:val="TableText"/>
              <w:ind w:left="204"/>
              <w:rPr>
                <w:b/>
                <w:bCs/>
              </w:rPr>
            </w:pPr>
            <w:r w:rsidRPr="00A06F1E">
              <w:t>Behavior Management</w:t>
            </w:r>
          </w:p>
        </w:tc>
        <w:tc>
          <w:tcPr>
            <w:tcW w:w="683" w:type="dxa"/>
          </w:tcPr>
          <w:p w14:paraId="71A92495" w14:textId="77777777" w:rsidR="0033262D" w:rsidRPr="00A06F1E" w:rsidRDefault="0033262D">
            <w:pPr>
              <w:pStyle w:val="TableTextCentered"/>
              <w:rPr>
                <w:rFonts w:eastAsia="Times New Roman"/>
              </w:rPr>
            </w:pPr>
            <w:r w:rsidRPr="00A06F1E">
              <w:rPr>
                <w:rFonts w:eastAsia="Times New Roman"/>
              </w:rPr>
              <w:t>0</w:t>
            </w:r>
          </w:p>
        </w:tc>
        <w:tc>
          <w:tcPr>
            <w:tcW w:w="714" w:type="dxa"/>
          </w:tcPr>
          <w:p w14:paraId="00ED4EDC" w14:textId="77777777" w:rsidR="0033262D" w:rsidRPr="00A06F1E" w:rsidRDefault="0033262D">
            <w:pPr>
              <w:pStyle w:val="TableTextCentered"/>
              <w:rPr>
                <w:rFonts w:eastAsia="Times New Roman"/>
              </w:rPr>
            </w:pPr>
            <w:r w:rsidRPr="00A06F1E">
              <w:rPr>
                <w:rFonts w:eastAsia="Times New Roman"/>
              </w:rPr>
              <w:t>0</w:t>
            </w:r>
          </w:p>
        </w:tc>
        <w:tc>
          <w:tcPr>
            <w:tcW w:w="652" w:type="dxa"/>
          </w:tcPr>
          <w:p w14:paraId="2AF70299" w14:textId="77777777" w:rsidR="0033262D" w:rsidRPr="00A06F1E" w:rsidRDefault="0033262D">
            <w:pPr>
              <w:pStyle w:val="TableTextCentered"/>
              <w:rPr>
                <w:rFonts w:eastAsia="Times New Roman"/>
              </w:rPr>
            </w:pPr>
            <w:r w:rsidRPr="00A06F1E">
              <w:rPr>
                <w:rFonts w:eastAsia="Times New Roman"/>
              </w:rPr>
              <w:t>0</w:t>
            </w:r>
          </w:p>
        </w:tc>
        <w:tc>
          <w:tcPr>
            <w:tcW w:w="684" w:type="dxa"/>
          </w:tcPr>
          <w:p w14:paraId="612B75A8" w14:textId="77777777" w:rsidR="0033262D" w:rsidRPr="00A06F1E" w:rsidRDefault="0033262D">
            <w:pPr>
              <w:pStyle w:val="TableTextCentered"/>
              <w:rPr>
                <w:rFonts w:eastAsia="Times New Roman"/>
              </w:rPr>
            </w:pPr>
            <w:r w:rsidRPr="00A06F1E">
              <w:rPr>
                <w:rFonts w:eastAsia="Times New Roman"/>
              </w:rPr>
              <w:t>0</w:t>
            </w:r>
          </w:p>
        </w:tc>
        <w:tc>
          <w:tcPr>
            <w:tcW w:w="653" w:type="dxa"/>
          </w:tcPr>
          <w:p w14:paraId="5B4D9DB6" w14:textId="77777777" w:rsidR="0033262D" w:rsidRPr="00A06F1E" w:rsidRDefault="0033262D">
            <w:pPr>
              <w:pStyle w:val="TableTextCentered"/>
              <w:rPr>
                <w:rFonts w:eastAsia="Times New Roman"/>
              </w:rPr>
            </w:pPr>
            <w:r w:rsidRPr="00A06F1E">
              <w:rPr>
                <w:rFonts w:eastAsia="Times New Roman"/>
              </w:rPr>
              <w:t>3</w:t>
            </w:r>
          </w:p>
        </w:tc>
        <w:tc>
          <w:tcPr>
            <w:tcW w:w="712" w:type="dxa"/>
            <w:vAlign w:val="center"/>
          </w:tcPr>
          <w:p w14:paraId="4BA83206" w14:textId="77777777" w:rsidR="0033262D" w:rsidRPr="00A06F1E" w:rsidRDefault="0033262D">
            <w:pPr>
              <w:pStyle w:val="TableTextCentered"/>
              <w:rPr>
                <w:rFonts w:eastAsia="Times New Roman"/>
              </w:rPr>
            </w:pPr>
            <w:r w:rsidRPr="00A06F1E">
              <w:rPr>
                <w:rFonts w:eastAsia="Times New Roman"/>
              </w:rPr>
              <w:t>2</w:t>
            </w:r>
          </w:p>
        </w:tc>
        <w:tc>
          <w:tcPr>
            <w:tcW w:w="684" w:type="dxa"/>
            <w:vAlign w:val="center"/>
          </w:tcPr>
          <w:p w14:paraId="0E93E108" w14:textId="77777777" w:rsidR="0033262D" w:rsidRPr="00A06F1E" w:rsidRDefault="0033262D">
            <w:pPr>
              <w:pStyle w:val="TableTextCentered"/>
              <w:rPr>
                <w:rFonts w:eastAsia="Times New Roman"/>
              </w:rPr>
            </w:pPr>
            <w:r w:rsidRPr="00A06F1E">
              <w:rPr>
                <w:rFonts w:eastAsia="Times New Roman"/>
              </w:rPr>
              <w:t>12</w:t>
            </w:r>
          </w:p>
        </w:tc>
        <w:tc>
          <w:tcPr>
            <w:tcW w:w="601" w:type="dxa"/>
          </w:tcPr>
          <w:p w14:paraId="5A2CA302" w14:textId="77777777" w:rsidR="0033262D" w:rsidRPr="00A06F1E" w:rsidRDefault="0033262D">
            <w:pPr>
              <w:pStyle w:val="TableTextCentered"/>
              <w:rPr>
                <w:rFonts w:eastAsia="Times New Roman"/>
              </w:rPr>
            </w:pPr>
            <w:r w:rsidRPr="00A06F1E">
              <w:rPr>
                <w:rFonts w:eastAsia="Times New Roman"/>
              </w:rPr>
              <w:t>17</w:t>
            </w:r>
          </w:p>
        </w:tc>
        <w:tc>
          <w:tcPr>
            <w:tcW w:w="866" w:type="dxa"/>
          </w:tcPr>
          <w:p w14:paraId="7D7658EB" w14:textId="77777777" w:rsidR="0033262D" w:rsidRPr="00A06F1E" w:rsidRDefault="0033262D">
            <w:pPr>
              <w:pStyle w:val="TableTextCentered"/>
              <w:rPr>
                <w:rFonts w:eastAsia="Times New Roman"/>
              </w:rPr>
            </w:pPr>
            <w:r w:rsidRPr="00A06F1E">
              <w:rPr>
                <w:rFonts w:eastAsia="Times New Roman"/>
              </w:rPr>
              <w:t>6.5</w:t>
            </w:r>
          </w:p>
        </w:tc>
      </w:tr>
      <w:tr w:rsidR="0033262D" w:rsidRPr="00A06F1E" w14:paraId="13797B72" w14:textId="77777777" w:rsidTr="0033262D">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29F96B81" w14:textId="77777777" w:rsidR="0033262D" w:rsidRPr="00A06F1E" w:rsidRDefault="0033262D">
            <w:pPr>
              <w:pStyle w:val="TableText"/>
              <w:ind w:left="204"/>
              <w:rPr>
                <w:b/>
                <w:bCs/>
              </w:rPr>
            </w:pPr>
            <w:r w:rsidRPr="00A06F1E">
              <w:t>Productivity</w:t>
            </w:r>
          </w:p>
        </w:tc>
        <w:tc>
          <w:tcPr>
            <w:tcW w:w="683" w:type="dxa"/>
          </w:tcPr>
          <w:p w14:paraId="609DEADC" w14:textId="77777777" w:rsidR="0033262D" w:rsidRPr="00A06F1E" w:rsidRDefault="0033262D">
            <w:pPr>
              <w:pStyle w:val="TableTextCentered"/>
              <w:rPr>
                <w:rFonts w:eastAsia="Times New Roman"/>
              </w:rPr>
            </w:pPr>
            <w:r w:rsidRPr="00A06F1E">
              <w:rPr>
                <w:rFonts w:eastAsia="Times New Roman"/>
              </w:rPr>
              <w:t>0</w:t>
            </w:r>
          </w:p>
        </w:tc>
        <w:tc>
          <w:tcPr>
            <w:tcW w:w="714" w:type="dxa"/>
          </w:tcPr>
          <w:p w14:paraId="2547E033" w14:textId="77777777" w:rsidR="0033262D" w:rsidRPr="00A06F1E" w:rsidRDefault="0033262D">
            <w:pPr>
              <w:pStyle w:val="TableTextCentered"/>
              <w:rPr>
                <w:rFonts w:eastAsia="Times New Roman"/>
              </w:rPr>
            </w:pPr>
            <w:r w:rsidRPr="00A06F1E">
              <w:rPr>
                <w:rFonts w:eastAsia="Times New Roman"/>
              </w:rPr>
              <w:t>0</w:t>
            </w:r>
          </w:p>
        </w:tc>
        <w:tc>
          <w:tcPr>
            <w:tcW w:w="652" w:type="dxa"/>
          </w:tcPr>
          <w:p w14:paraId="5170DC0B" w14:textId="77777777" w:rsidR="0033262D" w:rsidRPr="00A06F1E" w:rsidRDefault="0033262D">
            <w:pPr>
              <w:pStyle w:val="TableTextCentered"/>
              <w:rPr>
                <w:rFonts w:eastAsia="Times New Roman"/>
              </w:rPr>
            </w:pPr>
            <w:r w:rsidRPr="00A06F1E">
              <w:rPr>
                <w:rFonts w:eastAsia="Times New Roman"/>
              </w:rPr>
              <w:t>0</w:t>
            </w:r>
          </w:p>
        </w:tc>
        <w:tc>
          <w:tcPr>
            <w:tcW w:w="684" w:type="dxa"/>
          </w:tcPr>
          <w:p w14:paraId="71B671D4" w14:textId="77777777" w:rsidR="0033262D" w:rsidRPr="00A06F1E" w:rsidRDefault="0033262D">
            <w:pPr>
              <w:pStyle w:val="TableTextCentered"/>
              <w:rPr>
                <w:rFonts w:eastAsia="Times New Roman"/>
              </w:rPr>
            </w:pPr>
            <w:r w:rsidRPr="00A06F1E">
              <w:rPr>
                <w:rFonts w:eastAsia="Times New Roman"/>
              </w:rPr>
              <w:t>0</w:t>
            </w:r>
          </w:p>
        </w:tc>
        <w:tc>
          <w:tcPr>
            <w:tcW w:w="653" w:type="dxa"/>
          </w:tcPr>
          <w:p w14:paraId="7F39B810" w14:textId="77777777" w:rsidR="0033262D" w:rsidRPr="00A06F1E" w:rsidRDefault="0033262D">
            <w:pPr>
              <w:pStyle w:val="TableTextCentered"/>
              <w:rPr>
                <w:rFonts w:eastAsia="Times New Roman"/>
              </w:rPr>
            </w:pPr>
            <w:r w:rsidRPr="00A06F1E">
              <w:rPr>
                <w:rFonts w:eastAsia="Times New Roman"/>
              </w:rPr>
              <w:t>2</w:t>
            </w:r>
          </w:p>
        </w:tc>
        <w:tc>
          <w:tcPr>
            <w:tcW w:w="712" w:type="dxa"/>
            <w:vAlign w:val="center"/>
          </w:tcPr>
          <w:p w14:paraId="64574D4C" w14:textId="77777777" w:rsidR="0033262D" w:rsidRPr="00A06F1E" w:rsidRDefault="0033262D">
            <w:pPr>
              <w:pStyle w:val="TableTextCentered"/>
              <w:rPr>
                <w:rFonts w:eastAsia="Times New Roman"/>
              </w:rPr>
            </w:pPr>
            <w:r w:rsidRPr="00A06F1E">
              <w:rPr>
                <w:rFonts w:eastAsia="Times New Roman"/>
              </w:rPr>
              <w:t>4</w:t>
            </w:r>
          </w:p>
        </w:tc>
        <w:tc>
          <w:tcPr>
            <w:tcW w:w="684" w:type="dxa"/>
            <w:vAlign w:val="center"/>
          </w:tcPr>
          <w:p w14:paraId="043D56D2" w14:textId="77777777" w:rsidR="0033262D" w:rsidRPr="00A06F1E" w:rsidRDefault="0033262D">
            <w:pPr>
              <w:pStyle w:val="TableTextCentered"/>
              <w:rPr>
                <w:rFonts w:eastAsia="Times New Roman"/>
              </w:rPr>
            </w:pPr>
            <w:r w:rsidRPr="00A06F1E">
              <w:rPr>
                <w:rFonts w:eastAsia="Times New Roman"/>
              </w:rPr>
              <w:t>11</w:t>
            </w:r>
          </w:p>
        </w:tc>
        <w:tc>
          <w:tcPr>
            <w:tcW w:w="601" w:type="dxa"/>
          </w:tcPr>
          <w:p w14:paraId="40387395" w14:textId="77777777" w:rsidR="0033262D" w:rsidRPr="00A06F1E" w:rsidRDefault="0033262D">
            <w:pPr>
              <w:pStyle w:val="TableTextCentered"/>
              <w:rPr>
                <w:rFonts w:eastAsia="Times New Roman"/>
              </w:rPr>
            </w:pPr>
            <w:r w:rsidRPr="00A06F1E">
              <w:rPr>
                <w:rFonts w:eastAsia="Times New Roman"/>
              </w:rPr>
              <w:t>17</w:t>
            </w:r>
          </w:p>
        </w:tc>
        <w:tc>
          <w:tcPr>
            <w:tcW w:w="866" w:type="dxa"/>
          </w:tcPr>
          <w:p w14:paraId="50B6E4EF" w14:textId="77777777" w:rsidR="0033262D" w:rsidRPr="00A06F1E" w:rsidRDefault="0033262D">
            <w:pPr>
              <w:pStyle w:val="TableTextCentered"/>
              <w:rPr>
                <w:rFonts w:eastAsia="Times New Roman"/>
              </w:rPr>
            </w:pPr>
            <w:r w:rsidRPr="00A06F1E">
              <w:rPr>
                <w:rFonts w:eastAsia="Times New Roman"/>
              </w:rPr>
              <w:t>6.5</w:t>
            </w:r>
          </w:p>
        </w:tc>
      </w:tr>
      <w:tr w:rsidR="0033262D" w:rsidRPr="00A06F1E" w14:paraId="7182B747" w14:textId="77777777" w:rsidTr="0033262D">
        <w:tc>
          <w:tcPr>
            <w:tcW w:w="3095" w:type="dxa"/>
            <w:vAlign w:val="center"/>
          </w:tcPr>
          <w:p w14:paraId="368176FE" w14:textId="77777777" w:rsidR="0033262D" w:rsidRPr="00A06F1E" w:rsidRDefault="0033262D">
            <w:pPr>
              <w:pStyle w:val="TableText"/>
              <w:ind w:left="204"/>
              <w:rPr>
                <w:b/>
                <w:bCs/>
              </w:rPr>
            </w:pPr>
            <w:r w:rsidRPr="00A06F1E">
              <w:t>Negative Climate**</w:t>
            </w:r>
          </w:p>
        </w:tc>
        <w:tc>
          <w:tcPr>
            <w:tcW w:w="683" w:type="dxa"/>
          </w:tcPr>
          <w:p w14:paraId="1FBEB90E" w14:textId="77777777" w:rsidR="0033262D" w:rsidRPr="00A06F1E" w:rsidRDefault="0033262D">
            <w:pPr>
              <w:pStyle w:val="TableTextCentered"/>
              <w:rPr>
                <w:rFonts w:eastAsia="Times New Roman"/>
              </w:rPr>
            </w:pPr>
            <w:r w:rsidRPr="00A06F1E">
              <w:rPr>
                <w:rFonts w:eastAsia="Times New Roman"/>
              </w:rPr>
              <w:t>0</w:t>
            </w:r>
          </w:p>
        </w:tc>
        <w:tc>
          <w:tcPr>
            <w:tcW w:w="714" w:type="dxa"/>
          </w:tcPr>
          <w:p w14:paraId="72CE0C33" w14:textId="77777777" w:rsidR="0033262D" w:rsidRPr="00A06F1E" w:rsidRDefault="0033262D">
            <w:pPr>
              <w:pStyle w:val="TableTextCentered"/>
              <w:rPr>
                <w:rFonts w:eastAsia="Times New Roman"/>
              </w:rPr>
            </w:pPr>
            <w:r w:rsidRPr="00A06F1E">
              <w:rPr>
                <w:rFonts w:eastAsia="Times New Roman"/>
              </w:rPr>
              <w:t>0</w:t>
            </w:r>
          </w:p>
        </w:tc>
        <w:tc>
          <w:tcPr>
            <w:tcW w:w="652" w:type="dxa"/>
          </w:tcPr>
          <w:p w14:paraId="65B6F09E" w14:textId="77777777" w:rsidR="0033262D" w:rsidRPr="00A06F1E" w:rsidRDefault="0033262D">
            <w:pPr>
              <w:pStyle w:val="TableTextCentered"/>
              <w:rPr>
                <w:rFonts w:eastAsia="Times New Roman"/>
              </w:rPr>
            </w:pPr>
            <w:r w:rsidRPr="00A06F1E">
              <w:rPr>
                <w:rFonts w:eastAsia="Times New Roman"/>
              </w:rPr>
              <w:t>0</w:t>
            </w:r>
          </w:p>
        </w:tc>
        <w:tc>
          <w:tcPr>
            <w:tcW w:w="684" w:type="dxa"/>
          </w:tcPr>
          <w:p w14:paraId="3639D369" w14:textId="77777777" w:rsidR="0033262D" w:rsidRPr="00A06F1E" w:rsidRDefault="0033262D">
            <w:pPr>
              <w:pStyle w:val="TableTextCentered"/>
              <w:rPr>
                <w:rFonts w:eastAsia="Times New Roman"/>
              </w:rPr>
            </w:pPr>
            <w:r w:rsidRPr="00A06F1E">
              <w:rPr>
                <w:rFonts w:eastAsia="Times New Roman"/>
              </w:rPr>
              <w:t>0</w:t>
            </w:r>
          </w:p>
        </w:tc>
        <w:tc>
          <w:tcPr>
            <w:tcW w:w="653" w:type="dxa"/>
          </w:tcPr>
          <w:p w14:paraId="63704034" w14:textId="77777777" w:rsidR="0033262D" w:rsidRPr="00A06F1E" w:rsidRDefault="0033262D">
            <w:pPr>
              <w:pStyle w:val="TableTextCentered"/>
              <w:rPr>
                <w:rFonts w:eastAsia="Times New Roman"/>
              </w:rPr>
            </w:pPr>
            <w:r w:rsidRPr="00A06F1E">
              <w:rPr>
                <w:rFonts w:eastAsia="Times New Roman"/>
              </w:rPr>
              <w:t>0</w:t>
            </w:r>
          </w:p>
        </w:tc>
        <w:tc>
          <w:tcPr>
            <w:tcW w:w="712" w:type="dxa"/>
            <w:vAlign w:val="center"/>
          </w:tcPr>
          <w:p w14:paraId="645BFBA8" w14:textId="77777777" w:rsidR="0033262D" w:rsidRPr="00A06F1E" w:rsidRDefault="0033262D">
            <w:pPr>
              <w:pStyle w:val="TableTextCentered"/>
              <w:rPr>
                <w:rFonts w:eastAsia="Times New Roman"/>
              </w:rPr>
            </w:pPr>
            <w:r w:rsidRPr="00A06F1E">
              <w:rPr>
                <w:rFonts w:eastAsia="Times New Roman"/>
              </w:rPr>
              <w:t>0</w:t>
            </w:r>
          </w:p>
        </w:tc>
        <w:tc>
          <w:tcPr>
            <w:tcW w:w="684" w:type="dxa"/>
            <w:vAlign w:val="center"/>
          </w:tcPr>
          <w:p w14:paraId="37D24408" w14:textId="77777777" w:rsidR="0033262D" w:rsidRPr="00A06F1E" w:rsidRDefault="0033262D">
            <w:pPr>
              <w:pStyle w:val="TableTextCentered"/>
              <w:rPr>
                <w:rFonts w:eastAsia="Times New Roman"/>
              </w:rPr>
            </w:pPr>
            <w:r w:rsidRPr="00A06F1E">
              <w:rPr>
                <w:rFonts w:eastAsia="Times New Roman"/>
              </w:rPr>
              <w:t>17</w:t>
            </w:r>
          </w:p>
        </w:tc>
        <w:tc>
          <w:tcPr>
            <w:tcW w:w="601" w:type="dxa"/>
          </w:tcPr>
          <w:p w14:paraId="1888C53E" w14:textId="77777777" w:rsidR="0033262D" w:rsidRPr="00A06F1E" w:rsidRDefault="0033262D">
            <w:pPr>
              <w:pStyle w:val="TableTextCentered"/>
              <w:rPr>
                <w:rFonts w:eastAsia="Times New Roman"/>
              </w:rPr>
            </w:pPr>
            <w:r w:rsidRPr="00A06F1E">
              <w:rPr>
                <w:rFonts w:eastAsia="Times New Roman"/>
              </w:rPr>
              <w:t>17</w:t>
            </w:r>
          </w:p>
        </w:tc>
        <w:tc>
          <w:tcPr>
            <w:tcW w:w="866" w:type="dxa"/>
          </w:tcPr>
          <w:p w14:paraId="5203A94C" w14:textId="77777777" w:rsidR="0033262D" w:rsidRPr="00A06F1E" w:rsidRDefault="0033262D">
            <w:pPr>
              <w:pStyle w:val="TableTextCentered"/>
              <w:rPr>
                <w:rFonts w:eastAsia="Times New Roman"/>
              </w:rPr>
            </w:pPr>
            <w:r w:rsidRPr="00A06F1E">
              <w:rPr>
                <w:rFonts w:eastAsia="Times New Roman"/>
              </w:rPr>
              <w:t>7.0</w:t>
            </w:r>
          </w:p>
        </w:tc>
      </w:tr>
      <w:tr w:rsidR="0033262D" w:rsidRPr="00A06F1E" w14:paraId="08EA3555" w14:textId="77777777" w:rsidTr="0033262D">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3EBE037F" w14:textId="77777777" w:rsidR="0033262D" w:rsidRPr="00A06F1E" w:rsidRDefault="0033262D">
            <w:pPr>
              <w:pStyle w:val="TableSubheading"/>
              <w:rPr>
                <w:szCs w:val="20"/>
              </w:rPr>
            </w:pPr>
            <w:r w:rsidRPr="00A06F1E">
              <w:t>Instructional Support Domain</w:t>
            </w:r>
          </w:p>
        </w:tc>
        <w:tc>
          <w:tcPr>
            <w:tcW w:w="683" w:type="dxa"/>
          </w:tcPr>
          <w:p w14:paraId="1A98FDC6" w14:textId="77777777" w:rsidR="0033262D" w:rsidRPr="00A06F1E" w:rsidRDefault="0033262D">
            <w:pPr>
              <w:pStyle w:val="TableTextCenteredDemi"/>
              <w:rPr>
                <w:rFonts w:eastAsia="Times New Roman"/>
              </w:rPr>
            </w:pPr>
            <w:r w:rsidRPr="00A06F1E">
              <w:rPr>
                <w:rFonts w:eastAsia="Times New Roman"/>
              </w:rPr>
              <w:t>8</w:t>
            </w:r>
          </w:p>
        </w:tc>
        <w:tc>
          <w:tcPr>
            <w:tcW w:w="714" w:type="dxa"/>
          </w:tcPr>
          <w:p w14:paraId="7A4C5836" w14:textId="77777777" w:rsidR="0033262D" w:rsidRPr="00A06F1E" w:rsidRDefault="0033262D">
            <w:pPr>
              <w:pStyle w:val="TableTextCenteredDemi"/>
              <w:rPr>
                <w:rFonts w:eastAsia="Times New Roman"/>
              </w:rPr>
            </w:pPr>
            <w:r w:rsidRPr="00A06F1E">
              <w:rPr>
                <w:rFonts w:eastAsia="Times New Roman"/>
              </w:rPr>
              <w:t>21</w:t>
            </w:r>
          </w:p>
        </w:tc>
        <w:tc>
          <w:tcPr>
            <w:tcW w:w="652" w:type="dxa"/>
          </w:tcPr>
          <w:p w14:paraId="5DE1142A" w14:textId="77777777" w:rsidR="0033262D" w:rsidRPr="00A06F1E" w:rsidRDefault="0033262D">
            <w:pPr>
              <w:pStyle w:val="TableTextCenteredDemi"/>
              <w:rPr>
                <w:rFonts w:eastAsia="Times New Roman"/>
              </w:rPr>
            </w:pPr>
            <w:r w:rsidRPr="00A06F1E">
              <w:rPr>
                <w:rFonts w:eastAsia="Times New Roman"/>
              </w:rPr>
              <w:t>13</w:t>
            </w:r>
          </w:p>
        </w:tc>
        <w:tc>
          <w:tcPr>
            <w:tcW w:w="684" w:type="dxa"/>
          </w:tcPr>
          <w:p w14:paraId="1ECF758A" w14:textId="77777777" w:rsidR="0033262D" w:rsidRPr="00A06F1E" w:rsidRDefault="0033262D">
            <w:pPr>
              <w:pStyle w:val="TableTextCenteredDemi"/>
              <w:rPr>
                <w:rFonts w:eastAsia="Times New Roman"/>
              </w:rPr>
            </w:pPr>
            <w:r w:rsidRPr="00A06F1E">
              <w:rPr>
                <w:rFonts w:eastAsia="Times New Roman"/>
              </w:rPr>
              <w:t>18</w:t>
            </w:r>
          </w:p>
        </w:tc>
        <w:tc>
          <w:tcPr>
            <w:tcW w:w="653" w:type="dxa"/>
          </w:tcPr>
          <w:p w14:paraId="17DCE04A" w14:textId="77777777" w:rsidR="0033262D" w:rsidRPr="00A06F1E" w:rsidRDefault="0033262D">
            <w:pPr>
              <w:pStyle w:val="TableTextCenteredDemi"/>
              <w:rPr>
                <w:rFonts w:eastAsia="Times New Roman"/>
              </w:rPr>
            </w:pPr>
            <w:r w:rsidRPr="00A06F1E">
              <w:rPr>
                <w:rFonts w:eastAsia="Times New Roman"/>
              </w:rPr>
              <w:t>17</w:t>
            </w:r>
          </w:p>
        </w:tc>
        <w:tc>
          <w:tcPr>
            <w:tcW w:w="712" w:type="dxa"/>
            <w:vAlign w:val="center"/>
          </w:tcPr>
          <w:p w14:paraId="0F95305B" w14:textId="77777777" w:rsidR="0033262D" w:rsidRPr="00A06F1E" w:rsidRDefault="0033262D">
            <w:pPr>
              <w:pStyle w:val="TableTextCenteredDemi"/>
              <w:rPr>
                <w:rFonts w:eastAsia="Times New Roman"/>
              </w:rPr>
            </w:pPr>
            <w:r w:rsidRPr="00A06F1E">
              <w:rPr>
                <w:rFonts w:eastAsia="Times New Roman"/>
              </w:rPr>
              <w:t>6</w:t>
            </w:r>
          </w:p>
        </w:tc>
        <w:tc>
          <w:tcPr>
            <w:tcW w:w="684" w:type="dxa"/>
            <w:vAlign w:val="center"/>
          </w:tcPr>
          <w:p w14:paraId="696CD2BF" w14:textId="77777777" w:rsidR="0033262D" w:rsidRPr="00A06F1E" w:rsidRDefault="0033262D">
            <w:pPr>
              <w:pStyle w:val="TableTextCenteredDemi"/>
              <w:rPr>
                <w:rFonts w:eastAsia="Times New Roman"/>
              </w:rPr>
            </w:pPr>
            <w:r w:rsidRPr="00A06F1E">
              <w:rPr>
                <w:rFonts w:eastAsia="Times New Roman"/>
              </w:rPr>
              <w:t>2</w:t>
            </w:r>
          </w:p>
        </w:tc>
        <w:tc>
          <w:tcPr>
            <w:tcW w:w="601" w:type="dxa"/>
          </w:tcPr>
          <w:p w14:paraId="0EDDD25D" w14:textId="77777777" w:rsidR="0033262D" w:rsidRPr="00A06F1E" w:rsidRDefault="0033262D">
            <w:pPr>
              <w:pStyle w:val="TableTextCenteredDemi"/>
              <w:rPr>
                <w:rFonts w:eastAsia="Times New Roman"/>
              </w:rPr>
            </w:pPr>
            <w:r w:rsidRPr="00A06F1E">
              <w:rPr>
                <w:rFonts w:eastAsia="Times New Roman"/>
              </w:rPr>
              <w:t>85</w:t>
            </w:r>
          </w:p>
        </w:tc>
        <w:tc>
          <w:tcPr>
            <w:tcW w:w="866" w:type="dxa"/>
          </w:tcPr>
          <w:p w14:paraId="6EDBFF9E" w14:textId="77777777" w:rsidR="0033262D" w:rsidRPr="00A06F1E" w:rsidRDefault="0033262D">
            <w:pPr>
              <w:pStyle w:val="TableTextCenteredDemi"/>
              <w:rPr>
                <w:rFonts w:eastAsia="Times New Roman"/>
              </w:rPr>
            </w:pPr>
            <w:r w:rsidRPr="00A06F1E">
              <w:rPr>
                <w:rFonts w:eastAsia="Times New Roman"/>
              </w:rPr>
              <w:t>3.5</w:t>
            </w:r>
          </w:p>
        </w:tc>
      </w:tr>
      <w:tr w:rsidR="0033262D" w:rsidRPr="00A06F1E" w14:paraId="0B870148" w14:textId="77777777" w:rsidTr="0033262D">
        <w:tc>
          <w:tcPr>
            <w:tcW w:w="3095" w:type="dxa"/>
            <w:vAlign w:val="center"/>
          </w:tcPr>
          <w:p w14:paraId="1C0CA4C5" w14:textId="77777777" w:rsidR="0033262D" w:rsidRPr="00A06F1E" w:rsidRDefault="0033262D">
            <w:pPr>
              <w:pStyle w:val="TableText"/>
              <w:ind w:left="204"/>
              <w:rPr>
                <w:b/>
                <w:bCs/>
              </w:rPr>
            </w:pPr>
            <w:r w:rsidRPr="00A06F1E">
              <w:t>Instructional Learning Formats</w:t>
            </w:r>
          </w:p>
        </w:tc>
        <w:tc>
          <w:tcPr>
            <w:tcW w:w="683" w:type="dxa"/>
          </w:tcPr>
          <w:p w14:paraId="2C19D775" w14:textId="77777777" w:rsidR="0033262D" w:rsidRPr="00A06F1E" w:rsidRDefault="0033262D">
            <w:pPr>
              <w:pStyle w:val="TableTextCentered"/>
              <w:rPr>
                <w:rFonts w:eastAsia="Times New Roman"/>
              </w:rPr>
            </w:pPr>
            <w:r w:rsidRPr="00A06F1E">
              <w:rPr>
                <w:rFonts w:eastAsia="Times New Roman"/>
              </w:rPr>
              <w:t>0</w:t>
            </w:r>
          </w:p>
        </w:tc>
        <w:tc>
          <w:tcPr>
            <w:tcW w:w="714" w:type="dxa"/>
          </w:tcPr>
          <w:p w14:paraId="766B7EB0" w14:textId="77777777" w:rsidR="0033262D" w:rsidRPr="00A06F1E" w:rsidRDefault="0033262D">
            <w:pPr>
              <w:pStyle w:val="TableTextCentered"/>
              <w:rPr>
                <w:rFonts w:eastAsia="Times New Roman"/>
              </w:rPr>
            </w:pPr>
            <w:r w:rsidRPr="00A06F1E">
              <w:rPr>
                <w:rFonts w:eastAsia="Times New Roman"/>
              </w:rPr>
              <w:t>0</w:t>
            </w:r>
          </w:p>
        </w:tc>
        <w:tc>
          <w:tcPr>
            <w:tcW w:w="652" w:type="dxa"/>
          </w:tcPr>
          <w:p w14:paraId="14E82851" w14:textId="77777777" w:rsidR="0033262D" w:rsidRPr="00A06F1E" w:rsidRDefault="0033262D">
            <w:pPr>
              <w:pStyle w:val="TableTextCentered"/>
              <w:rPr>
                <w:rFonts w:eastAsia="Times New Roman"/>
              </w:rPr>
            </w:pPr>
            <w:r w:rsidRPr="00A06F1E">
              <w:rPr>
                <w:rFonts w:eastAsia="Times New Roman"/>
              </w:rPr>
              <w:t>1</w:t>
            </w:r>
          </w:p>
        </w:tc>
        <w:tc>
          <w:tcPr>
            <w:tcW w:w="684" w:type="dxa"/>
          </w:tcPr>
          <w:p w14:paraId="295F6100" w14:textId="77777777" w:rsidR="0033262D" w:rsidRPr="00A06F1E" w:rsidRDefault="0033262D">
            <w:pPr>
              <w:pStyle w:val="TableTextCentered"/>
              <w:rPr>
                <w:rFonts w:eastAsia="Times New Roman"/>
              </w:rPr>
            </w:pPr>
            <w:r w:rsidRPr="00A06F1E">
              <w:rPr>
                <w:rFonts w:eastAsia="Times New Roman"/>
              </w:rPr>
              <w:t>3</w:t>
            </w:r>
          </w:p>
        </w:tc>
        <w:tc>
          <w:tcPr>
            <w:tcW w:w="653" w:type="dxa"/>
          </w:tcPr>
          <w:p w14:paraId="4B1911F8" w14:textId="77777777" w:rsidR="0033262D" w:rsidRPr="00A06F1E" w:rsidRDefault="0033262D">
            <w:pPr>
              <w:pStyle w:val="TableTextCentered"/>
              <w:rPr>
                <w:rFonts w:eastAsia="Times New Roman"/>
              </w:rPr>
            </w:pPr>
            <w:r w:rsidRPr="00A06F1E">
              <w:rPr>
                <w:rFonts w:eastAsia="Times New Roman"/>
              </w:rPr>
              <w:t>9</w:t>
            </w:r>
          </w:p>
        </w:tc>
        <w:tc>
          <w:tcPr>
            <w:tcW w:w="712" w:type="dxa"/>
            <w:vAlign w:val="center"/>
          </w:tcPr>
          <w:p w14:paraId="1BD33030" w14:textId="77777777" w:rsidR="0033262D" w:rsidRPr="00A06F1E" w:rsidRDefault="0033262D">
            <w:pPr>
              <w:pStyle w:val="TableTextCentered"/>
              <w:rPr>
                <w:rFonts w:eastAsia="Times New Roman"/>
              </w:rPr>
            </w:pPr>
            <w:r w:rsidRPr="00A06F1E">
              <w:rPr>
                <w:rFonts w:eastAsia="Times New Roman"/>
              </w:rPr>
              <w:t>4</w:t>
            </w:r>
          </w:p>
        </w:tc>
        <w:tc>
          <w:tcPr>
            <w:tcW w:w="684" w:type="dxa"/>
            <w:vAlign w:val="center"/>
          </w:tcPr>
          <w:p w14:paraId="0FEC53CB" w14:textId="77777777" w:rsidR="0033262D" w:rsidRPr="00A06F1E" w:rsidRDefault="0033262D">
            <w:pPr>
              <w:pStyle w:val="TableTextCentered"/>
              <w:rPr>
                <w:rFonts w:eastAsia="Times New Roman"/>
              </w:rPr>
            </w:pPr>
            <w:r w:rsidRPr="00A06F1E">
              <w:rPr>
                <w:rFonts w:eastAsia="Times New Roman"/>
              </w:rPr>
              <w:t>0</w:t>
            </w:r>
          </w:p>
        </w:tc>
        <w:tc>
          <w:tcPr>
            <w:tcW w:w="601" w:type="dxa"/>
          </w:tcPr>
          <w:p w14:paraId="7857489E" w14:textId="77777777" w:rsidR="0033262D" w:rsidRPr="00A06F1E" w:rsidRDefault="0033262D">
            <w:pPr>
              <w:pStyle w:val="TableTextCentered"/>
              <w:rPr>
                <w:rFonts w:eastAsia="Times New Roman"/>
              </w:rPr>
            </w:pPr>
            <w:r w:rsidRPr="00A06F1E">
              <w:rPr>
                <w:rFonts w:eastAsia="Times New Roman"/>
              </w:rPr>
              <w:t>17</w:t>
            </w:r>
          </w:p>
        </w:tc>
        <w:tc>
          <w:tcPr>
            <w:tcW w:w="866" w:type="dxa"/>
          </w:tcPr>
          <w:p w14:paraId="4789C63E" w14:textId="77777777" w:rsidR="0033262D" w:rsidRPr="00A06F1E" w:rsidRDefault="0033262D">
            <w:pPr>
              <w:pStyle w:val="TableTextCentered"/>
              <w:rPr>
                <w:rFonts w:eastAsia="Times New Roman"/>
              </w:rPr>
            </w:pPr>
            <w:r w:rsidRPr="00A06F1E">
              <w:rPr>
                <w:rFonts w:eastAsia="Times New Roman"/>
              </w:rPr>
              <w:t>4.9</w:t>
            </w:r>
          </w:p>
        </w:tc>
      </w:tr>
      <w:tr w:rsidR="0033262D" w:rsidRPr="00A06F1E" w14:paraId="5C8C2574" w14:textId="77777777" w:rsidTr="0033262D">
        <w:trPr>
          <w:cnfStyle w:val="000000100000" w:firstRow="0" w:lastRow="0" w:firstColumn="0" w:lastColumn="0" w:oddVBand="0" w:evenVBand="0" w:oddHBand="1" w:evenHBand="0" w:firstRowFirstColumn="0" w:firstRowLastColumn="0" w:lastRowFirstColumn="0" w:lastRowLastColumn="0"/>
          <w:trHeight w:val="70"/>
        </w:trPr>
        <w:tc>
          <w:tcPr>
            <w:tcW w:w="3095" w:type="dxa"/>
            <w:vAlign w:val="center"/>
          </w:tcPr>
          <w:p w14:paraId="5548E8F1" w14:textId="77777777" w:rsidR="0033262D" w:rsidRPr="00A06F1E" w:rsidRDefault="0033262D">
            <w:pPr>
              <w:pStyle w:val="TableText"/>
              <w:ind w:left="204"/>
              <w:rPr>
                <w:b/>
                <w:bCs/>
              </w:rPr>
            </w:pPr>
            <w:r w:rsidRPr="00A06F1E">
              <w:t>Content Understanding</w:t>
            </w:r>
          </w:p>
        </w:tc>
        <w:tc>
          <w:tcPr>
            <w:tcW w:w="683" w:type="dxa"/>
          </w:tcPr>
          <w:p w14:paraId="691D51D2" w14:textId="77777777" w:rsidR="0033262D" w:rsidRPr="00A06F1E" w:rsidRDefault="0033262D">
            <w:pPr>
              <w:pStyle w:val="TableTextCentered"/>
              <w:rPr>
                <w:rFonts w:eastAsia="Times New Roman"/>
              </w:rPr>
            </w:pPr>
            <w:r w:rsidRPr="00A06F1E">
              <w:rPr>
                <w:rFonts w:eastAsia="Times New Roman"/>
              </w:rPr>
              <w:t>0</w:t>
            </w:r>
          </w:p>
        </w:tc>
        <w:tc>
          <w:tcPr>
            <w:tcW w:w="714" w:type="dxa"/>
          </w:tcPr>
          <w:p w14:paraId="24D8D130" w14:textId="77777777" w:rsidR="0033262D" w:rsidRPr="00A06F1E" w:rsidRDefault="0033262D">
            <w:pPr>
              <w:pStyle w:val="TableTextCentered"/>
              <w:rPr>
                <w:rFonts w:eastAsia="Times New Roman"/>
              </w:rPr>
            </w:pPr>
            <w:r w:rsidRPr="00A06F1E">
              <w:rPr>
                <w:rFonts w:eastAsia="Times New Roman"/>
              </w:rPr>
              <w:t>2</w:t>
            </w:r>
          </w:p>
        </w:tc>
        <w:tc>
          <w:tcPr>
            <w:tcW w:w="652" w:type="dxa"/>
          </w:tcPr>
          <w:p w14:paraId="2CDDE77E" w14:textId="77777777" w:rsidR="0033262D" w:rsidRPr="00A06F1E" w:rsidRDefault="0033262D">
            <w:pPr>
              <w:pStyle w:val="TableTextCentered"/>
              <w:rPr>
                <w:rFonts w:eastAsia="Times New Roman"/>
              </w:rPr>
            </w:pPr>
            <w:r w:rsidRPr="00A06F1E">
              <w:rPr>
                <w:rFonts w:eastAsia="Times New Roman"/>
              </w:rPr>
              <w:t>4</w:t>
            </w:r>
          </w:p>
        </w:tc>
        <w:tc>
          <w:tcPr>
            <w:tcW w:w="684" w:type="dxa"/>
          </w:tcPr>
          <w:p w14:paraId="5806AA6F" w14:textId="77777777" w:rsidR="0033262D" w:rsidRPr="00A06F1E" w:rsidRDefault="0033262D">
            <w:pPr>
              <w:pStyle w:val="TableTextCentered"/>
              <w:rPr>
                <w:rFonts w:eastAsia="Times New Roman"/>
              </w:rPr>
            </w:pPr>
            <w:r w:rsidRPr="00A06F1E">
              <w:rPr>
                <w:rFonts w:eastAsia="Times New Roman"/>
              </w:rPr>
              <w:t>6</w:t>
            </w:r>
          </w:p>
        </w:tc>
        <w:tc>
          <w:tcPr>
            <w:tcW w:w="653" w:type="dxa"/>
          </w:tcPr>
          <w:p w14:paraId="12C5401D" w14:textId="77777777" w:rsidR="0033262D" w:rsidRPr="00A06F1E" w:rsidRDefault="0033262D">
            <w:pPr>
              <w:pStyle w:val="TableTextCentered"/>
              <w:rPr>
                <w:rFonts w:eastAsia="Times New Roman"/>
              </w:rPr>
            </w:pPr>
            <w:r w:rsidRPr="00A06F1E">
              <w:rPr>
                <w:rFonts w:eastAsia="Times New Roman"/>
              </w:rPr>
              <w:t>4</w:t>
            </w:r>
          </w:p>
        </w:tc>
        <w:tc>
          <w:tcPr>
            <w:tcW w:w="712" w:type="dxa"/>
            <w:vAlign w:val="center"/>
          </w:tcPr>
          <w:p w14:paraId="34395F91" w14:textId="77777777" w:rsidR="0033262D" w:rsidRPr="00A06F1E" w:rsidRDefault="0033262D">
            <w:pPr>
              <w:pStyle w:val="TableTextCentered"/>
              <w:rPr>
                <w:rFonts w:eastAsia="Times New Roman"/>
              </w:rPr>
            </w:pPr>
            <w:r w:rsidRPr="00A06F1E">
              <w:rPr>
                <w:rFonts w:eastAsia="Times New Roman"/>
              </w:rPr>
              <w:t>1</w:t>
            </w:r>
          </w:p>
        </w:tc>
        <w:tc>
          <w:tcPr>
            <w:tcW w:w="684" w:type="dxa"/>
            <w:vAlign w:val="center"/>
          </w:tcPr>
          <w:p w14:paraId="18141F03" w14:textId="77777777" w:rsidR="0033262D" w:rsidRPr="00A06F1E" w:rsidRDefault="0033262D">
            <w:pPr>
              <w:pStyle w:val="TableTextCentered"/>
              <w:rPr>
                <w:rFonts w:eastAsia="Times New Roman"/>
              </w:rPr>
            </w:pPr>
            <w:r w:rsidRPr="00A06F1E">
              <w:rPr>
                <w:rFonts w:eastAsia="Times New Roman"/>
              </w:rPr>
              <w:t>0</w:t>
            </w:r>
          </w:p>
        </w:tc>
        <w:tc>
          <w:tcPr>
            <w:tcW w:w="601" w:type="dxa"/>
          </w:tcPr>
          <w:p w14:paraId="56F667B1" w14:textId="77777777" w:rsidR="0033262D" w:rsidRPr="00A06F1E" w:rsidRDefault="0033262D">
            <w:pPr>
              <w:pStyle w:val="TableTextCentered"/>
              <w:rPr>
                <w:rFonts w:eastAsia="Times New Roman"/>
              </w:rPr>
            </w:pPr>
            <w:r w:rsidRPr="00A06F1E">
              <w:rPr>
                <w:rFonts w:eastAsia="Times New Roman"/>
              </w:rPr>
              <w:t>17</w:t>
            </w:r>
          </w:p>
        </w:tc>
        <w:tc>
          <w:tcPr>
            <w:tcW w:w="866" w:type="dxa"/>
          </w:tcPr>
          <w:p w14:paraId="45F4D495" w14:textId="77777777" w:rsidR="0033262D" w:rsidRPr="00A06F1E" w:rsidRDefault="0033262D">
            <w:pPr>
              <w:pStyle w:val="TableTextCentered"/>
              <w:rPr>
                <w:rFonts w:eastAsia="Times New Roman"/>
              </w:rPr>
            </w:pPr>
            <w:r w:rsidRPr="00A06F1E">
              <w:rPr>
                <w:rFonts w:eastAsia="Times New Roman"/>
              </w:rPr>
              <w:t>3.9</w:t>
            </w:r>
          </w:p>
        </w:tc>
      </w:tr>
      <w:tr w:rsidR="0033262D" w:rsidRPr="00A06F1E" w14:paraId="7E3D0814" w14:textId="77777777" w:rsidTr="0033262D">
        <w:tc>
          <w:tcPr>
            <w:tcW w:w="3095" w:type="dxa"/>
            <w:vAlign w:val="center"/>
          </w:tcPr>
          <w:p w14:paraId="0785BE5E" w14:textId="77777777" w:rsidR="0033262D" w:rsidRPr="00A06F1E" w:rsidRDefault="0033262D">
            <w:pPr>
              <w:pStyle w:val="TableText"/>
              <w:ind w:left="204"/>
              <w:rPr>
                <w:b/>
                <w:bCs/>
              </w:rPr>
            </w:pPr>
            <w:r w:rsidRPr="00A06F1E">
              <w:t>Analysis and Inquiry</w:t>
            </w:r>
          </w:p>
        </w:tc>
        <w:tc>
          <w:tcPr>
            <w:tcW w:w="683" w:type="dxa"/>
          </w:tcPr>
          <w:p w14:paraId="30E4CCDA" w14:textId="77777777" w:rsidR="0033262D" w:rsidRPr="00A06F1E" w:rsidRDefault="0033262D">
            <w:pPr>
              <w:pStyle w:val="TableTextCentered"/>
              <w:rPr>
                <w:rFonts w:eastAsia="Times New Roman"/>
              </w:rPr>
            </w:pPr>
            <w:r w:rsidRPr="00A06F1E">
              <w:rPr>
                <w:rFonts w:eastAsia="Times New Roman"/>
              </w:rPr>
              <w:t>5</w:t>
            </w:r>
          </w:p>
        </w:tc>
        <w:tc>
          <w:tcPr>
            <w:tcW w:w="714" w:type="dxa"/>
          </w:tcPr>
          <w:p w14:paraId="5493A395" w14:textId="77777777" w:rsidR="0033262D" w:rsidRPr="00A06F1E" w:rsidRDefault="0033262D">
            <w:pPr>
              <w:pStyle w:val="TableTextCentered"/>
              <w:rPr>
                <w:rFonts w:eastAsia="Times New Roman"/>
              </w:rPr>
            </w:pPr>
            <w:r w:rsidRPr="00A06F1E">
              <w:rPr>
                <w:rFonts w:eastAsia="Times New Roman"/>
              </w:rPr>
              <w:t>7</w:t>
            </w:r>
          </w:p>
        </w:tc>
        <w:tc>
          <w:tcPr>
            <w:tcW w:w="652" w:type="dxa"/>
          </w:tcPr>
          <w:p w14:paraId="3EF7638B" w14:textId="77777777" w:rsidR="0033262D" w:rsidRPr="00A06F1E" w:rsidRDefault="0033262D">
            <w:pPr>
              <w:pStyle w:val="TableTextCentered"/>
              <w:rPr>
                <w:rFonts w:eastAsia="Times New Roman"/>
              </w:rPr>
            </w:pPr>
            <w:r w:rsidRPr="00A06F1E">
              <w:rPr>
                <w:rFonts w:eastAsia="Times New Roman"/>
              </w:rPr>
              <w:t>2</w:t>
            </w:r>
          </w:p>
        </w:tc>
        <w:tc>
          <w:tcPr>
            <w:tcW w:w="684" w:type="dxa"/>
          </w:tcPr>
          <w:p w14:paraId="33B2B239" w14:textId="77777777" w:rsidR="0033262D" w:rsidRPr="00A06F1E" w:rsidRDefault="0033262D">
            <w:pPr>
              <w:pStyle w:val="TableTextCentered"/>
              <w:rPr>
                <w:rFonts w:eastAsia="Times New Roman"/>
              </w:rPr>
            </w:pPr>
            <w:r w:rsidRPr="00A06F1E">
              <w:rPr>
                <w:rFonts w:eastAsia="Times New Roman"/>
              </w:rPr>
              <w:t>2</w:t>
            </w:r>
          </w:p>
        </w:tc>
        <w:tc>
          <w:tcPr>
            <w:tcW w:w="653" w:type="dxa"/>
          </w:tcPr>
          <w:p w14:paraId="696C0FAB" w14:textId="77777777" w:rsidR="0033262D" w:rsidRPr="00A06F1E" w:rsidRDefault="0033262D">
            <w:pPr>
              <w:pStyle w:val="TableTextCentered"/>
              <w:rPr>
                <w:rFonts w:eastAsia="Times New Roman"/>
              </w:rPr>
            </w:pPr>
            <w:r w:rsidRPr="00A06F1E">
              <w:rPr>
                <w:rFonts w:eastAsia="Times New Roman"/>
              </w:rPr>
              <w:t>1</w:t>
            </w:r>
          </w:p>
        </w:tc>
        <w:tc>
          <w:tcPr>
            <w:tcW w:w="712" w:type="dxa"/>
            <w:vAlign w:val="center"/>
          </w:tcPr>
          <w:p w14:paraId="71A20097" w14:textId="77777777" w:rsidR="0033262D" w:rsidRPr="00A06F1E" w:rsidRDefault="0033262D">
            <w:pPr>
              <w:pStyle w:val="TableTextCentered"/>
              <w:rPr>
                <w:rFonts w:eastAsia="Times New Roman"/>
              </w:rPr>
            </w:pPr>
            <w:r w:rsidRPr="00A06F1E">
              <w:rPr>
                <w:rFonts w:eastAsia="Times New Roman"/>
              </w:rPr>
              <w:t>0</w:t>
            </w:r>
          </w:p>
        </w:tc>
        <w:tc>
          <w:tcPr>
            <w:tcW w:w="684" w:type="dxa"/>
            <w:vAlign w:val="center"/>
          </w:tcPr>
          <w:p w14:paraId="6EFD8927" w14:textId="77777777" w:rsidR="0033262D" w:rsidRPr="00A06F1E" w:rsidRDefault="0033262D">
            <w:pPr>
              <w:pStyle w:val="TableTextCentered"/>
              <w:rPr>
                <w:rFonts w:eastAsia="Times New Roman"/>
              </w:rPr>
            </w:pPr>
            <w:r w:rsidRPr="00A06F1E">
              <w:rPr>
                <w:rFonts w:eastAsia="Times New Roman"/>
              </w:rPr>
              <w:t>0</w:t>
            </w:r>
          </w:p>
        </w:tc>
        <w:tc>
          <w:tcPr>
            <w:tcW w:w="601" w:type="dxa"/>
          </w:tcPr>
          <w:p w14:paraId="0F839761" w14:textId="77777777" w:rsidR="0033262D" w:rsidRPr="00A06F1E" w:rsidRDefault="0033262D">
            <w:pPr>
              <w:pStyle w:val="TableTextCentered"/>
              <w:rPr>
                <w:rFonts w:eastAsia="Times New Roman"/>
              </w:rPr>
            </w:pPr>
            <w:r w:rsidRPr="00A06F1E">
              <w:rPr>
                <w:rFonts w:eastAsia="Times New Roman"/>
              </w:rPr>
              <w:t>17</w:t>
            </w:r>
          </w:p>
        </w:tc>
        <w:tc>
          <w:tcPr>
            <w:tcW w:w="866" w:type="dxa"/>
          </w:tcPr>
          <w:p w14:paraId="4653219B" w14:textId="77777777" w:rsidR="0033262D" w:rsidRPr="00A06F1E" w:rsidRDefault="0033262D">
            <w:pPr>
              <w:pStyle w:val="TableTextCentered"/>
              <w:rPr>
                <w:rFonts w:eastAsia="Times New Roman"/>
              </w:rPr>
            </w:pPr>
            <w:r w:rsidRPr="00A06F1E">
              <w:rPr>
                <w:rFonts w:eastAsia="Times New Roman"/>
              </w:rPr>
              <w:t>2.2</w:t>
            </w:r>
          </w:p>
        </w:tc>
      </w:tr>
      <w:tr w:rsidR="0033262D" w:rsidRPr="00A06F1E" w14:paraId="450FDD01" w14:textId="77777777" w:rsidTr="0033262D">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066BE021" w14:textId="77777777" w:rsidR="0033262D" w:rsidRPr="00A06F1E" w:rsidRDefault="0033262D">
            <w:pPr>
              <w:pStyle w:val="TableText"/>
              <w:ind w:left="204"/>
              <w:rPr>
                <w:b/>
                <w:bCs/>
              </w:rPr>
            </w:pPr>
            <w:r w:rsidRPr="00A06F1E">
              <w:t>Quality of Feedback</w:t>
            </w:r>
          </w:p>
        </w:tc>
        <w:tc>
          <w:tcPr>
            <w:tcW w:w="683" w:type="dxa"/>
          </w:tcPr>
          <w:p w14:paraId="73820503" w14:textId="77777777" w:rsidR="0033262D" w:rsidRPr="00A06F1E" w:rsidRDefault="0033262D">
            <w:pPr>
              <w:pStyle w:val="TableTextCentered"/>
              <w:rPr>
                <w:rFonts w:eastAsia="Times New Roman"/>
              </w:rPr>
            </w:pPr>
            <w:r w:rsidRPr="00A06F1E">
              <w:rPr>
                <w:rFonts w:eastAsia="Times New Roman"/>
              </w:rPr>
              <w:t>0</w:t>
            </w:r>
          </w:p>
        </w:tc>
        <w:tc>
          <w:tcPr>
            <w:tcW w:w="714" w:type="dxa"/>
          </w:tcPr>
          <w:p w14:paraId="5E0738AD" w14:textId="77777777" w:rsidR="0033262D" w:rsidRPr="00A06F1E" w:rsidRDefault="0033262D">
            <w:pPr>
              <w:pStyle w:val="TableTextCentered"/>
              <w:rPr>
                <w:rFonts w:eastAsia="Times New Roman"/>
              </w:rPr>
            </w:pPr>
            <w:r w:rsidRPr="00A06F1E">
              <w:rPr>
                <w:rFonts w:eastAsia="Times New Roman"/>
              </w:rPr>
              <w:t>7</w:t>
            </w:r>
          </w:p>
        </w:tc>
        <w:tc>
          <w:tcPr>
            <w:tcW w:w="652" w:type="dxa"/>
          </w:tcPr>
          <w:p w14:paraId="561636F6" w14:textId="77777777" w:rsidR="0033262D" w:rsidRPr="00A06F1E" w:rsidRDefault="0033262D">
            <w:pPr>
              <w:pStyle w:val="TableTextCentered"/>
              <w:rPr>
                <w:rFonts w:eastAsia="Times New Roman"/>
              </w:rPr>
            </w:pPr>
            <w:r w:rsidRPr="00A06F1E">
              <w:rPr>
                <w:rFonts w:eastAsia="Times New Roman"/>
              </w:rPr>
              <w:t>5</w:t>
            </w:r>
          </w:p>
        </w:tc>
        <w:tc>
          <w:tcPr>
            <w:tcW w:w="684" w:type="dxa"/>
          </w:tcPr>
          <w:p w14:paraId="2D476DB6" w14:textId="77777777" w:rsidR="0033262D" w:rsidRPr="00A06F1E" w:rsidRDefault="0033262D">
            <w:pPr>
              <w:pStyle w:val="TableTextCentered"/>
              <w:rPr>
                <w:rFonts w:eastAsia="Times New Roman"/>
              </w:rPr>
            </w:pPr>
            <w:r w:rsidRPr="00A06F1E">
              <w:rPr>
                <w:rFonts w:eastAsia="Times New Roman"/>
              </w:rPr>
              <w:t>2</w:t>
            </w:r>
          </w:p>
        </w:tc>
        <w:tc>
          <w:tcPr>
            <w:tcW w:w="653" w:type="dxa"/>
          </w:tcPr>
          <w:p w14:paraId="284899A3" w14:textId="77777777" w:rsidR="0033262D" w:rsidRPr="00A06F1E" w:rsidRDefault="0033262D">
            <w:pPr>
              <w:pStyle w:val="TableTextCentered"/>
              <w:rPr>
                <w:rFonts w:eastAsia="Times New Roman"/>
              </w:rPr>
            </w:pPr>
            <w:r w:rsidRPr="00A06F1E">
              <w:rPr>
                <w:rFonts w:eastAsia="Times New Roman"/>
              </w:rPr>
              <w:t>2</w:t>
            </w:r>
          </w:p>
        </w:tc>
        <w:tc>
          <w:tcPr>
            <w:tcW w:w="712" w:type="dxa"/>
            <w:vAlign w:val="center"/>
          </w:tcPr>
          <w:p w14:paraId="043AD6BD" w14:textId="77777777" w:rsidR="0033262D" w:rsidRPr="00A06F1E" w:rsidRDefault="0033262D">
            <w:pPr>
              <w:pStyle w:val="TableTextCentered"/>
              <w:rPr>
                <w:rFonts w:eastAsia="Times New Roman"/>
              </w:rPr>
            </w:pPr>
            <w:r w:rsidRPr="00A06F1E">
              <w:rPr>
                <w:rFonts w:eastAsia="Times New Roman"/>
              </w:rPr>
              <w:t>0</w:t>
            </w:r>
          </w:p>
        </w:tc>
        <w:tc>
          <w:tcPr>
            <w:tcW w:w="684" w:type="dxa"/>
            <w:vAlign w:val="center"/>
          </w:tcPr>
          <w:p w14:paraId="604CBFF0" w14:textId="77777777" w:rsidR="0033262D" w:rsidRPr="00A06F1E" w:rsidRDefault="0033262D">
            <w:pPr>
              <w:pStyle w:val="TableTextCentered"/>
              <w:rPr>
                <w:rFonts w:eastAsia="Times New Roman"/>
              </w:rPr>
            </w:pPr>
            <w:r w:rsidRPr="00A06F1E">
              <w:rPr>
                <w:rFonts w:eastAsia="Times New Roman"/>
              </w:rPr>
              <w:t>1</w:t>
            </w:r>
          </w:p>
        </w:tc>
        <w:tc>
          <w:tcPr>
            <w:tcW w:w="601" w:type="dxa"/>
          </w:tcPr>
          <w:p w14:paraId="7B6C4BA0" w14:textId="77777777" w:rsidR="0033262D" w:rsidRPr="00A06F1E" w:rsidRDefault="0033262D">
            <w:pPr>
              <w:pStyle w:val="TableTextCentered"/>
              <w:rPr>
                <w:rFonts w:eastAsia="Times New Roman"/>
              </w:rPr>
            </w:pPr>
            <w:r w:rsidRPr="00A06F1E">
              <w:rPr>
                <w:rFonts w:eastAsia="Times New Roman"/>
              </w:rPr>
              <w:t>17</w:t>
            </w:r>
          </w:p>
        </w:tc>
        <w:tc>
          <w:tcPr>
            <w:tcW w:w="866" w:type="dxa"/>
          </w:tcPr>
          <w:p w14:paraId="049E397B" w14:textId="77777777" w:rsidR="0033262D" w:rsidRPr="00A06F1E" w:rsidRDefault="0033262D">
            <w:pPr>
              <w:pStyle w:val="TableTextCentered"/>
              <w:rPr>
                <w:rFonts w:eastAsia="Times New Roman"/>
              </w:rPr>
            </w:pPr>
            <w:r w:rsidRPr="00A06F1E">
              <w:rPr>
                <w:rFonts w:eastAsia="Times New Roman"/>
              </w:rPr>
              <w:t>3.2</w:t>
            </w:r>
          </w:p>
        </w:tc>
      </w:tr>
      <w:tr w:rsidR="0033262D" w:rsidRPr="00A06F1E" w14:paraId="5497F7DC" w14:textId="77777777" w:rsidTr="0033262D">
        <w:tc>
          <w:tcPr>
            <w:tcW w:w="3095" w:type="dxa"/>
            <w:vAlign w:val="center"/>
          </w:tcPr>
          <w:p w14:paraId="0C9E477B" w14:textId="77777777" w:rsidR="0033262D" w:rsidRPr="00A06F1E" w:rsidRDefault="0033262D">
            <w:pPr>
              <w:pStyle w:val="TableText"/>
              <w:ind w:left="204"/>
              <w:rPr>
                <w:b/>
                <w:bCs/>
              </w:rPr>
            </w:pPr>
            <w:r w:rsidRPr="00A06F1E">
              <w:t>Instructional Dialogue</w:t>
            </w:r>
          </w:p>
        </w:tc>
        <w:tc>
          <w:tcPr>
            <w:tcW w:w="683" w:type="dxa"/>
          </w:tcPr>
          <w:p w14:paraId="2F29048A" w14:textId="77777777" w:rsidR="0033262D" w:rsidRPr="00A06F1E" w:rsidRDefault="0033262D">
            <w:pPr>
              <w:pStyle w:val="TableTextCentered"/>
              <w:rPr>
                <w:rFonts w:eastAsia="Times New Roman"/>
              </w:rPr>
            </w:pPr>
            <w:r w:rsidRPr="00A06F1E">
              <w:rPr>
                <w:rFonts w:eastAsia="Times New Roman"/>
              </w:rPr>
              <w:t>3</w:t>
            </w:r>
          </w:p>
        </w:tc>
        <w:tc>
          <w:tcPr>
            <w:tcW w:w="714" w:type="dxa"/>
          </w:tcPr>
          <w:p w14:paraId="539FE737" w14:textId="77777777" w:rsidR="0033262D" w:rsidRPr="00A06F1E" w:rsidRDefault="0033262D">
            <w:pPr>
              <w:pStyle w:val="TableTextCentered"/>
              <w:rPr>
                <w:rFonts w:eastAsia="Times New Roman"/>
              </w:rPr>
            </w:pPr>
            <w:r w:rsidRPr="00A06F1E">
              <w:rPr>
                <w:rFonts w:eastAsia="Times New Roman"/>
              </w:rPr>
              <w:t>5</w:t>
            </w:r>
          </w:p>
        </w:tc>
        <w:tc>
          <w:tcPr>
            <w:tcW w:w="652" w:type="dxa"/>
          </w:tcPr>
          <w:p w14:paraId="387614F4" w14:textId="77777777" w:rsidR="0033262D" w:rsidRPr="00A06F1E" w:rsidRDefault="0033262D">
            <w:pPr>
              <w:pStyle w:val="TableTextCentered"/>
              <w:rPr>
                <w:rFonts w:eastAsia="Times New Roman"/>
              </w:rPr>
            </w:pPr>
            <w:r w:rsidRPr="00A06F1E">
              <w:rPr>
                <w:rFonts w:eastAsia="Times New Roman"/>
              </w:rPr>
              <w:t>1</w:t>
            </w:r>
          </w:p>
        </w:tc>
        <w:tc>
          <w:tcPr>
            <w:tcW w:w="684" w:type="dxa"/>
          </w:tcPr>
          <w:p w14:paraId="250EA4AA" w14:textId="77777777" w:rsidR="0033262D" w:rsidRPr="00A06F1E" w:rsidRDefault="0033262D">
            <w:pPr>
              <w:pStyle w:val="TableTextCentered"/>
              <w:rPr>
                <w:rFonts w:eastAsia="Times New Roman"/>
              </w:rPr>
            </w:pPr>
            <w:r w:rsidRPr="00A06F1E">
              <w:rPr>
                <w:rFonts w:eastAsia="Times New Roman"/>
              </w:rPr>
              <w:t>5</w:t>
            </w:r>
          </w:p>
        </w:tc>
        <w:tc>
          <w:tcPr>
            <w:tcW w:w="653" w:type="dxa"/>
          </w:tcPr>
          <w:p w14:paraId="3DCFE74C" w14:textId="77777777" w:rsidR="0033262D" w:rsidRPr="00A06F1E" w:rsidRDefault="0033262D">
            <w:pPr>
              <w:pStyle w:val="TableTextCentered"/>
              <w:rPr>
                <w:rFonts w:eastAsia="Times New Roman"/>
              </w:rPr>
            </w:pPr>
            <w:r w:rsidRPr="00A06F1E">
              <w:rPr>
                <w:rFonts w:eastAsia="Times New Roman"/>
              </w:rPr>
              <w:t>1</w:t>
            </w:r>
          </w:p>
        </w:tc>
        <w:tc>
          <w:tcPr>
            <w:tcW w:w="712" w:type="dxa"/>
            <w:vAlign w:val="center"/>
          </w:tcPr>
          <w:p w14:paraId="6BE92AC5" w14:textId="77777777" w:rsidR="0033262D" w:rsidRPr="00A06F1E" w:rsidRDefault="0033262D">
            <w:pPr>
              <w:pStyle w:val="TableTextCentered"/>
              <w:rPr>
                <w:rFonts w:eastAsia="Times New Roman"/>
              </w:rPr>
            </w:pPr>
            <w:r w:rsidRPr="00A06F1E">
              <w:rPr>
                <w:rFonts w:eastAsia="Times New Roman"/>
              </w:rPr>
              <w:t>1</w:t>
            </w:r>
          </w:p>
        </w:tc>
        <w:tc>
          <w:tcPr>
            <w:tcW w:w="684" w:type="dxa"/>
            <w:vAlign w:val="center"/>
          </w:tcPr>
          <w:p w14:paraId="6B1AB170" w14:textId="77777777" w:rsidR="0033262D" w:rsidRPr="00A06F1E" w:rsidRDefault="0033262D">
            <w:pPr>
              <w:pStyle w:val="TableTextCentered"/>
              <w:rPr>
                <w:rFonts w:eastAsia="Times New Roman"/>
              </w:rPr>
            </w:pPr>
            <w:r w:rsidRPr="00A06F1E">
              <w:rPr>
                <w:rFonts w:eastAsia="Times New Roman"/>
              </w:rPr>
              <w:t>1</w:t>
            </w:r>
          </w:p>
        </w:tc>
        <w:tc>
          <w:tcPr>
            <w:tcW w:w="601" w:type="dxa"/>
          </w:tcPr>
          <w:p w14:paraId="7A1608D9" w14:textId="77777777" w:rsidR="0033262D" w:rsidRPr="00A06F1E" w:rsidRDefault="0033262D">
            <w:pPr>
              <w:pStyle w:val="TableTextCentered"/>
              <w:rPr>
                <w:rFonts w:eastAsia="Times New Roman"/>
              </w:rPr>
            </w:pPr>
            <w:r w:rsidRPr="00A06F1E">
              <w:rPr>
                <w:rFonts w:eastAsia="Times New Roman"/>
              </w:rPr>
              <w:t>17</w:t>
            </w:r>
          </w:p>
        </w:tc>
        <w:tc>
          <w:tcPr>
            <w:tcW w:w="866" w:type="dxa"/>
          </w:tcPr>
          <w:p w14:paraId="3A5E7414" w14:textId="77777777" w:rsidR="0033262D" w:rsidRPr="00A06F1E" w:rsidRDefault="0033262D">
            <w:pPr>
              <w:pStyle w:val="TableTextCentered"/>
              <w:rPr>
                <w:rFonts w:eastAsia="Times New Roman"/>
              </w:rPr>
            </w:pPr>
            <w:r w:rsidRPr="00A06F1E">
              <w:rPr>
                <w:rFonts w:eastAsia="Times New Roman"/>
              </w:rPr>
              <w:t>3.2</w:t>
            </w:r>
          </w:p>
        </w:tc>
      </w:tr>
      <w:tr w:rsidR="0033262D" w:rsidRPr="00A06F1E" w14:paraId="5B99FD0B" w14:textId="77777777" w:rsidTr="0033262D">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650C8F88" w14:textId="77777777" w:rsidR="0033262D" w:rsidRPr="00A06F1E" w:rsidRDefault="0033262D">
            <w:pPr>
              <w:pStyle w:val="TableSubheading"/>
            </w:pPr>
            <w:r w:rsidRPr="00A06F1E">
              <w:t>Student Engagement</w:t>
            </w:r>
          </w:p>
        </w:tc>
        <w:tc>
          <w:tcPr>
            <w:tcW w:w="683" w:type="dxa"/>
          </w:tcPr>
          <w:p w14:paraId="2DEB41BA" w14:textId="77777777" w:rsidR="0033262D" w:rsidRPr="00A06F1E" w:rsidRDefault="0033262D">
            <w:pPr>
              <w:pStyle w:val="TableTextCenteredDemi"/>
              <w:rPr>
                <w:rFonts w:eastAsia="Times New Roman"/>
                <w:bCs/>
              </w:rPr>
            </w:pPr>
            <w:r w:rsidRPr="00A06F1E">
              <w:rPr>
                <w:rFonts w:eastAsia="Times New Roman"/>
                <w:bCs/>
              </w:rPr>
              <w:t>0</w:t>
            </w:r>
          </w:p>
        </w:tc>
        <w:tc>
          <w:tcPr>
            <w:tcW w:w="714" w:type="dxa"/>
          </w:tcPr>
          <w:p w14:paraId="354556EF" w14:textId="77777777" w:rsidR="0033262D" w:rsidRPr="00A06F1E" w:rsidRDefault="0033262D">
            <w:pPr>
              <w:pStyle w:val="TableTextCenteredDemi"/>
              <w:rPr>
                <w:rFonts w:eastAsia="Times New Roman"/>
                <w:bCs/>
              </w:rPr>
            </w:pPr>
            <w:r w:rsidRPr="00A06F1E">
              <w:rPr>
                <w:rFonts w:eastAsia="Times New Roman"/>
                <w:bCs/>
              </w:rPr>
              <w:t>0</w:t>
            </w:r>
          </w:p>
        </w:tc>
        <w:tc>
          <w:tcPr>
            <w:tcW w:w="652" w:type="dxa"/>
          </w:tcPr>
          <w:p w14:paraId="4024EAE9" w14:textId="77777777" w:rsidR="0033262D" w:rsidRPr="00A06F1E" w:rsidRDefault="0033262D">
            <w:pPr>
              <w:pStyle w:val="TableTextCenteredDemi"/>
              <w:rPr>
                <w:rFonts w:eastAsia="Times New Roman"/>
                <w:bCs/>
              </w:rPr>
            </w:pPr>
            <w:r w:rsidRPr="00A06F1E">
              <w:rPr>
                <w:rFonts w:eastAsia="Times New Roman"/>
                <w:bCs/>
              </w:rPr>
              <w:t>1</w:t>
            </w:r>
          </w:p>
        </w:tc>
        <w:tc>
          <w:tcPr>
            <w:tcW w:w="684" w:type="dxa"/>
          </w:tcPr>
          <w:p w14:paraId="6354CF8C" w14:textId="77777777" w:rsidR="0033262D" w:rsidRPr="00A06F1E" w:rsidRDefault="0033262D">
            <w:pPr>
              <w:pStyle w:val="TableTextCenteredDemi"/>
              <w:rPr>
                <w:rFonts w:eastAsia="Times New Roman"/>
                <w:bCs/>
              </w:rPr>
            </w:pPr>
            <w:r w:rsidRPr="00A06F1E">
              <w:rPr>
                <w:rFonts w:eastAsia="Times New Roman"/>
                <w:bCs/>
              </w:rPr>
              <w:t>3</w:t>
            </w:r>
          </w:p>
        </w:tc>
        <w:tc>
          <w:tcPr>
            <w:tcW w:w="653" w:type="dxa"/>
          </w:tcPr>
          <w:p w14:paraId="47AB2512" w14:textId="77777777" w:rsidR="0033262D" w:rsidRPr="00A06F1E" w:rsidRDefault="0033262D">
            <w:pPr>
              <w:pStyle w:val="TableTextCenteredDemi"/>
              <w:rPr>
                <w:rFonts w:eastAsia="Times New Roman"/>
                <w:bCs/>
              </w:rPr>
            </w:pPr>
            <w:r w:rsidRPr="00A06F1E">
              <w:rPr>
                <w:rFonts w:eastAsia="Times New Roman"/>
                <w:bCs/>
              </w:rPr>
              <w:t>6</w:t>
            </w:r>
          </w:p>
        </w:tc>
        <w:tc>
          <w:tcPr>
            <w:tcW w:w="712" w:type="dxa"/>
            <w:vAlign w:val="center"/>
          </w:tcPr>
          <w:p w14:paraId="0BB9FD02" w14:textId="77777777" w:rsidR="0033262D" w:rsidRPr="00A06F1E" w:rsidRDefault="0033262D">
            <w:pPr>
              <w:pStyle w:val="TableTextCenteredDemi"/>
              <w:rPr>
                <w:rFonts w:eastAsia="Times New Roman"/>
                <w:bCs/>
              </w:rPr>
            </w:pPr>
            <w:r w:rsidRPr="00A06F1E">
              <w:rPr>
                <w:rFonts w:eastAsia="Times New Roman"/>
                <w:bCs/>
              </w:rPr>
              <w:t>6</w:t>
            </w:r>
          </w:p>
        </w:tc>
        <w:tc>
          <w:tcPr>
            <w:tcW w:w="684" w:type="dxa"/>
            <w:vAlign w:val="center"/>
          </w:tcPr>
          <w:p w14:paraId="792BE48E" w14:textId="77777777" w:rsidR="0033262D" w:rsidRPr="00A06F1E" w:rsidRDefault="0033262D">
            <w:pPr>
              <w:pStyle w:val="TableTextCenteredDemi"/>
              <w:rPr>
                <w:rFonts w:eastAsia="Times New Roman"/>
                <w:bCs/>
              </w:rPr>
            </w:pPr>
            <w:r w:rsidRPr="00A06F1E">
              <w:rPr>
                <w:rFonts w:eastAsia="Times New Roman"/>
                <w:bCs/>
              </w:rPr>
              <w:t>1</w:t>
            </w:r>
          </w:p>
        </w:tc>
        <w:tc>
          <w:tcPr>
            <w:tcW w:w="601" w:type="dxa"/>
          </w:tcPr>
          <w:p w14:paraId="23EC0995" w14:textId="77777777" w:rsidR="0033262D" w:rsidRPr="00A06F1E" w:rsidRDefault="0033262D">
            <w:pPr>
              <w:pStyle w:val="TableTextCenteredDemi"/>
              <w:rPr>
                <w:rFonts w:eastAsia="Times New Roman"/>
                <w:bCs/>
              </w:rPr>
            </w:pPr>
            <w:r w:rsidRPr="00A06F1E">
              <w:rPr>
                <w:rFonts w:eastAsia="Times New Roman"/>
                <w:bCs/>
              </w:rPr>
              <w:t>17</w:t>
            </w:r>
          </w:p>
        </w:tc>
        <w:tc>
          <w:tcPr>
            <w:tcW w:w="866" w:type="dxa"/>
          </w:tcPr>
          <w:p w14:paraId="3138657B" w14:textId="77777777" w:rsidR="0033262D" w:rsidRPr="00A06F1E" w:rsidRDefault="0033262D">
            <w:pPr>
              <w:pStyle w:val="TableTextCenteredDemi"/>
              <w:rPr>
                <w:rFonts w:eastAsia="Times New Roman"/>
                <w:bCs/>
              </w:rPr>
            </w:pPr>
            <w:r w:rsidRPr="00A06F1E">
              <w:rPr>
                <w:rFonts w:eastAsia="Times New Roman"/>
                <w:bCs/>
              </w:rPr>
              <w:t>5.2</w:t>
            </w:r>
          </w:p>
        </w:tc>
      </w:tr>
    </w:tbl>
    <w:bookmarkEnd w:id="201"/>
    <w:p w14:paraId="3D8D7546" w14:textId="77777777" w:rsidR="0033262D" w:rsidRPr="00A06F1E" w:rsidRDefault="0033262D">
      <w:pPr>
        <w:pStyle w:val="TableNote"/>
        <w:rPr>
          <w:szCs w:val="20"/>
        </w:rPr>
      </w:pPr>
      <w:r w:rsidRPr="00A06F1E">
        <w:t xml:space="preserve">*The district average is an average of the scores. For example, for Positive Climate, the district average is computed as: </w:t>
      </w:r>
      <w:bookmarkStart w:id="202" w:name="Middle_PC_Calc"/>
      <w:r w:rsidRPr="00A06F1E">
        <w:rPr>
          <w:szCs w:val="20"/>
        </w:rPr>
        <w:t>([2 x 1] + [3 x 2] + [4 x 5] + [5 x 6] + [6 x 1] + [7 x 2]) ÷ 17 observations = 4.6</w:t>
      </w:r>
      <w:bookmarkEnd w:id="202"/>
    </w:p>
    <w:p w14:paraId="76D8D5F1" w14:textId="77777777" w:rsidR="0033262D" w:rsidRPr="00A06F1E" w:rsidRDefault="0033262D">
      <w:pPr>
        <w:pStyle w:val="TableNote"/>
      </w:pPr>
      <w:r w:rsidRPr="00A06F1E">
        <w:t xml:space="preserve">**Negative Climate is rated on an inverse scale. An original score of 1 is given a value of 7. The scoring in the table reflects the normalized adjustment: </w:t>
      </w:r>
      <w:bookmarkStart w:id="203" w:name="Middle_NC_Calc"/>
      <w:r w:rsidRPr="00A06F1E">
        <w:t>([7 x 17]) ÷ 17 observations = 7.0</w:t>
      </w:r>
      <w:bookmarkEnd w:id="203"/>
    </w:p>
    <w:p w14:paraId="779484BF" w14:textId="77777777" w:rsidR="0033262D" w:rsidRPr="00A06F1E" w:rsidRDefault="0033262D">
      <w:pPr>
        <w:spacing w:after="160" w:line="259" w:lineRule="auto"/>
        <w:rPr>
          <w:rFonts w:ascii="Times New Roman" w:eastAsia="MS Mincho" w:hAnsi="Times New Roman" w:cs="Times New Roman"/>
          <w:b/>
          <w:sz w:val="20"/>
        </w:rPr>
      </w:pPr>
      <w:r w:rsidRPr="00A06F1E">
        <w:rPr>
          <w:rFonts w:ascii="Times New Roman" w:eastAsia="MS Mincho" w:hAnsi="Times New Roman" w:cs="Times New Roman"/>
          <w:b/>
          <w:sz w:val="20"/>
        </w:rPr>
        <w:br w:type="page"/>
      </w:r>
    </w:p>
    <w:p w14:paraId="17B57984" w14:textId="77777777" w:rsidR="0033262D" w:rsidRPr="00A06F1E" w:rsidRDefault="0033262D">
      <w:pPr>
        <w:pStyle w:val="Heading2-SIOR"/>
      </w:pPr>
      <w:bookmarkStart w:id="204" w:name="_Toc92194270"/>
      <w:r w:rsidRPr="00A06F1E">
        <w:lastRenderedPageBreak/>
        <w:t xml:space="preserve">Summary of Average Ratings: </w:t>
      </w:r>
      <w:bookmarkEnd w:id="204"/>
      <w:r w:rsidRPr="00A06F1E">
        <w:t>Grades 9–12</w:t>
      </w:r>
    </w:p>
    <w:p w14:paraId="2803869C" w14:textId="77777777" w:rsidR="0033262D" w:rsidRPr="00A06F1E" w:rsidRDefault="0033262D">
      <w:pPr>
        <w:pStyle w:val="TableTitle0"/>
      </w:pPr>
      <w:bookmarkStart w:id="205" w:name="_Toc170701925"/>
      <w:r w:rsidRPr="00A06F1E">
        <w:t>Table 19. Summary Table of Average Ratings for Each Dimension in Grades 9–12</w:t>
      </w:r>
      <w:bookmarkEnd w:id="205"/>
    </w:p>
    <w:tbl>
      <w:tblPr>
        <w:tblStyle w:val="MSVTable1"/>
        <w:tblW w:w="5000" w:type="pct"/>
        <w:tblLayout w:type="fixed"/>
        <w:tblLook w:val="04A0" w:firstRow="1" w:lastRow="0" w:firstColumn="1" w:lastColumn="0" w:noHBand="0" w:noVBand="1"/>
      </w:tblPr>
      <w:tblGrid>
        <w:gridCol w:w="3095"/>
        <w:gridCol w:w="683"/>
        <w:gridCol w:w="714"/>
        <w:gridCol w:w="652"/>
        <w:gridCol w:w="684"/>
        <w:gridCol w:w="653"/>
        <w:gridCol w:w="712"/>
        <w:gridCol w:w="684"/>
        <w:gridCol w:w="601"/>
        <w:gridCol w:w="866"/>
      </w:tblGrid>
      <w:tr w:rsidR="0033262D" w:rsidRPr="00A06F1E" w14:paraId="3F539381" w14:textId="77777777" w:rsidTr="0033262D">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2A4FD75B" w14:textId="77777777" w:rsidR="0033262D" w:rsidRPr="00A06F1E" w:rsidRDefault="0033262D">
            <w:pPr>
              <w:pStyle w:val="TableColHeadingCenter"/>
              <w:rPr>
                <w:rFonts w:eastAsia="MS Mincho"/>
              </w:rPr>
            </w:pPr>
            <w:bookmarkStart w:id="206" w:name="SummaryTbl_High"/>
          </w:p>
        </w:tc>
        <w:tc>
          <w:tcPr>
            <w:tcW w:w="1397" w:type="dxa"/>
            <w:gridSpan w:val="2"/>
            <w:vAlign w:val="center"/>
          </w:tcPr>
          <w:p w14:paraId="540578E0" w14:textId="77777777" w:rsidR="0033262D" w:rsidRPr="00DF7902" w:rsidRDefault="0033262D">
            <w:pPr>
              <w:pStyle w:val="TableColHeadingCenter"/>
              <w:rPr>
                <w:rFonts w:eastAsia="MS Mincho"/>
              </w:rPr>
            </w:pPr>
            <w:r w:rsidRPr="00DF7902">
              <w:rPr>
                <w:rFonts w:eastAsia="MS Mincho"/>
              </w:rPr>
              <w:t>Low Range</w:t>
            </w:r>
          </w:p>
        </w:tc>
        <w:tc>
          <w:tcPr>
            <w:tcW w:w="1989" w:type="dxa"/>
            <w:gridSpan w:val="3"/>
            <w:vAlign w:val="center"/>
          </w:tcPr>
          <w:p w14:paraId="70FB19C4" w14:textId="77777777" w:rsidR="0033262D" w:rsidRPr="00A06F1E" w:rsidRDefault="0033262D">
            <w:pPr>
              <w:pStyle w:val="TableColHeadingCenter"/>
              <w:rPr>
                <w:rFonts w:eastAsia="MS Mincho"/>
              </w:rPr>
            </w:pPr>
            <w:r w:rsidRPr="00A06F1E">
              <w:rPr>
                <w:rFonts w:eastAsia="MS Mincho"/>
              </w:rPr>
              <w:t>Middle Range</w:t>
            </w:r>
          </w:p>
        </w:tc>
        <w:tc>
          <w:tcPr>
            <w:tcW w:w="1396" w:type="dxa"/>
            <w:gridSpan w:val="2"/>
            <w:vAlign w:val="center"/>
          </w:tcPr>
          <w:p w14:paraId="6C185FB9" w14:textId="77777777" w:rsidR="0033262D" w:rsidRPr="00A06F1E" w:rsidRDefault="0033262D">
            <w:pPr>
              <w:pStyle w:val="TableColHeadingCenter"/>
              <w:rPr>
                <w:rFonts w:eastAsia="MS Mincho"/>
              </w:rPr>
            </w:pPr>
            <w:r w:rsidRPr="00A06F1E">
              <w:rPr>
                <w:rFonts w:eastAsia="MS Mincho"/>
              </w:rPr>
              <w:t>High Range</w:t>
            </w:r>
          </w:p>
        </w:tc>
        <w:tc>
          <w:tcPr>
            <w:tcW w:w="601" w:type="dxa"/>
            <w:vMerge w:val="restart"/>
            <w:vAlign w:val="center"/>
          </w:tcPr>
          <w:p w14:paraId="7E1D2F38" w14:textId="77777777" w:rsidR="0033262D" w:rsidRPr="00A06F1E" w:rsidRDefault="0033262D">
            <w:pPr>
              <w:pStyle w:val="TableColHeadingCenter"/>
              <w:rPr>
                <w:rFonts w:eastAsia="MS Mincho"/>
              </w:rPr>
            </w:pPr>
            <w:r w:rsidRPr="00A06F1E">
              <w:rPr>
                <w:rFonts w:eastAsia="MS Mincho"/>
              </w:rPr>
              <w:t>n</w:t>
            </w:r>
          </w:p>
        </w:tc>
        <w:tc>
          <w:tcPr>
            <w:tcW w:w="866" w:type="dxa"/>
            <w:vMerge w:val="restart"/>
            <w:vAlign w:val="center"/>
          </w:tcPr>
          <w:p w14:paraId="40A970A7" w14:textId="77777777" w:rsidR="0033262D" w:rsidRPr="00A06F1E" w:rsidRDefault="0033262D">
            <w:pPr>
              <w:pStyle w:val="TableColHeadingCenter"/>
              <w:rPr>
                <w:rFonts w:eastAsia="MS Mincho"/>
              </w:rPr>
            </w:pPr>
            <w:r w:rsidRPr="00A06F1E">
              <w:rPr>
                <w:rFonts w:eastAsia="MS Mincho"/>
              </w:rPr>
              <w:t>Average Scores*</w:t>
            </w:r>
          </w:p>
        </w:tc>
      </w:tr>
      <w:tr w:rsidR="0033262D" w:rsidRPr="00A06F1E" w14:paraId="7B0F76A4" w14:textId="77777777" w:rsidTr="0033262D">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044E97BB" w14:textId="77777777" w:rsidR="0033262D" w:rsidRPr="00A06F1E" w:rsidRDefault="0033262D">
            <w:pPr>
              <w:pStyle w:val="TableColHeadingCenter"/>
              <w:rPr>
                <w:rFonts w:eastAsia="MS Mincho"/>
              </w:rPr>
            </w:pPr>
          </w:p>
        </w:tc>
        <w:tc>
          <w:tcPr>
            <w:tcW w:w="683" w:type="dxa"/>
            <w:vAlign w:val="center"/>
          </w:tcPr>
          <w:p w14:paraId="561F8892" w14:textId="77777777" w:rsidR="0033262D" w:rsidRPr="00A06F1E" w:rsidRDefault="0033262D">
            <w:pPr>
              <w:pStyle w:val="TableColHeadingCenter"/>
              <w:rPr>
                <w:rFonts w:eastAsia="MS Mincho"/>
              </w:rPr>
            </w:pPr>
            <w:r w:rsidRPr="00A06F1E">
              <w:rPr>
                <w:rFonts w:eastAsia="MS Mincho"/>
              </w:rPr>
              <w:t>1</w:t>
            </w:r>
          </w:p>
        </w:tc>
        <w:tc>
          <w:tcPr>
            <w:tcW w:w="714" w:type="dxa"/>
            <w:vAlign w:val="center"/>
          </w:tcPr>
          <w:p w14:paraId="12C72641" w14:textId="77777777" w:rsidR="0033262D" w:rsidRPr="00A06F1E" w:rsidRDefault="0033262D">
            <w:pPr>
              <w:pStyle w:val="TableColHeadingCenter"/>
              <w:rPr>
                <w:rFonts w:eastAsia="MS Mincho"/>
              </w:rPr>
            </w:pPr>
            <w:r w:rsidRPr="00A06F1E">
              <w:rPr>
                <w:rFonts w:eastAsia="MS Mincho"/>
              </w:rPr>
              <w:t>2</w:t>
            </w:r>
          </w:p>
        </w:tc>
        <w:tc>
          <w:tcPr>
            <w:tcW w:w="652" w:type="dxa"/>
            <w:vAlign w:val="center"/>
          </w:tcPr>
          <w:p w14:paraId="7D133D96" w14:textId="77777777" w:rsidR="0033262D" w:rsidRPr="00A06F1E" w:rsidRDefault="0033262D">
            <w:pPr>
              <w:pStyle w:val="TableColHeadingCenter"/>
              <w:rPr>
                <w:rFonts w:eastAsia="MS Mincho"/>
              </w:rPr>
            </w:pPr>
            <w:r w:rsidRPr="00A06F1E">
              <w:rPr>
                <w:rFonts w:eastAsia="MS Mincho"/>
              </w:rPr>
              <w:t>3</w:t>
            </w:r>
          </w:p>
        </w:tc>
        <w:tc>
          <w:tcPr>
            <w:tcW w:w="684" w:type="dxa"/>
            <w:vAlign w:val="center"/>
          </w:tcPr>
          <w:p w14:paraId="662EA99D" w14:textId="77777777" w:rsidR="0033262D" w:rsidRPr="00A06F1E" w:rsidRDefault="0033262D">
            <w:pPr>
              <w:pStyle w:val="TableColHeadingCenter"/>
              <w:rPr>
                <w:rFonts w:eastAsia="MS Mincho"/>
              </w:rPr>
            </w:pPr>
            <w:r w:rsidRPr="00A06F1E">
              <w:rPr>
                <w:rFonts w:eastAsia="MS Mincho"/>
              </w:rPr>
              <w:t>4</w:t>
            </w:r>
          </w:p>
        </w:tc>
        <w:tc>
          <w:tcPr>
            <w:tcW w:w="653" w:type="dxa"/>
            <w:vAlign w:val="center"/>
          </w:tcPr>
          <w:p w14:paraId="272DCB45" w14:textId="77777777" w:rsidR="0033262D" w:rsidRPr="00A06F1E" w:rsidRDefault="0033262D">
            <w:pPr>
              <w:pStyle w:val="TableColHeadingCenter"/>
              <w:rPr>
                <w:rFonts w:eastAsia="MS Mincho"/>
              </w:rPr>
            </w:pPr>
            <w:r w:rsidRPr="00A06F1E">
              <w:rPr>
                <w:rFonts w:eastAsia="MS Mincho"/>
              </w:rPr>
              <w:t>5</w:t>
            </w:r>
          </w:p>
        </w:tc>
        <w:tc>
          <w:tcPr>
            <w:tcW w:w="712" w:type="dxa"/>
            <w:vAlign w:val="center"/>
          </w:tcPr>
          <w:p w14:paraId="22DBEABD" w14:textId="77777777" w:rsidR="0033262D" w:rsidRPr="00A06F1E" w:rsidRDefault="0033262D">
            <w:pPr>
              <w:pStyle w:val="TableColHeadingCenter"/>
              <w:rPr>
                <w:rFonts w:eastAsia="MS Mincho"/>
              </w:rPr>
            </w:pPr>
            <w:r w:rsidRPr="00A06F1E">
              <w:rPr>
                <w:rFonts w:eastAsia="MS Mincho"/>
              </w:rPr>
              <w:t>6</w:t>
            </w:r>
          </w:p>
        </w:tc>
        <w:tc>
          <w:tcPr>
            <w:tcW w:w="684" w:type="dxa"/>
            <w:vAlign w:val="center"/>
          </w:tcPr>
          <w:p w14:paraId="69C911E0" w14:textId="77777777" w:rsidR="0033262D" w:rsidRPr="00A06F1E" w:rsidRDefault="0033262D">
            <w:pPr>
              <w:pStyle w:val="TableColHeadingCenter"/>
              <w:rPr>
                <w:rFonts w:eastAsia="MS Mincho"/>
              </w:rPr>
            </w:pPr>
            <w:r w:rsidRPr="00A06F1E">
              <w:rPr>
                <w:rFonts w:eastAsia="MS Mincho"/>
              </w:rPr>
              <w:t>7</w:t>
            </w:r>
          </w:p>
        </w:tc>
        <w:tc>
          <w:tcPr>
            <w:tcW w:w="601" w:type="dxa"/>
            <w:vMerge/>
          </w:tcPr>
          <w:p w14:paraId="61BFA793" w14:textId="77777777" w:rsidR="0033262D" w:rsidRPr="00A06F1E" w:rsidRDefault="0033262D">
            <w:pPr>
              <w:pStyle w:val="TableColHeadingCenter"/>
              <w:rPr>
                <w:rFonts w:eastAsia="MS Mincho"/>
              </w:rPr>
            </w:pPr>
          </w:p>
        </w:tc>
        <w:tc>
          <w:tcPr>
            <w:tcW w:w="866" w:type="dxa"/>
            <w:vMerge/>
          </w:tcPr>
          <w:p w14:paraId="108C8D25" w14:textId="77777777" w:rsidR="0033262D" w:rsidRPr="00A06F1E" w:rsidRDefault="0033262D">
            <w:pPr>
              <w:pStyle w:val="TableColHeadingCenter"/>
              <w:rPr>
                <w:rFonts w:eastAsia="MS Mincho"/>
              </w:rPr>
            </w:pPr>
          </w:p>
        </w:tc>
      </w:tr>
      <w:tr w:rsidR="0033262D" w:rsidRPr="00A06F1E" w14:paraId="6EBECF8D" w14:textId="77777777" w:rsidTr="0033262D">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1B47663E" w14:textId="77777777" w:rsidR="0033262D" w:rsidRPr="00A06F1E" w:rsidRDefault="0033262D">
            <w:pPr>
              <w:pStyle w:val="TableSubheading"/>
            </w:pPr>
            <w:r w:rsidRPr="00A06F1E">
              <w:t>Emotional Support Domain</w:t>
            </w:r>
          </w:p>
        </w:tc>
        <w:tc>
          <w:tcPr>
            <w:tcW w:w="683" w:type="dxa"/>
          </w:tcPr>
          <w:p w14:paraId="1D2A2B52" w14:textId="77777777" w:rsidR="0033262D" w:rsidRPr="00A06F1E" w:rsidRDefault="0033262D">
            <w:pPr>
              <w:pStyle w:val="TableTextCenteredDemi"/>
              <w:rPr>
                <w:rFonts w:eastAsia="Times New Roman"/>
              </w:rPr>
            </w:pPr>
            <w:r w:rsidRPr="00A06F1E">
              <w:rPr>
                <w:rFonts w:eastAsia="Times New Roman"/>
              </w:rPr>
              <w:t>4</w:t>
            </w:r>
          </w:p>
        </w:tc>
        <w:tc>
          <w:tcPr>
            <w:tcW w:w="714" w:type="dxa"/>
          </w:tcPr>
          <w:p w14:paraId="75CCB79C" w14:textId="77777777" w:rsidR="0033262D" w:rsidRPr="00A06F1E" w:rsidRDefault="0033262D">
            <w:pPr>
              <w:pStyle w:val="TableTextCenteredDemi"/>
              <w:rPr>
                <w:rFonts w:eastAsia="Times New Roman"/>
              </w:rPr>
            </w:pPr>
            <w:r w:rsidRPr="00A06F1E">
              <w:rPr>
                <w:rFonts w:eastAsia="Times New Roman"/>
              </w:rPr>
              <w:t>11</w:t>
            </w:r>
          </w:p>
        </w:tc>
        <w:tc>
          <w:tcPr>
            <w:tcW w:w="652" w:type="dxa"/>
          </w:tcPr>
          <w:p w14:paraId="49ACDF2C" w14:textId="77777777" w:rsidR="0033262D" w:rsidRPr="00A06F1E" w:rsidRDefault="0033262D">
            <w:pPr>
              <w:pStyle w:val="TableTextCenteredDemi"/>
              <w:rPr>
                <w:rFonts w:eastAsia="Times New Roman"/>
              </w:rPr>
            </w:pPr>
            <w:r w:rsidRPr="00A06F1E">
              <w:rPr>
                <w:rFonts w:eastAsia="Times New Roman"/>
              </w:rPr>
              <w:t>10</w:t>
            </w:r>
          </w:p>
        </w:tc>
        <w:tc>
          <w:tcPr>
            <w:tcW w:w="684" w:type="dxa"/>
          </w:tcPr>
          <w:p w14:paraId="07FA6C6F" w14:textId="77777777" w:rsidR="0033262D" w:rsidRPr="00A06F1E" w:rsidRDefault="0033262D">
            <w:pPr>
              <w:pStyle w:val="TableTextCenteredDemi"/>
              <w:rPr>
                <w:rFonts w:eastAsia="Times New Roman"/>
              </w:rPr>
            </w:pPr>
            <w:r w:rsidRPr="00A06F1E">
              <w:rPr>
                <w:rFonts w:eastAsia="Times New Roman"/>
              </w:rPr>
              <w:t>5</w:t>
            </w:r>
          </w:p>
        </w:tc>
        <w:tc>
          <w:tcPr>
            <w:tcW w:w="653" w:type="dxa"/>
          </w:tcPr>
          <w:p w14:paraId="2D1EA2CF" w14:textId="77777777" w:rsidR="0033262D" w:rsidRPr="00A06F1E" w:rsidRDefault="0033262D">
            <w:pPr>
              <w:pStyle w:val="TableTextCenteredDemi"/>
              <w:rPr>
                <w:rFonts w:eastAsia="Times New Roman"/>
              </w:rPr>
            </w:pPr>
            <w:r w:rsidRPr="00A06F1E">
              <w:rPr>
                <w:rFonts w:eastAsia="Times New Roman"/>
              </w:rPr>
              <w:t>10</w:t>
            </w:r>
          </w:p>
        </w:tc>
        <w:tc>
          <w:tcPr>
            <w:tcW w:w="712" w:type="dxa"/>
            <w:vAlign w:val="center"/>
          </w:tcPr>
          <w:p w14:paraId="0B58B9CB" w14:textId="77777777" w:rsidR="0033262D" w:rsidRPr="00A06F1E" w:rsidRDefault="0033262D">
            <w:pPr>
              <w:pStyle w:val="TableTextCenteredDemi"/>
              <w:rPr>
                <w:rFonts w:eastAsia="Times New Roman"/>
              </w:rPr>
            </w:pPr>
            <w:r w:rsidRPr="00A06F1E">
              <w:rPr>
                <w:rFonts w:eastAsia="Times New Roman"/>
              </w:rPr>
              <w:t>5</w:t>
            </w:r>
          </w:p>
        </w:tc>
        <w:tc>
          <w:tcPr>
            <w:tcW w:w="684" w:type="dxa"/>
            <w:vAlign w:val="center"/>
          </w:tcPr>
          <w:p w14:paraId="65DC4502" w14:textId="77777777" w:rsidR="0033262D" w:rsidRPr="00A06F1E" w:rsidRDefault="0033262D">
            <w:pPr>
              <w:pStyle w:val="TableTextCenteredDemi"/>
              <w:rPr>
                <w:rFonts w:eastAsia="Times New Roman"/>
              </w:rPr>
            </w:pPr>
            <w:r w:rsidRPr="00A06F1E">
              <w:rPr>
                <w:rFonts w:eastAsia="Times New Roman"/>
              </w:rPr>
              <w:t>3</w:t>
            </w:r>
          </w:p>
        </w:tc>
        <w:tc>
          <w:tcPr>
            <w:tcW w:w="601" w:type="dxa"/>
          </w:tcPr>
          <w:p w14:paraId="4E505AA2" w14:textId="77777777" w:rsidR="0033262D" w:rsidRPr="00A06F1E" w:rsidRDefault="0033262D">
            <w:pPr>
              <w:pStyle w:val="TableTextCenteredDemi"/>
              <w:rPr>
                <w:rFonts w:eastAsia="Times New Roman"/>
              </w:rPr>
            </w:pPr>
            <w:r w:rsidRPr="00A06F1E">
              <w:rPr>
                <w:rFonts w:eastAsia="Times New Roman"/>
              </w:rPr>
              <w:t>48</w:t>
            </w:r>
          </w:p>
        </w:tc>
        <w:tc>
          <w:tcPr>
            <w:tcW w:w="866" w:type="dxa"/>
          </w:tcPr>
          <w:p w14:paraId="7BB1CAD2" w14:textId="77777777" w:rsidR="0033262D" w:rsidRPr="00A06F1E" w:rsidRDefault="0033262D">
            <w:pPr>
              <w:pStyle w:val="TableTextCenteredDemi"/>
              <w:rPr>
                <w:rFonts w:eastAsia="Times New Roman"/>
              </w:rPr>
            </w:pPr>
            <w:r w:rsidRPr="00A06F1E">
              <w:rPr>
                <w:rFonts w:eastAsia="Times New Roman"/>
              </w:rPr>
              <w:t>3.7</w:t>
            </w:r>
          </w:p>
        </w:tc>
      </w:tr>
      <w:tr w:rsidR="0033262D" w:rsidRPr="00A06F1E" w14:paraId="31EE26B9" w14:textId="77777777" w:rsidTr="0033262D">
        <w:tc>
          <w:tcPr>
            <w:tcW w:w="3095" w:type="dxa"/>
            <w:vAlign w:val="center"/>
          </w:tcPr>
          <w:p w14:paraId="292D3867" w14:textId="77777777" w:rsidR="0033262D" w:rsidRPr="00A06F1E" w:rsidRDefault="0033262D">
            <w:pPr>
              <w:pStyle w:val="TableText"/>
              <w:ind w:left="204"/>
              <w:rPr>
                <w:b/>
                <w:bCs/>
              </w:rPr>
            </w:pPr>
            <w:r w:rsidRPr="00A06F1E">
              <w:t>Positive Climate</w:t>
            </w:r>
          </w:p>
        </w:tc>
        <w:tc>
          <w:tcPr>
            <w:tcW w:w="683" w:type="dxa"/>
          </w:tcPr>
          <w:p w14:paraId="46D99BB6" w14:textId="77777777" w:rsidR="0033262D" w:rsidRPr="00A06F1E" w:rsidRDefault="0033262D">
            <w:pPr>
              <w:pStyle w:val="TableTextCentered"/>
              <w:rPr>
                <w:rFonts w:eastAsia="Times New Roman"/>
              </w:rPr>
            </w:pPr>
            <w:r w:rsidRPr="00A06F1E">
              <w:rPr>
                <w:rFonts w:eastAsia="Times New Roman"/>
              </w:rPr>
              <w:t>0</w:t>
            </w:r>
          </w:p>
        </w:tc>
        <w:tc>
          <w:tcPr>
            <w:tcW w:w="714" w:type="dxa"/>
          </w:tcPr>
          <w:p w14:paraId="25377C38" w14:textId="77777777" w:rsidR="0033262D" w:rsidRPr="00A06F1E" w:rsidRDefault="0033262D">
            <w:pPr>
              <w:pStyle w:val="TableTextCentered"/>
              <w:rPr>
                <w:rFonts w:eastAsia="Times New Roman"/>
              </w:rPr>
            </w:pPr>
            <w:r w:rsidRPr="00A06F1E">
              <w:rPr>
                <w:rFonts w:eastAsia="Times New Roman"/>
              </w:rPr>
              <w:t>5</w:t>
            </w:r>
          </w:p>
        </w:tc>
        <w:tc>
          <w:tcPr>
            <w:tcW w:w="652" w:type="dxa"/>
          </w:tcPr>
          <w:p w14:paraId="5CA547C9" w14:textId="77777777" w:rsidR="0033262D" w:rsidRPr="00A06F1E" w:rsidRDefault="0033262D">
            <w:pPr>
              <w:pStyle w:val="TableTextCentered"/>
              <w:rPr>
                <w:rFonts w:eastAsia="Times New Roman"/>
              </w:rPr>
            </w:pPr>
            <w:r w:rsidRPr="00A06F1E">
              <w:rPr>
                <w:rFonts w:eastAsia="Times New Roman"/>
              </w:rPr>
              <w:t>3</w:t>
            </w:r>
          </w:p>
        </w:tc>
        <w:tc>
          <w:tcPr>
            <w:tcW w:w="684" w:type="dxa"/>
          </w:tcPr>
          <w:p w14:paraId="4BBFC2E2" w14:textId="77777777" w:rsidR="0033262D" w:rsidRPr="00A06F1E" w:rsidRDefault="0033262D">
            <w:pPr>
              <w:pStyle w:val="TableTextCentered"/>
              <w:rPr>
                <w:rFonts w:eastAsia="Times New Roman"/>
              </w:rPr>
            </w:pPr>
            <w:r w:rsidRPr="00A06F1E">
              <w:rPr>
                <w:rFonts w:eastAsia="Times New Roman"/>
              </w:rPr>
              <w:t>1</w:t>
            </w:r>
          </w:p>
        </w:tc>
        <w:tc>
          <w:tcPr>
            <w:tcW w:w="653" w:type="dxa"/>
          </w:tcPr>
          <w:p w14:paraId="16A44247" w14:textId="77777777" w:rsidR="0033262D" w:rsidRPr="00A06F1E" w:rsidRDefault="0033262D">
            <w:pPr>
              <w:pStyle w:val="TableTextCentered"/>
              <w:rPr>
                <w:rFonts w:eastAsia="Times New Roman"/>
              </w:rPr>
            </w:pPr>
            <w:r w:rsidRPr="00A06F1E">
              <w:rPr>
                <w:rFonts w:eastAsia="Times New Roman"/>
              </w:rPr>
              <w:t>3</w:t>
            </w:r>
          </w:p>
        </w:tc>
        <w:tc>
          <w:tcPr>
            <w:tcW w:w="712" w:type="dxa"/>
            <w:vAlign w:val="center"/>
          </w:tcPr>
          <w:p w14:paraId="368F6008" w14:textId="77777777" w:rsidR="0033262D" w:rsidRPr="00A06F1E" w:rsidRDefault="0033262D">
            <w:pPr>
              <w:pStyle w:val="TableTextCentered"/>
              <w:rPr>
                <w:rFonts w:eastAsia="Times New Roman"/>
              </w:rPr>
            </w:pPr>
            <w:r w:rsidRPr="00A06F1E">
              <w:rPr>
                <w:rFonts w:eastAsia="Times New Roman"/>
              </w:rPr>
              <w:t>3</w:t>
            </w:r>
          </w:p>
        </w:tc>
        <w:tc>
          <w:tcPr>
            <w:tcW w:w="684" w:type="dxa"/>
            <w:vAlign w:val="center"/>
          </w:tcPr>
          <w:p w14:paraId="3563DC43" w14:textId="77777777" w:rsidR="0033262D" w:rsidRPr="00A06F1E" w:rsidRDefault="0033262D">
            <w:pPr>
              <w:pStyle w:val="TableTextCentered"/>
              <w:rPr>
                <w:rFonts w:eastAsia="Times New Roman"/>
              </w:rPr>
            </w:pPr>
            <w:r w:rsidRPr="00A06F1E">
              <w:rPr>
                <w:rFonts w:eastAsia="Times New Roman"/>
              </w:rPr>
              <w:t>1</w:t>
            </w:r>
          </w:p>
        </w:tc>
        <w:tc>
          <w:tcPr>
            <w:tcW w:w="601" w:type="dxa"/>
          </w:tcPr>
          <w:p w14:paraId="5305C982" w14:textId="77777777" w:rsidR="0033262D" w:rsidRPr="00A06F1E" w:rsidRDefault="0033262D">
            <w:pPr>
              <w:pStyle w:val="TableTextCentered"/>
              <w:rPr>
                <w:rFonts w:eastAsia="Times New Roman"/>
              </w:rPr>
            </w:pPr>
            <w:r w:rsidRPr="00A06F1E">
              <w:rPr>
                <w:rFonts w:eastAsia="Times New Roman"/>
              </w:rPr>
              <w:t>16</w:t>
            </w:r>
          </w:p>
        </w:tc>
        <w:tc>
          <w:tcPr>
            <w:tcW w:w="866" w:type="dxa"/>
          </w:tcPr>
          <w:p w14:paraId="201071E5" w14:textId="77777777" w:rsidR="0033262D" w:rsidRPr="00A06F1E" w:rsidRDefault="0033262D">
            <w:pPr>
              <w:pStyle w:val="TableTextCentered"/>
              <w:rPr>
                <w:rFonts w:eastAsia="Times New Roman"/>
              </w:rPr>
            </w:pPr>
            <w:r w:rsidRPr="00A06F1E">
              <w:rPr>
                <w:rFonts w:eastAsia="Times New Roman"/>
              </w:rPr>
              <w:t>3.9</w:t>
            </w:r>
          </w:p>
        </w:tc>
      </w:tr>
      <w:tr w:rsidR="0033262D" w:rsidRPr="00A06F1E" w14:paraId="7D3E03AC" w14:textId="77777777" w:rsidTr="0033262D">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18505A75" w14:textId="77777777" w:rsidR="0033262D" w:rsidRPr="00A06F1E" w:rsidRDefault="0033262D">
            <w:pPr>
              <w:pStyle w:val="TableText"/>
              <w:ind w:left="204"/>
              <w:rPr>
                <w:b/>
                <w:bCs/>
              </w:rPr>
            </w:pPr>
            <w:r w:rsidRPr="00A06F1E">
              <w:t>Teacher Sensitivity</w:t>
            </w:r>
          </w:p>
        </w:tc>
        <w:tc>
          <w:tcPr>
            <w:tcW w:w="683" w:type="dxa"/>
          </w:tcPr>
          <w:p w14:paraId="5DAAE669" w14:textId="77777777" w:rsidR="0033262D" w:rsidRPr="00A06F1E" w:rsidRDefault="0033262D">
            <w:pPr>
              <w:pStyle w:val="TableTextCentered"/>
              <w:rPr>
                <w:rFonts w:eastAsia="Times New Roman"/>
              </w:rPr>
            </w:pPr>
            <w:r w:rsidRPr="00A06F1E">
              <w:rPr>
                <w:rFonts w:eastAsia="Times New Roman"/>
              </w:rPr>
              <w:t>1</w:t>
            </w:r>
          </w:p>
        </w:tc>
        <w:tc>
          <w:tcPr>
            <w:tcW w:w="714" w:type="dxa"/>
          </w:tcPr>
          <w:p w14:paraId="005634EC" w14:textId="77777777" w:rsidR="0033262D" w:rsidRPr="00A06F1E" w:rsidRDefault="0033262D">
            <w:pPr>
              <w:pStyle w:val="TableTextCentered"/>
              <w:rPr>
                <w:rFonts w:eastAsia="Times New Roman"/>
              </w:rPr>
            </w:pPr>
            <w:r w:rsidRPr="00A06F1E">
              <w:rPr>
                <w:rFonts w:eastAsia="Times New Roman"/>
              </w:rPr>
              <w:t>1</w:t>
            </w:r>
          </w:p>
        </w:tc>
        <w:tc>
          <w:tcPr>
            <w:tcW w:w="652" w:type="dxa"/>
          </w:tcPr>
          <w:p w14:paraId="0638EEFF" w14:textId="77777777" w:rsidR="0033262D" w:rsidRPr="00A06F1E" w:rsidRDefault="0033262D">
            <w:pPr>
              <w:pStyle w:val="TableTextCentered"/>
              <w:rPr>
                <w:rFonts w:eastAsia="Times New Roman"/>
              </w:rPr>
            </w:pPr>
            <w:r w:rsidRPr="00A06F1E">
              <w:rPr>
                <w:rFonts w:eastAsia="Times New Roman"/>
              </w:rPr>
              <w:t>3</w:t>
            </w:r>
          </w:p>
        </w:tc>
        <w:tc>
          <w:tcPr>
            <w:tcW w:w="684" w:type="dxa"/>
          </w:tcPr>
          <w:p w14:paraId="51355506" w14:textId="77777777" w:rsidR="0033262D" w:rsidRPr="00A06F1E" w:rsidRDefault="0033262D">
            <w:pPr>
              <w:pStyle w:val="TableTextCentered"/>
              <w:rPr>
                <w:rFonts w:eastAsia="Times New Roman"/>
              </w:rPr>
            </w:pPr>
            <w:r w:rsidRPr="00A06F1E">
              <w:rPr>
                <w:rFonts w:eastAsia="Times New Roman"/>
              </w:rPr>
              <w:t>1</w:t>
            </w:r>
          </w:p>
        </w:tc>
        <w:tc>
          <w:tcPr>
            <w:tcW w:w="653" w:type="dxa"/>
          </w:tcPr>
          <w:p w14:paraId="060BABB9" w14:textId="77777777" w:rsidR="0033262D" w:rsidRPr="00A06F1E" w:rsidRDefault="0033262D">
            <w:pPr>
              <w:pStyle w:val="TableTextCentered"/>
              <w:rPr>
                <w:rFonts w:eastAsia="Times New Roman"/>
              </w:rPr>
            </w:pPr>
            <w:r w:rsidRPr="00A06F1E">
              <w:rPr>
                <w:rFonts w:eastAsia="Times New Roman"/>
              </w:rPr>
              <w:t>6</w:t>
            </w:r>
          </w:p>
        </w:tc>
        <w:tc>
          <w:tcPr>
            <w:tcW w:w="712" w:type="dxa"/>
            <w:vAlign w:val="center"/>
          </w:tcPr>
          <w:p w14:paraId="08C7920E" w14:textId="77777777" w:rsidR="0033262D" w:rsidRPr="00A06F1E" w:rsidRDefault="0033262D">
            <w:pPr>
              <w:pStyle w:val="TableTextCentered"/>
              <w:rPr>
                <w:rFonts w:eastAsia="Times New Roman"/>
              </w:rPr>
            </w:pPr>
            <w:r w:rsidRPr="00A06F1E">
              <w:rPr>
                <w:rFonts w:eastAsia="Times New Roman"/>
              </w:rPr>
              <w:t>2</w:t>
            </w:r>
          </w:p>
        </w:tc>
        <w:tc>
          <w:tcPr>
            <w:tcW w:w="684" w:type="dxa"/>
            <w:vAlign w:val="center"/>
          </w:tcPr>
          <w:p w14:paraId="6B3ADF40" w14:textId="77777777" w:rsidR="0033262D" w:rsidRPr="00A06F1E" w:rsidRDefault="0033262D">
            <w:pPr>
              <w:pStyle w:val="TableTextCentered"/>
              <w:rPr>
                <w:rFonts w:eastAsia="Times New Roman"/>
              </w:rPr>
            </w:pPr>
            <w:r w:rsidRPr="00A06F1E">
              <w:rPr>
                <w:rFonts w:eastAsia="Times New Roman"/>
              </w:rPr>
              <w:t>2</w:t>
            </w:r>
          </w:p>
        </w:tc>
        <w:tc>
          <w:tcPr>
            <w:tcW w:w="601" w:type="dxa"/>
          </w:tcPr>
          <w:p w14:paraId="4C9394FB" w14:textId="77777777" w:rsidR="0033262D" w:rsidRPr="00A06F1E" w:rsidRDefault="0033262D">
            <w:pPr>
              <w:pStyle w:val="TableTextCentered"/>
              <w:rPr>
                <w:rFonts w:eastAsia="Times New Roman"/>
              </w:rPr>
            </w:pPr>
            <w:r w:rsidRPr="00A06F1E">
              <w:rPr>
                <w:rFonts w:eastAsia="Times New Roman"/>
              </w:rPr>
              <w:t>16</w:t>
            </w:r>
          </w:p>
        </w:tc>
        <w:tc>
          <w:tcPr>
            <w:tcW w:w="866" w:type="dxa"/>
          </w:tcPr>
          <w:p w14:paraId="54C74F67" w14:textId="77777777" w:rsidR="0033262D" w:rsidRPr="00A06F1E" w:rsidRDefault="0033262D">
            <w:pPr>
              <w:pStyle w:val="TableTextCentered"/>
              <w:rPr>
                <w:rFonts w:eastAsia="Times New Roman"/>
              </w:rPr>
            </w:pPr>
            <w:r w:rsidRPr="00A06F1E">
              <w:rPr>
                <w:rFonts w:eastAsia="Times New Roman"/>
              </w:rPr>
              <w:t>4.5</w:t>
            </w:r>
          </w:p>
        </w:tc>
      </w:tr>
      <w:tr w:rsidR="0033262D" w:rsidRPr="00A06F1E" w14:paraId="0DE8CDEF" w14:textId="77777777" w:rsidTr="0033262D">
        <w:tc>
          <w:tcPr>
            <w:tcW w:w="3095" w:type="dxa"/>
            <w:vAlign w:val="center"/>
          </w:tcPr>
          <w:p w14:paraId="4F1FD4D8" w14:textId="77777777" w:rsidR="0033262D" w:rsidRPr="00A06F1E" w:rsidRDefault="0033262D">
            <w:pPr>
              <w:pStyle w:val="TableText"/>
              <w:ind w:left="204"/>
              <w:rPr>
                <w:b/>
                <w:bCs/>
              </w:rPr>
            </w:pPr>
            <w:r w:rsidRPr="00A06F1E">
              <w:t>Regard for Student Perspectives</w:t>
            </w:r>
          </w:p>
        </w:tc>
        <w:tc>
          <w:tcPr>
            <w:tcW w:w="683" w:type="dxa"/>
          </w:tcPr>
          <w:p w14:paraId="133549F3" w14:textId="77777777" w:rsidR="0033262D" w:rsidRPr="00A06F1E" w:rsidRDefault="0033262D">
            <w:pPr>
              <w:pStyle w:val="TableTextCentered"/>
              <w:rPr>
                <w:rFonts w:eastAsia="Times New Roman"/>
              </w:rPr>
            </w:pPr>
            <w:r w:rsidRPr="00A06F1E">
              <w:rPr>
                <w:rFonts w:eastAsia="Times New Roman"/>
              </w:rPr>
              <w:t>3</w:t>
            </w:r>
          </w:p>
        </w:tc>
        <w:tc>
          <w:tcPr>
            <w:tcW w:w="714" w:type="dxa"/>
          </w:tcPr>
          <w:p w14:paraId="7E629CD5" w14:textId="77777777" w:rsidR="0033262D" w:rsidRPr="00A06F1E" w:rsidRDefault="0033262D">
            <w:pPr>
              <w:pStyle w:val="TableTextCentered"/>
              <w:rPr>
                <w:rFonts w:eastAsia="Times New Roman"/>
              </w:rPr>
            </w:pPr>
            <w:r w:rsidRPr="00A06F1E">
              <w:rPr>
                <w:rFonts w:eastAsia="Times New Roman"/>
              </w:rPr>
              <w:t>5</w:t>
            </w:r>
          </w:p>
        </w:tc>
        <w:tc>
          <w:tcPr>
            <w:tcW w:w="652" w:type="dxa"/>
          </w:tcPr>
          <w:p w14:paraId="28278201" w14:textId="77777777" w:rsidR="0033262D" w:rsidRPr="00A06F1E" w:rsidRDefault="0033262D">
            <w:pPr>
              <w:pStyle w:val="TableTextCentered"/>
              <w:rPr>
                <w:rFonts w:eastAsia="Times New Roman"/>
              </w:rPr>
            </w:pPr>
            <w:r w:rsidRPr="00A06F1E">
              <w:rPr>
                <w:rFonts w:eastAsia="Times New Roman"/>
              </w:rPr>
              <w:t>4</w:t>
            </w:r>
          </w:p>
        </w:tc>
        <w:tc>
          <w:tcPr>
            <w:tcW w:w="684" w:type="dxa"/>
          </w:tcPr>
          <w:p w14:paraId="0EB32620" w14:textId="77777777" w:rsidR="0033262D" w:rsidRPr="00A06F1E" w:rsidRDefault="0033262D">
            <w:pPr>
              <w:pStyle w:val="TableTextCentered"/>
              <w:rPr>
                <w:rFonts w:eastAsia="Times New Roman"/>
              </w:rPr>
            </w:pPr>
            <w:r w:rsidRPr="00A06F1E">
              <w:rPr>
                <w:rFonts w:eastAsia="Times New Roman"/>
              </w:rPr>
              <w:t>3</w:t>
            </w:r>
          </w:p>
        </w:tc>
        <w:tc>
          <w:tcPr>
            <w:tcW w:w="653" w:type="dxa"/>
          </w:tcPr>
          <w:p w14:paraId="09CA513A" w14:textId="77777777" w:rsidR="0033262D" w:rsidRPr="00A06F1E" w:rsidRDefault="0033262D">
            <w:pPr>
              <w:pStyle w:val="TableTextCentered"/>
              <w:rPr>
                <w:rFonts w:eastAsia="Times New Roman"/>
              </w:rPr>
            </w:pPr>
            <w:r w:rsidRPr="00A06F1E">
              <w:rPr>
                <w:rFonts w:eastAsia="Times New Roman"/>
              </w:rPr>
              <w:t>1</w:t>
            </w:r>
          </w:p>
        </w:tc>
        <w:tc>
          <w:tcPr>
            <w:tcW w:w="712" w:type="dxa"/>
            <w:vAlign w:val="center"/>
          </w:tcPr>
          <w:p w14:paraId="319AC901" w14:textId="77777777" w:rsidR="0033262D" w:rsidRPr="00A06F1E" w:rsidRDefault="0033262D">
            <w:pPr>
              <w:pStyle w:val="TableTextCentered"/>
              <w:rPr>
                <w:rFonts w:eastAsia="Times New Roman"/>
              </w:rPr>
            </w:pPr>
            <w:r w:rsidRPr="00A06F1E">
              <w:rPr>
                <w:rFonts w:eastAsia="Times New Roman"/>
              </w:rPr>
              <w:t>0</w:t>
            </w:r>
          </w:p>
        </w:tc>
        <w:tc>
          <w:tcPr>
            <w:tcW w:w="684" w:type="dxa"/>
            <w:vAlign w:val="center"/>
          </w:tcPr>
          <w:p w14:paraId="1A1E0847" w14:textId="77777777" w:rsidR="0033262D" w:rsidRPr="00A06F1E" w:rsidRDefault="0033262D">
            <w:pPr>
              <w:pStyle w:val="TableTextCentered"/>
              <w:rPr>
                <w:rFonts w:eastAsia="Times New Roman"/>
              </w:rPr>
            </w:pPr>
            <w:r w:rsidRPr="00A06F1E">
              <w:rPr>
                <w:rFonts w:eastAsia="Times New Roman"/>
              </w:rPr>
              <w:t>0</w:t>
            </w:r>
          </w:p>
        </w:tc>
        <w:tc>
          <w:tcPr>
            <w:tcW w:w="601" w:type="dxa"/>
          </w:tcPr>
          <w:p w14:paraId="0D304843" w14:textId="77777777" w:rsidR="0033262D" w:rsidRPr="00A06F1E" w:rsidRDefault="0033262D">
            <w:pPr>
              <w:pStyle w:val="TableTextCentered"/>
              <w:rPr>
                <w:rFonts w:eastAsia="Times New Roman"/>
              </w:rPr>
            </w:pPr>
            <w:r w:rsidRPr="00A06F1E">
              <w:rPr>
                <w:rFonts w:eastAsia="Times New Roman"/>
              </w:rPr>
              <w:t>16</w:t>
            </w:r>
          </w:p>
        </w:tc>
        <w:tc>
          <w:tcPr>
            <w:tcW w:w="866" w:type="dxa"/>
          </w:tcPr>
          <w:p w14:paraId="1050FC39" w14:textId="77777777" w:rsidR="0033262D" w:rsidRPr="00A06F1E" w:rsidRDefault="0033262D">
            <w:pPr>
              <w:pStyle w:val="TableTextCentered"/>
              <w:rPr>
                <w:rFonts w:eastAsia="Times New Roman"/>
              </w:rPr>
            </w:pPr>
            <w:r w:rsidRPr="00A06F1E">
              <w:rPr>
                <w:rFonts w:eastAsia="Times New Roman"/>
              </w:rPr>
              <w:t>2.6</w:t>
            </w:r>
          </w:p>
        </w:tc>
      </w:tr>
      <w:tr w:rsidR="0033262D" w:rsidRPr="00A06F1E" w14:paraId="3FA71502" w14:textId="77777777" w:rsidTr="0033262D">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3730F848" w14:textId="77777777" w:rsidR="0033262D" w:rsidRPr="00A06F1E" w:rsidRDefault="0033262D">
            <w:pPr>
              <w:pStyle w:val="TableSubheading"/>
              <w:rPr>
                <w:szCs w:val="20"/>
              </w:rPr>
            </w:pPr>
            <w:r w:rsidRPr="00A06F1E">
              <w:t>Classroom Organization Domain</w:t>
            </w:r>
          </w:p>
        </w:tc>
        <w:tc>
          <w:tcPr>
            <w:tcW w:w="683" w:type="dxa"/>
          </w:tcPr>
          <w:p w14:paraId="6CB1AD4F" w14:textId="77777777" w:rsidR="0033262D" w:rsidRPr="00A06F1E" w:rsidRDefault="0033262D">
            <w:pPr>
              <w:pStyle w:val="TableTextCenteredDemi"/>
              <w:rPr>
                <w:rFonts w:eastAsia="Times New Roman"/>
              </w:rPr>
            </w:pPr>
            <w:r w:rsidRPr="00A06F1E">
              <w:rPr>
                <w:rFonts w:eastAsia="Times New Roman"/>
              </w:rPr>
              <w:t>0</w:t>
            </w:r>
          </w:p>
        </w:tc>
        <w:tc>
          <w:tcPr>
            <w:tcW w:w="714" w:type="dxa"/>
          </w:tcPr>
          <w:p w14:paraId="775290A7" w14:textId="77777777" w:rsidR="0033262D" w:rsidRPr="00A06F1E" w:rsidRDefault="0033262D">
            <w:pPr>
              <w:pStyle w:val="TableTextCenteredDemi"/>
              <w:rPr>
                <w:rFonts w:eastAsia="Times New Roman"/>
              </w:rPr>
            </w:pPr>
            <w:r w:rsidRPr="00A06F1E">
              <w:rPr>
                <w:rFonts w:eastAsia="Times New Roman"/>
              </w:rPr>
              <w:t>1</w:t>
            </w:r>
          </w:p>
        </w:tc>
        <w:tc>
          <w:tcPr>
            <w:tcW w:w="652" w:type="dxa"/>
          </w:tcPr>
          <w:p w14:paraId="358458AB" w14:textId="77777777" w:rsidR="0033262D" w:rsidRPr="00A06F1E" w:rsidRDefault="0033262D">
            <w:pPr>
              <w:pStyle w:val="TableTextCenteredDemi"/>
              <w:rPr>
                <w:rFonts w:eastAsia="Times New Roman"/>
              </w:rPr>
            </w:pPr>
            <w:r w:rsidRPr="00A06F1E">
              <w:rPr>
                <w:rFonts w:eastAsia="Times New Roman"/>
              </w:rPr>
              <w:t>0</w:t>
            </w:r>
          </w:p>
        </w:tc>
        <w:tc>
          <w:tcPr>
            <w:tcW w:w="684" w:type="dxa"/>
          </w:tcPr>
          <w:p w14:paraId="314A77A8" w14:textId="77777777" w:rsidR="0033262D" w:rsidRPr="00A06F1E" w:rsidRDefault="0033262D">
            <w:pPr>
              <w:pStyle w:val="TableTextCenteredDemi"/>
              <w:rPr>
                <w:rFonts w:eastAsia="Times New Roman"/>
              </w:rPr>
            </w:pPr>
            <w:r w:rsidRPr="00A06F1E">
              <w:rPr>
                <w:rFonts w:eastAsia="Times New Roman"/>
              </w:rPr>
              <w:t>4</w:t>
            </w:r>
          </w:p>
        </w:tc>
        <w:tc>
          <w:tcPr>
            <w:tcW w:w="653" w:type="dxa"/>
          </w:tcPr>
          <w:p w14:paraId="10DD3237" w14:textId="77777777" w:rsidR="0033262D" w:rsidRPr="00A06F1E" w:rsidRDefault="0033262D">
            <w:pPr>
              <w:pStyle w:val="TableTextCenteredDemi"/>
              <w:rPr>
                <w:rFonts w:eastAsia="Times New Roman"/>
              </w:rPr>
            </w:pPr>
            <w:r w:rsidRPr="00A06F1E">
              <w:rPr>
                <w:rFonts w:eastAsia="Times New Roman"/>
              </w:rPr>
              <w:t>3</w:t>
            </w:r>
          </w:p>
        </w:tc>
        <w:tc>
          <w:tcPr>
            <w:tcW w:w="712" w:type="dxa"/>
            <w:vAlign w:val="center"/>
          </w:tcPr>
          <w:p w14:paraId="10DC14B7" w14:textId="77777777" w:rsidR="0033262D" w:rsidRPr="00A06F1E" w:rsidRDefault="0033262D">
            <w:pPr>
              <w:pStyle w:val="TableTextCenteredDemi"/>
              <w:rPr>
                <w:rFonts w:eastAsia="Times New Roman"/>
              </w:rPr>
            </w:pPr>
            <w:r w:rsidRPr="00A06F1E">
              <w:rPr>
                <w:rFonts w:eastAsia="Times New Roman"/>
              </w:rPr>
              <w:t>10</w:t>
            </w:r>
          </w:p>
        </w:tc>
        <w:tc>
          <w:tcPr>
            <w:tcW w:w="684" w:type="dxa"/>
            <w:vAlign w:val="center"/>
          </w:tcPr>
          <w:p w14:paraId="661374D0" w14:textId="77777777" w:rsidR="0033262D" w:rsidRPr="00A06F1E" w:rsidRDefault="0033262D">
            <w:pPr>
              <w:pStyle w:val="TableTextCenteredDemi"/>
              <w:rPr>
                <w:rFonts w:eastAsia="Times New Roman"/>
              </w:rPr>
            </w:pPr>
            <w:r w:rsidRPr="00A06F1E">
              <w:rPr>
                <w:rFonts w:eastAsia="Times New Roman"/>
              </w:rPr>
              <w:t>30</w:t>
            </w:r>
          </w:p>
        </w:tc>
        <w:tc>
          <w:tcPr>
            <w:tcW w:w="601" w:type="dxa"/>
          </w:tcPr>
          <w:p w14:paraId="13754295" w14:textId="77777777" w:rsidR="0033262D" w:rsidRPr="00A06F1E" w:rsidRDefault="0033262D">
            <w:pPr>
              <w:pStyle w:val="TableTextCenteredDemi"/>
              <w:rPr>
                <w:rFonts w:eastAsia="Times New Roman"/>
              </w:rPr>
            </w:pPr>
            <w:r w:rsidRPr="00A06F1E">
              <w:rPr>
                <w:rFonts w:eastAsia="Times New Roman"/>
              </w:rPr>
              <w:t>48</w:t>
            </w:r>
          </w:p>
        </w:tc>
        <w:tc>
          <w:tcPr>
            <w:tcW w:w="866" w:type="dxa"/>
          </w:tcPr>
          <w:p w14:paraId="1487FAA4" w14:textId="77777777" w:rsidR="0033262D" w:rsidRPr="00A06F1E" w:rsidRDefault="0033262D">
            <w:pPr>
              <w:pStyle w:val="TableTextCenteredDemi"/>
              <w:rPr>
                <w:rFonts w:eastAsia="Times New Roman"/>
              </w:rPr>
            </w:pPr>
            <w:r w:rsidRPr="00A06F1E">
              <w:rPr>
                <w:rFonts w:eastAsia="Times New Roman"/>
              </w:rPr>
              <w:t>6.3</w:t>
            </w:r>
          </w:p>
        </w:tc>
      </w:tr>
      <w:tr w:rsidR="0033262D" w:rsidRPr="00A06F1E" w14:paraId="10EBF53F" w14:textId="77777777" w:rsidTr="0033262D">
        <w:tc>
          <w:tcPr>
            <w:tcW w:w="3095" w:type="dxa"/>
            <w:vAlign w:val="center"/>
          </w:tcPr>
          <w:p w14:paraId="07DDC6BF" w14:textId="77777777" w:rsidR="0033262D" w:rsidRPr="00A06F1E" w:rsidRDefault="0033262D">
            <w:pPr>
              <w:pStyle w:val="TableText"/>
              <w:ind w:left="204"/>
              <w:rPr>
                <w:b/>
                <w:bCs/>
              </w:rPr>
            </w:pPr>
            <w:r w:rsidRPr="00A06F1E">
              <w:t>Behavior Management</w:t>
            </w:r>
          </w:p>
        </w:tc>
        <w:tc>
          <w:tcPr>
            <w:tcW w:w="683" w:type="dxa"/>
          </w:tcPr>
          <w:p w14:paraId="621E38C5" w14:textId="77777777" w:rsidR="0033262D" w:rsidRPr="00A06F1E" w:rsidRDefault="0033262D">
            <w:pPr>
              <w:pStyle w:val="TableTextCentered"/>
              <w:rPr>
                <w:rFonts w:eastAsia="Times New Roman"/>
              </w:rPr>
            </w:pPr>
            <w:r w:rsidRPr="00A06F1E">
              <w:rPr>
                <w:rFonts w:eastAsia="Times New Roman"/>
              </w:rPr>
              <w:t>0</w:t>
            </w:r>
          </w:p>
        </w:tc>
        <w:tc>
          <w:tcPr>
            <w:tcW w:w="714" w:type="dxa"/>
          </w:tcPr>
          <w:p w14:paraId="3C74BDED" w14:textId="77777777" w:rsidR="0033262D" w:rsidRPr="00A06F1E" w:rsidRDefault="0033262D">
            <w:pPr>
              <w:pStyle w:val="TableTextCentered"/>
              <w:rPr>
                <w:rFonts w:eastAsia="Times New Roman"/>
              </w:rPr>
            </w:pPr>
            <w:r w:rsidRPr="00A06F1E">
              <w:rPr>
                <w:rFonts w:eastAsia="Times New Roman"/>
              </w:rPr>
              <w:t>1</w:t>
            </w:r>
          </w:p>
        </w:tc>
        <w:tc>
          <w:tcPr>
            <w:tcW w:w="652" w:type="dxa"/>
          </w:tcPr>
          <w:p w14:paraId="65A6F733" w14:textId="77777777" w:rsidR="0033262D" w:rsidRPr="00A06F1E" w:rsidRDefault="0033262D">
            <w:pPr>
              <w:pStyle w:val="TableTextCentered"/>
              <w:rPr>
                <w:rFonts w:eastAsia="Times New Roman"/>
              </w:rPr>
            </w:pPr>
            <w:r w:rsidRPr="00A06F1E">
              <w:rPr>
                <w:rFonts w:eastAsia="Times New Roman"/>
              </w:rPr>
              <w:t>0</w:t>
            </w:r>
          </w:p>
        </w:tc>
        <w:tc>
          <w:tcPr>
            <w:tcW w:w="684" w:type="dxa"/>
          </w:tcPr>
          <w:p w14:paraId="51665204" w14:textId="77777777" w:rsidR="0033262D" w:rsidRPr="00A06F1E" w:rsidRDefault="0033262D">
            <w:pPr>
              <w:pStyle w:val="TableTextCentered"/>
              <w:rPr>
                <w:rFonts w:eastAsia="Times New Roman"/>
              </w:rPr>
            </w:pPr>
            <w:r w:rsidRPr="00A06F1E">
              <w:rPr>
                <w:rFonts w:eastAsia="Times New Roman"/>
              </w:rPr>
              <w:t>1</w:t>
            </w:r>
          </w:p>
        </w:tc>
        <w:tc>
          <w:tcPr>
            <w:tcW w:w="653" w:type="dxa"/>
          </w:tcPr>
          <w:p w14:paraId="5D655245" w14:textId="77777777" w:rsidR="0033262D" w:rsidRPr="00A06F1E" w:rsidRDefault="0033262D">
            <w:pPr>
              <w:pStyle w:val="TableTextCentered"/>
              <w:rPr>
                <w:rFonts w:eastAsia="Times New Roman"/>
              </w:rPr>
            </w:pPr>
            <w:r w:rsidRPr="00A06F1E">
              <w:rPr>
                <w:rFonts w:eastAsia="Times New Roman"/>
              </w:rPr>
              <w:t>0</w:t>
            </w:r>
          </w:p>
        </w:tc>
        <w:tc>
          <w:tcPr>
            <w:tcW w:w="712" w:type="dxa"/>
            <w:vAlign w:val="center"/>
          </w:tcPr>
          <w:p w14:paraId="131213B6" w14:textId="77777777" w:rsidR="0033262D" w:rsidRPr="00A06F1E" w:rsidRDefault="0033262D">
            <w:pPr>
              <w:pStyle w:val="TableTextCentered"/>
              <w:rPr>
                <w:rFonts w:eastAsia="Times New Roman"/>
              </w:rPr>
            </w:pPr>
            <w:r w:rsidRPr="00A06F1E">
              <w:rPr>
                <w:rFonts w:eastAsia="Times New Roman"/>
              </w:rPr>
              <w:t>4</w:t>
            </w:r>
          </w:p>
        </w:tc>
        <w:tc>
          <w:tcPr>
            <w:tcW w:w="684" w:type="dxa"/>
            <w:vAlign w:val="center"/>
          </w:tcPr>
          <w:p w14:paraId="378ADD26" w14:textId="77777777" w:rsidR="0033262D" w:rsidRPr="00A06F1E" w:rsidRDefault="0033262D">
            <w:pPr>
              <w:pStyle w:val="TableTextCentered"/>
              <w:rPr>
                <w:rFonts w:eastAsia="Times New Roman"/>
              </w:rPr>
            </w:pPr>
            <w:r w:rsidRPr="00A06F1E">
              <w:rPr>
                <w:rFonts w:eastAsia="Times New Roman"/>
              </w:rPr>
              <w:t>10</w:t>
            </w:r>
          </w:p>
        </w:tc>
        <w:tc>
          <w:tcPr>
            <w:tcW w:w="601" w:type="dxa"/>
          </w:tcPr>
          <w:p w14:paraId="6552BED6" w14:textId="77777777" w:rsidR="0033262D" w:rsidRPr="00A06F1E" w:rsidRDefault="0033262D">
            <w:pPr>
              <w:pStyle w:val="TableTextCentered"/>
              <w:rPr>
                <w:rFonts w:eastAsia="Times New Roman"/>
              </w:rPr>
            </w:pPr>
            <w:r w:rsidRPr="00A06F1E">
              <w:rPr>
                <w:rFonts w:eastAsia="Times New Roman"/>
              </w:rPr>
              <w:t>16</w:t>
            </w:r>
          </w:p>
        </w:tc>
        <w:tc>
          <w:tcPr>
            <w:tcW w:w="866" w:type="dxa"/>
          </w:tcPr>
          <w:p w14:paraId="32701540" w14:textId="77777777" w:rsidR="0033262D" w:rsidRPr="00A06F1E" w:rsidRDefault="0033262D">
            <w:pPr>
              <w:pStyle w:val="TableTextCentered"/>
              <w:rPr>
                <w:rFonts w:eastAsia="Times New Roman"/>
              </w:rPr>
            </w:pPr>
            <w:r w:rsidRPr="00A06F1E">
              <w:rPr>
                <w:rFonts w:eastAsia="Times New Roman"/>
              </w:rPr>
              <w:t>6.3</w:t>
            </w:r>
          </w:p>
        </w:tc>
      </w:tr>
      <w:tr w:rsidR="0033262D" w:rsidRPr="00A06F1E" w14:paraId="647899F1" w14:textId="77777777" w:rsidTr="0033262D">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472C1FD1" w14:textId="77777777" w:rsidR="0033262D" w:rsidRPr="00A06F1E" w:rsidRDefault="0033262D">
            <w:pPr>
              <w:pStyle w:val="TableText"/>
              <w:ind w:left="204"/>
              <w:rPr>
                <w:b/>
                <w:bCs/>
              </w:rPr>
            </w:pPr>
            <w:r w:rsidRPr="00A06F1E">
              <w:t>Productivity</w:t>
            </w:r>
          </w:p>
        </w:tc>
        <w:tc>
          <w:tcPr>
            <w:tcW w:w="683" w:type="dxa"/>
          </w:tcPr>
          <w:p w14:paraId="02CD7C08" w14:textId="77777777" w:rsidR="0033262D" w:rsidRPr="00A06F1E" w:rsidRDefault="0033262D">
            <w:pPr>
              <w:pStyle w:val="TableTextCentered"/>
              <w:rPr>
                <w:rFonts w:eastAsia="Times New Roman"/>
              </w:rPr>
            </w:pPr>
            <w:r w:rsidRPr="00A06F1E">
              <w:rPr>
                <w:rFonts w:eastAsia="Times New Roman"/>
              </w:rPr>
              <w:t>0</w:t>
            </w:r>
          </w:p>
        </w:tc>
        <w:tc>
          <w:tcPr>
            <w:tcW w:w="714" w:type="dxa"/>
          </w:tcPr>
          <w:p w14:paraId="201BEFFD" w14:textId="77777777" w:rsidR="0033262D" w:rsidRPr="00A06F1E" w:rsidRDefault="0033262D">
            <w:pPr>
              <w:pStyle w:val="TableTextCentered"/>
              <w:rPr>
                <w:rFonts w:eastAsia="Times New Roman"/>
              </w:rPr>
            </w:pPr>
            <w:r w:rsidRPr="00A06F1E">
              <w:rPr>
                <w:rFonts w:eastAsia="Times New Roman"/>
              </w:rPr>
              <w:t>0</w:t>
            </w:r>
          </w:p>
        </w:tc>
        <w:tc>
          <w:tcPr>
            <w:tcW w:w="652" w:type="dxa"/>
          </w:tcPr>
          <w:p w14:paraId="6AD26F69" w14:textId="77777777" w:rsidR="0033262D" w:rsidRPr="00A06F1E" w:rsidRDefault="0033262D">
            <w:pPr>
              <w:pStyle w:val="TableTextCentered"/>
              <w:rPr>
                <w:rFonts w:eastAsia="Times New Roman"/>
              </w:rPr>
            </w:pPr>
            <w:r w:rsidRPr="00A06F1E">
              <w:rPr>
                <w:rFonts w:eastAsia="Times New Roman"/>
              </w:rPr>
              <w:t>0</w:t>
            </w:r>
          </w:p>
        </w:tc>
        <w:tc>
          <w:tcPr>
            <w:tcW w:w="684" w:type="dxa"/>
          </w:tcPr>
          <w:p w14:paraId="26091053" w14:textId="77777777" w:rsidR="0033262D" w:rsidRPr="00A06F1E" w:rsidRDefault="0033262D">
            <w:pPr>
              <w:pStyle w:val="TableTextCentered"/>
              <w:rPr>
                <w:rFonts w:eastAsia="Times New Roman"/>
              </w:rPr>
            </w:pPr>
            <w:r w:rsidRPr="00A06F1E">
              <w:rPr>
                <w:rFonts w:eastAsia="Times New Roman"/>
              </w:rPr>
              <w:t>3</w:t>
            </w:r>
          </w:p>
        </w:tc>
        <w:tc>
          <w:tcPr>
            <w:tcW w:w="653" w:type="dxa"/>
          </w:tcPr>
          <w:p w14:paraId="44C3F953" w14:textId="77777777" w:rsidR="0033262D" w:rsidRPr="00A06F1E" w:rsidRDefault="0033262D">
            <w:pPr>
              <w:pStyle w:val="TableTextCentered"/>
              <w:rPr>
                <w:rFonts w:eastAsia="Times New Roman"/>
              </w:rPr>
            </w:pPr>
            <w:r w:rsidRPr="00A06F1E">
              <w:rPr>
                <w:rFonts w:eastAsia="Times New Roman"/>
              </w:rPr>
              <w:t>1</w:t>
            </w:r>
          </w:p>
        </w:tc>
        <w:tc>
          <w:tcPr>
            <w:tcW w:w="712" w:type="dxa"/>
            <w:vAlign w:val="center"/>
          </w:tcPr>
          <w:p w14:paraId="2D40AF55" w14:textId="77777777" w:rsidR="0033262D" w:rsidRPr="00A06F1E" w:rsidRDefault="0033262D">
            <w:pPr>
              <w:pStyle w:val="TableTextCentered"/>
              <w:rPr>
                <w:rFonts w:eastAsia="Times New Roman"/>
              </w:rPr>
            </w:pPr>
            <w:r w:rsidRPr="00A06F1E">
              <w:rPr>
                <w:rFonts w:eastAsia="Times New Roman"/>
              </w:rPr>
              <w:t>5</w:t>
            </w:r>
          </w:p>
        </w:tc>
        <w:tc>
          <w:tcPr>
            <w:tcW w:w="684" w:type="dxa"/>
            <w:vAlign w:val="center"/>
          </w:tcPr>
          <w:p w14:paraId="259322FA" w14:textId="77777777" w:rsidR="0033262D" w:rsidRPr="00A06F1E" w:rsidRDefault="0033262D">
            <w:pPr>
              <w:pStyle w:val="TableTextCentered"/>
              <w:rPr>
                <w:rFonts w:eastAsia="Times New Roman"/>
              </w:rPr>
            </w:pPr>
            <w:r w:rsidRPr="00A06F1E">
              <w:rPr>
                <w:rFonts w:eastAsia="Times New Roman"/>
              </w:rPr>
              <w:t>7</w:t>
            </w:r>
          </w:p>
        </w:tc>
        <w:tc>
          <w:tcPr>
            <w:tcW w:w="601" w:type="dxa"/>
          </w:tcPr>
          <w:p w14:paraId="18B19528" w14:textId="77777777" w:rsidR="0033262D" w:rsidRPr="00A06F1E" w:rsidRDefault="0033262D">
            <w:pPr>
              <w:pStyle w:val="TableTextCentered"/>
              <w:rPr>
                <w:rFonts w:eastAsia="Times New Roman"/>
              </w:rPr>
            </w:pPr>
            <w:r w:rsidRPr="00A06F1E">
              <w:rPr>
                <w:rFonts w:eastAsia="Times New Roman"/>
              </w:rPr>
              <w:t>16</w:t>
            </w:r>
          </w:p>
        </w:tc>
        <w:tc>
          <w:tcPr>
            <w:tcW w:w="866" w:type="dxa"/>
          </w:tcPr>
          <w:p w14:paraId="6FB3EC2E" w14:textId="77777777" w:rsidR="0033262D" w:rsidRPr="00A06F1E" w:rsidRDefault="0033262D">
            <w:pPr>
              <w:pStyle w:val="TableTextCentered"/>
              <w:rPr>
                <w:rFonts w:eastAsia="Times New Roman"/>
              </w:rPr>
            </w:pPr>
            <w:r w:rsidRPr="00A06F1E">
              <w:rPr>
                <w:rFonts w:eastAsia="Times New Roman"/>
              </w:rPr>
              <w:t>6.0</w:t>
            </w:r>
          </w:p>
        </w:tc>
      </w:tr>
      <w:tr w:rsidR="0033262D" w:rsidRPr="00A06F1E" w14:paraId="23361A12" w14:textId="77777777" w:rsidTr="0033262D">
        <w:tc>
          <w:tcPr>
            <w:tcW w:w="3095" w:type="dxa"/>
            <w:vAlign w:val="center"/>
          </w:tcPr>
          <w:p w14:paraId="01B6AEDC" w14:textId="77777777" w:rsidR="0033262D" w:rsidRPr="00A06F1E" w:rsidRDefault="0033262D">
            <w:pPr>
              <w:pStyle w:val="TableText"/>
              <w:ind w:left="204"/>
              <w:rPr>
                <w:b/>
                <w:bCs/>
              </w:rPr>
            </w:pPr>
            <w:r w:rsidRPr="00A06F1E">
              <w:t>Negative Climate**</w:t>
            </w:r>
          </w:p>
        </w:tc>
        <w:tc>
          <w:tcPr>
            <w:tcW w:w="683" w:type="dxa"/>
          </w:tcPr>
          <w:p w14:paraId="585EEE82" w14:textId="77777777" w:rsidR="0033262D" w:rsidRPr="00A06F1E" w:rsidRDefault="0033262D">
            <w:pPr>
              <w:pStyle w:val="TableTextCentered"/>
              <w:rPr>
                <w:rFonts w:eastAsia="Times New Roman"/>
              </w:rPr>
            </w:pPr>
            <w:r w:rsidRPr="00A06F1E">
              <w:rPr>
                <w:rFonts w:eastAsia="Times New Roman"/>
              </w:rPr>
              <w:t>0</w:t>
            </w:r>
          </w:p>
        </w:tc>
        <w:tc>
          <w:tcPr>
            <w:tcW w:w="714" w:type="dxa"/>
          </w:tcPr>
          <w:p w14:paraId="4CF0E119" w14:textId="77777777" w:rsidR="0033262D" w:rsidRPr="00A06F1E" w:rsidRDefault="0033262D">
            <w:pPr>
              <w:pStyle w:val="TableTextCentered"/>
              <w:rPr>
                <w:rFonts w:eastAsia="Times New Roman"/>
              </w:rPr>
            </w:pPr>
            <w:r w:rsidRPr="00A06F1E">
              <w:rPr>
                <w:rFonts w:eastAsia="Times New Roman"/>
              </w:rPr>
              <w:t>0</w:t>
            </w:r>
          </w:p>
        </w:tc>
        <w:tc>
          <w:tcPr>
            <w:tcW w:w="652" w:type="dxa"/>
          </w:tcPr>
          <w:p w14:paraId="4FF84DD4" w14:textId="77777777" w:rsidR="0033262D" w:rsidRPr="00A06F1E" w:rsidRDefault="0033262D">
            <w:pPr>
              <w:pStyle w:val="TableTextCentered"/>
              <w:rPr>
                <w:rFonts w:eastAsia="Times New Roman"/>
              </w:rPr>
            </w:pPr>
            <w:r w:rsidRPr="00A06F1E">
              <w:rPr>
                <w:rFonts w:eastAsia="Times New Roman"/>
              </w:rPr>
              <w:t>0</w:t>
            </w:r>
          </w:p>
        </w:tc>
        <w:tc>
          <w:tcPr>
            <w:tcW w:w="684" w:type="dxa"/>
          </w:tcPr>
          <w:p w14:paraId="03CE9E61" w14:textId="77777777" w:rsidR="0033262D" w:rsidRPr="00A06F1E" w:rsidRDefault="0033262D">
            <w:pPr>
              <w:pStyle w:val="TableTextCentered"/>
              <w:rPr>
                <w:rFonts w:eastAsia="Times New Roman"/>
              </w:rPr>
            </w:pPr>
            <w:r w:rsidRPr="00A06F1E">
              <w:rPr>
                <w:rFonts w:eastAsia="Times New Roman"/>
              </w:rPr>
              <w:t>0</w:t>
            </w:r>
          </w:p>
        </w:tc>
        <w:tc>
          <w:tcPr>
            <w:tcW w:w="653" w:type="dxa"/>
          </w:tcPr>
          <w:p w14:paraId="289E92FB" w14:textId="77777777" w:rsidR="0033262D" w:rsidRPr="00A06F1E" w:rsidRDefault="0033262D">
            <w:pPr>
              <w:pStyle w:val="TableTextCentered"/>
              <w:rPr>
                <w:rFonts w:eastAsia="Times New Roman"/>
              </w:rPr>
            </w:pPr>
            <w:r w:rsidRPr="00A06F1E">
              <w:rPr>
                <w:rFonts w:eastAsia="Times New Roman"/>
              </w:rPr>
              <w:t>2</w:t>
            </w:r>
          </w:p>
        </w:tc>
        <w:tc>
          <w:tcPr>
            <w:tcW w:w="712" w:type="dxa"/>
            <w:vAlign w:val="center"/>
          </w:tcPr>
          <w:p w14:paraId="6679734F" w14:textId="77777777" w:rsidR="0033262D" w:rsidRPr="00A06F1E" w:rsidRDefault="0033262D">
            <w:pPr>
              <w:pStyle w:val="TableTextCentered"/>
              <w:rPr>
                <w:rFonts w:eastAsia="Times New Roman"/>
              </w:rPr>
            </w:pPr>
            <w:r w:rsidRPr="00A06F1E">
              <w:rPr>
                <w:rFonts w:eastAsia="Times New Roman"/>
              </w:rPr>
              <w:t>1</w:t>
            </w:r>
          </w:p>
        </w:tc>
        <w:tc>
          <w:tcPr>
            <w:tcW w:w="684" w:type="dxa"/>
            <w:vAlign w:val="center"/>
          </w:tcPr>
          <w:p w14:paraId="5C498C84" w14:textId="77777777" w:rsidR="0033262D" w:rsidRPr="00A06F1E" w:rsidRDefault="0033262D">
            <w:pPr>
              <w:pStyle w:val="TableTextCentered"/>
              <w:rPr>
                <w:rFonts w:eastAsia="Times New Roman"/>
              </w:rPr>
            </w:pPr>
            <w:r w:rsidRPr="00A06F1E">
              <w:rPr>
                <w:rFonts w:eastAsia="Times New Roman"/>
              </w:rPr>
              <w:t>13</w:t>
            </w:r>
          </w:p>
        </w:tc>
        <w:tc>
          <w:tcPr>
            <w:tcW w:w="601" w:type="dxa"/>
          </w:tcPr>
          <w:p w14:paraId="0CA09699" w14:textId="77777777" w:rsidR="0033262D" w:rsidRPr="00A06F1E" w:rsidRDefault="0033262D">
            <w:pPr>
              <w:pStyle w:val="TableTextCentered"/>
              <w:rPr>
                <w:rFonts w:eastAsia="Times New Roman"/>
              </w:rPr>
            </w:pPr>
            <w:r w:rsidRPr="00A06F1E">
              <w:rPr>
                <w:rFonts w:eastAsia="Times New Roman"/>
              </w:rPr>
              <w:t>16</w:t>
            </w:r>
          </w:p>
        </w:tc>
        <w:tc>
          <w:tcPr>
            <w:tcW w:w="866" w:type="dxa"/>
          </w:tcPr>
          <w:p w14:paraId="07BE1B9D" w14:textId="77777777" w:rsidR="0033262D" w:rsidRPr="00A06F1E" w:rsidRDefault="0033262D">
            <w:pPr>
              <w:pStyle w:val="TableTextCentered"/>
              <w:rPr>
                <w:rFonts w:eastAsia="Times New Roman"/>
              </w:rPr>
            </w:pPr>
            <w:r w:rsidRPr="00A06F1E">
              <w:rPr>
                <w:rFonts w:eastAsia="Times New Roman"/>
              </w:rPr>
              <w:t>6.7</w:t>
            </w:r>
          </w:p>
        </w:tc>
      </w:tr>
      <w:tr w:rsidR="0033262D" w:rsidRPr="00A06F1E" w14:paraId="653A86F3" w14:textId="77777777" w:rsidTr="0033262D">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6D92FBAE" w14:textId="77777777" w:rsidR="0033262D" w:rsidRPr="00A06F1E" w:rsidRDefault="0033262D">
            <w:pPr>
              <w:pStyle w:val="TableSubheading"/>
              <w:rPr>
                <w:szCs w:val="20"/>
              </w:rPr>
            </w:pPr>
            <w:r w:rsidRPr="00A06F1E">
              <w:t>Instructional Support Domain</w:t>
            </w:r>
          </w:p>
        </w:tc>
        <w:tc>
          <w:tcPr>
            <w:tcW w:w="683" w:type="dxa"/>
          </w:tcPr>
          <w:p w14:paraId="3ACE2591" w14:textId="77777777" w:rsidR="0033262D" w:rsidRPr="00A06F1E" w:rsidRDefault="0033262D">
            <w:pPr>
              <w:pStyle w:val="TableTextCenteredDemi"/>
              <w:rPr>
                <w:rFonts w:eastAsia="Times New Roman"/>
              </w:rPr>
            </w:pPr>
            <w:r w:rsidRPr="00A06F1E">
              <w:rPr>
                <w:rFonts w:eastAsia="Times New Roman"/>
              </w:rPr>
              <w:t>17</w:t>
            </w:r>
          </w:p>
        </w:tc>
        <w:tc>
          <w:tcPr>
            <w:tcW w:w="714" w:type="dxa"/>
          </w:tcPr>
          <w:p w14:paraId="11840020" w14:textId="77777777" w:rsidR="0033262D" w:rsidRPr="00A06F1E" w:rsidRDefault="0033262D">
            <w:pPr>
              <w:pStyle w:val="TableTextCenteredDemi"/>
              <w:rPr>
                <w:rFonts w:eastAsia="Times New Roman"/>
              </w:rPr>
            </w:pPr>
            <w:r w:rsidRPr="00A06F1E">
              <w:rPr>
                <w:rFonts w:eastAsia="Times New Roman"/>
              </w:rPr>
              <w:t>15</w:t>
            </w:r>
          </w:p>
        </w:tc>
        <w:tc>
          <w:tcPr>
            <w:tcW w:w="652" w:type="dxa"/>
          </w:tcPr>
          <w:p w14:paraId="100573F1" w14:textId="77777777" w:rsidR="0033262D" w:rsidRPr="00A06F1E" w:rsidRDefault="0033262D">
            <w:pPr>
              <w:pStyle w:val="TableTextCenteredDemi"/>
              <w:rPr>
                <w:rFonts w:eastAsia="Times New Roman"/>
              </w:rPr>
            </w:pPr>
            <w:r w:rsidRPr="00A06F1E">
              <w:rPr>
                <w:rFonts w:eastAsia="Times New Roman"/>
              </w:rPr>
              <w:t>19</w:t>
            </w:r>
          </w:p>
        </w:tc>
        <w:tc>
          <w:tcPr>
            <w:tcW w:w="684" w:type="dxa"/>
          </w:tcPr>
          <w:p w14:paraId="3C3D8D63" w14:textId="77777777" w:rsidR="0033262D" w:rsidRPr="00A06F1E" w:rsidRDefault="0033262D">
            <w:pPr>
              <w:pStyle w:val="TableTextCenteredDemi"/>
              <w:rPr>
                <w:rFonts w:eastAsia="Times New Roman"/>
              </w:rPr>
            </w:pPr>
            <w:r w:rsidRPr="00A06F1E">
              <w:rPr>
                <w:rFonts w:eastAsia="Times New Roman"/>
              </w:rPr>
              <w:t>11</w:t>
            </w:r>
          </w:p>
        </w:tc>
        <w:tc>
          <w:tcPr>
            <w:tcW w:w="653" w:type="dxa"/>
          </w:tcPr>
          <w:p w14:paraId="2065E895" w14:textId="77777777" w:rsidR="0033262D" w:rsidRPr="00A06F1E" w:rsidRDefault="0033262D">
            <w:pPr>
              <w:pStyle w:val="TableTextCenteredDemi"/>
              <w:rPr>
                <w:rFonts w:eastAsia="Times New Roman"/>
              </w:rPr>
            </w:pPr>
            <w:r w:rsidRPr="00A06F1E">
              <w:rPr>
                <w:rFonts w:eastAsia="Times New Roman"/>
              </w:rPr>
              <w:t>14</w:t>
            </w:r>
          </w:p>
        </w:tc>
        <w:tc>
          <w:tcPr>
            <w:tcW w:w="712" w:type="dxa"/>
            <w:vAlign w:val="center"/>
          </w:tcPr>
          <w:p w14:paraId="009858E6" w14:textId="77777777" w:rsidR="0033262D" w:rsidRPr="00A06F1E" w:rsidRDefault="0033262D">
            <w:pPr>
              <w:pStyle w:val="TableTextCenteredDemi"/>
              <w:rPr>
                <w:rFonts w:eastAsia="Times New Roman"/>
              </w:rPr>
            </w:pPr>
            <w:r w:rsidRPr="00A06F1E">
              <w:rPr>
                <w:rFonts w:eastAsia="Times New Roman"/>
              </w:rPr>
              <w:t>3</w:t>
            </w:r>
          </w:p>
        </w:tc>
        <w:tc>
          <w:tcPr>
            <w:tcW w:w="684" w:type="dxa"/>
            <w:vAlign w:val="center"/>
          </w:tcPr>
          <w:p w14:paraId="6F972EF1" w14:textId="77777777" w:rsidR="0033262D" w:rsidRPr="00A06F1E" w:rsidRDefault="0033262D">
            <w:pPr>
              <w:pStyle w:val="TableTextCenteredDemi"/>
              <w:rPr>
                <w:rFonts w:eastAsia="Times New Roman"/>
              </w:rPr>
            </w:pPr>
            <w:r w:rsidRPr="00A06F1E">
              <w:rPr>
                <w:rFonts w:eastAsia="Times New Roman"/>
              </w:rPr>
              <w:t>1</w:t>
            </w:r>
          </w:p>
        </w:tc>
        <w:tc>
          <w:tcPr>
            <w:tcW w:w="601" w:type="dxa"/>
          </w:tcPr>
          <w:p w14:paraId="15F0C705" w14:textId="77777777" w:rsidR="0033262D" w:rsidRPr="00A06F1E" w:rsidRDefault="0033262D">
            <w:pPr>
              <w:pStyle w:val="TableTextCenteredDemi"/>
              <w:rPr>
                <w:rFonts w:eastAsia="Times New Roman"/>
              </w:rPr>
            </w:pPr>
            <w:r w:rsidRPr="00A06F1E">
              <w:rPr>
                <w:rFonts w:eastAsia="Times New Roman"/>
              </w:rPr>
              <w:t>80</w:t>
            </w:r>
          </w:p>
        </w:tc>
        <w:tc>
          <w:tcPr>
            <w:tcW w:w="866" w:type="dxa"/>
          </w:tcPr>
          <w:p w14:paraId="510FC662" w14:textId="77777777" w:rsidR="0033262D" w:rsidRPr="00A06F1E" w:rsidRDefault="0033262D">
            <w:pPr>
              <w:pStyle w:val="TableTextCenteredDemi"/>
              <w:rPr>
                <w:rFonts w:eastAsia="Times New Roman"/>
              </w:rPr>
            </w:pPr>
            <w:r w:rsidRPr="00A06F1E">
              <w:rPr>
                <w:rFonts w:eastAsia="Times New Roman"/>
              </w:rPr>
              <w:t>3.0</w:t>
            </w:r>
          </w:p>
        </w:tc>
      </w:tr>
      <w:tr w:rsidR="0033262D" w:rsidRPr="00A06F1E" w14:paraId="4BBF6EA6" w14:textId="77777777" w:rsidTr="0033262D">
        <w:tc>
          <w:tcPr>
            <w:tcW w:w="3095" w:type="dxa"/>
            <w:vAlign w:val="center"/>
          </w:tcPr>
          <w:p w14:paraId="115800F5" w14:textId="77777777" w:rsidR="0033262D" w:rsidRPr="00A06F1E" w:rsidRDefault="0033262D">
            <w:pPr>
              <w:pStyle w:val="TableText"/>
              <w:ind w:left="204"/>
              <w:rPr>
                <w:b/>
                <w:bCs/>
              </w:rPr>
            </w:pPr>
            <w:r w:rsidRPr="00A06F1E">
              <w:t>Instructional Learning Formats</w:t>
            </w:r>
          </w:p>
        </w:tc>
        <w:tc>
          <w:tcPr>
            <w:tcW w:w="683" w:type="dxa"/>
          </w:tcPr>
          <w:p w14:paraId="782960F6" w14:textId="77777777" w:rsidR="0033262D" w:rsidRPr="00A06F1E" w:rsidRDefault="0033262D">
            <w:pPr>
              <w:pStyle w:val="TableTextCentered"/>
              <w:rPr>
                <w:rFonts w:eastAsia="Times New Roman"/>
              </w:rPr>
            </w:pPr>
            <w:r w:rsidRPr="00A06F1E">
              <w:rPr>
                <w:rFonts w:eastAsia="Times New Roman"/>
              </w:rPr>
              <w:t>0</w:t>
            </w:r>
          </w:p>
        </w:tc>
        <w:tc>
          <w:tcPr>
            <w:tcW w:w="714" w:type="dxa"/>
          </w:tcPr>
          <w:p w14:paraId="6679B2C7" w14:textId="77777777" w:rsidR="0033262D" w:rsidRPr="00A06F1E" w:rsidRDefault="0033262D">
            <w:pPr>
              <w:pStyle w:val="TableTextCentered"/>
              <w:rPr>
                <w:rFonts w:eastAsia="Times New Roman"/>
              </w:rPr>
            </w:pPr>
            <w:r w:rsidRPr="00A06F1E">
              <w:rPr>
                <w:rFonts w:eastAsia="Times New Roman"/>
              </w:rPr>
              <w:t>1</w:t>
            </w:r>
          </w:p>
        </w:tc>
        <w:tc>
          <w:tcPr>
            <w:tcW w:w="652" w:type="dxa"/>
          </w:tcPr>
          <w:p w14:paraId="65CC6E68" w14:textId="77777777" w:rsidR="0033262D" w:rsidRPr="00A06F1E" w:rsidRDefault="0033262D">
            <w:pPr>
              <w:pStyle w:val="TableTextCentered"/>
              <w:rPr>
                <w:rFonts w:eastAsia="Times New Roman"/>
              </w:rPr>
            </w:pPr>
            <w:r w:rsidRPr="00A06F1E">
              <w:rPr>
                <w:rFonts w:eastAsia="Times New Roman"/>
              </w:rPr>
              <w:t>5</w:t>
            </w:r>
          </w:p>
        </w:tc>
        <w:tc>
          <w:tcPr>
            <w:tcW w:w="684" w:type="dxa"/>
          </w:tcPr>
          <w:p w14:paraId="6EB47E1F" w14:textId="77777777" w:rsidR="0033262D" w:rsidRPr="00A06F1E" w:rsidRDefault="0033262D">
            <w:pPr>
              <w:pStyle w:val="TableTextCentered"/>
              <w:rPr>
                <w:rFonts w:eastAsia="Times New Roman"/>
              </w:rPr>
            </w:pPr>
            <w:r w:rsidRPr="00A06F1E">
              <w:rPr>
                <w:rFonts w:eastAsia="Times New Roman"/>
              </w:rPr>
              <w:t>4</w:t>
            </w:r>
          </w:p>
        </w:tc>
        <w:tc>
          <w:tcPr>
            <w:tcW w:w="653" w:type="dxa"/>
          </w:tcPr>
          <w:p w14:paraId="1D574C25" w14:textId="77777777" w:rsidR="0033262D" w:rsidRPr="00A06F1E" w:rsidRDefault="0033262D">
            <w:pPr>
              <w:pStyle w:val="TableTextCentered"/>
              <w:rPr>
                <w:rFonts w:eastAsia="Times New Roman"/>
              </w:rPr>
            </w:pPr>
            <w:r w:rsidRPr="00A06F1E">
              <w:rPr>
                <w:rFonts w:eastAsia="Times New Roman"/>
              </w:rPr>
              <w:t>3</w:t>
            </w:r>
          </w:p>
        </w:tc>
        <w:tc>
          <w:tcPr>
            <w:tcW w:w="712" w:type="dxa"/>
            <w:vAlign w:val="center"/>
          </w:tcPr>
          <w:p w14:paraId="3910FC09" w14:textId="77777777" w:rsidR="0033262D" w:rsidRPr="00A06F1E" w:rsidRDefault="0033262D">
            <w:pPr>
              <w:pStyle w:val="TableTextCentered"/>
              <w:rPr>
                <w:rFonts w:eastAsia="Times New Roman"/>
              </w:rPr>
            </w:pPr>
            <w:r w:rsidRPr="00A06F1E">
              <w:rPr>
                <w:rFonts w:eastAsia="Times New Roman"/>
              </w:rPr>
              <w:t>2</w:t>
            </w:r>
          </w:p>
        </w:tc>
        <w:tc>
          <w:tcPr>
            <w:tcW w:w="684" w:type="dxa"/>
            <w:vAlign w:val="center"/>
          </w:tcPr>
          <w:p w14:paraId="5BA1C1E1" w14:textId="77777777" w:rsidR="0033262D" w:rsidRPr="00A06F1E" w:rsidRDefault="0033262D">
            <w:pPr>
              <w:pStyle w:val="TableTextCentered"/>
              <w:rPr>
                <w:rFonts w:eastAsia="Times New Roman"/>
              </w:rPr>
            </w:pPr>
            <w:r w:rsidRPr="00A06F1E">
              <w:rPr>
                <w:rFonts w:eastAsia="Times New Roman"/>
              </w:rPr>
              <w:t>1</w:t>
            </w:r>
          </w:p>
        </w:tc>
        <w:tc>
          <w:tcPr>
            <w:tcW w:w="601" w:type="dxa"/>
          </w:tcPr>
          <w:p w14:paraId="6797C20E" w14:textId="77777777" w:rsidR="0033262D" w:rsidRPr="00A06F1E" w:rsidRDefault="0033262D">
            <w:pPr>
              <w:pStyle w:val="TableTextCentered"/>
              <w:rPr>
                <w:rFonts w:eastAsia="Times New Roman"/>
              </w:rPr>
            </w:pPr>
            <w:r w:rsidRPr="00A06F1E">
              <w:rPr>
                <w:rFonts w:eastAsia="Times New Roman"/>
              </w:rPr>
              <w:t>16</w:t>
            </w:r>
          </w:p>
        </w:tc>
        <w:tc>
          <w:tcPr>
            <w:tcW w:w="866" w:type="dxa"/>
          </w:tcPr>
          <w:p w14:paraId="43FC93D0" w14:textId="77777777" w:rsidR="0033262D" w:rsidRPr="00A06F1E" w:rsidRDefault="0033262D">
            <w:pPr>
              <w:pStyle w:val="TableTextCentered"/>
              <w:rPr>
                <w:rFonts w:eastAsia="Times New Roman"/>
              </w:rPr>
            </w:pPr>
            <w:r w:rsidRPr="00A06F1E">
              <w:rPr>
                <w:rFonts w:eastAsia="Times New Roman"/>
              </w:rPr>
              <w:t>4.2</w:t>
            </w:r>
          </w:p>
        </w:tc>
      </w:tr>
      <w:tr w:rsidR="0033262D" w:rsidRPr="00A06F1E" w14:paraId="0D33D4C3" w14:textId="77777777" w:rsidTr="0033262D">
        <w:trPr>
          <w:cnfStyle w:val="000000100000" w:firstRow="0" w:lastRow="0" w:firstColumn="0" w:lastColumn="0" w:oddVBand="0" w:evenVBand="0" w:oddHBand="1" w:evenHBand="0" w:firstRowFirstColumn="0" w:firstRowLastColumn="0" w:lastRowFirstColumn="0" w:lastRowLastColumn="0"/>
          <w:trHeight w:val="70"/>
        </w:trPr>
        <w:tc>
          <w:tcPr>
            <w:tcW w:w="3095" w:type="dxa"/>
            <w:vAlign w:val="center"/>
          </w:tcPr>
          <w:p w14:paraId="0A04B937" w14:textId="77777777" w:rsidR="0033262D" w:rsidRPr="00A06F1E" w:rsidRDefault="0033262D">
            <w:pPr>
              <w:pStyle w:val="TableText"/>
              <w:ind w:left="204"/>
              <w:rPr>
                <w:b/>
                <w:bCs/>
              </w:rPr>
            </w:pPr>
            <w:r w:rsidRPr="00A06F1E">
              <w:t>Content Understanding</w:t>
            </w:r>
          </w:p>
        </w:tc>
        <w:tc>
          <w:tcPr>
            <w:tcW w:w="683" w:type="dxa"/>
          </w:tcPr>
          <w:p w14:paraId="72421D76" w14:textId="77777777" w:rsidR="0033262D" w:rsidRPr="00A06F1E" w:rsidRDefault="0033262D">
            <w:pPr>
              <w:pStyle w:val="TableTextCentered"/>
              <w:rPr>
                <w:rFonts w:eastAsia="Times New Roman"/>
              </w:rPr>
            </w:pPr>
            <w:r w:rsidRPr="00A06F1E">
              <w:rPr>
                <w:rFonts w:eastAsia="Times New Roman"/>
              </w:rPr>
              <w:t>0</w:t>
            </w:r>
          </w:p>
        </w:tc>
        <w:tc>
          <w:tcPr>
            <w:tcW w:w="714" w:type="dxa"/>
          </w:tcPr>
          <w:p w14:paraId="6D7137B1" w14:textId="77777777" w:rsidR="0033262D" w:rsidRPr="00A06F1E" w:rsidRDefault="0033262D">
            <w:pPr>
              <w:pStyle w:val="TableTextCentered"/>
              <w:rPr>
                <w:rFonts w:eastAsia="Times New Roman"/>
              </w:rPr>
            </w:pPr>
            <w:r w:rsidRPr="00A06F1E">
              <w:rPr>
                <w:rFonts w:eastAsia="Times New Roman"/>
              </w:rPr>
              <w:t>2</w:t>
            </w:r>
          </w:p>
        </w:tc>
        <w:tc>
          <w:tcPr>
            <w:tcW w:w="652" w:type="dxa"/>
          </w:tcPr>
          <w:p w14:paraId="2B727D02" w14:textId="77777777" w:rsidR="0033262D" w:rsidRPr="00A06F1E" w:rsidRDefault="0033262D">
            <w:pPr>
              <w:pStyle w:val="TableTextCentered"/>
              <w:rPr>
                <w:rFonts w:eastAsia="Times New Roman"/>
              </w:rPr>
            </w:pPr>
            <w:r w:rsidRPr="00A06F1E">
              <w:rPr>
                <w:rFonts w:eastAsia="Times New Roman"/>
              </w:rPr>
              <w:t>2</w:t>
            </w:r>
          </w:p>
        </w:tc>
        <w:tc>
          <w:tcPr>
            <w:tcW w:w="684" w:type="dxa"/>
          </w:tcPr>
          <w:p w14:paraId="62328B5E" w14:textId="77777777" w:rsidR="0033262D" w:rsidRPr="00A06F1E" w:rsidRDefault="0033262D">
            <w:pPr>
              <w:pStyle w:val="TableTextCentered"/>
              <w:rPr>
                <w:rFonts w:eastAsia="Times New Roman"/>
              </w:rPr>
            </w:pPr>
            <w:r w:rsidRPr="00A06F1E">
              <w:rPr>
                <w:rFonts w:eastAsia="Times New Roman"/>
              </w:rPr>
              <w:t>4</w:t>
            </w:r>
          </w:p>
        </w:tc>
        <w:tc>
          <w:tcPr>
            <w:tcW w:w="653" w:type="dxa"/>
          </w:tcPr>
          <w:p w14:paraId="48198697" w14:textId="77777777" w:rsidR="0033262D" w:rsidRPr="00A06F1E" w:rsidRDefault="0033262D">
            <w:pPr>
              <w:pStyle w:val="TableTextCentered"/>
              <w:rPr>
                <w:rFonts w:eastAsia="Times New Roman"/>
              </w:rPr>
            </w:pPr>
            <w:r w:rsidRPr="00A06F1E">
              <w:rPr>
                <w:rFonts w:eastAsia="Times New Roman"/>
              </w:rPr>
              <w:t>7</w:t>
            </w:r>
          </w:p>
        </w:tc>
        <w:tc>
          <w:tcPr>
            <w:tcW w:w="712" w:type="dxa"/>
            <w:vAlign w:val="center"/>
          </w:tcPr>
          <w:p w14:paraId="164D28D9" w14:textId="77777777" w:rsidR="0033262D" w:rsidRPr="00A06F1E" w:rsidRDefault="0033262D">
            <w:pPr>
              <w:pStyle w:val="TableTextCentered"/>
              <w:rPr>
                <w:rFonts w:eastAsia="Times New Roman"/>
              </w:rPr>
            </w:pPr>
            <w:r w:rsidRPr="00A06F1E">
              <w:rPr>
                <w:rFonts w:eastAsia="Times New Roman"/>
              </w:rPr>
              <w:t>1</w:t>
            </w:r>
          </w:p>
        </w:tc>
        <w:tc>
          <w:tcPr>
            <w:tcW w:w="684" w:type="dxa"/>
            <w:vAlign w:val="center"/>
          </w:tcPr>
          <w:p w14:paraId="2924C614" w14:textId="77777777" w:rsidR="0033262D" w:rsidRPr="00A06F1E" w:rsidRDefault="0033262D">
            <w:pPr>
              <w:pStyle w:val="TableTextCentered"/>
              <w:rPr>
                <w:rFonts w:eastAsia="Times New Roman"/>
              </w:rPr>
            </w:pPr>
            <w:r w:rsidRPr="00A06F1E">
              <w:rPr>
                <w:rFonts w:eastAsia="Times New Roman"/>
              </w:rPr>
              <w:t>0</w:t>
            </w:r>
          </w:p>
        </w:tc>
        <w:tc>
          <w:tcPr>
            <w:tcW w:w="601" w:type="dxa"/>
          </w:tcPr>
          <w:p w14:paraId="02CFBE6B" w14:textId="77777777" w:rsidR="0033262D" w:rsidRPr="00A06F1E" w:rsidRDefault="0033262D">
            <w:pPr>
              <w:pStyle w:val="TableTextCentered"/>
              <w:rPr>
                <w:rFonts w:eastAsia="Times New Roman"/>
              </w:rPr>
            </w:pPr>
            <w:r w:rsidRPr="00A06F1E">
              <w:rPr>
                <w:rFonts w:eastAsia="Times New Roman"/>
              </w:rPr>
              <w:t>16</w:t>
            </w:r>
          </w:p>
        </w:tc>
        <w:tc>
          <w:tcPr>
            <w:tcW w:w="866" w:type="dxa"/>
          </w:tcPr>
          <w:p w14:paraId="76C8B77B" w14:textId="77777777" w:rsidR="0033262D" w:rsidRPr="00A06F1E" w:rsidRDefault="0033262D">
            <w:pPr>
              <w:pStyle w:val="TableTextCentered"/>
              <w:rPr>
                <w:rFonts w:eastAsia="Times New Roman"/>
              </w:rPr>
            </w:pPr>
            <w:r w:rsidRPr="00A06F1E">
              <w:rPr>
                <w:rFonts w:eastAsia="Times New Roman"/>
              </w:rPr>
              <w:t>4.2</w:t>
            </w:r>
          </w:p>
        </w:tc>
      </w:tr>
      <w:tr w:rsidR="0033262D" w:rsidRPr="00A06F1E" w14:paraId="3D382C9C" w14:textId="77777777" w:rsidTr="0033262D">
        <w:tc>
          <w:tcPr>
            <w:tcW w:w="3095" w:type="dxa"/>
            <w:vAlign w:val="center"/>
          </w:tcPr>
          <w:p w14:paraId="1875F69D" w14:textId="77777777" w:rsidR="0033262D" w:rsidRPr="00A06F1E" w:rsidRDefault="0033262D">
            <w:pPr>
              <w:pStyle w:val="TableText"/>
              <w:ind w:left="204"/>
              <w:rPr>
                <w:b/>
                <w:bCs/>
              </w:rPr>
            </w:pPr>
            <w:r w:rsidRPr="00A06F1E">
              <w:t>Analysis and Inquiry</w:t>
            </w:r>
          </w:p>
        </w:tc>
        <w:tc>
          <w:tcPr>
            <w:tcW w:w="683" w:type="dxa"/>
          </w:tcPr>
          <w:p w14:paraId="00829A3D" w14:textId="77777777" w:rsidR="0033262D" w:rsidRPr="00A06F1E" w:rsidRDefault="0033262D">
            <w:pPr>
              <w:pStyle w:val="TableTextCentered"/>
              <w:rPr>
                <w:rFonts w:eastAsia="Times New Roman"/>
              </w:rPr>
            </w:pPr>
            <w:r w:rsidRPr="00A06F1E">
              <w:rPr>
                <w:rFonts w:eastAsia="Times New Roman"/>
              </w:rPr>
              <w:t>6</w:t>
            </w:r>
          </w:p>
        </w:tc>
        <w:tc>
          <w:tcPr>
            <w:tcW w:w="714" w:type="dxa"/>
          </w:tcPr>
          <w:p w14:paraId="2D63C84A" w14:textId="77777777" w:rsidR="0033262D" w:rsidRPr="00A06F1E" w:rsidRDefault="0033262D">
            <w:pPr>
              <w:pStyle w:val="TableTextCentered"/>
              <w:rPr>
                <w:rFonts w:eastAsia="Times New Roman"/>
              </w:rPr>
            </w:pPr>
            <w:r w:rsidRPr="00A06F1E">
              <w:rPr>
                <w:rFonts w:eastAsia="Times New Roman"/>
              </w:rPr>
              <w:t>4</w:t>
            </w:r>
          </w:p>
        </w:tc>
        <w:tc>
          <w:tcPr>
            <w:tcW w:w="652" w:type="dxa"/>
          </w:tcPr>
          <w:p w14:paraId="68078637" w14:textId="77777777" w:rsidR="0033262D" w:rsidRPr="00A06F1E" w:rsidRDefault="0033262D">
            <w:pPr>
              <w:pStyle w:val="TableTextCentered"/>
              <w:rPr>
                <w:rFonts w:eastAsia="Times New Roman"/>
              </w:rPr>
            </w:pPr>
            <w:r w:rsidRPr="00A06F1E">
              <w:rPr>
                <w:rFonts w:eastAsia="Times New Roman"/>
              </w:rPr>
              <w:t>5</w:t>
            </w:r>
          </w:p>
        </w:tc>
        <w:tc>
          <w:tcPr>
            <w:tcW w:w="684" w:type="dxa"/>
          </w:tcPr>
          <w:p w14:paraId="03B4CE54" w14:textId="77777777" w:rsidR="0033262D" w:rsidRPr="00A06F1E" w:rsidRDefault="0033262D">
            <w:pPr>
              <w:pStyle w:val="TableTextCentered"/>
              <w:rPr>
                <w:rFonts w:eastAsia="Times New Roman"/>
              </w:rPr>
            </w:pPr>
            <w:r w:rsidRPr="00A06F1E">
              <w:rPr>
                <w:rFonts w:eastAsia="Times New Roman"/>
              </w:rPr>
              <w:t>1</w:t>
            </w:r>
          </w:p>
        </w:tc>
        <w:tc>
          <w:tcPr>
            <w:tcW w:w="653" w:type="dxa"/>
          </w:tcPr>
          <w:p w14:paraId="4A5C1C52" w14:textId="77777777" w:rsidR="0033262D" w:rsidRPr="00A06F1E" w:rsidRDefault="0033262D">
            <w:pPr>
              <w:pStyle w:val="TableTextCentered"/>
              <w:rPr>
                <w:rFonts w:eastAsia="Times New Roman"/>
              </w:rPr>
            </w:pPr>
            <w:r w:rsidRPr="00A06F1E">
              <w:rPr>
                <w:rFonts w:eastAsia="Times New Roman"/>
              </w:rPr>
              <w:t>0</w:t>
            </w:r>
          </w:p>
        </w:tc>
        <w:tc>
          <w:tcPr>
            <w:tcW w:w="712" w:type="dxa"/>
            <w:vAlign w:val="center"/>
          </w:tcPr>
          <w:p w14:paraId="4AB74B48" w14:textId="77777777" w:rsidR="0033262D" w:rsidRPr="00A06F1E" w:rsidRDefault="0033262D">
            <w:pPr>
              <w:pStyle w:val="TableTextCentered"/>
              <w:rPr>
                <w:rFonts w:eastAsia="Times New Roman"/>
              </w:rPr>
            </w:pPr>
            <w:r w:rsidRPr="00A06F1E">
              <w:rPr>
                <w:rFonts w:eastAsia="Times New Roman"/>
              </w:rPr>
              <w:t>0</w:t>
            </w:r>
          </w:p>
        </w:tc>
        <w:tc>
          <w:tcPr>
            <w:tcW w:w="684" w:type="dxa"/>
            <w:vAlign w:val="center"/>
          </w:tcPr>
          <w:p w14:paraId="74CFECA8" w14:textId="77777777" w:rsidR="0033262D" w:rsidRPr="00A06F1E" w:rsidRDefault="0033262D">
            <w:pPr>
              <w:pStyle w:val="TableTextCentered"/>
              <w:rPr>
                <w:rFonts w:eastAsia="Times New Roman"/>
              </w:rPr>
            </w:pPr>
            <w:r w:rsidRPr="00A06F1E">
              <w:rPr>
                <w:rFonts w:eastAsia="Times New Roman"/>
              </w:rPr>
              <w:t>0</w:t>
            </w:r>
          </w:p>
        </w:tc>
        <w:tc>
          <w:tcPr>
            <w:tcW w:w="601" w:type="dxa"/>
          </w:tcPr>
          <w:p w14:paraId="67B6F1A0" w14:textId="77777777" w:rsidR="0033262D" w:rsidRPr="00A06F1E" w:rsidRDefault="0033262D">
            <w:pPr>
              <w:pStyle w:val="TableTextCentered"/>
              <w:rPr>
                <w:rFonts w:eastAsia="Times New Roman"/>
              </w:rPr>
            </w:pPr>
            <w:r w:rsidRPr="00A06F1E">
              <w:rPr>
                <w:rFonts w:eastAsia="Times New Roman"/>
              </w:rPr>
              <w:t>16</w:t>
            </w:r>
          </w:p>
        </w:tc>
        <w:tc>
          <w:tcPr>
            <w:tcW w:w="866" w:type="dxa"/>
          </w:tcPr>
          <w:p w14:paraId="7060660E" w14:textId="77777777" w:rsidR="0033262D" w:rsidRPr="00A06F1E" w:rsidRDefault="0033262D">
            <w:pPr>
              <w:pStyle w:val="TableTextCentered"/>
              <w:rPr>
                <w:rFonts w:eastAsia="Times New Roman"/>
              </w:rPr>
            </w:pPr>
            <w:r w:rsidRPr="00A06F1E">
              <w:rPr>
                <w:rFonts w:eastAsia="Times New Roman"/>
              </w:rPr>
              <w:t>2.1</w:t>
            </w:r>
          </w:p>
        </w:tc>
      </w:tr>
      <w:tr w:rsidR="0033262D" w:rsidRPr="00A06F1E" w14:paraId="5E5C5E95" w14:textId="77777777" w:rsidTr="0033262D">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2F142A86" w14:textId="77777777" w:rsidR="0033262D" w:rsidRPr="00A06F1E" w:rsidRDefault="0033262D">
            <w:pPr>
              <w:pStyle w:val="TableText"/>
              <w:ind w:left="204"/>
              <w:rPr>
                <w:b/>
                <w:bCs/>
              </w:rPr>
            </w:pPr>
            <w:r w:rsidRPr="00A06F1E">
              <w:t>Quality of Feedback</w:t>
            </w:r>
          </w:p>
        </w:tc>
        <w:tc>
          <w:tcPr>
            <w:tcW w:w="683" w:type="dxa"/>
          </w:tcPr>
          <w:p w14:paraId="33B025F4" w14:textId="77777777" w:rsidR="0033262D" w:rsidRPr="00A06F1E" w:rsidRDefault="0033262D">
            <w:pPr>
              <w:pStyle w:val="TableTextCentered"/>
              <w:rPr>
                <w:rFonts w:eastAsia="Times New Roman"/>
              </w:rPr>
            </w:pPr>
            <w:r w:rsidRPr="00A06F1E">
              <w:rPr>
                <w:rFonts w:eastAsia="Times New Roman"/>
              </w:rPr>
              <w:t>3</w:t>
            </w:r>
          </w:p>
        </w:tc>
        <w:tc>
          <w:tcPr>
            <w:tcW w:w="714" w:type="dxa"/>
          </w:tcPr>
          <w:p w14:paraId="07ACE23A" w14:textId="77777777" w:rsidR="0033262D" w:rsidRPr="00A06F1E" w:rsidRDefault="0033262D">
            <w:pPr>
              <w:pStyle w:val="TableTextCentered"/>
              <w:rPr>
                <w:rFonts w:eastAsia="Times New Roman"/>
              </w:rPr>
            </w:pPr>
            <w:r w:rsidRPr="00A06F1E">
              <w:rPr>
                <w:rFonts w:eastAsia="Times New Roman"/>
              </w:rPr>
              <w:t>6</w:t>
            </w:r>
          </w:p>
        </w:tc>
        <w:tc>
          <w:tcPr>
            <w:tcW w:w="652" w:type="dxa"/>
          </w:tcPr>
          <w:p w14:paraId="0E6F83B8" w14:textId="77777777" w:rsidR="0033262D" w:rsidRPr="00A06F1E" w:rsidRDefault="0033262D">
            <w:pPr>
              <w:pStyle w:val="TableTextCentered"/>
              <w:rPr>
                <w:rFonts w:eastAsia="Times New Roman"/>
              </w:rPr>
            </w:pPr>
            <w:r w:rsidRPr="00A06F1E">
              <w:rPr>
                <w:rFonts w:eastAsia="Times New Roman"/>
              </w:rPr>
              <w:t>4</w:t>
            </w:r>
          </w:p>
        </w:tc>
        <w:tc>
          <w:tcPr>
            <w:tcW w:w="684" w:type="dxa"/>
          </w:tcPr>
          <w:p w14:paraId="671CE99B" w14:textId="77777777" w:rsidR="0033262D" w:rsidRPr="00A06F1E" w:rsidRDefault="0033262D">
            <w:pPr>
              <w:pStyle w:val="TableTextCentered"/>
              <w:rPr>
                <w:rFonts w:eastAsia="Times New Roman"/>
              </w:rPr>
            </w:pPr>
            <w:r w:rsidRPr="00A06F1E">
              <w:rPr>
                <w:rFonts w:eastAsia="Times New Roman"/>
              </w:rPr>
              <w:t>1</w:t>
            </w:r>
          </w:p>
        </w:tc>
        <w:tc>
          <w:tcPr>
            <w:tcW w:w="653" w:type="dxa"/>
          </w:tcPr>
          <w:p w14:paraId="5B3ACF40" w14:textId="77777777" w:rsidR="0033262D" w:rsidRPr="00A06F1E" w:rsidRDefault="0033262D">
            <w:pPr>
              <w:pStyle w:val="TableTextCentered"/>
              <w:rPr>
                <w:rFonts w:eastAsia="Times New Roman"/>
              </w:rPr>
            </w:pPr>
            <w:r w:rsidRPr="00A06F1E">
              <w:rPr>
                <w:rFonts w:eastAsia="Times New Roman"/>
              </w:rPr>
              <w:t>2</w:t>
            </w:r>
          </w:p>
        </w:tc>
        <w:tc>
          <w:tcPr>
            <w:tcW w:w="712" w:type="dxa"/>
            <w:vAlign w:val="center"/>
          </w:tcPr>
          <w:p w14:paraId="7A2DB252" w14:textId="77777777" w:rsidR="0033262D" w:rsidRPr="00A06F1E" w:rsidRDefault="0033262D">
            <w:pPr>
              <w:pStyle w:val="TableTextCentered"/>
              <w:rPr>
                <w:rFonts w:eastAsia="Times New Roman"/>
              </w:rPr>
            </w:pPr>
            <w:r w:rsidRPr="00A06F1E">
              <w:rPr>
                <w:rFonts w:eastAsia="Times New Roman"/>
              </w:rPr>
              <w:t>0</w:t>
            </w:r>
          </w:p>
        </w:tc>
        <w:tc>
          <w:tcPr>
            <w:tcW w:w="684" w:type="dxa"/>
            <w:vAlign w:val="center"/>
          </w:tcPr>
          <w:p w14:paraId="461EFF75" w14:textId="77777777" w:rsidR="0033262D" w:rsidRPr="00A06F1E" w:rsidRDefault="0033262D">
            <w:pPr>
              <w:pStyle w:val="TableTextCentered"/>
              <w:rPr>
                <w:rFonts w:eastAsia="Times New Roman"/>
              </w:rPr>
            </w:pPr>
            <w:r w:rsidRPr="00A06F1E">
              <w:rPr>
                <w:rFonts w:eastAsia="Times New Roman"/>
              </w:rPr>
              <w:t>0</w:t>
            </w:r>
          </w:p>
        </w:tc>
        <w:tc>
          <w:tcPr>
            <w:tcW w:w="601" w:type="dxa"/>
          </w:tcPr>
          <w:p w14:paraId="2E3AF529" w14:textId="77777777" w:rsidR="0033262D" w:rsidRPr="00A06F1E" w:rsidRDefault="0033262D">
            <w:pPr>
              <w:pStyle w:val="TableTextCentered"/>
              <w:rPr>
                <w:rFonts w:eastAsia="Times New Roman"/>
              </w:rPr>
            </w:pPr>
            <w:r w:rsidRPr="00A06F1E">
              <w:rPr>
                <w:rFonts w:eastAsia="Times New Roman"/>
              </w:rPr>
              <w:t>16</w:t>
            </w:r>
          </w:p>
        </w:tc>
        <w:tc>
          <w:tcPr>
            <w:tcW w:w="866" w:type="dxa"/>
          </w:tcPr>
          <w:p w14:paraId="26DBEE94" w14:textId="77777777" w:rsidR="0033262D" w:rsidRPr="00A06F1E" w:rsidRDefault="0033262D">
            <w:pPr>
              <w:pStyle w:val="TableTextCentered"/>
              <w:rPr>
                <w:rFonts w:eastAsia="Times New Roman"/>
              </w:rPr>
            </w:pPr>
            <w:r w:rsidRPr="00A06F1E">
              <w:rPr>
                <w:rFonts w:eastAsia="Times New Roman"/>
              </w:rPr>
              <w:t>2.6</w:t>
            </w:r>
          </w:p>
        </w:tc>
      </w:tr>
      <w:tr w:rsidR="0033262D" w:rsidRPr="00A06F1E" w14:paraId="21C6CA68" w14:textId="77777777" w:rsidTr="0033262D">
        <w:tc>
          <w:tcPr>
            <w:tcW w:w="3095" w:type="dxa"/>
            <w:vAlign w:val="center"/>
          </w:tcPr>
          <w:p w14:paraId="18A56A86" w14:textId="77777777" w:rsidR="0033262D" w:rsidRPr="00A06F1E" w:rsidRDefault="0033262D">
            <w:pPr>
              <w:pStyle w:val="TableText"/>
              <w:ind w:left="204"/>
              <w:rPr>
                <w:b/>
                <w:bCs/>
              </w:rPr>
            </w:pPr>
            <w:r w:rsidRPr="00A06F1E">
              <w:t>Instructional Dialogue</w:t>
            </w:r>
          </w:p>
        </w:tc>
        <w:tc>
          <w:tcPr>
            <w:tcW w:w="683" w:type="dxa"/>
          </w:tcPr>
          <w:p w14:paraId="1CF45BD7" w14:textId="77777777" w:rsidR="0033262D" w:rsidRPr="00A06F1E" w:rsidRDefault="0033262D">
            <w:pPr>
              <w:pStyle w:val="TableTextCentered"/>
              <w:rPr>
                <w:rFonts w:eastAsia="Times New Roman"/>
              </w:rPr>
            </w:pPr>
            <w:r w:rsidRPr="00A06F1E">
              <w:rPr>
                <w:rFonts w:eastAsia="Times New Roman"/>
              </w:rPr>
              <w:t>8</w:t>
            </w:r>
          </w:p>
        </w:tc>
        <w:tc>
          <w:tcPr>
            <w:tcW w:w="714" w:type="dxa"/>
          </w:tcPr>
          <w:p w14:paraId="657413AE" w14:textId="77777777" w:rsidR="0033262D" w:rsidRPr="00A06F1E" w:rsidRDefault="0033262D">
            <w:pPr>
              <w:pStyle w:val="TableTextCentered"/>
              <w:rPr>
                <w:rFonts w:eastAsia="Times New Roman"/>
              </w:rPr>
            </w:pPr>
            <w:r w:rsidRPr="00A06F1E">
              <w:rPr>
                <w:rFonts w:eastAsia="Times New Roman"/>
              </w:rPr>
              <w:t>2</w:t>
            </w:r>
          </w:p>
        </w:tc>
        <w:tc>
          <w:tcPr>
            <w:tcW w:w="652" w:type="dxa"/>
          </w:tcPr>
          <w:p w14:paraId="3123EC7A" w14:textId="77777777" w:rsidR="0033262D" w:rsidRPr="00A06F1E" w:rsidRDefault="0033262D">
            <w:pPr>
              <w:pStyle w:val="TableTextCentered"/>
              <w:rPr>
                <w:rFonts w:eastAsia="Times New Roman"/>
              </w:rPr>
            </w:pPr>
            <w:r w:rsidRPr="00A06F1E">
              <w:rPr>
                <w:rFonts w:eastAsia="Times New Roman"/>
              </w:rPr>
              <w:t>3</w:t>
            </w:r>
          </w:p>
        </w:tc>
        <w:tc>
          <w:tcPr>
            <w:tcW w:w="684" w:type="dxa"/>
          </w:tcPr>
          <w:p w14:paraId="4A33DE3C" w14:textId="77777777" w:rsidR="0033262D" w:rsidRPr="00A06F1E" w:rsidRDefault="0033262D">
            <w:pPr>
              <w:pStyle w:val="TableTextCentered"/>
              <w:rPr>
                <w:rFonts w:eastAsia="Times New Roman"/>
              </w:rPr>
            </w:pPr>
            <w:r w:rsidRPr="00A06F1E">
              <w:rPr>
                <w:rFonts w:eastAsia="Times New Roman"/>
              </w:rPr>
              <w:t>1</w:t>
            </w:r>
          </w:p>
        </w:tc>
        <w:tc>
          <w:tcPr>
            <w:tcW w:w="653" w:type="dxa"/>
          </w:tcPr>
          <w:p w14:paraId="42E17C70" w14:textId="77777777" w:rsidR="0033262D" w:rsidRPr="00A06F1E" w:rsidRDefault="0033262D">
            <w:pPr>
              <w:pStyle w:val="TableTextCentered"/>
              <w:rPr>
                <w:rFonts w:eastAsia="Times New Roman"/>
              </w:rPr>
            </w:pPr>
            <w:r w:rsidRPr="00A06F1E">
              <w:rPr>
                <w:rFonts w:eastAsia="Times New Roman"/>
              </w:rPr>
              <w:t>2</w:t>
            </w:r>
          </w:p>
        </w:tc>
        <w:tc>
          <w:tcPr>
            <w:tcW w:w="712" w:type="dxa"/>
            <w:vAlign w:val="center"/>
          </w:tcPr>
          <w:p w14:paraId="5F6FA9F4" w14:textId="77777777" w:rsidR="0033262D" w:rsidRPr="00A06F1E" w:rsidRDefault="0033262D">
            <w:pPr>
              <w:pStyle w:val="TableTextCentered"/>
              <w:rPr>
                <w:rFonts w:eastAsia="Times New Roman"/>
              </w:rPr>
            </w:pPr>
            <w:r w:rsidRPr="00A06F1E">
              <w:rPr>
                <w:rFonts w:eastAsia="Times New Roman"/>
              </w:rPr>
              <w:t>0</w:t>
            </w:r>
          </w:p>
        </w:tc>
        <w:tc>
          <w:tcPr>
            <w:tcW w:w="684" w:type="dxa"/>
            <w:vAlign w:val="center"/>
          </w:tcPr>
          <w:p w14:paraId="59D7EA9A" w14:textId="77777777" w:rsidR="0033262D" w:rsidRPr="00A06F1E" w:rsidRDefault="0033262D">
            <w:pPr>
              <w:pStyle w:val="TableTextCentered"/>
              <w:rPr>
                <w:rFonts w:eastAsia="Times New Roman"/>
              </w:rPr>
            </w:pPr>
            <w:r w:rsidRPr="00A06F1E">
              <w:rPr>
                <w:rFonts w:eastAsia="Times New Roman"/>
              </w:rPr>
              <w:t>0</w:t>
            </w:r>
          </w:p>
        </w:tc>
        <w:tc>
          <w:tcPr>
            <w:tcW w:w="601" w:type="dxa"/>
          </w:tcPr>
          <w:p w14:paraId="4B50048A" w14:textId="77777777" w:rsidR="0033262D" w:rsidRPr="00A06F1E" w:rsidRDefault="0033262D">
            <w:pPr>
              <w:pStyle w:val="TableTextCentered"/>
              <w:rPr>
                <w:rFonts w:eastAsia="Times New Roman"/>
              </w:rPr>
            </w:pPr>
            <w:r w:rsidRPr="00A06F1E">
              <w:rPr>
                <w:rFonts w:eastAsia="Times New Roman"/>
              </w:rPr>
              <w:t>16</w:t>
            </w:r>
          </w:p>
        </w:tc>
        <w:tc>
          <w:tcPr>
            <w:tcW w:w="866" w:type="dxa"/>
          </w:tcPr>
          <w:p w14:paraId="57CAFFDE" w14:textId="77777777" w:rsidR="0033262D" w:rsidRPr="00A06F1E" w:rsidRDefault="0033262D">
            <w:pPr>
              <w:pStyle w:val="TableTextCentered"/>
              <w:rPr>
                <w:rFonts w:eastAsia="Times New Roman"/>
              </w:rPr>
            </w:pPr>
            <w:r w:rsidRPr="00A06F1E">
              <w:rPr>
                <w:rFonts w:eastAsia="Times New Roman"/>
              </w:rPr>
              <w:t>2.2</w:t>
            </w:r>
          </w:p>
        </w:tc>
      </w:tr>
      <w:tr w:rsidR="0033262D" w:rsidRPr="00A06F1E" w14:paraId="3761CE2C" w14:textId="77777777" w:rsidTr="0033262D">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624FBAB1" w14:textId="77777777" w:rsidR="0033262D" w:rsidRPr="00A06F1E" w:rsidRDefault="0033262D">
            <w:pPr>
              <w:pStyle w:val="TableSubheading"/>
            </w:pPr>
            <w:r w:rsidRPr="00A06F1E">
              <w:t>Student Engagement</w:t>
            </w:r>
          </w:p>
        </w:tc>
        <w:tc>
          <w:tcPr>
            <w:tcW w:w="683" w:type="dxa"/>
          </w:tcPr>
          <w:p w14:paraId="27B9FA02" w14:textId="77777777" w:rsidR="0033262D" w:rsidRPr="00A06F1E" w:rsidRDefault="0033262D">
            <w:pPr>
              <w:pStyle w:val="TableTextCenteredDemi"/>
              <w:rPr>
                <w:rFonts w:eastAsia="Times New Roman"/>
                <w:bCs/>
              </w:rPr>
            </w:pPr>
            <w:r w:rsidRPr="00A06F1E">
              <w:rPr>
                <w:rFonts w:eastAsia="Times New Roman"/>
                <w:bCs/>
              </w:rPr>
              <w:t>0</w:t>
            </w:r>
          </w:p>
        </w:tc>
        <w:tc>
          <w:tcPr>
            <w:tcW w:w="714" w:type="dxa"/>
          </w:tcPr>
          <w:p w14:paraId="24B8F32C" w14:textId="77777777" w:rsidR="0033262D" w:rsidRPr="00A06F1E" w:rsidRDefault="0033262D">
            <w:pPr>
              <w:pStyle w:val="TableTextCenteredDemi"/>
              <w:rPr>
                <w:rFonts w:eastAsia="Times New Roman"/>
                <w:bCs/>
              </w:rPr>
            </w:pPr>
            <w:r w:rsidRPr="00A06F1E">
              <w:rPr>
                <w:rFonts w:eastAsia="Times New Roman"/>
                <w:bCs/>
              </w:rPr>
              <w:t>4</w:t>
            </w:r>
          </w:p>
        </w:tc>
        <w:tc>
          <w:tcPr>
            <w:tcW w:w="652" w:type="dxa"/>
          </w:tcPr>
          <w:p w14:paraId="6655ADA8" w14:textId="77777777" w:rsidR="0033262D" w:rsidRPr="00A06F1E" w:rsidRDefault="0033262D">
            <w:pPr>
              <w:pStyle w:val="TableTextCenteredDemi"/>
              <w:rPr>
                <w:rFonts w:eastAsia="Times New Roman"/>
                <w:bCs/>
              </w:rPr>
            </w:pPr>
            <w:r w:rsidRPr="00A06F1E">
              <w:rPr>
                <w:rFonts w:eastAsia="Times New Roman"/>
                <w:bCs/>
              </w:rPr>
              <w:t>3</w:t>
            </w:r>
          </w:p>
        </w:tc>
        <w:tc>
          <w:tcPr>
            <w:tcW w:w="684" w:type="dxa"/>
          </w:tcPr>
          <w:p w14:paraId="7FF3FB97" w14:textId="77777777" w:rsidR="0033262D" w:rsidRPr="00A06F1E" w:rsidRDefault="0033262D">
            <w:pPr>
              <w:pStyle w:val="TableTextCenteredDemi"/>
              <w:rPr>
                <w:rFonts w:eastAsia="Times New Roman"/>
                <w:bCs/>
              </w:rPr>
            </w:pPr>
            <w:r w:rsidRPr="00A06F1E">
              <w:rPr>
                <w:rFonts w:eastAsia="Times New Roman"/>
                <w:bCs/>
              </w:rPr>
              <w:t>4</w:t>
            </w:r>
          </w:p>
        </w:tc>
        <w:tc>
          <w:tcPr>
            <w:tcW w:w="653" w:type="dxa"/>
          </w:tcPr>
          <w:p w14:paraId="4E07CFD5" w14:textId="77777777" w:rsidR="0033262D" w:rsidRPr="00A06F1E" w:rsidRDefault="0033262D">
            <w:pPr>
              <w:pStyle w:val="TableTextCenteredDemi"/>
              <w:rPr>
                <w:rFonts w:eastAsia="Times New Roman"/>
                <w:bCs/>
              </w:rPr>
            </w:pPr>
            <w:r w:rsidRPr="00A06F1E">
              <w:rPr>
                <w:rFonts w:eastAsia="Times New Roman"/>
                <w:bCs/>
              </w:rPr>
              <w:t>3</w:t>
            </w:r>
          </w:p>
        </w:tc>
        <w:tc>
          <w:tcPr>
            <w:tcW w:w="712" w:type="dxa"/>
            <w:vAlign w:val="center"/>
          </w:tcPr>
          <w:p w14:paraId="1CBD0183" w14:textId="77777777" w:rsidR="0033262D" w:rsidRPr="00A06F1E" w:rsidRDefault="0033262D">
            <w:pPr>
              <w:pStyle w:val="TableTextCenteredDemi"/>
              <w:rPr>
                <w:rFonts w:eastAsia="Times New Roman"/>
                <w:bCs/>
              </w:rPr>
            </w:pPr>
            <w:r w:rsidRPr="00A06F1E">
              <w:rPr>
                <w:rFonts w:eastAsia="Times New Roman"/>
                <w:bCs/>
              </w:rPr>
              <w:t>2</w:t>
            </w:r>
          </w:p>
        </w:tc>
        <w:tc>
          <w:tcPr>
            <w:tcW w:w="684" w:type="dxa"/>
            <w:vAlign w:val="center"/>
          </w:tcPr>
          <w:p w14:paraId="19EFBDFB" w14:textId="77777777" w:rsidR="0033262D" w:rsidRPr="00A06F1E" w:rsidRDefault="0033262D">
            <w:pPr>
              <w:pStyle w:val="TableTextCenteredDemi"/>
              <w:rPr>
                <w:rFonts w:eastAsia="Times New Roman"/>
                <w:bCs/>
              </w:rPr>
            </w:pPr>
            <w:r w:rsidRPr="00A06F1E">
              <w:rPr>
                <w:rFonts w:eastAsia="Times New Roman"/>
                <w:bCs/>
              </w:rPr>
              <w:t>0</w:t>
            </w:r>
          </w:p>
        </w:tc>
        <w:tc>
          <w:tcPr>
            <w:tcW w:w="601" w:type="dxa"/>
          </w:tcPr>
          <w:p w14:paraId="1D58134A" w14:textId="77777777" w:rsidR="0033262D" w:rsidRPr="00A06F1E" w:rsidRDefault="0033262D">
            <w:pPr>
              <w:pStyle w:val="TableTextCenteredDemi"/>
              <w:rPr>
                <w:rFonts w:eastAsia="Times New Roman"/>
                <w:bCs/>
              </w:rPr>
            </w:pPr>
            <w:r w:rsidRPr="00A06F1E">
              <w:rPr>
                <w:rFonts w:eastAsia="Times New Roman"/>
                <w:bCs/>
              </w:rPr>
              <w:t>16</w:t>
            </w:r>
          </w:p>
        </w:tc>
        <w:tc>
          <w:tcPr>
            <w:tcW w:w="866" w:type="dxa"/>
          </w:tcPr>
          <w:p w14:paraId="56E8ADD6" w14:textId="77777777" w:rsidR="0033262D" w:rsidRPr="00A06F1E" w:rsidRDefault="0033262D">
            <w:pPr>
              <w:pStyle w:val="TableTextCenteredDemi"/>
              <w:rPr>
                <w:rFonts w:eastAsia="Times New Roman"/>
                <w:bCs/>
              </w:rPr>
            </w:pPr>
            <w:r w:rsidRPr="00A06F1E">
              <w:rPr>
                <w:rFonts w:eastAsia="Times New Roman"/>
                <w:bCs/>
              </w:rPr>
              <w:t>3.8</w:t>
            </w:r>
          </w:p>
        </w:tc>
      </w:tr>
    </w:tbl>
    <w:bookmarkEnd w:id="206"/>
    <w:p w14:paraId="3E2F493F" w14:textId="77777777" w:rsidR="0033262D" w:rsidRPr="00A06F1E" w:rsidRDefault="0033262D">
      <w:pPr>
        <w:pStyle w:val="TableNote"/>
        <w:rPr>
          <w:szCs w:val="20"/>
        </w:rPr>
      </w:pPr>
      <w:r w:rsidRPr="00A06F1E">
        <w:t xml:space="preserve">*The district average is an average of the scores. For example, for Positive Climate, the district average is computed as: </w:t>
      </w:r>
      <w:bookmarkStart w:id="207" w:name="High_PC_Calc"/>
      <w:r w:rsidRPr="00A06F1E">
        <w:rPr>
          <w:szCs w:val="20"/>
        </w:rPr>
        <w:t>([2 x 5] + [3 x 3] + [4 x 1] + [5 x 3] + [6 x 3] + [7 x 1]) ÷ 16 observations = 3.9</w:t>
      </w:r>
      <w:bookmarkEnd w:id="207"/>
    </w:p>
    <w:p w14:paraId="3719D8DE" w14:textId="77777777" w:rsidR="0033262D" w:rsidRPr="00A06F1E" w:rsidRDefault="0033262D">
      <w:pPr>
        <w:pStyle w:val="TableNote"/>
      </w:pPr>
      <w:r w:rsidRPr="00A06F1E">
        <w:t xml:space="preserve">**Negative Climate is rated on an inverse scale. An original score of 1 is given a value of 7. The scoring in the table reflects the normalized adjustment: </w:t>
      </w:r>
      <w:bookmarkStart w:id="208" w:name="High_NC_Calc"/>
      <w:r w:rsidRPr="00A06F1E">
        <w:t>([5 x 2] + [6 x 1] + [7 x 13]) ÷ 16 observations = 6.7</w:t>
      </w:r>
      <w:bookmarkEnd w:id="208"/>
    </w:p>
    <w:p w14:paraId="75A19476" w14:textId="77777777" w:rsidR="0033262D" w:rsidRPr="00A06F1E" w:rsidRDefault="0033262D">
      <w:pPr>
        <w:spacing w:after="160" w:line="259" w:lineRule="auto"/>
        <w:rPr>
          <w:rFonts w:ascii="Times New Roman" w:eastAsia="MS Mincho" w:hAnsi="Times New Roman" w:cs="Times New Roman"/>
          <w:b/>
          <w:sz w:val="20"/>
        </w:rPr>
      </w:pPr>
    </w:p>
    <w:p w14:paraId="52C96E93" w14:textId="77777777" w:rsidR="0033262D" w:rsidRPr="00A06F1E" w:rsidRDefault="0033262D">
      <w:pPr>
        <w:pStyle w:val="Heading2-SIOR"/>
      </w:pPr>
      <w:bookmarkStart w:id="209" w:name="_Toc430114891"/>
      <w:bookmarkStart w:id="210" w:name="_Toc496109993"/>
      <w:bookmarkStart w:id="211" w:name="_Toc92194271"/>
      <w:r w:rsidRPr="00A06F1E">
        <w:lastRenderedPageBreak/>
        <w:t>References</w:t>
      </w:r>
      <w:bookmarkEnd w:id="209"/>
      <w:bookmarkEnd w:id="210"/>
      <w:bookmarkEnd w:id="211"/>
    </w:p>
    <w:p w14:paraId="14A3D30C" w14:textId="3574F4DC" w:rsidR="0033262D" w:rsidRPr="00A06F1E" w:rsidRDefault="0033262D">
      <w:pPr>
        <w:pStyle w:val="Reference"/>
        <w:rPr>
          <w:rStyle w:val="Hyperlink"/>
          <w:rFonts w:eastAsiaTheme="minorEastAsia"/>
        </w:rPr>
      </w:pPr>
      <w:r w:rsidRPr="00A06F1E">
        <w:t xml:space="preserve">Center for Advanced Study of Teaching and Learning. (n.d.). </w:t>
      </w:r>
      <w:r w:rsidRPr="00A06F1E">
        <w:rPr>
          <w:i/>
        </w:rPr>
        <w:t>Measuring and improving teacher-student interactions in PK−12 settings to enhance students</w:t>
      </w:r>
      <w:r w:rsidR="00040362" w:rsidRPr="00A06F1E">
        <w:rPr>
          <w:i/>
        </w:rPr>
        <w:t>’</w:t>
      </w:r>
      <w:r w:rsidRPr="00A06F1E">
        <w:rPr>
          <w:i/>
        </w:rPr>
        <w:t xml:space="preserve"> learning</w:t>
      </w:r>
      <w:r w:rsidRPr="00A06F1E">
        <w:t xml:space="preserve">. Charlottesville, VA: University of Virginia. Retrieved from </w:t>
      </w:r>
      <w:hyperlink r:id="rId38" w:history="1">
        <w:r w:rsidRPr="00A06F1E">
          <w:rPr>
            <w:rStyle w:val="Hyperlink"/>
            <w:rFonts w:eastAsiaTheme="minorEastAsia"/>
          </w:rPr>
          <w:t>http://www.teachstone.com/wp-content/uploads/2011/05/class-mtp-pk-12-brief.pdf</w:t>
        </w:r>
      </w:hyperlink>
    </w:p>
    <w:p w14:paraId="6BE43E6F" w14:textId="77777777" w:rsidR="0033262D" w:rsidRPr="00A06F1E" w:rsidRDefault="0033262D">
      <w:pPr>
        <w:pStyle w:val="Reference"/>
        <w:rPr>
          <w:rStyle w:val="Hyperlink"/>
          <w:rFonts w:eastAsiaTheme="minorEastAsia"/>
        </w:rPr>
      </w:pPr>
      <w:r w:rsidRPr="00A06F1E">
        <w:t xml:space="preserve">MET Project. (2010). </w:t>
      </w:r>
      <w:r w:rsidRPr="00A06F1E">
        <w:rPr>
          <w:i/>
        </w:rPr>
        <w:t>The CLASS protocol for classroom observations</w:t>
      </w:r>
      <w:r w:rsidRPr="00A06F1E">
        <w:t xml:space="preserve">. Seattle, WA: Bill &amp; Melinda Gates Foundation. Retrieved from </w:t>
      </w:r>
      <w:hyperlink r:id="rId39" w:history="1">
        <w:r w:rsidRPr="00A06F1E">
          <w:rPr>
            <w:rStyle w:val="Hyperlink"/>
            <w:rFonts w:eastAsiaTheme="minorEastAsia"/>
          </w:rPr>
          <w:t>http://metproject.org/resources/CLASS_10_29_10.pdf</w:t>
        </w:r>
      </w:hyperlink>
    </w:p>
    <w:p w14:paraId="2E3C28AE" w14:textId="77777777" w:rsidR="0033262D" w:rsidRPr="00A06F1E" w:rsidRDefault="0033262D">
      <w:pPr>
        <w:pStyle w:val="Reference"/>
      </w:pPr>
      <w:r w:rsidRPr="00A06F1E">
        <w:t xml:space="preserve">Pianta, R. C., Hamre, B. K., &amp; Mintz, S. (2012). </w:t>
      </w:r>
      <w:r w:rsidRPr="00A06F1E">
        <w:rPr>
          <w:i/>
        </w:rPr>
        <w:t>Classroom Assessment Scoring System (CLASS) Manual, Secondary.</w:t>
      </w:r>
      <w:r w:rsidRPr="00A06F1E">
        <w:t xml:space="preserve"> Charlottesville, VA:</w:t>
      </w:r>
      <w:r w:rsidRPr="00A06F1E">
        <w:rPr>
          <w:i/>
        </w:rPr>
        <w:t xml:space="preserve"> </w:t>
      </w:r>
      <w:r w:rsidRPr="00A06F1E">
        <w:t>Teachstone.</w:t>
      </w:r>
    </w:p>
    <w:p w14:paraId="54F15488" w14:textId="77777777" w:rsidR="0033262D" w:rsidRPr="00A06F1E" w:rsidRDefault="0033262D">
      <w:pPr>
        <w:pStyle w:val="Reference"/>
      </w:pPr>
      <w:r w:rsidRPr="00A06F1E">
        <w:t xml:space="preserve">Pianta, R. C., Hamre, B. K., &amp; Mintz, S. (2012). </w:t>
      </w:r>
      <w:r w:rsidRPr="00A06F1E">
        <w:rPr>
          <w:i/>
        </w:rPr>
        <w:t>Classroom Assessment Scoring System (CLASS) Manual, Upper Elementary.</w:t>
      </w:r>
      <w:r w:rsidRPr="00A06F1E">
        <w:t xml:space="preserve"> Charlottesville, VA:</w:t>
      </w:r>
      <w:r w:rsidRPr="00A06F1E">
        <w:rPr>
          <w:i/>
        </w:rPr>
        <w:t xml:space="preserve"> </w:t>
      </w:r>
      <w:r w:rsidRPr="00A06F1E">
        <w:t>Teachstone.</w:t>
      </w:r>
    </w:p>
    <w:p w14:paraId="4944BD86" w14:textId="77777777" w:rsidR="0033262D" w:rsidRPr="00A06F1E" w:rsidRDefault="0033262D">
      <w:pPr>
        <w:pStyle w:val="Reference"/>
      </w:pPr>
      <w:r w:rsidRPr="00A06F1E">
        <w:t xml:space="preserve">Pianta, R. C., La Paro, K. M., &amp; Hamre, B. K. (2008). </w:t>
      </w:r>
      <w:r w:rsidRPr="00A06F1E">
        <w:rPr>
          <w:i/>
        </w:rPr>
        <w:t xml:space="preserve">Classroom Assessment Scoring System (CLASS) Manual, K–3. </w:t>
      </w:r>
      <w:r w:rsidRPr="00A06F1E">
        <w:t>Baltimore, MD: Paul H. Brookes Publishing Co.</w:t>
      </w:r>
    </w:p>
    <w:p w14:paraId="18EDF593" w14:textId="77777777" w:rsidR="00BC061B" w:rsidRPr="00A06F1E" w:rsidRDefault="00BC061B" w:rsidP="00BC061B">
      <w:pPr>
        <w:pStyle w:val="BodyTextposthead"/>
      </w:pPr>
    </w:p>
    <w:p w14:paraId="304C07E7" w14:textId="77777777" w:rsidR="00486B55" w:rsidRPr="00A06F1E" w:rsidRDefault="00486B55" w:rsidP="00486B55">
      <w:pPr>
        <w:spacing w:line="240" w:lineRule="auto"/>
        <w:sectPr w:rsidR="00486B55" w:rsidRPr="00A06F1E" w:rsidSect="0033262D">
          <w:footnotePr>
            <w:numRestart w:val="eachSect"/>
          </w:footnotePr>
          <w:pgSz w:w="12240" w:h="15840" w:code="1"/>
          <w:pgMar w:top="1080" w:right="1440" w:bottom="1080" w:left="1440" w:header="720" w:footer="720" w:gutter="0"/>
          <w:cols w:space="720"/>
          <w:docGrid w:linePitch="360"/>
        </w:sectPr>
      </w:pPr>
    </w:p>
    <w:p w14:paraId="24DC4234" w14:textId="2200CBB7" w:rsidR="00486B55" w:rsidRPr="00A06F1E" w:rsidRDefault="00486B55" w:rsidP="00486B55">
      <w:pPr>
        <w:pStyle w:val="Heading2"/>
      </w:pPr>
      <w:bookmarkStart w:id="212" w:name="_Toc170701362"/>
      <w:bookmarkStart w:id="213" w:name="_Toc170896585"/>
      <w:r w:rsidRPr="00A06F1E">
        <w:lastRenderedPageBreak/>
        <w:t>Appendix C. Resources to Support Implementation of DESE</w:t>
      </w:r>
      <w:r w:rsidR="00040362" w:rsidRPr="00A06F1E">
        <w:t>’</w:t>
      </w:r>
      <w:r w:rsidRPr="00A06F1E">
        <w:t>s District Standards and Indicators</w:t>
      </w:r>
      <w:bookmarkEnd w:id="74"/>
      <w:bookmarkEnd w:id="75"/>
      <w:bookmarkEnd w:id="212"/>
      <w:bookmarkEnd w:id="213"/>
    </w:p>
    <w:p w14:paraId="069089D0" w14:textId="77777777" w:rsidR="004939EC" w:rsidRPr="00A06F1E" w:rsidRDefault="004939EC" w:rsidP="00056D2B">
      <w:pPr>
        <w:pStyle w:val="TableTitle0"/>
      </w:pPr>
      <w:bookmarkStart w:id="214" w:name="_Toc170701926"/>
      <w:r w:rsidRPr="00A06F1E">
        <w:t>Table C1. Resources to Support Leadership and Governance</w:t>
      </w:r>
      <w:bookmarkEnd w:id="214"/>
    </w:p>
    <w:tbl>
      <w:tblPr>
        <w:tblStyle w:val="MSVTable1"/>
        <w:tblW w:w="5000" w:type="pct"/>
        <w:tblLayout w:type="fixed"/>
        <w:tblLook w:val="0620" w:firstRow="1" w:lastRow="0" w:firstColumn="0" w:lastColumn="0" w:noHBand="1" w:noVBand="1"/>
      </w:tblPr>
      <w:tblGrid>
        <w:gridCol w:w="2782"/>
        <w:gridCol w:w="6562"/>
      </w:tblGrid>
      <w:tr w:rsidR="004939EC" w:rsidRPr="00A06F1E" w14:paraId="4D375B43" w14:textId="77777777" w:rsidTr="00D90309">
        <w:trPr>
          <w:cnfStyle w:val="100000000000" w:firstRow="1" w:lastRow="0" w:firstColumn="0" w:lastColumn="0" w:oddVBand="0" w:evenVBand="0" w:oddHBand="0" w:evenHBand="0" w:firstRowFirstColumn="0" w:firstRowLastColumn="0" w:lastRowFirstColumn="0" w:lastRowLastColumn="0"/>
        </w:trPr>
        <w:tc>
          <w:tcPr>
            <w:tcW w:w="2782" w:type="dxa"/>
            <w:tcBorders>
              <w:top w:val="single" w:sz="6" w:space="0" w:color="2F5496"/>
              <w:left w:val="single" w:sz="6" w:space="0" w:color="2F5496"/>
              <w:bottom w:val="single" w:sz="6" w:space="0" w:color="2F5496"/>
            </w:tcBorders>
            <w:hideMark/>
          </w:tcPr>
          <w:p w14:paraId="7203B15F" w14:textId="77777777" w:rsidR="004939EC" w:rsidRPr="00A06F1E" w:rsidRDefault="004939EC" w:rsidP="00056D2B">
            <w:pPr>
              <w:pStyle w:val="TableColHeadingLeft"/>
            </w:pPr>
            <w:r w:rsidRPr="00A06F1E">
              <w:t>Resource</w:t>
            </w:r>
          </w:p>
        </w:tc>
        <w:tc>
          <w:tcPr>
            <w:tcW w:w="6562" w:type="dxa"/>
            <w:tcBorders>
              <w:top w:val="single" w:sz="6" w:space="0" w:color="2F5496"/>
              <w:bottom w:val="single" w:sz="6" w:space="0" w:color="2F5496"/>
              <w:right w:val="single" w:sz="6" w:space="0" w:color="2F5496"/>
            </w:tcBorders>
            <w:hideMark/>
          </w:tcPr>
          <w:p w14:paraId="12B88E4A" w14:textId="77777777" w:rsidR="004939EC" w:rsidRPr="00A06F1E" w:rsidRDefault="004939EC" w:rsidP="00056D2B">
            <w:pPr>
              <w:pStyle w:val="TableColHeadingLeft"/>
            </w:pPr>
            <w:r w:rsidRPr="00A06F1E">
              <w:t>Description</w:t>
            </w:r>
          </w:p>
        </w:tc>
      </w:tr>
      <w:tr w:rsidR="004939EC" w:rsidRPr="00A06F1E" w14:paraId="7718AF9B" w14:textId="77777777" w:rsidTr="00D90309">
        <w:tc>
          <w:tcPr>
            <w:tcW w:w="2782" w:type="dxa"/>
            <w:tcBorders>
              <w:top w:val="single" w:sz="6" w:space="0" w:color="2F5496"/>
              <w:left w:val="single" w:sz="6" w:space="0" w:color="2F5496"/>
              <w:bottom w:val="single" w:sz="6" w:space="0" w:color="2F5496"/>
              <w:right w:val="single" w:sz="6" w:space="0" w:color="2F5496"/>
            </w:tcBorders>
            <w:hideMark/>
          </w:tcPr>
          <w:p w14:paraId="5FB503E3" w14:textId="77777777" w:rsidR="004939EC" w:rsidRPr="00A06F1E" w:rsidRDefault="00000000" w:rsidP="0033262D">
            <w:pPr>
              <w:pStyle w:val="TableText"/>
              <w:rPr>
                <w:rFonts w:ascii="Franklin Gothic Demi" w:eastAsia="HGGothicE" w:hAnsi="Franklin Gothic Demi" w:cs="Franklin Gothic Book"/>
                <w:bCs/>
              </w:rPr>
            </w:pPr>
            <w:hyperlink r:id="rId40" w:history="1">
              <w:r w:rsidR="004939EC" w:rsidRPr="00A06F1E">
                <w:rPr>
                  <w:rStyle w:val="Hyperlink"/>
                  <w:rFonts w:ascii="Franklin Gothic Book" w:hAnsi="Franklin Gothic Book" w:cs="Calibri"/>
                  <w:color w:val="0070C0"/>
                </w:rPr>
                <w:t>Coherence Guidebook</w:t>
              </w:r>
            </w:hyperlink>
          </w:p>
        </w:tc>
        <w:tc>
          <w:tcPr>
            <w:tcW w:w="6562" w:type="dxa"/>
            <w:tcBorders>
              <w:top w:val="single" w:sz="6" w:space="0" w:color="2F5496"/>
              <w:left w:val="single" w:sz="6" w:space="0" w:color="2F5496"/>
              <w:bottom w:val="single" w:sz="6" w:space="0" w:color="2F5496"/>
              <w:right w:val="single" w:sz="6" w:space="0" w:color="2F5496"/>
            </w:tcBorders>
            <w:hideMark/>
          </w:tcPr>
          <w:p w14:paraId="3E63008B" w14:textId="77777777" w:rsidR="004939EC" w:rsidRPr="00A06F1E" w:rsidRDefault="004939EC" w:rsidP="0033262D">
            <w:pPr>
              <w:pStyle w:val="TableText"/>
              <w:rPr>
                <w:rFonts w:ascii="Franklin Gothic Demi" w:eastAsia="HGGothicE" w:hAnsi="Franklin Gothic Demi" w:cs="Franklin Gothic Book"/>
                <w:bCs/>
              </w:rPr>
            </w:pPr>
            <w:r w:rsidRPr="00A06F1E">
              <w:rPr>
                <w:rFonts w:ascii="Franklin Gothic Book" w:hAnsi="Franklin Gothic Book" w:cs="Calibri"/>
                <w:color w:val="000000" w:themeColor="text1"/>
              </w:rPr>
              <w:t xml:space="preserve">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 </w:t>
            </w:r>
          </w:p>
        </w:tc>
      </w:tr>
      <w:tr w:rsidR="004939EC" w:rsidRPr="00A06F1E" w14:paraId="62D20699" w14:textId="77777777" w:rsidTr="00D90309">
        <w:tc>
          <w:tcPr>
            <w:tcW w:w="2782" w:type="dxa"/>
            <w:tcBorders>
              <w:top w:val="single" w:sz="6" w:space="0" w:color="2F5496"/>
              <w:left w:val="single" w:sz="6" w:space="0" w:color="2F5496"/>
              <w:bottom w:val="single" w:sz="6" w:space="0" w:color="2F5496"/>
              <w:right w:val="single" w:sz="6" w:space="0" w:color="2F5496"/>
            </w:tcBorders>
            <w:hideMark/>
          </w:tcPr>
          <w:p w14:paraId="0915C8B8" w14:textId="77777777" w:rsidR="004939EC" w:rsidRPr="00A06F1E" w:rsidRDefault="00000000" w:rsidP="0033262D">
            <w:pPr>
              <w:pStyle w:val="TableText"/>
              <w:rPr>
                <w:rFonts w:ascii="Franklin Gothic Book" w:eastAsia="Times New Roman" w:hAnsi="Franklin Gothic Book" w:cs="Times New Roman"/>
                <w:bCs/>
                <w:szCs w:val="20"/>
              </w:rPr>
            </w:pPr>
            <w:hyperlink r:id="rId41" w:history="1">
              <w:r w:rsidR="004939EC" w:rsidRPr="00A06F1E">
                <w:rPr>
                  <w:rStyle w:val="Hyperlink"/>
                  <w:rFonts w:ascii="Franklin Gothic Book" w:hAnsi="Franklin Gothic Book" w:cs="Calibri"/>
                  <w:color w:val="0070C0"/>
                  <w:szCs w:val="20"/>
                </w:rPr>
                <w:t>Principal Induction and Mentoring Handbook</w:t>
              </w:r>
            </w:hyperlink>
          </w:p>
        </w:tc>
        <w:tc>
          <w:tcPr>
            <w:tcW w:w="6562" w:type="dxa"/>
            <w:tcBorders>
              <w:top w:val="single" w:sz="6" w:space="0" w:color="2F5496"/>
              <w:left w:val="single" w:sz="6" w:space="0" w:color="2F5496"/>
              <w:bottom w:val="single" w:sz="6" w:space="0" w:color="2F5496"/>
              <w:right w:val="single" w:sz="6" w:space="0" w:color="2F5496"/>
            </w:tcBorders>
            <w:hideMark/>
          </w:tcPr>
          <w:p w14:paraId="23C1F49E" w14:textId="77777777" w:rsidR="004939EC" w:rsidRPr="00A06F1E" w:rsidRDefault="004939EC" w:rsidP="0033262D">
            <w:pPr>
              <w:pStyle w:val="TableText"/>
              <w:rPr>
                <w:rFonts w:ascii="Franklin Gothic Book" w:eastAsia="Times New Roman" w:hAnsi="Franklin Gothic Book" w:cs="Times New Roman"/>
                <w:bCs/>
                <w:szCs w:val="20"/>
              </w:rPr>
            </w:pPr>
            <w:r w:rsidRPr="00A06F1E">
              <w:rPr>
                <w:rFonts w:ascii="Franklin Gothic Book" w:hAnsi="Franklin Gothic Book" w:cs="Calibri"/>
                <w:color w:val="000000"/>
                <w:szCs w:val="20"/>
              </w:rPr>
              <w:t>A series of modules designed to support novice principals and their mentors in the development of antiracist leadership competencies aligned to the Professional Standards for Administrative Leadership.</w:t>
            </w:r>
          </w:p>
        </w:tc>
      </w:tr>
      <w:tr w:rsidR="004939EC" w:rsidRPr="00A06F1E" w14:paraId="289188A4" w14:textId="77777777" w:rsidTr="00D90309">
        <w:tc>
          <w:tcPr>
            <w:tcW w:w="2782" w:type="dxa"/>
            <w:tcBorders>
              <w:top w:val="single" w:sz="6" w:space="0" w:color="2F5496"/>
              <w:left w:val="single" w:sz="6" w:space="0" w:color="2F5496"/>
              <w:bottom w:val="single" w:sz="6" w:space="0" w:color="2F5496"/>
              <w:right w:val="single" w:sz="6" w:space="0" w:color="2F5496"/>
            </w:tcBorders>
            <w:hideMark/>
          </w:tcPr>
          <w:p w14:paraId="2E53F413" w14:textId="56408A6C" w:rsidR="004939EC" w:rsidRPr="00A06F1E" w:rsidRDefault="00000000" w:rsidP="0033262D">
            <w:pPr>
              <w:pStyle w:val="TableText"/>
              <w:rPr>
                <w:rFonts w:ascii="Franklin Gothic Book" w:eastAsia="Franklin Gothic Book" w:hAnsi="Franklin Gothic Book" w:cs="Tahoma"/>
                <w:szCs w:val="20"/>
              </w:rPr>
            </w:pPr>
            <w:hyperlink r:id="rId42" w:history="1">
              <w:r w:rsidR="004939EC" w:rsidRPr="00A06F1E">
                <w:rPr>
                  <w:rStyle w:val="Hyperlink"/>
                  <w:rFonts w:ascii="Franklin Gothic Book" w:hAnsi="Franklin Gothic Book" w:cs="Calibri"/>
                  <w:szCs w:val="20"/>
                </w:rPr>
                <w:t xml:space="preserve">Planning for Success </w:t>
              </w:r>
              <w:r w:rsidR="001C0D0F" w:rsidRPr="00A06F1E">
                <w:rPr>
                  <w:rStyle w:val="Hyperlink"/>
                  <w:rFonts w:ascii="Franklin Gothic Book" w:hAnsi="Franklin Gothic Book" w:cs="Calibri"/>
                  <w:szCs w:val="20"/>
                </w:rPr>
                <w:t>i</w:t>
              </w:r>
              <w:r w:rsidR="004939EC" w:rsidRPr="00A06F1E">
                <w:rPr>
                  <w:rStyle w:val="Hyperlink"/>
                  <w:rFonts w:ascii="Franklin Gothic Book" w:hAnsi="Franklin Gothic Book" w:cs="Calibri"/>
                  <w:szCs w:val="20"/>
                </w:rPr>
                <w:t>n Massachusetts</w:t>
              </w:r>
            </w:hyperlink>
          </w:p>
        </w:tc>
        <w:tc>
          <w:tcPr>
            <w:tcW w:w="6562" w:type="dxa"/>
            <w:tcBorders>
              <w:top w:val="single" w:sz="6" w:space="0" w:color="2F5496"/>
              <w:left w:val="single" w:sz="6" w:space="0" w:color="2F5496"/>
              <w:bottom w:val="single" w:sz="6" w:space="0" w:color="2F5496"/>
              <w:right w:val="single" w:sz="6" w:space="0" w:color="2F5496"/>
            </w:tcBorders>
            <w:hideMark/>
          </w:tcPr>
          <w:p w14:paraId="65C7443B" w14:textId="050B3B90" w:rsidR="004939EC" w:rsidRPr="00A06F1E" w:rsidRDefault="00D90309" w:rsidP="0033262D">
            <w:pPr>
              <w:pStyle w:val="TableText"/>
              <w:rPr>
                <w:rFonts w:ascii="Franklin Gothic Book" w:eastAsia="Calibri" w:hAnsi="Franklin Gothic Book" w:cs="Calibri"/>
                <w:color w:val="222222"/>
                <w:szCs w:val="20"/>
              </w:rPr>
            </w:pPr>
            <w:r w:rsidRPr="00A06F1E">
              <w:rPr>
                <w:rFonts w:ascii="Franklin Gothic Book" w:hAnsi="Franklin Gothic Book" w:cs="Calibri"/>
                <w:color w:val="000000"/>
                <w:szCs w:val="20"/>
              </w:rPr>
              <w:t>An</w:t>
            </w:r>
            <w:r w:rsidR="004939EC" w:rsidRPr="00A06F1E">
              <w:rPr>
                <w:rFonts w:ascii="Franklin Gothic Book" w:hAnsi="Franklin Gothic Book" w:cs="Calibri"/>
                <w:color w:val="000000"/>
                <w:szCs w:val="20"/>
              </w:rPr>
              <w:t xml:space="preserve"> inclusive, hands-on planning process designed to build district and school capacity and coherence while also building community understanding and support.</w:t>
            </w:r>
          </w:p>
        </w:tc>
      </w:tr>
    </w:tbl>
    <w:p w14:paraId="7233C30F" w14:textId="77777777" w:rsidR="004939EC" w:rsidRPr="00A06F1E" w:rsidRDefault="004939EC" w:rsidP="00056D2B">
      <w:pPr>
        <w:pStyle w:val="TableTitle0"/>
      </w:pPr>
      <w:bookmarkStart w:id="215" w:name="_Toc170701927"/>
      <w:r w:rsidRPr="00A06F1E">
        <w:t>Table C2. Resources to Support Curriculum and Instruction</w:t>
      </w:r>
      <w:bookmarkEnd w:id="215"/>
    </w:p>
    <w:tbl>
      <w:tblPr>
        <w:tblStyle w:val="MSVTable1"/>
        <w:tblW w:w="4950" w:type="pct"/>
        <w:tblLook w:val="0620" w:firstRow="1" w:lastRow="0" w:firstColumn="0" w:lastColumn="0" w:noHBand="1" w:noVBand="1"/>
      </w:tblPr>
      <w:tblGrid>
        <w:gridCol w:w="2783"/>
        <w:gridCol w:w="6468"/>
      </w:tblGrid>
      <w:tr w:rsidR="004939EC" w:rsidRPr="00A06F1E" w14:paraId="53171CE2" w14:textId="77777777" w:rsidTr="00D90309">
        <w:trPr>
          <w:cnfStyle w:val="100000000000" w:firstRow="1" w:lastRow="0" w:firstColumn="0" w:lastColumn="0" w:oddVBand="0" w:evenVBand="0" w:oddHBand="0" w:evenHBand="0" w:firstRowFirstColumn="0" w:firstRowLastColumn="0" w:lastRowFirstColumn="0" w:lastRowLastColumn="0"/>
          <w:tblHeader/>
        </w:trPr>
        <w:tc>
          <w:tcPr>
            <w:tcW w:w="1504" w:type="pct"/>
            <w:tcBorders>
              <w:top w:val="single" w:sz="6" w:space="0" w:color="2F5496"/>
              <w:left w:val="single" w:sz="6" w:space="0" w:color="2F5496"/>
              <w:bottom w:val="single" w:sz="6" w:space="0" w:color="2F5496"/>
            </w:tcBorders>
            <w:hideMark/>
          </w:tcPr>
          <w:p w14:paraId="46CEFB3A" w14:textId="77777777" w:rsidR="004939EC" w:rsidRPr="00A06F1E" w:rsidRDefault="004939EC" w:rsidP="00056D2B">
            <w:pPr>
              <w:pStyle w:val="TableColHeadingLeft"/>
            </w:pPr>
            <w:r w:rsidRPr="00A06F1E">
              <w:t>Resource</w:t>
            </w:r>
          </w:p>
        </w:tc>
        <w:tc>
          <w:tcPr>
            <w:tcW w:w="3496" w:type="pct"/>
            <w:tcBorders>
              <w:top w:val="single" w:sz="6" w:space="0" w:color="2F5496"/>
              <w:bottom w:val="single" w:sz="6" w:space="0" w:color="2F5496"/>
              <w:right w:val="single" w:sz="6" w:space="0" w:color="2F5496"/>
            </w:tcBorders>
            <w:hideMark/>
          </w:tcPr>
          <w:p w14:paraId="0D88C5C0" w14:textId="77777777" w:rsidR="004939EC" w:rsidRPr="00A06F1E" w:rsidRDefault="004939EC" w:rsidP="00056D2B">
            <w:pPr>
              <w:pStyle w:val="TableColHeadingLeft"/>
            </w:pPr>
            <w:r w:rsidRPr="00A06F1E">
              <w:t>Description</w:t>
            </w:r>
          </w:p>
        </w:tc>
      </w:tr>
      <w:tr w:rsidR="004939EC" w:rsidRPr="00A06F1E" w14:paraId="50A5C139" w14:textId="77777777" w:rsidTr="00D90309">
        <w:tc>
          <w:tcPr>
            <w:tcW w:w="1504" w:type="pct"/>
            <w:tcBorders>
              <w:top w:val="single" w:sz="6" w:space="0" w:color="2F5496"/>
              <w:left w:val="single" w:sz="6" w:space="0" w:color="2F5496"/>
              <w:bottom w:val="single" w:sz="6" w:space="0" w:color="2F5496"/>
              <w:right w:val="single" w:sz="6" w:space="0" w:color="2F5496"/>
            </w:tcBorders>
            <w:hideMark/>
          </w:tcPr>
          <w:p w14:paraId="38BBE48A" w14:textId="77777777" w:rsidR="004939EC" w:rsidRPr="00A06F1E" w:rsidRDefault="00000000" w:rsidP="00056D2B">
            <w:pPr>
              <w:pStyle w:val="TableText"/>
              <w:rPr>
                <w:rFonts w:ascii="Franklin Gothic Book" w:eastAsia="Franklin Gothic Book" w:hAnsi="Franklin Gothic Book" w:cs="Tahoma"/>
                <w:szCs w:val="20"/>
              </w:rPr>
            </w:pPr>
            <w:hyperlink r:id="rId43" w:history="1">
              <w:r w:rsidR="004939EC" w:rsidRPr="00A06F1E">
                <w:rPr>
                  <w:rStyle w:val="Hyperlink"/>
                  <w:rFonts w:ascii="Franklin Gothic Book" w:hAnsi="Franklin Gothic Book" w:cs="Calibri"/>
                  <w:szCs w:val="20"/>
                </w:rPr>
                <w:t>Coherence Guidebook</w:t>
              </w:r>
            </w:hyperlink>
          </w:p>
        </w:tc>
        <w:tc>
          <w:tcPr>
            <w:tcW w:w="3496" w:type="pct"/>
            <w:tcBorders>
              <w:top w:val="single" w:sz="6" w:space="0" w:color="2F5496"/>
              <w:left w:val="single" w:sz="6" w:space="0" w:color="2F5496"/>
              <w:bottom w:val="single" w:sz="6" w:space="0" w:color="2F5496"/>
              <w:right w:val="single" w:sz="6" w:space="0" w:color="2F5496"/>
            </w:tcBorders>
            <w:hideMark/>
          </w:tcPr>
          <w:p w14:paraId="1B3B6531" w14:textId="77777777" w:rsidR="004939EC" w:rsidRPr="00A06F1E" w:rsidRDefault="004939EC" w:rsidP="00056D2B">
            <w:pPr>
              <w:pStyle w:val="TableText"/>
              <w:rPr>
                <w:rFonts w:ascii="Franklin Gothic Book" w:eastAsia="Times New Roman" w:hAnsi="Franklin Gothic Book" w:cs="Times New Roman"/>
                <w:szCs w:val="20"/>
              </w:rPr>
            </w:pPr>
            <w:r w:rsidRPr="00A06F1E">
              <w:rPr>
                <w:rFonts w:ascii="Franklin Gothic Book" w:hAnsi="Franklin Gothic Book" w:cs="Calibri"/>
                <w:color w:val="000000"/>
                <w:szCs w:val="20"/>
              </w:rPr>
              <w:t>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w:t>
            </w:r>
          </w:p>
        </w:tc>
      </w:tr>
      <w:tr w:rsidR="004939EC" w:rsidRPr="00A06F1E" w14:paraId="40B30E5F" w14:textId="77777777" w:rsidTr="00D90309">
        <w:tc>
          <w:tcPr>
            <w:tcW w:w="1504" w:type="pct"/>
            <w:tcBorders>
              <w:top w:val="single" w:sz="6" w:space="0" w:color="2F5496"/>
              <w:left w:val="single" w:sz="6" w:space="0" w:color="2F5496"/>
              <w:bottom w:val="single" w:sz="6" w:space="0" w:color="2F5496"/>
              <w:right w:val="single" w:sz="6" w:space="0" w:color="2F5496"/>
            </w:tcBorders>
            <w:hideMark/>
          </w:tcPr>
          <w:p w14:paraId="01F278EF" w14:textId="1AF8AD20" w:rsidR="004939EC" w:rsidRPr="00A06F1E" w:rsidRDefault="00000000" w:rsidP="00056D2B">
            <w:pPr>
              <w:pStyle w:val="TableText"/>
              <w:rPr>
                <w:rFonts w:ascii="Franklin Gothic Book" w:eastAsia="Franklin Gothic Book" w:hAnsi="Franklin Gothic Book" w:cs="Franklin Gothic Book"/>
                <w:szCs w:val="20"/>
                <w14:ligatures w14:val="standardContextual"/>
              </w:rPr>
            </w:pPr>
            <w:hyperlink r:id="rId44" w:history="1">
              <w:r w:rsidR="004939EC" w:rsidRPr="00A06F1E">
                <w:rPr>
                  <w:rStyle w:val="Hyperlink"/>
                  <w:rFonts w:ascii="Franklin Gothic Book" w:eastAsia="Franklin Gothic Book" w:hAnsi="Franklin Gothic Book" w:cs="Franklin Gothic Book"/>
                </w:rPr>
                <w:t xml:space="preserve">Curriculum Frameworks </w:t>
              </w:r>
              <w:r w:rsidR="00D7521B" w:rsidRPr="00A06F1E">
                <w:rPr>
                  <w:rStyle w:val="Hyperlink"/>
                  <w:rFonts w:ascii="Franklin Gothic Book" w:eastAsia="Franklin Gothic Book" w:hAnsi="Franklin Gothic Book" w:cs="Franklin Gothic Book"/>
                </w:rPr>
                <w:t>r</w:t>
              </w:r>
              <w:r w:rsidR="004939EC" w:rsidRPr="00A06F1E">
                <w:rPr>
                  <w:rStyle w:val="Hyperlink"/>
                  <w:rFonts w:ascii="Franklin Gothic Book" w:eastAsia="Franklin Gothic Book" w:hAnsi="Franklin Gothic Book" w:cs="Franklin Gothic Book"/>
                </w:rPr>
                <w:t>esources</w:t>
              </w:r>
            </w:hyperlink>
          </w:p>
        </w:tc>
        <w:tc>
          <w:tcPr>
            <w:tcW w:w="3496" w:type="pct"/>
            <w:tcBorders>
              <w:top w:val="single" w:sz="6" w:space="0" w:color="2F5496"/>
              <w:left w:val="single" w:sz="6" w:space="0" w:color="2F5496"/>
              <w:bottom w:val="single" w:sz="6" w:space="0" w:color="2F5496"/>
              <w:right w:val="single" w:sz="6" w:space="0" w:color="2F5496"/>
            </w:tcBorders>
            <w:hideMark/>
          </w:tcPr>
          <w:p w14:paraId="4E161867" w14:textId="511665BD" w:rsidR="004939EC" w:rsidRPr="00A06F1E" w:rsidRDefault="004939EC" w:rsidP="00056D2B">
            <w:pPr>
              <w:pStyle w:val="TableText"/>
              <w:rPr>
                <w:rFonts w:ascii="Franklin Gothic Book" w:hAnsi="Franklin Gothic Book" w:cs="Calibri"/>
                <w:color w:val="000000"/>
              </w:rPr>
            </w:pPr>
            <w:r w:rsidRPr="00A06F1E">
              <w:rPr>
                <w:rFonts w:ascii="Franklin Gothic Book" w:hAnsi="Franklin Gothic Book" w:cs="Calibri"/>
                <w:color w:val="000000" w:themeColor="text1"/>
              </w:rPr>
              <w:t xml:space="preserve">Some of the most frequently used resources include </w:t>
            </w:r>
            <w:r w:rsidR="00040362" w:rsidRPr="00A06F1E">
              <w:rPr>
                <w:rFonts w:ascii="Franklin Gothic Book" w:hAnsi="Franklin Gothic Book" w:cs="Calibri"/>
                <w:color w:val="000000" w:themeColor="text1"/>
              </w:rPr>
              <w:t>“</w:t>
            </w:r>
            <w:r w:rsidRPr="00A06F1E">
              <w:rPr>
                <w:rFonts w:ascii="Franklin Gothic Book" w:hAnsi="Franklin Gothic Book" w:cs="Calibri"/>
                <w:color w:val="000000" w:themeColor="text1"/>
              </w:rPr>
              <w:t>What to Look For</w:t>
            </w:r>
            <w:r w:rsidR="00040362" w:rsidRPr="00A06F1E">
              <w:rPr>
                <w:rFonts w:ascii="Franklin Gothic Book" w:hAnsi="Franklin Gothic Book" w:cs="Calibri"/>
                <w:color w:val="000000" w:themeColor="text1"/>
              </w:rPr>
              <w:t>”</w:t>
            </w:r>
            <w:r w:rsidRPr="00A06F1E">
              <w:rPr>
                <w:rFonts w:ascii="Franklin Gothic Book" w:hAnsi="Franklin Gothic Book" w:cs="Calibri"/>
                <w:color w:val="000000" w:themeColor="text1"/>
              </w:rPr>
              <w:t xml:space="preserve"> classroom observation guides; the Family Guides to help families understand what students are expected to know and do by the end of each grade; and the Standards Navigator tool and app, which can be used to explore the standards</w:t>
            </w:r>
            <w:r w:rsidR="006B732B" w:rsidRPr="00A06F1E">
              <w:rPr>
                <w:rFonts w:ascii="Franklin Gothic Book" w:hAnsi="Franklin Gothic Book" w:cs="Calibri"/>
                <w:color w:val="000000" w:themeColor="text1"/>
              </w:rPr>
              <w:t xml:space="preserve"> and</w:t>
            </w:r>
            <w:r w:rsidRPr="00A06F1E">
              <w:rPr>
                <w:rFonts w:ascii="Franklin Gothic Book" w:hAnsi="Franklin Gothic Book" w:cs="Calibri"/>
                <w:color w:val="000000" w:themeColor="text1"/>
              </w:rPr>
              <w:t xml:space="preserve"> see how they are connected to other standards and related student work samples, reference guides, and definitions.</w:t>
            </w:r>
          </w:p>
        </w:tc>
      </w:tr>
      <w:tr w:rsidR="004939EC" w:rsidRPr="00A06F1E" w14:paraId="13A9A1CF" w14:textId="77777777" w:rsidTr="00D90309">
        <w:tc>
          <w:tcPr>
            <w:tcW w:w="1504" w:type="pct"/>
            <w:tcBorders>
              <w:top w:val="single" w:sz="6" w:space="0" w:color="2F5496"/>
              <w:left w:val="single" w:sz="6" w:space="0" w:color="2F5496"/>
              <w:bottom w:val="single" w:sz="6" w:space="0" w:color="2F5496"/>
              <w:right w:val="single" w:sz="6" w:space="0" w:color="2F5496"/>
            </w:tcBorders>
            <w:hideMark/>
          </w:tcPr>
          <w:p w14:paraId="303B3305" w14:textId="6349D794" w:rsidR="004939EC" w:rsidRPr="00A06F1E" w:rsidRDefault="00000000" w:rsidP="00056D2B">
            <w:pPr>
              <w:pStyle w:val="TableText"/>
            </w:pPr>
            <w:hyperlink r:id="rId45" w:history="1">
              <w:r w:rsidR="004939EC" w:rsidRPr="00A06F1E">
                <w:rPr>
                  <w:rStyle w:val="Hyperlink"/>
                  <w:rFonts w:ascii="Franklin Gothic Book" w:hAnsi="Franklin Gothic Book" w:cs="Calibri"/>
                  <w:szCs w:val="20"/>
                </w:rPr>
                <w:t xml:space="preserve">Curriculum Matters </w:t>
              </w:r>
              <w:r w:rsidR="00D7521B" w:rsidRPr="00A06F1E">
                <w:rPr>
                  <w:rStyle w:val="Hyperlink"/>
                  <w:rFonts w:ascii="Franklin Gothic Book" w:hAnsi="Franklin Gothic Book" w:cs="Calibri"/>
                  <w:szCs w:val="20"/>
                </w:rPr>
                <w:t>w</w:t>
              </w:r>
              <w:r w:rsidR="004939EC" w:rsidRPr="00A06F1E">
                <w:rPr>
                  <w:rStyle w:val="Hyperlink"/>
                  <w:rFonts w:ascii="Franklin Gothic Book" w:hAnsi="Franklin Gothic Book" w:cs="Calibri"/>
                  <w:szCs w:val="20"/>
                </w:rPr>
                <w:t>ebpage</w:t>
              </w:r>
            </w:hyperlink>
          </w:p>
        </w:tc>
        <w:tc>
          <w:tcPr>
            <w:tcW w:w="3496" w:type="pct"/>
            <w:tcBorders>
              <w:top w:val="single" w:sz="6" w:space="0" w:color="2F5496"/>
              <w:left w:val="single" w:sz="6" w:space="0" w:color="2F5496"/>
              <w:bottom w:val="single" w:sz="6" w:space="0" w:color="2F5496"/>
              <w:right w:val="single" w:sz="6" w:space="0" w:color="2F5496"/>
            </w:tcBorders>
            <w:hideMark/>
          </w:tcPr>
          <w:p w14:paraId="6A211EDB" w14:textId="77777777" w:rsidR="004939EC" w:rsidRPr="00A06F1E" w:rsidRDefault="004939EC" w:rsidP="00056D2B">
            <w:pPr>
              <w:pStyle w:val="TableText"/>
              <w:rPr>
                <w:rFonts w:ascii="Franklin Gothic Book" w:hAnsi="Franklin Gothic Book" w:cs="Calibri"/>
                <w:color w:val="000000"/>
                <w:szCs w:val="20"/>
              </w:rPr>
            </w:pPr>
            <w:r w:rsidRPr="00A06F1E">
              <w:rPr>
                <w:rFonts w:ascii="Franklin Gothic Book" w:hAnsi="Franklin Gothic Book" w:cs="Calibri"/>
                <w:color w:val="000000"/>
                <w:szCs w:val="20"/>
              </w:rPr>
              <w:t xml:space="preserve">A suite of resources to support the use of high-quality curriculum, including </w:t>
            </w:r>
            <w:hyperlink r:id="rId46" w:history="1">
              <w:r w:rsidRPr="00A06F1E">
                <w:rPr>
                  <w:rStyle w:val="Hyperlink"/>
                  <w:rFonts w:ascii="Franklin Gothic Book" w:hAnsi="Franklin Gothic Book" w:cs="Calibri"/>
                  <w:szCs w:val="20"/>
                </w:rPr>
                <w:t>IMplement MA</w:t>
              </w:r>
            </w:hyperlink>
            <w:r w:rsidRPr="00A06F1E">
              <w:rPr>
                <w:rFonts w:ascii="Franklin Gothic Book" w:hAnsi="Franklin Gothic Book" w:cs="Calibri"/>
                <w:color w:val="000000"/>
                <w:szCs w:val="20"/>
              </w:rPr>
              <w:t xml:space="preserve">, our recommended four-phase process to prepare for, select, launch, and implement new high-quality instructional materials with key tasks and action steps. Also includes </w:t>
            </w:r>
            <w:hyperlink r:id="rId47" w:history="1">
              <w:r w:rsidRPr="00A06F1E">
                <w:rPr>
                  <w:rStyle w:val="Hyperlink"/>
                  <w:rFonts w:ascii="Franklin Gothic Book" w:hAnsi="Franklin Gothic Book" w:cs="Calibri"/>
                  <w:szCs w:val="20"/>
                </w:rPr>
                <w:t>CURATE</w:t>
              </w:r>
            </w:hyperlink>
            <w:r w:rsidRPr="00A06F1E">
              <w:rPr>
                <w:rFonts w:ascii="Franklin Gothic Book" w:hAnsi="Franklin Gothic Book" w:cs="Calibri"/>
                <w:color w:val="000000"/>
                <w:szCs w:val="20"/>
              </w:rPr>
              <w:t>, which convenes panels of Massachusetts teachers to review and rate evidence on the quality and alignment of specific curricular materials and then publish their findings for educators across the Commonwealth to consult.</w:t>
            </w:r>
          </w:p>
        </w:tc>
      </w:tr>
      <w:tr w:rsidR="004939EC" w:rsidRPr="00A06F1E" w14:paraId="236F5F00" w14:textId="77777777" w:rsidTr="00D90309">
        <w:tc>
          <w:tcPr>
            <w:tcW w:w="1504" w:type="pct"/>
            <w:tcBorders>
              <w:top w:val="single" w:sz="6" w:space="0" w:color="2F5496"/>
              <w:left w:val="single" w:sz="6" w:space="0" w:color="2F5496"/>
              <w:bottom w:val="single" w:sz="6" w:space="0" w:color="2F5496"/>
              <w:right w:val="single" w:sz="6" w:space="0" w:color="2F5496"/>
            </w:tcBorders>
            <w:hideMark/>
          </w:tcPr>
          <w:p w14:paraId="6DB14B67" w14:textId="77777777" w:rsidR="004939EC" w:rsidRPr="00A06F1E" w:rsidRDefault="00000000" w:rsidP="00056D2B">
            <w:pPr>
              <w:pStyle w:val="TableText"/>
            </w:pPr>
            <w:hyperlink r:id="rId48" w:history="1">
              <w:r w:rsidR="004939EC" w:rsidRPr="00A06F1E">
                <w:rPr>
                  <w:rStyle w:val="Hyperlink"/>
                  <w:rFonts w:ascii="Franklin Gothic Book" w:hAnsi="Franklin Gothic Book" w:cs="Calibri"/>
                  <w:szCs w:val="20"/>
                </w:rPr>
                <w:t>Digital Literacy and Computer Science (DLCS) Curriculum Guide</w:t>
              </w:r>
            </w:hyperlink>
          </w:p>
        </w:tc>
        <w:tc>
          <w:tcPr>
            <w:tcW w:w="3496" w:type="pct"/>
            <w:tcBorders>
              <w:top w:val="single" w:sz="6" w:space="0" w:color="2F5496"/>
              <w:left w:val="single" w:sz="6" w:space="0" w:color="2F5496"/>
              <w:bottom w:val="single" w:sz="6" w:space="0" w:color="2F5496"/>
              <w:right w:val="single" w:sz="6" w:space="0" w:color="2F5496"/>
            </w:tcBorders>
            <w:hideMark/>
          </w:tcPr>
          <w:p w14:paraId="45A69A04" w14:textId="3CD95EE5" w:rsidR="004939EC" w:rsidRPr="00A06F1E" w:rsidRDefault="00D90309" w:rsidP="00056D2B">
            <w:pPr>
              <w:pStyle w:val="TableText"/>
              <w:rPr>
                <w:rFonts w:ascii="Franklin Gothic Book" w:hAnsi="Franklin Gothic Book" w:cs="Calibri"/>
                <w:color w:val="000000"/>
                <w:szCs w:val="20"/>
              </w:rPr>
            </w:pPr>
            <w:r w:rsidRPr="00A06F1E">
              <w:rPr>
                <w:rFonts w:ascii="Franklin Gothic Book" w:hAnsi="Franklin Gothic Book" w:cs="Calibri"/>
                <w:color w:val="000000"/>
                <w:szCs w:val="20"/>
              </w:rPr>
              <w:t>This</w:t>
            </w:r>
            <w:r w:rsidR="004939EC" w:rsidRPr="00A06F1E">
              <w:rPr>
                <w:rFonts w:ascii="Franklin Gothic Book" w:hAnsi="Franklin Gothic Book" w:cs="Calibri"/>
                <w:color w:val="000000"/>
                <w:szCs w:val="20"/>
              </w:rPr>
              <w:t xml:space="preserve"> </w:t>
            </w:r>
            <w:r w:rsidRPr="00A06F1E">
              <w:rPr>
                <w:rFonts w:ascii="Franklin Gothic Book" w:hAnsi="Franklin Gothic Book" w:cs="Calibri"/>
                <w:color w:val="000000"/>
                <w:szCs w:val="20"/>
              </w:rPr>
              <w:t>c</w:t>
            </w:r>
            <w:r w:rsidR="004939EC" w:rsidRPr="00A06F1E">
              <w:rPr>
                <w:rFonts w:ascii="Franklin Gothic Book" w:hAnsi="Franklin Gothic Book" w:cs="Calibri"/>
                <w:color w:val="000000"/>
                <w:szCs w:val="20"/>
              </w:rPr>
              <w:t xml:space="preserve">urriculum </w:t>
            </w:r>
            <w:r w:rsidRPr="00A06F1E">
              <w:rPr>
                <w:rFonts w:ascii="Franklin Gothic Book" w:hAnsi="Franklin Gothic Book" w:cs="Calibri"/>
                <w:color w:val="000000"/>
                <w:szCs w:val="20"/>
              </w:rPr>
              <w:t>g</w:t>
            </w:r>
            <w:r w:rsidR="004939EC" w:rsidRPr="00A06F1E">
              <w:rPr>
                <w:rFonts w:ascii="Franklin Gothic Book" w:hAnsi="Franklin Gothic Book" w:cs="Calibri"/>
                <w:color w:val="000000"/>
                <w:szCs w:val="20"/>
              </w:rPr>
              <w:t>uide provides curricular overviews for schools to engage students in learning DLCS concepts and skills aligned to the standards found in the 2016 Massachusetts DLCS Framework.</w:t>
            </w:r>
          </w:p>
        </w:tc>
      </w:tr>
      <w:tr w:rsidR="004939EC" w:rsidRPr="00A06F1E" w14:paraId="7A437D08" w14:textId="77777777" w:rsidTr="00D90309">
        <w:tc>
          <w:tcPr>
            <w:tcW w:w="1504" w:type="pct"/>
            <w:tcBorders>
              <w:top w:val="single" w:sz="6" w:space="0" w:color="2F5496"/>
              <w:left w:val="single" w:sz="6" w:space="0" w:color="2F5496"/>
              <w:bottom w:val="single" w:sz="6" w:space="0" w:color="2F5496"/>
              <w:right w:val="single" w:sz="6" w:space="0" w:color="2F5496"/>
            </w:tcBorders>
            <w:hideMark/>
          </w:tcPr>
          <w:p w14:paraId="029C4AC9" w14:textId="7A1A5D8A" w:rsidR="004939EC" w:rsidRPr="00A06F1E" w:rsidRDefault="00000000" w:rsidP="00056D2B">
            <w:pPr>
              <w:pStyle w:val="TableText"/>
            </w:pPr>
            <w:hyperlink r:id="rId49" w:history="1">
              <w:r w:rsidR="004939EC" w:rsidRPr="00A06F1E">
                <w:rPr>
                  <w:rStyle w:val="Hyperlink"/>
                  <w:rFonts w:ascii="Franklin Gothic Book" w:hAnsi="Franklin Gothic Book" w:cs="Calibri"/>
                  <w:szCs w:val="20"/>
                </w:rPr>
                <w:t>Early Warning Indicator System</w:t>
              </w:r>
            </w:hyperlink>
          </w:p>
        </w:tc>
        <w:tc>
          <w:tcPr>
            <w:tcW w:w="3496" w:type="pct"/>
            <w:tcBorders>
              <w:top w:val="single" w:sz="6" w:space="0" w:color="2F5496"/>
              <w:left w:val="single" w:sz="6" w:space="0" w:color="2F5496"/>
              <w:bottom w:val="single" w:sz="6" w:space="0" w:color="2F5496"/>
              <w:right w:val="single" w:sz="6" w:space="0" w:color="2F5496"/>
            </w:tcBorders>
            <w:hideMark/>
          </w:tcPr>
          <w:p w14:paraId="40EDB4F2" w14:textId="77777777" w:rsidR="004939EC" w:rsidRPr="00A06F1E" w:rsidRDefault="004939EC" w:rsidP="00056D2B">
            <w:pPr>
              <w:pStyle w:val="TableText"/>
              <w:rPr>
                <w:rFonts w:ascii="Franklin Gothic Book" w:hAnsi="Franklin Gothic Book" w:cs="Calibri"/>
                <w:color w:val="000000"/>
                <w:szCs w:val="20"/>
              </w:rPr>
            </w:pPr>
            <w:r w:rsidRPr="00A06F1E">
              <w:rPr>
                <w:rFonts w:ascii="Franklin Gothic Book" w:hAnsi="Franklin Gothic Book" w:cs="Calibri"/>
                <w:color w:val="000000"/>
                <w:szCs w:val="20"/>
              </w:rPr>
              <w:t>Tools for districts to identify students who are at risk of not meeting important academic goals to help students get back on track. This comprehensive system spans first grade through high school graduation and beyond.</w:t>
            </w:r>
          </w:p>
        </w:tc>
      </w:tr>
      <w:tr w:rsidR="004939EC" w:rsidRPr="00A06F1E" w14:paraId="639F8BC5" w14:textId="77777777" w:rsidTr="00D90309">
        <w:tc>
          <w:tcPr>
            <w:tcW w:w="1504" w:type="pct"/>
            <w:tcBorders>
              <w:top w:val="single" w:sz="6" w:space="0" w:color="2F5496"/>
              <w:left w:val="single" w:sz="6" w:space="0" w:color="2F5496"/>
              <w:bottom w:val="single" w:sz="6" w:space="0" w:color="2F5496"/>
              <w:right w:val="single" w:sz="6" w:space="0" w:color="2F5496"/>
            </w:tcBorders>
            <w:hideMark/>
          </w:tcPr>
          <w:p w14:paraId="0A2099F0" w14:textId="77777777" w:rsidR="004939EC" w:rsidRPr="00A06F1E" w:rsidRDefault="00000000" w:rsidP="00056D2B">
            <w:pPr>
              <w:pStyle w:val="TableText"/>
            </w:pPr>
            <w:hyperlink r:id="rId50" w:history="1">
              <w:r w:rsidR="004939EC" w:rsidRPr="00A06F1E">
                <w:rPr>
                  <w:rStyle w:val="Hyperlink"/>
                  <w:rFonts w:ascii="Franklin Gothic Book" w:hAnsi="Franklin Gothic Book" w:cs="Calibri"/>
                  <w:szCs w:val="20"/>
                </w:rPr>
                <w:t>Foundations for Inclusive Practices</w:t>
              </w:r>
            </w:hyperlink>
          </w:p>
        </w:tc>
        <w:tc>
          <w:tcPr>
            <w:tcW w:w="3496" w:type="pct"/>
            <w:tcBorders>
              <w:top w:val="single" w:sz="6" w:space="0" w:color="2F5496"/>
              <w:left w:val="single" w:sz="6" w:space="0" w:color="2F5496"/>
              <w:bottom w:val="single" w:sz="6" w:space="0" w:color="2F5496"/>
              <w:right w:val="single" w:sz="6" w:space="0" w:color="2F5496"/>
            </w:tcBorders>
            <w:hideMark/>
          </w:tcPr>
          <w:p w14:paraId="1FBE53BF" w14:textId="60837BFB" w:rsidR="004939EC" w:rsidRPr="00A06F1E" w:rsidRDefault="004939EC" w:rsidP="00056D2B">
            <w:pPr>
              <w:pStyle w:val="TableText"/>
              <w:rPr>
                <w:rFonts w:ascii="Franklin Gothic Book" w:hAnsi="Franklin Gothic Book" w:cs="Calibri"/>
                <w:color w:val="000000"/>
                <w:szCs w:val="20"/>
              </w:rPr>
            </w:pPr>
            <w:r w:rsidRPr="00A06F1E">
              <w:rPr>
                <w:rFonts w:ascii="Franklin Gothic Book" w:hAnsi="Franklin Gothic Book" w:cs="Calibri"/>
                <w:color w:val="000000"/>
                <w:szCs w:val="20"/>
              </w:rPr>
              <w:t xml:space="preserve">This </w:t>
            </w:r>
            <w:r w:rsidR="00423F02" w:rsidRPr="00A06F1E">
              <w:rPr>
                <w:rFonts w:ascii="Franklin Gothic Book" w:hAnsi="Franklin Gothic Book" w:cs="Calibri"/>
                <w:color w:val="000000"/>
                <w:szCs w:val="20"/>
              </w:rPr>
              <w:t>g</w:t>
            </w:r>
            <w:r w:rsidRPr="00A06F1E">
              <w:rPr>
                <w:rFonts w:ascii="Franklin Gothic Book" w:hAnsi="Franklin Gothic Book" w:cs="Calibri"/>
                <w:color w:val="000000"/>
                <w:szCs w:val="20"/>
              </w:rPr>
              <w:t>uidebook includes tools for districts, schools, and educators that are aligned to the MA Educator Evaluation Framework and promote evidence-based best practices for inclusion.</w:t>
            </w:r>
          </w:p>
        </w:tc>
      </w:tr>
      <w:tr w:rsidR="004939EC" w:rsidRPr="00A06F1E" w14:paraId="40E52561" w14:textId="77777777" w:rsidTr="00D90309">
        <w:tc>
          <w:tcPr>
            <w:tcW w:w="1504" w:type="pct"/>
            <w:tcBorders>
              <w:top w:val="single" w:sz="6" w:space="0" w:color="2F5496"/>
              <w:left w:val="single" w:sz="6" w:space="0" w:color="2F5496"/>
              <w:bottom w:val="single" w:sz="6" w:space="0" w:color="2F5496"/>
              <w:right w:val="single" w:sz="6" w:space="0" w:color="2F5496"/>
            </w:tcBorders>
            <w:hideMark/>
          </w:tcPr>
          <w:p w14:paraId="7AC1E60B" w14:textId="77777777" w:rsidR="004939EC" w:rsidRPr="00A06F1E" w:rsidRDefault="00000000" w:rsidP="00056D2B">
            <w:pPr>
              <w:pStyle w:val="TableText"/>
            </w:pPr>
            <w:hyperlink r:id="rId51" w:history="1">
              <w:r w:rsidR="004939EC" w:rsidRPr="00A06F1E">
                <w:rPr>
                  <w:rStyle w:val="Hyperlink"/>
                  <w:rFonts w:ascii="Franklin Gothic Book" w:hAnsi="Franklin Gothic Book" w:cs="Calibri"/>
                  <w:szCs w:val="20"/>
                </w:rPr>
                <w:t>Guidebook of Culturally Diverse Artists and Artworks</w:t>
              </w:r>
            </w:hyperlink>
          </w:p>
        </w:tc>
        <w:tc>
          <w:tcPr>
            <w:tcW w:w="3496" w:type="pct"/>
            <w:tcBorders>
              <w:top w:val="single" w:sz="6" w:space="0" w:color="2F5496"/>
              <w:left w:val="single" w:sz="6" w:space="0" w:color="2F5496"/>
              <w:bottom w:val="single" w:sz="6" w:space="0" w:color="2F5496"/>
              <w:right w:val="single" w:sz="6" w:space="0" w:color="2F5496"/>
            </w:tcBorders>
            <w:hideMark/>
          </w:tcPr>
          <w:p w14:paraId="7BA34042" w14:textId="77777777" w:rsidR="004939EC" w:rsidRPr="00A06F1E" w:rsidRDefault="004939EC" w:rsidP="00056D2B">
            <w:pPr>
              <w:pStyle w:val="TableText"/>
              <w:rPr>
                <w:rFonts w:ascii="Franklin Gothic Book" w:hAnsi="Franklin Gothic Book" w:cs="Calibri"/>
                <w:color w:val="000000"/>
                <w:szCs w:val="20"/>
              </w:rPr>
            </w:pPr>
            <w:r w:rsidRPr="00A06F1E">
              <w:rPr>
                <w:rFonts w:ascii="Franklin Gothic Book" w:hAnsi="Franklin Gothic Book" w:cs="Calibri"/>
                <w:color w:val="000000"/>
                <w:szCs w:val="20"/>
              </w:rPr>
              <w:t>The purpose of this resource is to promote culturally responsive teaching in the arts through the study of culturally diverse artists and their artworks. This guidebook highlights art made by people with racial identities that historically have been and continue to be marginalized.</w:t>
            </w:r>
          </w:p>
        </w:tc>
      </w:tr>
      <w:tr w:rsidR="004939EC" w:rsidRPr="00A06F1E" w14:paraId="3BE04DA2" w14:textId="77777777" w:rsidTr="00D90309">
        <w:tc>
          <w:tcPr>
            <w:tcW w:w="1504" w:type="pct"/>
            <w:tcBorders>
              <w:top w:val="single" w:sz="6" w:space="0" w:color="2F5496"/>
              <w:left w:val="single" w:sz="6" w:space="0" w:color="2F5496"/>
              <w:bottom w:val="single" w:sz="6" w:space="0" w:color="2F5496"/>
              <w:right w:val="single" w:sz="6" w:space="0" w:color="2F5496"/>
            </w:tcBorders>
            <w:hideMark/>
          </w:tcPr>
          <w:p w14:paraId="31D7C864" w14:textId="77777777" w:rsidR="004939EC" w:rsidRPr="00A06F1E" w:rsidRDefault="00000000" w:rsidP="00056D2B">
            <w:pPr>
              <w:pStyle w:val="TableText"/>
            </w:pPr>
            <w:hyperlink r:id="rId52" w:history="1">
              <w:r w:rsidR="004939EC" w:rsidRPr="00A06F1E">
                <w:rPr>
                  <w:rStyle w:val="Hyperlink"/>
                  <w:rFonts w:ascii="Franklin Gothic Book" w:hAnsi="Franklin Gothic Book" w:cs="Calibri"/>
                  <w:szCs w:val="20"/>
                </w:rPr>
                <w:t>Mass Literacy Guide</w:t>
              </w:r>
            </w:hyperlink>
          </w:p>
        </w:tc>
        <w:tc>
          <w:tcPr>
            <w:tcW w:w="3496" w:type="pct"/>
            <w:tcBorders>
              <w:top w:val="single" w:sz="6" w:space="0" w:color="2F5496"/>
              <w:left w:val="single" w:sz="6" w:space="0" w:color="2F5496"/>
              <w:bottom w:val="single" w:sz="6" w:space="0" w:color="2F5496"/>
              <w:right w:val="single" w:sz="6" w:space="0" w:color="2F5496"/>
            </w:tcBorders>
            <w:hideMark/>
          </w:tcPr>
          <w:p w14:paraId="3E2F691D" w14:textId="774C71C9" w:rsidR="004939EC" w:rsidRPr="00A06F1E" w:rsidRDefault="004939EC" w:rsidP="00056D2B">
            <w:pPr>
              <w:pStyle w:val="TableText"/>
              <w:rPr>
                <w:rFonts w:ascii="Franklin Gothic Book" w:hAnsi="Franklin Gothic Book" w:cs="Calibri"/>
                <w:color w:val="000000"/>
                <w:szCs w:val="20"/>
              </w:rPr>
            </w:pPr>
            <w:r w:rsidRPr="00A06F1E">
              <w:rPr>
                <w:rFonts w:ascii="Franklin Gothic Book" w:hAnsi="Franklin Gothic Book" w:cs="Calibri"/>
                <w:color w:val="000000"/>
                <w:szCs w:val="20"/>
              </w:rPr>
              <w:t xml:space="preserve">An interactive site with research, information, and resources on evidence-based practices for early literacy that are culturally responsive and sustaining. There is current information on complex text, fluent word reading, language comprehension, students experiencing reading difficulties, equity in literacy, how to support a multitiered system of support </w:t>
            </w:r>
            <w:r w:rsidR="004F6E3D" w:rsidRPr="00A06F1E">
              <w:rPr>
                <w:rFonts w:ascii="Franklin Gothic Book" w:hAnsi="Franklin Gothic Book" w:cs="Calibri"/>
                <w:color w:val="000000"/>
                <w:szCs w:val="20"/>
              </w:rPr>
              <w:t xml:space="preserve">(MTSS) </w:t>
            </w:r>
            <w:r w:rsidRPr="00A06F1E">
              <w:rPr>
                <w:rFonts w:ascii="Franklin Gothic Book" w:hAnsi="Franklin Gothic Book" w:cs="Calibri"/>
                <w:color w:val="000000"/>
                <w:szCs w:val="20"/>
              </w:rPr>
              <w:t xml:space="preserve">for ELA/literacy, and much more. </w:t>
            </w:r>
          </w:p>
        </w:tc>
      </w:tr>
      <w:tr w:rsidR="004939EC" w:rsidRPr="00A06F1E" w14:paraId="1D31361E" w14:textId="77777777" w:rsidTr="00D90309">
        <w:tc>
          <w:tcPr>
            <w:tcW w:w="1504" w:type="pct"/>
            <w:tcBorders>
              <w:top w:val="single" w:sz="6" w:space="0" w:color="2F5496"/>
              <w:left w:val="single" w:sz="6" w:space="0" w:color="2F5496"/>
              <w:bottom w:val="single" w:sz="6" w:space="0" w:color="2F5496"/>
              <w:right w:val="single" w:sz="6" w:space="0" w:color="2F5496"/>
            </w:tcBorders>
            <w:hideMark/>
          </w:tcPr>
          <w:p w14:paraId="270F205C" w14:textId="77777777" w:rsidR="004939EC" w:rsidRPr="00A06F1E" w:rsidRDefault="00000000" w:rsidP="00056D2B">
            <w:pPr>
              <w:pStyle w:val="TableText"/>
            </w:pPr>
            <w:hyperlink r:id="rId53" w:history="1">
              <w:r w:rsidR="004939EC" w:rsidRPr="00A06F1E">
                <w:rPr>
                  <w:rStyle w:val="Hyperlink"/>
                  <w:rFonts w:ascii="Franklin Gothic Book" w:hAnsi="Franklin Gothic Book" w:cs="Calibri"/>
                  <w:szCs w:val="20"/>
                </w:rPr>
                <w:t>Massachusetts Blueprint for English Learner Success</w:t>
              </w:r>
            </w:hyperlink>
          </w:p>
        </w:tc>
        <w:tc>
          <w:tcPr>
            <w:tcW w:w="3496" w:type="pct"/>
            <w:tcBorders>
              <w:top w:val="single" w:sz="6" w:space="0" w:color="2F5496"/>
              <w:left w:val="single" w:sz="6" w:space="0" w:color="2F5496"/>
              <w:bottom w:val="single" w:sz="6" w:space="0" w:color="2F5496"/>
              <w:right w:val="single" w:sz="6" w:space="0" w:color="2F5496"/>
            </w:tcBorders>
            <w:hideMark/>
          </w:tcPr>
          <w:p w14:paraId="0A594177" w14:textId="14ACCEFE" w:rsidR="004939EC" w:rsidRPr="00A06F1E" w:rsidRDefault="004939EC" w:rsidP="00056D2B">
            <w:pPr>
              <w:pStyle w:val="TableText"/>
              <w:rPr>
                <w:rFonts w:ascii="Franklin Gothic Book" w:hAnsi="Franklin Gothic Book" w:cs="Calibri"/>
                <w:color w:val="000000"/>
                <w:szCs w:val="20"/>
              </w:rPr>
            </w:pPr>
            <w:r w:rsidRPr="00A06F1E">
              <w:rPr>
                <w:rFonts w:ascii="Franklin Gothic Book" w:hAnsi="Franklin Gothic Book" w:cs="Calibri"/>
                <w:color w:val="000000"/>
                <w:szCs w:val="20"/>
              </w:rPr>
              <w:t>Framework for E</w:t>
            </w:r>
            <w:r w:rsidR="00A242CC" w:rsidRPr="00A06F1E">
              <w:rPr>
                <w:rFonts w:ascii="Franklin Gothic Book" w:hAnsi="Franklin Gothic Book" w:cs="Calibri"/>
                <w:color w:val="000000"/>
                <w:szCs w:val="20"/>
              </w:rPr>
              <w:t>L</w:t>
            </w:r>
            <w:r w:rsidRPr="00A06F1E">
              <w:rPr>
                <w:rFonts w:ascii="Franklin Gothic Book" w:hAnsi="Franklin Gothic Book" w:cs="Calibri"/>
                <w:color w:val="000000"/>
                <w:szCs w:val="20"/>
              </w:rPr>
              <w:t xml:space="preserve"> education in </w:t>
            </w:r>
            <w:r w:rsidR="00D90309" w:rsidRPr="00A06F1E">
              <w:rPr>
                <w:rFonts w:ascii="Franklin Gothic Book" w:hAnsi="Franklin Gothic Book" w:cs="Calibri"/>
                <w:color w:val="000000"/>
                <w:szCs w:val="20"/>
              </w:rPr>
              <w:t>Massachusetts</w:t>
            </w:r>
            <w:r w:rsidRPr="00A06F1E">
              <w:rPr>
                <w:rFonts w:ascii="Franklin Gothic Book" w:hAnsi="Franklin Gothic Book" w:cs="Calibri"/>
                <w:color w:val="000000"/>
                <w:szCs w:val="20"/>
              </w:rPr>
              <w:t>, with embedded Quick Reference Guides and other resources to support implementation.</w:t>
            </w:r>
          </w:p>
        </w:tc>
      </w:tr>
      <w:tr w:rsidR="004939EC" w:rsidRPr="00A06F1E" w14:paraId="120C28D3" w14:textId="77777777" w:rsidTr="00D90309">
        <w:tc>
          <w:tcPr>
            <w:tcW w:w="1504" w:type="pct"/>
            <w:tcBorders>
              <w:top w:val="single" w:sz="6" w:space="0" w:color="2F5496"/>
              <w:left w:val="single" w:sz="6" w:space="0" w:color="2F5496"/>
              <w:bottom w:val="single" w:sz="6" w:space="0" w:color="2F5496"/>
              <w:right w:val="single" w:sz="6" w:space="0" w:color="2F5496"/>
            </w:tcBorders>
            <w:hideMark/>
          </w:tcPr>
          <w:p w14:paraId="131131E0" w14:textId="08BA5C21" w:rsidR="006C1DC9" w:rsidRPr="00A06F1E" w:rsidRDefault="004939EC" w:rsidP="00056D2B">
            <w:pPr>
              <w:pStyle w:val="TableText"/>
            </w:pPr>
            <w:r w:rsidRPr="00A06F1E">
              <w:t xml:space="preserve">Massachusetts </w:t>
            </w:r>
            <w:r w:rsidR="00423F02" w:rsidRPr="00A06F1E">
              <w:t>c</w:t>
            </w:r>
            <w:r w:rsidRPr="00A06F1E">
              <w:t xml:space="preserve">urricular </w:t>
            </w:r>
            <w:r w:rsidR="00423F02" w:rsidRPr="00A06F1E">
              <w:t>r</w:t>
            </w:r>
            <w:r w:rsidRPr="00A06F1E">
              <w:t>esources:</w:t>
            </w:r>
          </w:p>
          <w:p w14:paraId="0B895F0C" w14:textId="1317CC9C" w:rsidR="004939EC" w:rsidRPr="00A06F1E" w:rsidRDefault="00000000" w:rsidP="00056D2B">
            <w:pPr>
              <w:pStyle w:val="TableBullet1"/>
              <w:rPr>
                <w:rFonts w:ascii="Franklin Gothic Book" w:hAnsi="Franklin Gothic Book"/>
                <w:szCs w:val="20"/>
              </w:rPr>
            </w:pPr>
            <w:hyperlink r:id="rId54" w:history="1">
              <w:r w:rsidR="004939EC" w:rsidRPr="00A06F1E">
                <w:rPr>
                  <w:rStyle w:val="Hyperlink"/>
                  <w:rFonts w:ascii="Franklin Gothic Book" w:hAnsi="Franklin Gothic Book"/>
                  <w:szCs w:val="20"/>
                </w:rPr>
                <w:t>Appleseeds</w:t>
              </w:r>
            </w:hyperlink>
          </w:p>
          <w:p w14:paraId="300FFC8B" w14:textId="77777777" w:rsidR="004939EC" w:rsidRPr="00A06F1E" w:rsidRDefault="00000000" w:rsidP="00056D2B">
            <w:pPr>
              <w:pStyle w:val="TableBullet1"/>
              <w:rPr>
                <w:rFonts w:ascii="Franklin Gothic Book" w:hAnsi="Franklin Gothic Book"/>
                <w:szCs w:val="20"/>
              </w:rPr>
            </w:pPr>
            <w:hyperlink r:id="rId55" w:history="1">
              <w:r w:rsidR="004939EC" w:rsidRPr="00A06F1E">
                <w:rPr>
                  <w:rStyle w:val="Hyperlink"/>
                  <w:rFonts w:ascii="Franklin Gothic Book" w:hAnsi="Franklin Gothic Book"/>
                  <w:szCs w:val="20"/>
                </w:rPr>
                <w:t>Investigating History</w:t>
              </w:r>
            </w:hyperlink>
          </w:p>
          <w:p w14:paraId="70582846" w14:textId="77777777" w:rsidR="004939EC" w:rsidRPr="00A06F1E" w:rsidRDefault="00000000" w:rsidP="00056D2B">
            <w:pPr>
              <w:pStyle w:val="TableBullet1"/>
            </w:pPr>
            <w:hyperlink r:id="rId56" w:history="1">
              <w:r w:rsidR="004939EC" w:rsidRPr="00A06F1E">
                <w:rPr>
                  <w:rStyle w:val="Hyperlink"/>
                  <w:rFonts w:ascii="Franklin Gothic Book" w:hAnsi="Franklin Gothic Book"/>
                  <w:szCs w:val="20"/>
                </w:rPr>
                <w:t>OpenSciEd</w:t>
              </w:r>
            </w:hyperlink>
          </w:p>
        </w:tc>
        <w:tc>
          <w:tcPr>
            <w:tcW w:w="3496" w:type="pct"/>
            <w:tcBorders>
              <w:top w:val="single" w:sz="6" w:space="0" w:color="2F5496"/>
              <w:left w:val="single" w:sz="6" w:space="0" w:color="2F5496"/>
              <w:bottom w:val="single" w:sz="6" w:space="0" w:color="2F5496"/>
              <w:right w:val="single" w:sz="6" w:space="0" w:color="2F5496"/>
            </w:tcBorders>
            <w:hideMark/>
          </w:tcPr>
          <w:p w14:paraId="010E0616" w14:textId="77777777" w:rsidR="004939EC" w:rsidRPr="00A06F1E" w:rsidRDefault="004939EC" w:rsidP="00056D2B">
            <w:pPr>
              <w:pStyle w:val="TableText"/>
            </w:pPr>
            <w:r w:rsidRPr="00A06F1E">
              <w:t>Free, open-source curricular resources aligned to the Massachusetts Curriculum Frameworks.</w:t>
            </w:r>
          </w:p>
        </w:tc>
      </w:tr>
      <w:tr w:rsidR="004939EC" w:rsidRPr="00A06F1E" w14:paraId="0315AEA3" w14:textId="77777777" w:rsidTr="00D90309">
        <w:tc>
          <w:tcPr>
            <w:tcW w:w="1504" w:type="pct"/>
            <w:tcBorders>
              <w:top w:val="single" w:sz="6" w:space="0" w:color="2F5496"/>
              <w:left w:val="single" w:sz="6" w:space="0" w:color="2F5496"/>
              <w:bottom w:val="single" w:sz="6" w:space="0" w:color="2F5496"/>
              <w:right w:val="single" w:sz="6" w:space="0" w:color="2F5496"/>
            </w:tcBorders>
            <w:hideMark/>
          </w:tcPr>
          <w:p w14:paraId="7786EE48" w14:textId="77777777" w:rsidR="004939EC" w:rsidRPr="00A06F1E" w:rsidRDefault="00000000" w:rsidP="00056D2B">
            <w:pPr>
              <w:pStyle w:val="TableText"/>
            </w:pPr>
            <w:hyperlink r:id="rId57" w:history="1">
              <w:r w:rsidR="004939EC" w:rsidRPr="00A06F1E">
                <w:rPr>
                  <w:rStyle w:val="Hyperlink"/>
                  <w:rFonts w:ascii="Franklin Gothic Book" w:hAnsi="Franklin Gothic Book" w:cs="Calibri"/>
                  <w:szCs w:val="20"/>
                </w:rPr>
                <w:t>Planning for Deeper Learning</w:t>
              </w:r>
            </w:hyperlink>
          </w:p>
        </w:tc>
        <w:tc>
          <w:tcPr>
            <w:tcW w:w="3496" w:type="pct"/>
            <w:tcBorders>
              <w:top w:val="single" w:sz="6" w:space="0" w:color="2F5496"/>
              <w:left w:val="single" w:sz="6" w:space="0" w:color="2F5496"/>
              <w:bottom w:val="single" w:sz="6" w:space="0" w:color="2F5496"/>
              <w:right w:val="single" w:sz="6" w:space="0" w:color="2F5496"/>
            </w:tcBorders>
            <w:hideMark/>
          </w:tcPr>
          <w:p w14:paraId="0E703E60" w14:textId="77777777" w:rsidR="004939EC" w:rsidRPr="00A06F1E" w:rsidRDefault="004939EC" w:rsidP="00056D2B">
            <w:pPr>
              <w:pStyle w:val="TableText"/>
            </w:pPr>
            <w:r w:rsidRPr="00A06F1E">
              <w:t>KCL worked with educators and leaders across the Commonwealth to develop tools, protocols, examples, and professional learning experiences.</w:t>
            </w:r>
          </w:p>
        </w:tc>
      </w:tr>
      <w:tr w:rsidR="004939EC" w:rsidRPr="00A06F1E" w14:paraId="02AA21D7" w14:textId="77777777" w:rsidTr="00D90309">
        <w:tc>
          <w:tcPr>
            <w:tcW w:w="1504" w:type="pct"/>
            <w:tcBorders>
              <w:top w:val="single" w:sz="6" w:space="0" w:color="2F5496"/>
              <w:left w:val="single" w:sz="6" w:space="0" w:color="2F5496"/>
              <w:bottom w:val="single" w:sz="6" w:space="0" w:color="2F5496"/>
              <w:right w:val="single" w:sz="6" w:space="0" w:color="2F5496"/>
            </w:tcBorders>
            <w:hideMark/>
          </w:tcPr>
          <w:p w14:paraId="71D95ACF" w14:textId="77777777" w:rsidR="004939EC" w:rsidRPr="00A06F1E" w:rsidRDefault="00000000" w:rsidP="00056D2B">
            <w:pPr>
              <w:pStyle w:val="TableText"/>
            </w:pPr>
            <w:hyperlink r:id="rId58" w:history="1">
              <w:r w:rsidR="004939EC" w:rsidRPr="00A06F1E">
                <w:rPr>
                  <w:rStyle w:val="Hyperlink"/>
                  <w:rFonts w:ascii="Franklin Gothic Book" w:hAnsi="Franklin Gothic Book" w:cs="Calibri"/>
                  <w:szCs w:val="20"/>
                </w:rPr>
                <w:t>Supporting Culturally and Linguistically Sustaining Practices</w:t>
              </w:r>
            </w:hyperlink>
          </w:p>
        </w:tc>
        <w:tc>
          <w:tcPr>
            <w:tcW w:w="3496" w:type="pct"/>
            <w:tcBorders>
              <w:top w:val="single" w:sz="6" w:space="0" w:color="2F5496"/>
              <w:left w:val="single" w:sz="6" w:space="0" w:color="2F5496"/>
              <w:bottom w:val="single" w:sz="6" w:space="0" w:color="2F5496"/>
              <w:right w:val="single" w:sz="6" w:space="0" w:color="2F5496"/>
            </w:tcBorders>
            <w:hideMark/>
          </w:tcPr>
          <w:p w14:paraId="3A7DAEDD" w14:textId="77777777" w:rsidR="004939EC" w:rsidRPr="00A06F1E" w:rsidRDefault="004939EC" w:rsidP="00056D2B">
            <w:pPr>
              <w:pStyle w:val="TableText"/>
            </w:pPr>
            <w:r w:rsidRPr="00A06F1E">
              <w:t>Culturally and linguistically sustaining practices are essential for all students in the classroom, regardless of their background, culture, or identity.</w:t>
            </w:r>
          </w:p>
        </w:tc>
      </w:tr>
      <w:tr w:rsidR="004939EC" w:rsidRPr="00A06F1E" w14:paraId="3F05D7FA" w14:textId="77777777" w:rsidTr="00D90309">
        <w:tc>
          <w:tcPr>
            <w:tcW w:w="1504" w:type="pct"/>
            <w:tcBorders>
              <w:top w:val="single" w:sz="6" w:space="0" w:color="2F5496"/>
              <w:left w:val="single" w:sz="6" w:space="0" w:color="2F5496"/>
              <w:bottom w:val="single" w:sz="6" w:space="0" w:color="2F5496"/>
              <w:right w:val="single" w:sz="6" w:space="0" w:color="2F5496"/>
            </w:tcBorders>
            <w:hideMark/>
          </w:tcPr>
          <w:p w14:paraId="53E0E881" w14:textId="40E0822E" w:rsidR="004939EC" w:rsidRPr="00A06F1E" w:rsidRDefault="00000000" w:rsidP="00056D2B">
            <w:pPr>
              <w:pStyle w:val="TableText"/>
              <w:rPr>
                <w:rFonts w:ascii="Franklin Gothic Book" w:eastAsia="Franklin Gothic Book" w:hAnsi="Franklin Gothic Book" w:cs="Tahoma"/>
                <w:szCs w:val="20"/>
              </w:rPr>
            </w:pPr>
            <w:hyperlink r:id="rId59" w:history="1">
              <w:r w:rsidR="004939EC" w:rsidRPr="00A06F1E">
                <w:rPr>
                  <w:rStyle w:val="Hyperlink"/>
                  <w:rFonts w:ascii="Franklin Gothic Book" w:hAnsi="Franklin Gothic Book" w:cs="Calibri"/>
                  <w:szCs w:val="20"/>
                </w:rPr>
                <w:t xml:space="preserve">Synthesized </w:t>
              </w:r>
              <w:r w:rsidR="000F76B5" w:rsidRPr="00A06F1E">
                <w:rPr>
                  <w:rStyle w:val="Hyperlink"/>
                  <w:rFonts w:ascii="Franklin Gothic Book" w:hAnsi="Franklin Gothic Book" w:cs="Calibri"/>
                  <w:szCs w:val="20"/>
                </w:rPr>
                <w:t>In</w:t>
              </w:r>
              <w:r w:rsidR="000F76B5" w:rsidRPr="00A06F1E">
                <w:rPr>
                  <w:rStyle w:val="Hyperlink"/>
                  <w:rFonts w:ascii="Franklin Gothic Book" w:hAnsi="Franklin Gothic Book" w:cs="Calibri"/>
                </w:rPr>
                <w:t>structional Leadership Team (</w:t>
              </w:r>
              <w:r w:rsidR="004939EC" w:rsidRPr="00A06F1E">
                <w:rPr>
                  <w:rStyle w:val="Hyperlink"/>
                  <w:rFonts w:ascii="Franklin Gothic Book" w:hAnsi="Franklin Gothic Book" w:cs="Calibri"/>
                  <w:szCs w:val="20"/>
                </w:rPr>
                <w:t>ILT</w:t>
              </w:r>
              <w:r w:rsidR="000F76B5" w:rsidRPr="00A06F1E">
                <w:rPr>
                  <w:rStyle w:val="Hyperlink"/>
                  <w:rFonts w:ascii="Franklin Gothic Book" w:hAnsi="Franklin Gothic Book" w:cs="Calibri"/>
                  <w:szCs w:val="20"/>
                </w:rPr>
                <w:t>)</w:t>
              </w:r>
              <w:r w:rsidR="004939EC" w:rsidRPr="00A06F1E">
                <w:rPr>
                  <w:rStyle w:val="Hyperlink"/>
                  <w:rFonts w:ascii="Franklin Gothic Book" w:hAnsi="Franklin Gothic Book" w:cs="Calibri"/>
                  <w:szCs w:val="20"/>
                </w:rPr>
                <w:t xml:space="preserve"> Framework</w:t>
              </w:r>
            </w:hyperlink>
          </w:p>
        </w:tc>
        <w:tc>
          <w:tcPr>
            <w:tcW w:w="3496" w:type="pct"/>
            <w:tcBorders>
              <w:top w:val="single" w:sz="6" w:space="0" w:color="2F5496"/>
              <w:left w:val="single" w:sz="6" w:space="0" w:color="2F5496"/>
              <w:bottom w:val="single" w:sz="6" w:space="0" w:color="2F5496"/>
              <w:right w:val="single" w:sz="6" w:space="0" w:color="2F5496"/>
            </w:tcBorders>
            <w:hideMark/>
          </w:tcPr>
          <w:p w14:paraId="76448DEE" w14:textId="25DEB5E7" w:rsidR="004939EC" w:rsidRPr="00A06F1E" w:rsidRDefault="004939EC" w:rsidP="00056D2B">
            <w:pPr>
              <w:pStyle w:val="TableText"/>
              <w:rPr>
                <w:rFonts w:eastAsia="Times New Roman" w:cs="Times New Roman"/>
              </w:rPr>
            </w:pPr>
            <w:r w:rsidRPr="00A06F1E">
              <w:t>District and school teams can use this resource to reflect and identify specific actions they could take to establish or improve their ILTs.</w:t>
            </w:r>
          </w:p>
        </w:tc>
      </w:tr>
    </w:tbl>
    <w:p w14:paraId="340B082E" w14:textId="77777777" w:rsidR="004939EC" w:rsidRPr="00A06F1E" w:rsidRDefault="004939EC" w:rsidP="00056D2B">
      <w:pPr>
        <w:pStyle w:val="TableTitle0"/>
      </w:pPr>
      <w:bookmarkStart w:id="216" w:name="_Toc170701928"/>
      <w:r w:rsidRPr="00A06F1E">
        <w:t>Table C3. Resources to Support Assessment</w:t>
      </w:r>
      <w:bookmarkEnd w:id="216"/>
    </w:p>
    <w:tbl>
      <w:tblPr>
        <w:tblStyle w:val="MSVTable1"/>
        <w:tblW w:w="5004" w:type="pct"/>
        <w:tblLook w:val="0620" w:firstRow="1" w:lastRow="0" w:firstColumn="0" w:lastColumn="0" w:noHBand="1" w:noVBand="1"/>
      </w:tblPr>
      <w:tblGrid>
        <w:gridCol w:w="2783"/>
        <w:gridCol w:w="6568"/>
      </w:tblGrid>
      <w:tr w:rsidR="004939EC" w:rsidRPr="00A06F1E" w14:paraId="23738EA9" w14:textId="77777777" w:rsidTr="00D90309">
        <w:trPr>
          <w:cnfStyle w:val="100000000000" w:firstRow="1" w:lastRow="0" w:firstColumn="0" w:lastColumn="0" w:oddVBand="0" w:evenVBand="0" w:oddHBand="0" w:evenHBand="0" w:firstRowFirstColumn="0" w:firstRowLastColumn="0" w:lastRowFirstColumn="0" w:lastRowLastColumn="0"/>
          <w:tblHeader/>
        </w:trPr>
        <w:tc>
          <w:tcPr>
            <w:tcW w:w="1488" w:type="pct"/>
            <w:tcBorders>
              <w:top w:val="single" w:sz="6" w:space="0" w:color="2F5496"/>
              <w:left w:val="single" w:sz="6" w:space="0" w:color="2F5496"/>
              <w:bottom w:val="single" w:sz="6" w:space="0" w:color="2F5496"/>
            </w:tcBorders>
            <w:hideMark/>
          </w:tcPr>
          <w:p w14:paraId="2645A521" w14:textId="77777777" w:rsidR="004939EC" w:rsidRPr="00DF7902" w:rsidRDefault="004939EC" w:rsidP="00056D2B">
            <w:pPr>
              <w:pStyle w:val="TableColHeadingLeft"/>
            </w:pPr>
            <w:r w:rsidRPr="00DF7902">
              <w:t>Resource</w:t>
            </w:r>
          </w:p>
        </w:tc>
        <w:tc>
          <w:tcPr>
            <w:tcW w:w="3512" w:type="pct"/>
            <w:tcBorders>
              <w:top w:val="single" w:sz="6" w:space="0" w:color="2F5496"/>
              <w:bottom w:val="single" w:sz="6" w:space="0" w:color="2F5496"/>
              <w:right w:val="single" w:sz="6" w:space="0" w:color="2F5496"/>
            </w:tcBorders>
            <w:hideMark/>
          </w:tcPr>
          <w:p w14:paraId="58DCA35A" w14:textId="77777777" w:rsidR="004939EC" w:rsidRPr="00A06F1E" w:rsidRDefault="004939EC" w:rsidP="00056D2B">
            <w:pPr>
              <w:pStyle w:val="TableColHeadingLeft"/>
            </w:pPr>
            <w:r w:rsidRPr="00A06F1E">
              <w:t>Description</w:t>
            </w:r>
          </w:p>
        </w:tc>
      </w:tr>
      <w:tr w:rsidR="004939EC" w:rsidRPr="00A06F1E" w14:paraId="1365BA52" w14:textId="77777777" w:rsidTr="00D90309">
        <w:tc>
          <w:tcPr>
            <w:tcW w:w="1488" w:type="pct"/>
            <w:tcBorders>
              <w:top w:val="single" w:sz="6" w:space="0" w:color="2F5496"/>
              <w:left w:val="single" w:sz="6" w:space="0" w:color="2F5496"/>
              <w:bottom w:val="single" w:sz="6" w:space="0" w:color="2F5496"/>
              <w:right w:val="single" w:sz="6" w:space="0" w:color="2F5496"/>
            </w:tcBorders>
            <w:hideMark/>
          </w:tcPr>
          <w:p w14:paraId="2334B081" w14:textId="1BD362F5" w:rsidR="004939EC" w:rsidRPr="00A06F1E" w:rsidRDefault="00000000" w:rsidP="00056D2B">
            <w:pPr>
              <w:pStyle w:val="TableText"/>
              <w:rPr>
                <w:rFonts w:ascii="Franklin Gothic Demi" w:eastAsia="HGGothicE" w:hAnsi="Franklin Gothic Demi" w:cs="Franklin Gothic Book"/>
                <w:bCs/>
              </w:rPr>
            </w:pPr>
            <w:hyperlink r:id="rId60" w:history="1">
              <w:r w:rsidR="004939EC" w:rsidRPr="00A06F1E">
                <w:rPr>
                  <w:rStyle w:val="Hyperlink"/>
                  <w:rFonts w:ascii="Franklin Gothic Book" w:hAnsi="Franklin Gothic Book" w:cs="Calibri"/>
                  <w:szCs w:val="20"/>
                </w:rPr>
                <w:t xml:space="preserve">Approved </w:t>
              </w:r>
              <w:r w:rsidR="00423F02" w:rsidRPr="00A06F1E">
                <w:rPr>
                  <w:rStyle w:val="Hyperlink"/>
                  <w:rFonts w:ascii="Franklin Gothic Book" w:hAnsi="Franklin Gothic Book" w:cs="Calibri"/>
                  <w:szCs w:val="20"/>
                </w:rPr>
                <w:t>e</w:t>
              </w:r>
              <w:r w:rsidR="004939EC" w:rsidRPr="00A06F1E">
                <w:rPr>
                  <w:rStyle w:val="Hyperlink"/>
                  <w:rFonts w:ascii="Franklin Gothic Book" w:hAnsi="Franklin Gothic Book" w:cs="Calibri"/>
                  <w:szCs w:val="20"/>
                </w:rPr>
                <w:t xml:space="preserve">arly </w:t>
              </w:r>
              <w:r w:rsidR="00423F02" w:rsidRPr="00A06F1E">
                <w:rPr>
                  <w:rStyle w:val="Hyperlink"/>
                  <w:rFonts w:ascii="Franklin Gothic Book" w:hAnsi="Franklin Gothic Book" w:cs="Calibri"/>
                  <w:szCs w:val="20"/>
                </w:rPr>
                <w:t>l</w:t>
              </w:r>
              <w:r w:rsidR="004939EC" w:rsidRPr="00A06F1E">
                <w:rPr>
                  <w:rStyle w:val="Hyperlink"/>
                  <w:rFonts w:ascii="Franklin Gothic Book" w:hAnsi="Franklin Gothic Book" w:cs="Calibri"/>
                  <w:szCs w:val="20"/>
                </w:rPr>
                <w:t xml:space="preserve">anguage and </w:t>
              </w:r>
              <w:r w:rsidR="00423F02" w:rsidRPr="00A06F1E">
                <w:rPr>
                  <w:rStyle w:val="Hyperlink"/>
                  <w:rFonts w:ascii="Franklin Gothic Book" w:hAnsi="Franklin Gothic Book" w:cs="Calibri"/>
                  <w:szCs w:val="20"/>
                </w:rPr>
                <w:t>l</w:t>
              </w:r>
              <w:r w:rsidR="004939EC" w:rsidRPr="00A06F1E">
                <w:rPr>
                  <w:rStyle w:val="Hyperlink"/>
                  <w:rFonts w:ascii="Franklin Gothic Book" w:hAnsi="Franklin Gothic Book" w:cs="Calibri"/>
                  <w:szCs w:val="20"/>
                </w:rPr>
                <w:t xml:space="preserve">iteracy </w:t>
              </w:r>
              <w:r w:rsidR="00423F02" w:rsidRPr="00A06F1E">
                <w:rPr>
                  <w:rStyle w:val="Hyperlink"/>
                  <w:rFonts w:ascii="Franklin Gothic Book" w:hAnsi="Franklin Gothic Book" w:cs="Calibri"/>
                  <w:szCs w:val="20"/>
                </w:rPr>
                <w:t>a</w:t>
              </w:r>
              <w:r w:rsidR="004939EC" w:rsidRPr="00A06F1E">
                <w:rPr>
                  <w:rStyle w:val="Hyperlink"/>
                  <w:rFonts w:ascii="Franklin Gothic Book" w:hAnsi="Franklin Gothic Book" w:cs="Calibri"/>
                  <w:szCs w:val="20"/>
                </w:rPr>
                <w:t xml:space="preserve">ssessments for </w:t>
              </w:r>
              <w:r w:rsidR="00423F02" w:rsidRPr="00A06F1E">
                <w:rPr>
                  <w:rStyle w:val="Hyperlink"/>
                  <w:rFonts w:ascii="Franklin Gothic Book" w:hAnsi="Franklin Gothic Book" w:cs="Calibri"/>
                  <w:szCs w:val="20"/>
                </w:rPr>
                <w:t>p</w:t>
              </w:r>
              <w:r w:rsidR="004939EC" w:rsidRPr="00A06F1E">
                <w:rPr>
                  <w:rStyle w:val="Hyperlink"/>
                  <w:rFonts w:ascii="Franklin Gothic Book" w:hAnsi="Franklin Gothic Book" w:cs="Calibri"/>
                  <w:szCs w:val="20"/>
                </w:rPr>
                <w:t>reschool</w:t>
              </w:r>
            </w:hyperlink>
          </w:p>
        </w:tc>
        <w:tc>
          <w:tcPr>
            <w:tcW w:w="3512" w:type="pct"/>
            <w:tcBorders>
              <w:top w:val="single" w:sz="6" w:space="0" w:color="2F5496"/>
              <w:left w:val="single" w:sz="6" w:space="0" w:color="2F5496"/>
              <w:bottom w:val="single" w:sz="6" w:space="0" w:color="2F5496"/>
              <w:right w:val="single" w:sz="6" w:space="0" w:color="2F5496"/>
            </w:tcBorders>
            <w:hideMark/>
          </w:tcPr>
          <w:p w14:paraId="376406CD" w14:textId="17880515" w:rsidR="004939EC" w:rsidRPr="00A06F1E" w:rsidRDefault="004939EC" w:rsidP="00056D2B">
            <w:pPr>
              <w:pStyle w:val="TableText"/>
              <w:rPr>
                <w:rFonts w:ascii="Franklin Gothic Demi" w:eastAsia="HGGothicE" w:hAnsi="Franklin Gothic Demi" w:cs="Franklin Gothic Book"/>
                <w:bCs/>
              </w:rPr>
            </w:pPr>
            <w:r w:rsidRPr="00A06F1E">
              <w:rPr>
                <w:rFonts w:ascii="Franklin Gothic Book" w:hAnsi="Franklin Gothic Book" w:cs="Calibri"/>
                <w:color w:val="000000"/>
                <w:szCs w:val="20"/>
              </w:rPr>
              <w:t>DESE</w:t>
            </w:r>
            <w:r w:rsidR="00040362" w:rsidRPr="00A06F1E">
              <w:rPr>
                <w:rFonts w:ascii="Franklin Gothic Book" w:hAnsi="Franklin Gothic Book" w:cs="Calibri"/>
                <w:color w:val="000000"/>
                <w:szCs w:val="20"/>
              </w:rPr>
              <w:t>’</w:t>
            </w:r>
            <w:r w:rsidRPr="00A06F1E">
              <w:rPr>
                <w:rFonts w:ascii="Franklin Gothic Book" w:hAnsi="Franklin Gothic Book" w:cs="Calibri"/>
                <w:color w:val="000000"/>
                <w:szCs w:val="20"/>
              </w:rPr>
              <w:t xml:space="preserve">s Early Learning Team in collaboration with </w:t>
            </w:r>
            <w:r w:rsidR="00ED27BB" w:rsidRPr="00A06F1E">
              <w:rPr>
                <w:rFonts w:ascii="Franklin Gothic Book" w:hAnsi="Franklin Gothic Book" w:cs="Calibri"/>
                <w:color w:val="000000"/>
                <w:szCs w:val="20"/>
              </w:rPr>
              <w:t xml:space="preserve">the Department of Early Education and Care </w:t>
            </w:r>
            <w:r w:rsidRPr="00A06F1E">
              <w:rPr>
                <w:rFonts w:ascii="Franklin Gothic Book" w:hAnsi="Franklin Gothic Book" w:cs="Calibri"/>
                <w:color w:val="000000"/>
                <w:szCs w:val="20"/>
              </w:rPr>
              <w:t>is working with a vendor to approve preschool language and literacy assessments to support classroom instruction.</w:t>
            </w:r>
          </w:p>
        </w:tc>
      </w:tr>
      <w:tr w:rsidR="004939EC" w:rsidRPr="00A06F1E" w14:paraId="6F7F6CF0" w14:textId="77777777" w:rsidTr="00D90309">
        <w:tc>
          <w:tcPr>
            <w:tcW w:w="1488" w:type="pct"/>
            <w:tcBorders>
              <w:top w:val="single" w:sz="6" w:space="0" w:color="2F5496"/>
              <w:left w:val="single" w:sz="6" w:space="0" w:color="2F5496"/>
              <w:bottom w:val="single" w:sz="6" w:space="0" w:color="2F5496"/>
              <w:right w:val="single" w:sz="6" w:space="0" w:color="2F5496"/>
            </w:tcBorders>
            <w:hideMark/>
          </w:tcPr>
          <w:p w14:paraId="40A99915" w14:textId="77777777" w:rsidR="004939EC" w:rsidRPr="00A06F1E" w:rsidRDefault="00000000" w:rsidP="00056D2B">
            <w:pPr>
              <w:pStyle w:val="TableText"/>
              <w:rPr>
                <w:rFonts w:ascii="Franklin Gothic Demi" w:eastAsia="HGGothicE" w:hAnsi="Franklin Gothic Demi" w:cs="Franklin Gothic Book"/>
                <w:bCs/>
              </w:rPr>
            </w:pPr>
            <w:hyperlink r:id="rId61" w:history="1">
              <w:r w:rsidR="004939EC" w:rsidRPr="00A06F1E">
                <w:rPr>
                  <w:rStyle w:val="Hyperlink"/>
                  <w:rFonts w:ascii="Franklin Gothic Book" w:hAnsi="Franklin Gothic Book" w:cs="Calibri"/>
                  <w:szCs w:val="20"/>
                </w:rPr>
                <w:t>Assessment Literacy Continuum</w:t>
              </w:r>
            </w:hyperlink>
          </w:p>
        </w:tc>
        <w:tc>
          <w:tcPr>
            <w:tcW w:w="3512" w:type="pct"/>
            <w:tcBorders>
              <w:top w:val="single" w:sz="6" w:space="0" w:color="2F5496"/>
              <w:left w:val="single" w:sz="6" w:space="0" w:color="2F5496"/>
              <w:bottom w:val="single" w:sz="6" w:space="0" w:color="2F5496"/>
              <w:right w:val="single" w:sz="6" w:space="0" w:color="2F5496"/>
            </w:tcBorders>
            <w:hideMark/>
          </w:tcPr>
          <w:p w14:paraId="4562846F" w14:textId="77777777" w:rsidR="004939EC" w:rsidRPr="00A06F1E" w:rsidRDefault="004939EC" w:rsidP="00056D2B">
            <w:pPr>
              <w:pStyle w:val="TableText"/>
              <w:rPr>
                <w:rFonts w:ascii="Franklin Gothic Demi" w:eastAsia="HGGothicE" w:hAnsi="Franklin Gothic Demi" w:cs="Franklin Gothic Book"/>
                <w:bCs/>
              </w:rPr>
            </w:pPr>
            <w:r w:rsidRPr="00A06F1E">
              <w:rPr>
                <w:rFonts w:ascii="Franklin Gothic Book" w:hAnsi="Franklin Gothic Book" w:cs="Calibri"/>
                <w:color w:val="000000"/>
                <w:szCs w:val="20"/>
              </w:rPr>
              <w:t>Tool to help teachers identify what aspects of assessment literacy they should focus on for their own goal setting.</w:t>
            </w:r>
          </w:p>
        </w:tc>
      </w:tr>
      <w:tr w:rsidR="004939EC" w:rsidRPr="00A06F1E" w14:paraId="701AA392" w14:textId="77777777" w:rsidTr="00D90309">
        <w:tc>
          <w:tcPr>
            <w:tcW w:w="1488" w:type="pct"/>
            <w:tcBorders>
              <w:top w:val="single" w:sz="6" w:space="0" w:color="2F5496"/>
              <w:left w:val="single" w:sz="6" w:space="0" w:color="2F5496"/>
              <w:bottom w:val="single" w:sz="6" w:space="0" w:color="2F5496"/>
              <w:right w:val="single" w:sz="6" w:space="0" w:color="2F5496"/>
            </w:tcBorders>
            <w:hideMark/>
          </w:tcPr>
          <w:p w14:paraId="0683327F" w14:textId="77777777" w:rsidR="004939EC" w:rsidRPr="00A06F1E" w:rsidRDefault="00000000" w:rsidP="00056D2B">
            <w:pPr>
              <w:pStyle w:val="TableText"/>
              <w:rPr>
                <w:rFonts w:ascii="Franklin Gothic Book" w:eastAsia="Times New Roman" w:hAnsi="Franklin Gothic Book" w:cs="Calibri"/>
              </w:rPr>
            </w:pPr>
            <w:hyperlink r:id="rId62" w:history="1">
              <w:r w:rsidR="004939EC" w:rsidRPr="00A06F1E">
                <w:rPr>
                  <w:rStyle w:val="Hyperlink"/>
                  <w:rFonts w:ascii="Franklin Gothic Book" w:eastAsia="Times New Roman" w:hAnsi="Franklin Gothic Book" w:cs="Calibri"/>
                </w:rPr>
                <w:t>District Data Team Toolkit</w:t>
              </w:r>
            </w:hyperlink>
          </w:p>
        </w:tc>
        <w:tc>
          <w:tcPr>
            <w:tcW w:w="3512" w:type="pct"/>
            <w:tcBorders>
              <w:top w:val="single" w:sz="6" w:space="0" w:color="2F5496"/>
              <w:left w:val="single" w:sz="6" w:space="0" w:color="2F5496"/>
              <w:bottom w:val="single" w:sz="6" w:space="0" w:color="2F5496"/>
              <w:right w:val="single" w:sz="6" w:space="0" w:color="2F5496"/>
            </w:tcBorders>
            <w:hideMark/>
          </w:tcPr>
          <w:p w14:paraId="7234D6A0" w14:textId="77777777" w:rsidR="004939EC" w:rsidRPr="00A06F1E" w:rsidRDefault="004939EC" w:rsidP="00056D2B">
            <w:pPr>
              <w:pStyle w:val="TableText"/>
              <w:rPr>
                <w:rFonts w:ascii="Franklin Gothic Book" w:eastAsia="Times New Roman" w:hAnsi="Franklin Gothic Book" w:cs="Times New Roman"/>
                <w:bCs/>
                <w:szCs w:val="20"/>
              </w:rPr>
            </w:pPr>
            <w:r w:rsidRPr="00A06F1E">
              <w:rPr>
                <w:rFonts w:ascii="Franklin Gothic Book" w:eastAsia="Times New Roman" w:hAnsi="Franklin Gothic Book" w:cs="Calibri"/>
                <w:szCs w:val="20"/>
              </w:rPr>
              <w:t>A set of r</w:t>
            </w:r>
            <w:r w:rsidRPr="00A06F1E">
              <w:rPr>
                <w:rFonts w:ascii="Franklin Gothic Book" w:eastAsia="Times New Roman" w:hAnsi="Franklin Gothic Book" w:cs="Calibri"/>
                <w:bCs/>
                <w:szCs w:val="20"/>
              </w:rPr>
              <w:t>esources to help a district establish, grow, and maintain a culture of inquiry and data use through a district data team.</w:t>
            </w:r>
          </w:p>
        </w:tc>
      </w:tr>
      <w:tr w:rsidR="004939EC" w:rsidRPr="00A06F1E" w14:paraId="0EED60BB" w14:textId="77777777" w:rsidTr="00D90309">
        <w:tc>
          <w:tcPr>
            <w:tcW w:w="1488" w:type="pct"/>
            <w:tcBorders>
              <w:top w:val="single" w:sz="6" w:space="0" w:color="2F5496"/>
              <w:left w:val="single" w:sz="6" w:space="0" w:color="2F5496"/>
              <w:bottom w:val="single" w:sz="6" w:space="0" w:color="2F5496"/>
              <w:right w:val="single" w:sz="6" w:space="0" w:color="2F5496"/>
            </w:tcBorders>
            <w:hideMark/>
          </w:tcPr>
          <w:p w14:paraId="49020429" w14:textId="77777777" w:rsidR="004939EC" w:rsidRPr="00A06F1E" w:rsidRDefault="00000000" w:rsidP="00056D2B">
            <w:pPr>
              <w:pStyle w:val="TableText"/>
              <w:rPr>
                <w14:ligatures w14:val="standardContextual"/>
              </w:rPr>
            </w:pPr>
            <w:hyperlink r:id="rId63" w:history="1">
              <w:r w:rsidR="004939EC" w:rsidRPr="00A06F1E">
                <w:rPr>
                  <w:rStyle w:val="Hyperlink"/>
                  <w:rFonts w:ascii="Franklin Gothic Book" w:hAnsi="Franklin Gothic Book" w:cs="Calibri"/>
                  <w:szCs w:val="20"/>
                </w:rPr>
                <w:t>Early Literacy Universal Screening Assessments</w:t>
              </w:r>
            </w:hyperlink>
          </w:p>
        </w:tc>
        <w:tc>
          <w:tcPr>
            <w:tcW w:w="3512" w:type="pct"/>
            <w:tcBorders>
              <w:top w:val="single" w:sz="6" w:space="0" w:color="2F5496"/>
              <w:left w:val="single" w:sz="6" w:space="0" w:color="2F5496"/>
              <w:bottom w:val="single" w:sz="6" w:space="0" w:color="2F5496"/>
              <w:right w:val="single" w:sz="6" w:space="0" w:color="2F5496"/>
            </w:tcBorders>
            <w:hideMark/>
          </w:tcPr>
          <w:p w14:paraId="6D6676ED" w14:textId="77777777" w:rsidR="004939EC" w:rsidRPr="00A06F1E" w:rsidRDefault="004939EC" w:rsidP="00056D2B">
            <w:pPr>
              <w:pStyle w:val="TableText"/>
              <w:rPr>
                <w:rFonts w:ascii="Franklin Gothic Book" w:eastAsia="Times New Roman" w:hAnsi="Franklin Gothic Book" w:cs="Calibri"/>
                <w:szCs w:val="20"/>
              </w:rPr>
            </w:pPr>
            <w:r w:rsidRPr="00A06F1E">
              <w:rPr>
                <w:rFonts w:ascii="Franklin Gothic Book" w:hAnsi="Franklin Gothic Book" w:cs="Calibri"/>
                <w:color w:val="000000"/>
                <w:szCs w:val="20"/>
              </w:rPr>
              <w:t>Guidance and support for schools and districts to select and use an early literacy universal screening assessment. Grant funding may be available.</w:t>
            </w:r>
          </w:p>
        </w:tc>
      </w:tr>
      <w:tr w:rsidR="004939EC" w:rsidRPr="00A06F1E" w14:paraId="4E5D8EA0" w14:textId="77777777" w:rsidTr="00D90309">
        <w:tc>
          <w:tcPr>
            <w:tcW w:w="1488" w:type="pct"/>
            <w:tcBorders>
              <w:top w:val="single" w:sz="6" w:space="0" w:color="2F5496"/>
              <w:left w:val="single" w:sz="6" w:space="0" w:color="2F5496"/>
              <w:bottom w:val="single" w:sz="6" w:space="0" w:color="2F5496"/>
              <w:right w:val="single" w:sz="6" w:space="0" w:color="2F5496"/>
            </w:tcBorders>
            <w:hideMark/>
          </w:tcPr>
          <w:p w14:paraId="43A49883" w14:textId="77777777" w:rsidR="004939EC" w:rsidRPr="00A06F1E" w:rsidRDefault="00000000" w:rsidP="00056D2B">
            <w:pPr>
              <w:pStyle w:val="TableText"/>
              <w:rPr>
                <w:rFonts w:ascii="Franklin Gothic Book" w:eastAsia="Times New Roman" w:hAnsi="Franklin Gothic Book" w:cs="Calibri"/>
                <w:szCs w:val="20"/>
              </w:rPr>
            </w:pPr>
            <w:hyperlink r:id="rId64" w:history="1">
              <w:r w:rsidR="004939EC" w:rsidRPr="00A06F1E">
                <w:rPr>
                  <w:rStyle w:val="Hyperlink"/>
                  <w:rFonts w:ascii="Franklin Gothic Book" w:hAnsi="Franklin Gothic Book" w:cs="Calibri"/>
                  <w:szCs w:val="20"/>
                </w:rPr>
                <w:t>Student Assessment</w:t>
              </w:r>
            </w:hyperlink>
          </w:p>
        </w:tc>
        <w:tc>
          <w:tcPr>
            <w:tcW w:w="3512" w:type="pct"/>
            <w:tcBorders>
              <w:top w:val="single" w:sz="6" w:space="0" w:color="2F5496"/>
              <w:left w:val="single" w:sz="6" w:space="0" w:color="2F5496"/>
              <w:bottom w:val="single" w:sz="6" w:space="0" w:color="2F5496"/>
              <w:right w:val="single" w:sz="6" w:space="0" w:color="2F5496"/>
            </w:tcBorders>
            <w:hideMark/>
          </w:tcPr>
          <w:p w14:paraId="1C7BA45F" w14:textId="77777777" w:rsidR="004939EC" w:rsidRPr="00A06F1E" w:rsidRDefault="004939EC" w:rsidP="00056D2B">
            <w:pPr>
              <w:pStyle w:val="TableText"/>
              <w:rPr>
                <w:rFonts w:ascii="Franklin Gothic Book" w:eastAsia="Times New Roman" w:hAnsi="Franklin Gothic Book" w:cs="Calibri"/>
                <w:szCs w:val="20"/>
              </w:rPr>
            </w:pPr>
            <w:r w:rsidRPr="00A06F1E">
              <w:rPr>
                <w:rFonts w:ascii="Franklin Gothic Book" w:hAnsi="Franklin Gothic Book" w:cs="Calibri"/>
                <w:color w:val="000000"/>
                <w:szCs w:val="20"/>
              </w:rPr>
              <w:t>Statewide assessments help parents, students, educators, and policymakers determine where districts, schools, and students are meeting expectations and where they need additional support.</w:t>
            </w:r>
          </w:p>
        </w:tc>
      </w:tr>
    </w:tbl>
    <w:p w14:paraId="76358037" w14:textId="36B67C9C" w:rsidR="004939EC" w:rsidRPr="00A06F1E" w:rsidRDefault="004939EC" w:rsidP="00056D2B">
      <w:pPr>
        <w:pStyle w:val="TableTitle0"/>
      </w:pPr>
      <w:bookmarkStart w:id="217" w:name="_Toc170701929"/>
      <w:r w:rsidRPr="00A06F1E">
        <w:lastRenderedPageBreak/>
        <w:t>Table C4. Resources to Support Human Resources and Professional Development</w:t>
      </w:r>
      <w:bookmarkEnd w:id="217"/>
    </w:p>
    <w:tbl>
      <w:tblPr>
        <w:tblStyle w:val="MSVTable1"/>
        <w:tblW w:w="5004" w:type="pct"/>
        <w:tblLook w:val="0620" w:firstRow="1" w:lastRow="0" w:firstColumn="0" w:lastColumn="0" w:noHBand="1" w:noVBand="1"/>
      </w:tblPr>
      <w:tblGrid>
        <w:gridCol w:w="2782"/>
        <w:gridCol w:w="6569"/>
      </w:tblGrid>
      <w:tr w:rsidR="004939EC" w:rsidRPr="00A06F1E" w14:paraId="1E223198" w14:textId="77777777" w:rsidTr="00D90309">
        <w:trPr>
          <w:cnfStyle w:val="100000000000" w:firstRow="1" w:lastRow="0" w:firstColumn="0" w:lastColumn="0" w:oddVBand="0" w:evenVBand="0" w:oddHBand="0" w:evenHBand="0" w:firstRowFirstColumn="0" w:firstRowLastColumn="0" w:lastRowFirstColumn="0" w:lastRowLastColumn="0"/>
          <w:tblHeader/>
        </w:trPr>
        <w:tc>
          <w:tcPr>
            <w:tcW w:w="2782" w:type="dxa"/>
            <w:tcBorders>
              <w:top w:val="single" w:sz="6" w:space="0" w:color="2F5496"/>
              <w:left w:val="single" w:sz="6" w:space="0" w:color="2F5496"/>
              <w:bottom w:val="single" w:sz="6" w:space="0" w:color="2F5496"/>
            </w:tcBorders>
            <w:hideMark/>
          </w:tcPr>
          <w:p w14:paraId="7D84B3FD" w14:textId="77777777" w:rsidR="004939EC" w:rsidRPr="00A06F1E" w:rsidRDefault="004939EC" w:rsidP="00056D2B">
            <w:pPr>
              <w:pStyle w:val="TableColHeadingLeft"/>
            </w:pPr>
            <w:r w:rsidRPr="00A06F1E">
              <w:t>Resource</w:t>
            </w:r>
          </w:p>
        </w:tc>
        <w:tc>
          <w:tcPr>
            <w:tcW w:w="6569" w:type="dxa"/>
            <w:tcBorders>
              <w:top w:val="single" w:sz="6" w:space="0" w:color="2F5496"/>
              <w:bottom w:val="single" w:sz="6" w:space="0" w:color="2F5496"/>
              <w:right w:val="single" w:sz="6" w:space="0" w:color="2F5496"/>
            </w:tcBorders>
            <w:hideMark/>
          </w:tcPr>
          <w:p w14:paraId="66F9F468" w14:textId="77777777" w:rsidR="004939EC" w:rsidRPr="00A06F1E" w:rsidRDefault="004939EC" w:rsidP="00056D2B">
            <w:pPr>
              <w:pStyle w:val="TableColHeadingLeft"/>
            </w:pPr>
            <w:r w:rsidRPr="00A06F1E">
              <w:t>Description</w:t>
            </w:r>
          </w:p>
        </w:tc>
      </w:tr>
      <w:tr w:rsidR="004939EC" w:rsidRPr="00A06F1E" w14:paraId="537626D0" w14:textId="77777777" w:rsidTr="00D90309">
        <w:tc>
          <w:tcPr>
            <w:tcW w:w="2782" w:type="dxa"/>
            <w:tcBorders>
              <w:top w:val="single" w:sz="6" w:space="0" w:color="2F5496"/>
              <w:left w:val="single" w:sz="6" w:space="0" w:color="2F5496"/>
              <w:bottom w:val="single" w:sz="6" w:space="0" w:color="2F5496"/>
              <w:right w:val="single" w:sz="6" w:space="0" w:color="2F5496"/>
            </w:tcBorders>
            <w:hideMark/>
          </w:tcPr>
          <w:p w14:paraId="20D558B5" w14:textId="77777777" w:rsidR="004939EC" w:rsidRPr="00A06F1E" w:rsidRDefault="00000000" w:rsidP="00056D2B">
            <w:pPr>
              <w:pStyle w:val="TableText"/>
              <w:rPr>
                <w:rFonts w:ascii="Franklin Gothic Demi" w:eastAsia="HGGothicE" w:hAnsi="Franklin Gothic Demi" w:cs="Franklin Gothic Book"/>
                <w:bCs/>
              </w:rPr>
            </w:pPr>
            <w:hyperlink r:id="rId65" w:history="1">
              <w:r w:rsidR="004939EC" w:rsidRPr="00A06F1E">
                <w:rPr>
                  <w:rStyle w:val="Hyperlink"/>
                  <w:rFonts w:ascii="Franklin Gothic Book" w:hAnsi="Franklin Gothic Book" w:cs="Calibri"/>
                  <w:szCs w:val="20"/>
                </w:rPr>
                <w:t>Early Literacy Observation Form</w:t>
              </w:r>
            </w:hyperlink>
          </w:p>
        </w:tc>
        <w:tc>
          <w:tcPr>
            <w:tcW w:w="6569" w:type="dxa"/>
            <w:tcBorders>
              <w:top w:val="single" w:sz="6" w:space="0" w:color="2F5496"/>
              <w:left w:val="single" w:sz="6" w:space="0" w:color="2F5496"/>
              <w:bottom w:val="single" w:sz="6" w:space="0" w:color="2F5496"/>
              <w:right w:val="single" w:sz="6" w:space="0" w:color="2F5496"/>
            </w:tcBorders>
            <w:hideMark/>
          </w:tcPr>
          <w:p w14:paraId="33B8CBFB" w14:textId="77777777" w:rsidR="004939EC" w:rsidRPr="00A06F1E" w:rsidRDefault="004939EC" w:rsidP="00056D2B">
            <w:pPr>
              <w:pStyle w:val="TableText"/>
              <w:rPr>
                <w:rFonts w:ascii="Franklin Gothic Demi" w:eastAsia="HGGothicE" w:hAnsi="Franklin Gothic Demi" w:cs="Franklin Gothic Book"/>
                <w:bCs/>
              </w:rPr>
            </w:pPr>
            <w:r w:rsidRPr="00A06F1E">
              <w:rPr>
                <w:rFonts w:ascii="Franklin Gothic Book" w:hAnsi="Franklin Gothic Book" w:cs="Calibri"/>
                <w:color w:val="000000"/>
                <w:szCs w:val="20"/>
              </w:rPr>
              <w:t>This tool supports the observation and provision of high-quality feedback to teacher candidates on their practice in evidence-based early literacy.</w:t>
            </w:r>
          </w:p>
        </w:tc>
      </w:tr>
      <w:tr w:rsidR="004939EC" w:rsidRPr="00A06F1E" w14:paraId="031F60B6" w14:textId="77777777" w:rsidTr="00D90309">
        <w:tc>
          <w:tcPr>
            <w:tcW w:w="2782" w:type="dxa"/>
            <w:tcBorders>
              <w:top w:val="single" w:sz="6" w:space="0" w:color="2F5496"/>
              <w:left w:val="single" w:sz="6" w:space="0" w:color="2F5496"/>
              <w:bottom w:val="single" w:sz="6" w:space="0" w:color="2F5496"/>
              <w:right w:val="single" w:sz="6" w:space="0" w:color="2F5496"/>
            </w:tcBorders>
            <w:hideMark/>
          </w:tcPr>
          <w:p w14:paraId="76BBD01A" w14:textId="77777777" w:rsidR="004939EC" w:rsidRPr="00A06F1E" w:rsidRDefault="00000000" w:rsidP="00056D2B">
            <w:pPr>
              <w:pStyle w:val="TableText"/>
              <w:rPr>
                <w:rFonts w:ascii="Franklin Gothic Demi" w:eastAsia="HGGothicE" w:hAnsi="Franklin Gothic Demi" w:cs="Franklin Gothic Book"/>
                <w:bCs/>
              </w:rPr>
            </w:pPr>
            <w:hyperlink r:id="rId66" w:history="1">
              <w:r w:rsidR="004939EC" w:rsidRPr="00A06F1E">
                <w:rPr>
                  <w:rStyle w:val="Hyperlink"/>
                  <w:rFonts w:ascii="Franklin Gothic Book" w:hAnsi="Franklin Gothic Book" w:cs="Calibri"/>
                  <w:szCs w:val="20"/>
                </w:rPr>
                <w:t>Educator Evaluation Implementation Resources</w:t>
              </w:r>
            </w:hyperlink>
          </w:p>
        </w:tc>
        <w:tc>
          <w:tcPr>
            <w:tcW w:w="6569" w:type="dxa"/>
            <w:tcBorders>
              <w:top w:val="single" w:sz="6" w:space="0" w:color="2F5496"/>
              <w:left w:val="single" w:sz="6" w:space="0" w:color="2F5496"/>
              <w:bottom w:val="single" w:sz="6" w:space="0" w:color="2F5496"/>
              <w:right w:val="single" w:sz="6" w:space="0" w:color="2F5496"/>
            </w:tcBorders>
            <w:hideMark/>
          </w:tcPr>
          <w:p w14:paraId="1E2B6DC8" w14:textId="77777777" w:rsidR="004939EC" w:rsidRPr="00A06F1E" w:rsidRDefault="004939EC" w:rsidP="00056D2B">
            <w:pPr>
              <w:pStyle w:val="TableText"/>
              <w:rPr>
                <w:rFonts w:ascii="Franklin Gothic Demi" w:eastAsia="HGGothicE" w:hAnsi="Franklin Gothic Demi" w:cs="Franklin Gothic Book"/>
                <w:bCs/>
              </w:rPr>
            </w:pPr>
            <w:r w:rsidRPr="00A06F1E">
              <w:rPr>
                <w:rFonts w:ascii="Franklin Gothic Book" w:hAnsi="Franklin Gothic Book" w:cs="Calibri"/>
                <w:color w:val="000000"/>
                <w:szCs w:val="20"/>
              </w:rPr>
              <w:t>A suite of resources and practical tools for effective and equitable implementation of educator evaluation, including Focus Indicators, a subset of Indicators from the Classroom Teacher and School Level Administrator Rubrics that represent high-priority practices for the school year.</w:t>
            </w:r>
          </w:p>
        </w:tc>
      </w:tr>
      <w:tr w:rsidR="004939EC" w:rsidRPr="00A06F1E" w14:paraId="28A1177D" w14:textId="77777777" w:rsidTr="00D90309">
        <w:tc>
          <w:tcPr>
            <w:tcW w:w="2782" w:type="dxa"/>
            <w:tcBorders>
              <w:top w:val="single" w:sz="6" w:space="0" w:color="2F5496"/>
              <w:left w:val="single" w:sz="6" w:space="0" w:color="2F5496"/>
              <w:bottom w:val="single" w:sz="6" w:space="0" w:color="2F5496"/>
              <w:right w:val="single" w:sz="6" w:space="0" w:color="2F5496"/>
            </w:tcBorders>
            <w:hideMark/>
          </w:tcPr>
          <w:p w14:paraId="65CDCB6E" w14:textId="5837B352" w:rsidR="004939EC" w:rsidRPr="00A06F1E" w:rsidRDefault="004939EC" w:rsidP="00056D2B">
            <w:pPr>
              <w:pStyle w:val="TableText"/>
              <w:rPr>
                <w14:ligatures w14:val="standardContextual"/>
              </w:rPr>
            </w:pPr>
            <w:r w:rsidRPr="00A06F1E">
              <w:t xml:space="preserve">Induction and </w:t>
            </w:r>
            <w:r w:rsidR="001C0D0F" w:rsidRPr="00A06F1E">
              <w:t>m</w:t>
            </w:r>
            <w:r w:rsidRPr="00A06F1E">
              <w:t>entoring:</w:t>
            </w:r>
          </w:p>
          <w:p w14:paraId="23022656" w14:textId="77777777" w:rsidR="004939EC" w:rsidRPr="00A06F1E" w:rsidRDefault="00000000" w:rsidP="00056D2B">
            <w:pPr>
              <w:pStyle w:val="TableBullet1"/>
              <w:rPr>
                <w:rStyle w:val="Hyperlink"/>
              </w:rPr>
            </w:pPr>
            <w:hyperlink r:id="rId67" w:history="1">
              <w:r w:rsidR="004939EC" w:rsidRPr="00A06F1E">
                <w:rPr>
                  <w:rStyle w:val="Hyperlink"/>
                  <w:rFonts w:ascii="Franklin Gothic Book" w:hAnsi="Franklin Gothic Book" w:cs="Calibri"/>
                  <w:szCs w:val="20"/>
                </w:rPr>
                <w:t>Teacher Induction and Mentoring</w:t>
              </w:r>
            </w:hyperlink>
          </w:p>
          <w:p w14:paraId="248586E3" w14:textId="77777777" w:rsidR="004939EC" w:rsidRPr="00A06F1E" w:rsidRDefault="00000000" w:rsidP="00056D2B">
            <w:pPr>
              <w:pStyle w:val="TableBullet1"/>
              <w:rPr>
                <w:rFonts w:ascii="Franklin Gothic Book" w:eastAsia="Franklin Gothic Book" w:hAnsi="Franklin Gothic Book" w:cs="Tahoma"/>
                <w:szCs w:val="20"/>
              </w:rPr>
            </w:pPr>
            <w:hyperlink r:id="rId68" w:history="1">
              <w:r w:rsidR="004939EC" w:rsidRPr="00A06F1E">
                <w:rPr>
                  <w:rStyle w:val="Hyperlink"/>
                  <w:rFonts w:ascii="Franklin Gothic Book" w:hAnsi="Franklin Gothic Book" w:cs="Calibri"/>
                  <w:szCs w:val="20"/>
                </w:rPr>
                <w:t>Principal Induction and Mentoring</w:t>
              </w:r>
            </w:hyperlink>
          </w:p>
        </w:tc>
        <w:tc>
          <w:tcPr>
            <w:tcW w:w="6569" w:type="dxa"/>
            <w:tcBorders>
              <w:top w:val="single" w:sz="6" w:space="0" w:color="2F5496"/>
              <w:left w:val="single" w:sz="6" w:space="0" w:color="2F5496"/>
              <w:bottom w:val="single" w:sz="6" w:space="0" w:color="2F5496"/>
              <w:right w:val="single" w:sz="6" w:space="0" w:color="2F5496"/>
            </w:tcBorders>
            <w:hideMark/>
          </w:tcPr>
          <w:p w14:paraId="31947D8B" w14:textId="49C4B6F7" w:rsidR="004939EC" w:rsidRPr="00A06F1E" w:rsidRDefault="004939EC">
            <w:pPr>
              <w:rPr>
                <w:rFonts w:ascii="Franklin Gothic Book" w:eastAsia="Franklin Gothic Book" w:hAnsi="Franklin Gothic Book" w:cs="Tahoma"/>
                <w:sz w:val="20"/>
                <w:szCs w:val="20"/>
              </w:rPr>
            </w:pPr>
            <w:r w:rsidRPr="00A06F1E">
              <w:rPr>
                <w:rFonts w:ascii="Franklin Gothic Book" w:hAnsi="Franklin Gothic Book" w:cs="Calibri"/>
                <w:color w:val="000000"/>
                <w:sz w:val="20"/>
                <w:szCs w:val="20"/>
              </w:rPr>
              <w:t>Resources that highlight best practices and reinforce the recently updated guidelines and standards for induction and mentoring.</w:t>
            </w:r>
            <w:r w:rsidR="006C1DC9" w:rsidRPr="00A06F1E">
              <w:rPr>
                <w:rFonts w:ascii="Franklin Gothic Book" w:hAnsi="Franklin Gothic Book" w:cs="Calibri"/>
                <w:color w:val="000000"/>
                <w:sz w:val="20"/>
                <w:szCs w:val="20"/>
              </w:rPr>
              <w:t xml:space="preserve"> </w:t>
            </w:r>
          </w:p>
        </w:tc>
      </w:tr>
      <w:tr w:rsidR="004939EC" w:rsidRPr="00A06F1E" w14:paraId="4F3DA4A5" w14:textId="77777777" w:rsidTr="00D90309">
        <w:tc>
          <w:tcPr>
            <w:tcW w:w="2782" w:type="dxa"/>
            <w:tcBorders>
              <w:top w:val="single" w:sz="6" w:space="0" w:color="2F5496"/>
              <w:left w:val="single" w:sz="6" w:space="0" w:color="2F5496"/>
              <w:bottom w:val="single" w:sz="6" w:space="0" w:color="2F5496"/>
              <w:right w:val="single" w:sz="6" w:space="0" w:color="2F5496"/>
            </w:tcBorders>
          </w:tcPr>
          <w:p w14:paraId="1E41312E" w14:textId="35A650E2" w:rsidR="004939EC" w:rsidRPr="00A06F1E" w:rsidRDefault="00000000" w:rsidP="00056D2B">
            <w:pPr>
              <w:pStyle w:val="TableText"/>
              <w:rPr>
                <w:rFonts w:cs="Calibri"/>
                <w:color w:val="000000"/>
                <w:u w:val="single"/>
                <w14:ligatures w14:val="standardContextual"/>
              </w:rPr>
            </w:pPr>
            <w:hyperlink r:id="rId69" w:history="1">
              <w:r w:rsidR="004939EC" w:rsidRPr="00A06F1E">
                <w:rPr>
                  <w:rStyle w:val="Hyperlink"/>
                  <w:rFonts w:ascii="Franklin Gothic Book" w:hAnsi="Franklin Gothic Book" w:cs="Calibri"/>
                  <w:szCs w:val="20"/>
                </w:rPr>
                <w:t>Massachusetts Tests for Educator Licensure (MTEL)</w:t>
              </w:r>
            </w:hyperlink>
          </w:p>
        </w:tc>
        <w:tc>
          <w:tcPr>
            <w:tcW w:w="6569" w:type="dxa"/>
            <w:tcBorders>
              <w:top w:val="single" w:sz="6" w:space="0" w:color="2F5496"/>
              <w:left w:val="single" w:sz="6" w:space="0" w:color="2F5496"/>
              <w:bottom w:val="single" w:sz="6" w:space="0" w:color="2F5496"/>
              <w:right w:val="single" w:sz="6" w:space="0" w:color="2F5496"/>
            </w:tcBorders>
            <w:hideMark/>
          </w:tcPr>
          <w:p w14:paraId="460880AF" w14:textId="77777777" w:rsidR="004939EC" w:rsidRPr="00A06F1E" w:rsidRDefault="004939EC" w:rsidP="00056D2B">
            <w:pPr>
              <w:pStyle w:val="TableText"/>
              <w:rPr>
                <w:rFonts w:eastAsia="Franklin Gothic Book" w:cs="Tahoma"/>
              </w:rPr>
            </w:pPr>
            <w:r w:rsidRPr="00A06F1E">
              <w:rPr>
                <w:color w:val="000000"/>
              </w:rPr>
              <w:t xml:space="preserve">Information on MTEL exams, MTEL alternatives, and licensure requirements for educators. </w:t>
            </w:r>
          </w:p>
        </w:tc>
      </w:tr>
      <w:tr w:rsidR="004939EC" w:rsidRPr="00A06F1E" w14:paraId="6C79FB4E" w14:textId="77777777" w:rsidTr="00D90309">
        <w:tc>
          <w:tcPr>
            <w:tcW w:w="2782" w:type="dxa"/>
            <w:tcBorders>
              <w:top w:val="single" w:sz="6" w:space="0" w:color="2F5496"/>
              <w:left w:val="single" w:sz="6" w:space="0" w:color="2F5496"/>
              <w:bottom w:val="single" w:sz="6" w:space="0" w:color="2F5496"/>
              <w:right w:val="single" w:sz="6" w:space="0" w:color="2F5496"/>
            </w:tcBorders>
            <w:hideMark/>
          </w:tcPr>
          <w:p w14:paraId="0AE23D70" w14:textId="77777777" w:rsidR="004939EC" w:rsidRPr="00A06F1E" w:rsidRDefault="00000000" w:rsidP="00056D2B">
            <w:pPr>
              <w:pStyle w:val="TableText"/>
              <w:rPr>
                <w14:ligatures w14:val="standardContextual"/>
              </w:rPr>
            </w:pPr>
            <w:hyperlink r:id="rId70" w:history="1">
              <w:r w:rsidR="004939EC" w:rsidRPr="00A06F1E">
                <w:rPr>
                  <w:rStyle w:val="Hyperlink"/>
                  <w:rFonts w:ascii="Franklin Gothic Book" w:hAnsi="Franklin Gothic Book" w:cs="Calibri"/>
                  <w:szCs w:val="20"/>
                </w:rPr>
                <w:t>OPTIC</w:t>
              </w:r>
            </w:hyperlink>
          </w:p>
        </w:tc>
        <w:tc>
          <w:tcPr>
            <w:tcW w:w="6569" w:type="dxa"/>
            <w:tcBorders>
              <w:top w:val="single" w:sz="6" w:space="0" w:color="2F5496"/>
              <w:left w:val="single" w:sz="6" w:space="0" w:color="2F5496"/>
              <w:bottom w:val="single" w:sz="6" w:space="0" w:color="2F5496"/>
              <w:right w:val="single" w:sz="6" w:space="0" w:color="2F5496"/>
            </w:tcBorders>
            <w:hideMark/>
          </w:tcPr>
          <w:p w14:paraId="245BAFF4" w14:textId="01A44249" w:rsidR="004939EC" w:rsidRPr="00A06F1E" w:rsidRDefault="004939EC" w:rsidP="00056D2B">
            <w:pPr>
              <w:pStyle w:val="TableText"/>
              <w:rPr>
                <w:rFonts w:eastAsia="Franklin Gothic Book" w:cs="Tahoma"/>
              </w:rPr>
            </w:pPr>
            <w:r w:rsidRPr="00A06F1E">
              <w:rPr>
                <w:color w:val="000000"/>
              </w:rPr>
              <w:t>A professional development tool that supports Massachusetts educators to build a shared understanding of high-quality instruction and improve the feedback that teachers receive.</w:t>
            </w:r>
          </w:p>
        </w:tc>
      </w:tr>
      <w:tr w:rsidR="004939EC" w:rsidRPr="00A06F1E" w14:paraId="135610FF" w14:textId="77777777" w:rsidTr="00D90309">
        <w:tc>
          <w:tcPr>
            <w:tcW w:w="2782" w:type="dxa"/>
            <w:tcBorders>
              <w:top w:val="single" w:sz="6" w:space="0" w:color="2F5496"/>
              <w:left w:val="single" w:sz="6" w:space="0" w:color="2F5496"/>
              <w:bottom w:val="single" w:sz="6" w:space="0" w:color="2F5496"/>
              <w:right w:val="single" w:sz="6" w:space="0" w:color="2F5496"/>
            </w:tcBorders>
            <w:hideMark/>
          </w:tcPr>
          <w:p w14:paraId="1EAACD1C" w14:textId="77777777" w:rsidR="004939EC" w:rsidRPr="00A06F1E" w:rsidRDefault="00000000" w:rsidP="00056D2B">
            <w:pPr>
              <w:pStyle w:val="TableText"/>
              <w:rPr>
                <w14:ligatures w14:val="standardContextual"/>
              </w:rPr>
            </w:pPr>
            <w:hyperlink r:id="rId71" w:history="1">
              <w:r w:rsidR="004939EC" w:rsidRPr="00A06F1E">
                <w:rPr>
                  <w:rStyle w:val="Hyperlink"/>
                  <w:rFonts w:ascii="Franklin Gothic Book" w:hAnsi="Franklin Gothic Book" w:cs="Calibri"/>
                </w:rPr>
                <w:t>Professional Learning Partner Guide</w:t>
              </w:r>
            </w:hyperlink>
          </w:p>
        </w:tc>
        <w:tc>
          <w:tcPr>
            <w:tcW w:w="6569" w:type="dxa"/>
            <w:tcBorders>
              <w:top w:val="single" w:sz="6" w:space="0" w:color="2F5496"/>
              <w:left w:val="single" w:sz="6" w:space="0" w:color="2F5496"/>
              <w:bottom w:val="single" w:sz="6" w:space="0" w:color="2F5496"/>
              <w:right w:val="single" w:sz="6" w:space="0" w:color="2F5496"/>
            </w:tcBorders>
            <w:hideMark/>
          </w:tcPr>
          <w:p w14:paraId="198B62B2" w14:textId="6BE72F92" w:rsidR="004939EC" w:rsidRPr="00A06F1E" w:rsidRDefault="004939EC" w:rsidP="00056D2B">
            <w:pPr>
              <w:pStyle w:val="TableText"/>
              <w:rPr>
                <w:color w:val="000000"/>
              </w:rPr>
            </w:pPr>
            <w:r w:rsidRPr="00A06F1E">
              <w:rPr>
                <w:color w:val="000000" w:themeColor="text1"/>
              </w:rPr>
              <w:t xml:space="preserve">A free, online, searchable list of vetted professional development providers who have expertise in specific sets of high-quality instructional materials. Schools and districts can use this guide to easily find </w:t>
            </w:r>
            <w:r w:rsidR="00D90309" w:rsidRPr="00A06F1E">
              <w:rPr>
                <w:color w:val="000000" w:themeColor="text1"/>
              </w:rPr>
              <w:t xml:space="preserve">professional development </w:t>
            </w:r>
            <w:r w:rsidRPr="00A06F1E">
              <w:rPr>
                <w:color w:val="000000" w:themeColor="text1"/>
              </w:rPr>
              <w:t>providers to support the launch or implementation of high-quality instructional materials.</w:t>
            </w:r>
          </w:p>
        </w:tc>
      </w:tr>
      <w:tr w:rsidR="004939EC" w:rsidRPr="00A06F1E" w14:paraId="2BDECC26" w14:textId="77777777" w:rsidTr="00D90309">
        <w:tc>
          <w:tcPr>
            <w:tcW w:w="2782" w:type="dxa"/>
            <w:tcBorders>
              <w:top w:val="single" w:sz="6" w:space="0" w:color="2F5496"/>
              <w:left w:val="single" w:sz="6" w:space="0" w:color="2F5496"/>
              <w:bottom w:val="single" w:sz="6" w:space="0" w:color="2F5496"/>
              <w:right w:val="single" w:sz="6" w:space="0" w:color="2F5496"/>
            </w:tcBorders>
            <w:hideMark/>
          </w:tcPr>
          <w:p w14:paraId="67D6C14E" w14:textId="160168BA" w:rsidR="004939EC" w:rsidRPr="00A06F1E" w:rsidRDefault="00000000" w:rsidP="00056D2B">
            <w:pPr>
              <w:pStyle w:val="TableText"/>
              <w:rPr>
                <w:rFonts w:eastAsia="Franklin Gothic Book" w:cs="Tahoma"/>
              </w:rPr>
            </w:pPr>
            <w:hyperlink r:id="rId72" w:history="1">
              <w:r w:rsidR="00040362" w:rsidRPr="00A06F1E">
                <w:rPr>
                  <w:rStyle w:val="Hyperlink"/>
                  <w:rFonts w:ascii="Franklin Gothic Book" w:hAnsi="Franklin Gothic Book" w:cs="Calibri"/>
                  <w:szCs w:val="20"/>
                </w:rPr>
                <w:t>“</w:t>
              </w:r>
              <w:r w:rsidR="004939EC" w:rsidRPr="00A06F1E">
                <w:rPr>
                  <w:rStyle w:val="Hyperlink"/>
                  <w:rFonts w:ascii="Franklin Gothic Book" w:hAnsi="Franklin Gothic Book" w:cs="Calibri"/>
                  <w:szCs w:val="20"/>
                </w:rPr>
                <w:t>What to Look For</w:t>
              </w:r>
              <w:r w:rsidR="00040362" w:rsidRPr="00A06F1E">
                <w:rPr>
                  <w:rStyle w:val="Hyperlink"/>
                  <w:rFonts w:ascii="Franklin Gothic Book" w:hAnsi="Franklin Gothic Book" w:cs="Calibri"/>
                  <w:szCs w:val="20"/>
                </w:rPr>
                <w:t>”</w:t>
              </w:r>
              <w:r w:rsidR="004939EC" w:rsidRPr="00A06F1E">
                <w:rPr>
                  <w:rStyle w:val="Hyperlink"/>
                  <w:rFonts w:ascii="Franklin Gothic Book" w:hAnsi="Franklin Gothic Book" w:cs="Calibri"/>
                  <w:szCs w:val="20"/>
                </w:rPr>
                <w:t xml:space="preserve"> Observation Guides</w:t>
              </w:r>
            </w:hyperlink>
          </w:p>
        </w:tc>
        <w:tc>
          <w:tcPr>
            <w:tcW w:w="6569" w:type="dxa"/>
            <w:tcBorders>
              <w:top w:val="single" w:sz="6" w:space="0" w:color="2F5496"/>
              <w:left w:val="single" w:sz="6" w:space="0" w:color="2F5496"/>
              <w:bottom w:val="single" w:sz="6" w:space="0" w:color="2F5496"/>
              <w:right w:val="single" w:sz="6" w:space="0" w:color="2F5496"/>
            </w:tcBorders>
            <w:hideMark/>
          </w:tcPr>
          <w:p w14:paraId="34C2AFCB" w14:textId="77777777" w:rsidR="004939EC" w:rsidRPr="00A06F1E" w:rsidRDefault="004939EC" w:rsidP="00056D2B">
            <w:pPr>
              <w:pStyle w:val="TableText"/>
              <w:rPr>
                <w:rFonts w:eastAsia="Franklin Gothic Book" w:cs="Tahoma"/>
              </w:rPr>
            </w:pPr>
            <w:r w:rsidRPr="00A06F1E">
              <w:rPr>
                <w:color w:val="000000"/>
              </w:rPr>
              <w:t>Observation tools to help district staff observe instruction.</w:t>
            </w:r>
          </w:p>
        </w:tc>
      </w:tr>
      <w:tr w:rsidR="004939EC" w:rsidRPr="00A06F1E" w14:paraId="32E2A4DF" w14:textId="77777777" w:rsidTr="00D90309">
        <w:tc>
          <w:tcPr>
            <w:tcW w:w="2782" w:type="dxa"/>
            <w:tcBorders>
              <w:top w:val="single" w:sz="6" w:space="0" w:color="2F5496"/>
              <w:left w:val="single" w:sz="6" w:space="0" w:color="2F5496"/>
              <w:bottom w:val="single" w:sz="6" w:space="0" w:color="2F5496"/>
              <w:right w:val="single" w:sz="6" w:space="0" w:color="2F5496"/>
            </w:tcBorders>
            <w:hideMark/>
          </w:tcPr>
          <w:p w14:paraId="1D4A99A2" w14:textId="77777777" w:rsidR="004939EC" w:rsidRPr="00A06F1E" w:rsidRDefault="00000000" w:rsidP="00056D2B">
            <w:pPr>
              <w:pStyle w:val="TableText"/>
              <w:rPr>
                <w:rFonts w:ascii="Franklin Gothic Book" w:eastAsia="Franklin Gothic Book" w:hAnsi="Franklin Gothic Book" w:cs="Tahoma"/>
                <w:szCs w:val="20"/>
              </w:rPr>
            </w:pPr>
            <w:hyperlink r:id="rId73" w:history="1">
              <w:r w:rsidR="004939EC" w:rsidRPr="00A06F1E">
                <w:rPr>
                  <w:rStyle w:val="Hyperlink"/>
                  <w:rFonts w:ascii="Franklin Gothic Book" w:hAnsi="Franklin Gothic Book" w:cs="Calibri"/>
                  <w:szCs w:val="20"/>
                </w:rPr>
                <w:t>Talent Guide</w:t>
              </w:r>
            </w:hyperlink>
          </w:p>
        </w:tc>
        <w:tc>
          <w:tcPr>
            <w:tcW w:w="6569" w:type="dxa"/>
            <w:tcBorders>
              <w:top w:val="single" w:sz="6" w:space="0" w:color="2F5496"/>
              <w:left w:val="single" w:sz="6" w:space="0" w:color="2F5496"/>
              <w:bottom w:val="single" w:sz="6" w:space="0" w:color="2F5496"/>
              <w:right w:val="single" w:sz="6" w:space="0" w:color="2F5496"/>
            </w:tcBorders>
            <w:hideMark/>
          </w:tcPr>
          <w:p w14:paraId="51F4AECC" w14:textId="77777777" w:rsidR="004939EC" w:rsidRPr="00A06F1E" w:rsidRDefault="004939EC" w:rsidP="00056D2B">
            <w:pPr>
              <w:pStyle w:val="TableText"/>
              <w:rPr>
                <w:rFonts w:ascii="Franklin Gothic Book" w:eastAsia="Franklin Gothic Book" w:hAnsi="Franklin Gothic Book" w:cs="Tahoma"/>
                <w:szCs w:val="20"/>
              </w:rPr>
            </w:pPr>
            <w:r w:rsidRPr="00A06F1E">
              <w:rPr>
                <w:rFonts w:ascii="Franklin Gothic Book" w:hAnsi="Franklin Gothic Book" w:cs="Calibri"/>
                <w:color w:val="000000"/>
                <w:szCs w:val="20"/>
              </w:rPr>
              <w:t>An online hub of resources, considerations, and updates for recruiting, hiring, evaluating, and supporting educators and school staff, with a focus on equity.</w:t>
            </w:r>
          </w:p>
        </w:tc>
      </w:tr>
      <w:tr w:rsidR="004939EC" w:rsidRPr="00A06F1E" w14:paraId="43097541" w14:textId="77777777" w:rsidTr="00D90309">
        <w:tc>
          <w:tcPr>
            <w:tcW w:w="2782" w:type="dxa"/>
            <w:tcBorders>
              <w:top w:val="single" w:sz="6" w:space="0" w:color="2F5496"/>
              <w:left w:val="single" w:sz="6" w:space="0" w:color="2F5496"/>
              <w:bottom w:val="single" w:sz="6" w:space="0" w:color="2F5496"/>
              <w:right w:val="single" w:sz="6" w:space="0" w:color="2F5496"/>
            </w:tcBorders>
            <w:hideMark/>
          </w:tcPr>
          <w:p w14:paraId="3BDBD3E8" w14:textId="77777777" w:rsidR="004939EC" w:rsidRPr="00A06F1E" w:rsidRDefault="00000000" w:rsidP="00056D2B">
            <w:pPr>
              <w:pStyle w:val="TableText"/>
              <w:rPr>
                <w:rFonts w:ascii="Franklin Gothic Book" w:eastAsia="Franklin Gothic Book" w:hAnsi="Franklin Gothic Book" w:cs="Tahoma"/>
                <w:szCs w:val="20"/>
              </w:rPr>
            </w:pPr>
            <w:hyperlink r:id="rId74" w:history="1">
              <w:r w:rsidR="004939EC" w:rsidRPr="00A06F1E">
                <w:rPr>
                  <w:rStyle w:val="Hyperlink"/>
                  <w:rFonts w:ascii="Franklin Gothic Book" w:hAnsi="Franklin Gothic Book" w:cs="Calibri"/>
                  <w:szCs w:val="20"/>
                </w:rPr>
                <w:t>WIDA Professional Development</w:t>
              </w:r>
            </w:hyperlink>
          </w:p>
        </w:tc>
        <w:tc>
          <w:tcPr>
            <w:tcW w:w="6569" w:type="dxa"/>
            <w:tcBorders>
              <w:top w:val="single" w:sz="6" w:space="0" w:color="2F5496"/>
              <w:left w:val="single" w:sz="6" w:space="0" w:color="2F5496"/>
              <w:bottom w:val="single" w:sz="6" w:space="0" w:color="2F5496"/>
              <w:right w:val="single" w:sz="6" w:space="0" w:color="2F5496"/>
            </w:tcBorders>
            <w:hideMark/>
          </w:tcPr>
          <w:p w14:paraId="7B5D3D66" w14:textId="1A142F12" w:rsidR="004939EC" w:rsidRPr="00A06F1E" w:rsidRDefault="00D90309" w:rsidP="00056D2B">
            <w:pPr>
              <w:pStyle w:val="TableText"/>
              <w:rPr>
                <w:rFonts w:ascii="Franklin Gothic Book" w:eastAsia="Franklin Gothic Book" w:hAnsi="Franklin Gothic Book" w:cs="Tahoma"/>
                <w:szCs w:val="20"/>
              </w:rPr>
            </w:pPr>
            <w:r w:rsidRPr="00A06F1E">
              <w:rPr>
                <w:rFonts w:ascii="Franklin Gothic Book" w:hAnsi="Franklin Gothic Book" w:cs="Calibri"/>
                <w:color w:val="000000"/>
                <w:szCs w:val="20"/>
              </w:rPr>
              <w:t>P</w:t>
            </w:r>
            <w:r w:rsidR="004939EC" w:rsidRPr="00A06F1E">
              <w:rPr>
                <w:rFonts w:ascii="Franklin Gothic Book" w:hAnsi="Franklin Gothic Book" w:cs="Calibri"/>
                <w:color w:val="000000"/>
                <w:szCs w:val="20"/>
              </w:rPr>
              <w:t>rovides great information and strategies to support multilingual learners in Massachusetts public schools, and WIDA PDPs satisfy educator licensure renewal requirements. These DESE</w:t>
            </w:r>
            <w:r w:rsidR="00FA6622" w:rsidRPr="00A06F1E">
              <w:rPr>
                <w:rFonts w:ascii="Franklin Gothic Book" w:hAnsi="Franklin Gothic Book" w:cs="Calibri"/>
                <w:color w:val="000000"/>
                <w:szCs w:val="20"/>
              </w:rPr>
              <w:t>-s</w:t>
            </w:r>
            <w:r w:rsidR="004939EC" w:rsidRPr="00A06F1E">
              <w:rPr>
                <w:rFonts w:ascii="Franklin Gothic Book" w:hAnsi="Franklin Gothic Book" w:cs="Calibri"/>
                <w:color w:val="000000"/>
                <w:szCs w:val="20"/>
              </w:rPr>
              <w:t>ponsored courses are available at no cost to participants and are perfect for teams of teachers seeking impactful collaboration to support students</w:t>
            </w:r>
            <w:r w:rsidR="00040362" w:rsidRPr="00A06F1E">
              <w:rPr>
                <w:rFonts w:ascii="Franklin Gothic Book" w:hAnsi="Franklin Gothic Book" w:cs="Calibri"/>
                <w:color w:val="000000"/>
                <w:szCs w:val="20"/>
              </w:rPr>
              <w:t>’</w:t>
            </w:r>
            <w:r w:rsidR="004939EC" w:rsidRPr="00A06F1E">
              <w:rPr>
                <w:rFonts w:ascii="Franklin Gothic Book" w:hAnsi="Franklin Gothic Book" w:cs="Calibri"/>
                <w:color w:val="000000"/>
                <w:szCs w:val="20"/>
              </w:rPr>
              <w:t xml:space="preserve"> access to rigorous course content.</w:t>
            </w:r>
          </w:p>
        </w:tc>
      </w:tr>
    </w:tbl>
    <w:p w14:paraId="5CE41A8D" w14:textId="77777777" w:rsidR="004939EC" w:rsidRPr="00A06F1E" w:rsidRDefault="004939EC" w:rsidP="00056D2B">
      <w:pPr>
        <w:pStyle w:val="TableTitle0"/>
      </w:pPr>
      <w:bookmarkStart w:id="218" w:name="_Toc170701930"/>
      <w:r w:rsidRPr="00A06F1E">
        <w:t>Table C5. Resources to Support Student Support</w:t>
      </w:r>
      <w:bookmarkEnd w:id="218"/>
    </w:p>
    <w:tbl>
      <w:tblPr>
        <w:tblStyle w:val="MSVTable1"/>
        <w:tblW w:w="5000" w:type="pct"/>
        <w:tblLook w:val="0620" w:firstRow="1" w:lastRow="0" w:firstColumn="0" w:lastColumn="0" w:noHBand="1" w:noVBand="1"/>
      </w:tblPr>
      <w:tblGrid>
        <w:gridCol w:w="2782"/>
        <w:gridCol w:w="6562"/>
      </w:tblGrid>
      <w:tr w:rsidR="004939EC" w:rsidRPr="00A06F1E" w14:paraId="4DB11B8B" w14:textId="77777777" w:rsidTr="00D90309">
        <w:trPr>
          <w:cnfStyle w:val="100000000000" w:firstRow="1" w:lastRow="0" w:firstColumn="0" w:lastColumn="0" w:oddVBand="0" w:evenVBand="0" w:oddHBand="0" w:evenHBand="0" w:firstRowFirstColumn="0" w:firstRowLastColumn="0" w:lastRowFirstColumn="0" w:lastRowLastColumn="0"/>
          <w:tblHeader/>
        </w:trPr>
        <w:tc>
          <w:tcPr>
            <w:tcW w:w="2782" w:type="dxa"/>
            <w:tcBorders>
              <w:top w:val="single" w:sz="6" w:space="0" w:color="2F5496"/>
              <w:left w:val="single" w:sz="6" w:space="0" w:color="2F5496"/>
              <w:bottom w:val="single" w:sz="6" w:space="0" w:color="2F5496"/>
            </w:tcBorders>
            <w:hideMark/>
          </w:tcPr>
          <w:p w14:paraId="35DB6831" w14:textId="77777777" w:rsidR="004939EC" w:rsidRPr="00A06F1E" w:rsidRDefault="004939EC">
            <w:pPr>
              <w:rPr>
                <w:rFonts w:ascii="Franklin Gothic Demi" w:eastAsia="HGGothicE" w:hAnsi="Franklin Gothic Demi" w:cs="Franklin Gothic Book"/>
                <w:bCs/>
                <w:sz w:val="20"/>
              </w:rPr>
            </w:pPr>
            <w:r w:rsidRPr="00A06F1E">
              <w:rPr>
                <w:rFonts w:ascii="Franklin Gothic Demi" w:eastAsia="HGGothicE" w:hAnsi="Franklin Gothic Demi" w:cs="Franklin Gothic Book"/>
                <w:bCs/>
                <w:sz w:val="20"/>
              </w:rPr>
              <w:t xml:space="preserve">Resource </w:t>
            </w:r>
          </w:p>
        </w:tc>
        <w:tc>
          <w:tcPr>
            <w:tcW w:w="6562" w:type="dxa"/>
            <w:tcBorders>
              <w:top w:val="single" w:sz="6" w:space="0" w:color="2F5496"/>
              <w:bottom w:val="single" w:sz="6" w:space="0" w:color="2F5496"/>
              <w:right w:val="single" w:sz="6" w:space="0" w:color="2F5496"/>
            </w:tcBorders>
            <w:hideMark/>
          </w:tcPr>
          <w:p w14:paraId="3D38F8E4" w14:textId="77777777" w:rsidR="004939EC" w:rsidRPr="00A06F1E" w:rsidRDefault="004939EC">
            <w:pPr>
              <w:rPr>
                <w:rFonts w:ascii="Franklin Gothic Demi" w:eastAsia="HGGothicE" w:hAnsi="Franklin Gothic Demi" w:cs="Franklin Gothic Book"/>
                <w:bCs/>
                <w:sz w:val="20"/>
              </w:rPr>
            </w:pPr>
            <w:r w:rsidRPr="00A06F1E">
              <w:rPr>
                <w:rFonts w:ascii="Franklin Gothic Demi" w:eastAsia="HGGothicE" w:hAnsi="Franklin Gothic Demi" w:cs="Franklin Gothic Book"/>
                <w:bCs/>
                <w:sz w:val="20"/>
              </w:rPr>
              <w:t>Description</w:t>
            </w:r>
          </w:p>
        </w:tc>
      </w:tr>
      <w:tr w:rsidR="004939EC" w:rsidRPr="00A06F1E" w14:paraId="2C80AFE6" w14:textId="77777777" w:rsidTr="00D90309">
        <w:tc>
          <w:tcPr>
            <w:tcW w:w="2782" w:type="dxa"/>
            <w:tcBorders>
              <w:top w:val="single" w:sz="6" w:space="0" w:color="2F5496"/>
              <w:left w:val="single" w:sz="6" w:space="0" w:color="2F5496"/>
              <w:bottom w:val="single" w:sz="6" w:space="0" w:color="2F5496"/>
              <w:right w:val="single" w:sz="6" w:space="0" w:color="2F5496"/>
            </w:tcBorders>
            <w:hideMark/>
          </w:tcPr>
          <w:p w14:paraId="1E7A7FBC" w14:textId="77777777" w:rsidR="004939EC" w:rsidRPr="00A06F1E" w:rsidRDefault="00000000" w:rsidP="00056D2B">
            <w:pPr>
              <w:pStyle w:val="TableText"/>
              <w:rPr>
                <w:rStyle w:val="Hyperlink"/>
              </w:rPr>
            </w:pPr>
            <w:hyperlink r:id="rId75" w:history="1">
              <w:r w:rsidR="004939EC" w:rsidRPr="00A06F1E">
                <w:rPr>
                  <w:rStyle w:val="Hyperlink"/>
                </w:rPr>
                <w:t>Bullying Prevention and Intervention</w:t>
              </w:r>
            </w:hyperlink>
          </w:p>
        </w:tc>
        <w:tc>
          <w:tcPr>
            <w:tcW w:w="6562" w:type="dxa"/>
            <w:tcBorders>
              <w:top w:val="single" w:sz="6" w:space="0" w:color="2F5496"/>
              <w:left w:val="single" w:sz="6" w:space="0" w:color="2F5496"/>
              <w:bottom w:val="single" w:sz="6" w:space="0" w:color="2F5496"/>
              <w:right w:val="single" w:sz="6" w:space="0" w:color="2F5496"/>
            </w:tcBorders>
            <w:hideMark/>
          </w:tcPr>
          <w:p w14:paraId="5C8319C6" w14:textId="135E8621" w:rsidR="004939EC" w:rsidRPr="00A06F1E" w:rsidRDefault="004939EC" w:rsidP="00056D2B">
            <w:pPr>
              <w:pStyle w:val="TableText"/>
              <w:rPr>
                <w:rFonts w:ascii="Franklin Gothic Demi" w:eastAsia="HGGothicE" w:hAnsi="Franklin Gothic Demi" w:cs="Franklin Gothic Book"/>
                <w:bCs/>
              </w:rPr>
            </w:pPr>
            <w:r w:rsidRPr="00A06F1E">
              <w:t>DESE</w:t>
            </w:r>
            <w:r w:rsidR="00040362" w:rsidRPr="00A06F1E">
              <w:t>’</w:t>
            </w:r>
            <w:r w:rsidRPr="00A06F1E">
              <w:t xml:space="preserve">s Guidance and Technical Assistance for districts/schools related to state requirements </w:t>
            </w:r>
            <w:r w:rsidR="00995107" w:rsidRPr="00A06F1E">
              <w:t>regarding</w:t>
            </w:r>
            <w:r w:rsidRPr="00A06F1E">
              <w:t xml:space="preserve"> bullying prevention and intervention. </w:t>
            </w:r>
          </w:p>
        </w:tc>
      </w:tr>
      <w:tr w:rsidR="004939EC" w:rsidRPr="00A06F1E" w14:paraId="799F9CFF" w14:textId="77777777" w:rsidTr="00D90309">
        <w:tc>
          <w:tcPr>
            <w:tcW w:w="2782" w:type="dxa"/>
            <w:tcBorders>
              <w:top w:val="single" w:sz="6" w:space="0" w:color="2F5496"/>
              <w:left w:val="single" w:sz="6" w:space="0" w:color="2F5496"/>
              <w:bottom w:val="single" w:sz="6" w:space="0" w:color="2F5496"/>
              <w:right w:val="single" w:sz="6" w:space="0" w:color="2F5496"/>
            </w:tcBorders>
            <w:hideMark/>
          </w:tcPr>
          <w:p w14:paraId="5FE8E4C4" w14:textId="2C4C697F" w:rsidR="004939EC" w:rsidRPr="00A06F1E" w:rsidRDefault="004939EC" w:rsidP="00056D2B">
            <w:pPr>
              <w:pStyle w:val="TableText"/>
              <w:rPr>
                <w14:ligatures w14:val="standardContextual"/>
              </w:rPr>
            </w:pPr>
            <w:r w:rsidRPr="00A06F1E">
              <w:t xml:space="preserve">Emergency </w:t>
            </w:r>
            <w:r w:rsidR="000B4995" w:rsidRPr="00A06F1E">
              <w:t>m</w:t>
            </w:r>
            <w:r w:rsidRPr="00A06F1E">
              <w:t>anagement</w:t>
            </w:r>
            <w:r w:rsidR="00EA779B" w:rsidRPr="00A06F1E">
              <w:t>:</w:t>
            </w:r>
          </w:p>
          <w:p w14:paraId="5BEF4135" w14:textId="77777777" w:rsidR="006C1DC9" w:rsidRPr="00A06F1E" w:rsidRDefault="00000000" w:rsidP="00056D2B">
            <w:pPr>
              <w:pStyle w:val="TableBullet1"/>
              <w:rPr>
                <w:rStyle w:val="Hyperlink"/>
                <w:rFonts w:ascii="Franklin Gothic Book" w:hAnsi="Franklin Gothic Book" w:cs="Calibri"/>
              </w:rPr>
            </w:pPr>
            <w:hyperlink r:id="rId76" w:history="1">
              <w:r w:rsidR="004939EC" w:rsidRPr="00A06F1E">
                <w:rPr>
                  <w:rStyle w:val="Hyperlink"/>
                  <w:rFonts w:ascii="Franklin Gothic Book" w:hAnsi="Franklin Gothic Book" w:cs="Calibri"/>
                </w:rPr>
                <w:t>Readiness and Emergency Management for Schools</w:t>
              </w:r>
            </w:hyperlink>
            <w:r w:rsidR="004939EC" w:rsidRPr="00A06F1E">
              <w:rPr>
                <w:rStyle w:val="Hyperlink"/>
                <w:rFonts w:ascii="Franklin Gothic Book" w:hAnsi="Franklin Gothic Book" w:cs="Calibri"/>
              </w:rPr>
              <w:t xml:space="preserve"> (Federal Guidance)</w:t>
            </w:r>
          </w:p>
          <w:p w14:paraId="1C0982A1" w14:textId="664E1101" w:rsidR="004939EC" w:rsidRPr="00A06F1E" w:rsidRDefault="00000000" w:rsidP="00056D2B">
            <w:pPr>
              <w:pStyle w:val="TableBullet1"/>
              <w:rPr>
                <w:rFonts w:ascii="Franklin Gothic Demi" w:eastAsia="HGGothicE" w:hAnsi="Franklin Gothic Demi" w:cs="Franklin Gothic Book"/>
                <w:bCs/>
              </w:rPr>
            </w:pPr>
            <w:hyperlink r:id="rId77" w:history="1">
              <w:r w:rsidR="004939EC" w:rsidRPr="00A06F1E">
                <w:rPr>
                  <w:rStyle w:val="Hyperlink"/>
                  <w:rFonts w:ascii="Franklin Gothic Book" w:hAnsi="Franklin Gothic Book" w:cs="Calibri"/>
                  <w:color w:val="4472C4"/>
                  <w:szCs w:val="20"/>
                </w:rPr>
                <w:t>Emergency Management Planning</w:t>
              </w:r>
            </w:hyperlink>
            <w:r w:rsidR="004939EC" w:rsidRPr="00A06F1E">
              <w:rPr>
                <w:rStyle w:val="Hyperlink"/>
                <w:rFonts w:ascii="Franklin Gothic Book" w:hAnsi="Franklin Gothic Book" w:cs="Calibri"/>
                <w:color w:val="4472C4"/>
                <w:szCs w:val="20"/>
              </w:rPr>
              <w:t xml:space="preserve"> (State Guidance) </w:t>
            </w:r>
          </w:p>
        </w:tc>
        <w:tc>
          <w:tcPr>
            <w:tcW w:w="6562" w:type="dxa"/>
            <w:tcBorders>
              <w:top w:val="single" w:sz="6" w:space="0" w:color="2F5496"/>
              <w:left w:val="single" w:sz="6" w:space="0" w:color="2F5496"/>
              <w:bottom w:val="single" w:sz="6" w:space="0" w:color="2F5496"/>
              <w:right w:val="single" w:sz="6" w:space="0" w:color="2F5496"/>
            </w:tcBorders>
            <w:hideMark/>
          </w:tcPr>
          <w:p w14:paraId="33E52A96" w14:textId="35078C2A" w:rsidR="004939EC" w:rsidRPr="00A06F1E" w:rsidRDefault="004939EC" w:rsidP="00056D2B">
            <w:pPr>
              <w:pStyle w:val="TableText"/>
              <w:rPr>
                <w:rFonts w:ascii="Franklin Gothic Demi" w:eastAsia="HGGothicE" w:hAnsi="Franklin Gothic Demi" w:cs="Franklin Gothic Book"/>
                <w:bCs/>
              </w:rPr>
            </w:pPr>
            <w:r w:rsidRPr="00A06F1E">
              <w:t xml:space="preserve">Guidance and </w:t>
            </w:r>
            <w:r w:rsidR="00EA779B" w:rsidRPr="00A06F1E">
              <w:t>t</w:t>
            </w:r>
            <w:r w:rsidRPr="00A06F1E">
              <w:t xml:space="preserve">echnical </w:t>
            </w:r>
            <w:r w:rsidR="00EA779B" w:rsidRPr="00A06F1E">
              <w:t>a</w:t>
            </w:r>
            <w:r w:rsidRPr="00A06F1E">
              <w:t xml:space="preserve">ssistance for districts/schools related to emergency management planning and implementation. </w:t>
            </w:r>
          </w:p>
        </w:tc>
      </w:tr>
      <w:tr w:rsidR="004939EC" w:rsidRPr="00A06F1E" w14:paraId="60E07B9B" w14:textId="77777777" w:rsidTr="00D90309">
        <w:tc>
          <w:tcPr>
            <w:tcW w:w="2782" w:type="dxa"/>
            <w:tcBorders>
              <w:top w:val="single" w:sz="6" w:space="0" w:color="2F5496"/>
              <w:left w:val="single" w:sz="6" w:space="0" w:color="2F5496"/>
              <w:bottom w:val="single" w:sz="6" w:space="0" w:color="2F5496"/>
              <w:right w:val="single" w:sz="6" w:space="0" w:color="2F5496"/>
            </w:tcBorders>
            <w:hideMark/>
          </w:tcPr>
          <w:p w14:paraId="7B56E10A" w14:textId="7D98F089" w:rsidR="004939EC" w:rsidRPr="00A06F1E" w:rsidRDefault="004939EC" w:rsidP="00056D2B">
            <w:pPr>
              <w:pStyle w:val="TableText"/>
              <w:rPr>
                <w:shd w:val="clear" w:color="auto" w:fill="FFFFFF"/>
              </w:rPr>
            </w:pPr>
            <w:r w:rsidRPr="00A06F1E">
              <w:rPr>
                <w:shd w:val="clear" w:color="auto" w:fill="FFFFFF"/>
              </w:rPr>
              <w:lastRenderedPageBreak/>
              <w:t xml:space="preserve">Family </w:t>
            </w:r>
            <w:r w:rsidR="00EA779B" w:rsidRPr="00A06F1E">
              <w:rPr>
                <w:shd w:val="clear" w:color="auto" w:fill="FFFFFF"/>
              </w:rPr>
              <w:t>p</w:t>
            </w:r>
            <w:r w:rsidRPr="00A06F1E">
              <w:rPr>
                <w:shd w:val="clear" w:color="auto" w:fill="FFFFFF"/>
              </w:rPr>
              <w:t>artnerships</w:t>
            </w:r>
            <w:r w:rsidR="00EA779B" w:rsidRPr="00A06F1E">
              <w:rPr>
                <w:shd w:val="clear" w:color="auto" w:fill="FFFFFF"/>
              </w:rPr>
              <w:t>:</w:t>
            </w:r>
          </w:p>
          <w:p w14:paraId="4F0426F5" w14:textId="77777777" w:rsidR="004939EC" w:rsidRPr="00A06F1E" w:rsidRDefault="00000000" w:rsidP="00056D2B">
            <w:pPr>
              <w:pStyle w:val="TableBullet1"/>
              <w:rPr>
                <w:rFonts w:ascii="Franklin Gothic Book" w:eastAsia="Franklin Gothic Book" w:hAnsi="Franklin Gothic Book" w:cs="Tahoma"/>
                <w:szCs w:val="20"/>
                <w:shd w:val="clear" w:color="auto" w:fill="FFFFFF"/>
              </w:rPr>
            </w:pPr>
            <w:hyperlink r:id="rId78" w:history="1">
              <w:r w:rsidR="004939EC" w:rsidRPr="00A06F1E">
                <w:rPr>
                  <w:rStyle w:val="Hyperlink"/>
                  <w:rFonts w:ascii="Franklin Gothic Book" w:hAnsi="Franklin Gothic Book" w:cs="Calibri"/>
                  <w:szCs w:val="20"/>
                </w:rPr>
                <w:t>DESE Family Portal</w:t>
              </w:r>
            </w:hyperlink>
          </w:p>
          <w:p w14:paraId="6D575540" w14:textId="77777777" w:rsidR="004939EC" w:rsidRPr="00A06F1E" w:rsidRDefault="00000000" w:rsidP="00056D2B">
            <w:pPr>
              <w:pStyle w:val="TableBullet1"/>
              <w:rPr>
                <w:rStyle w:val="Hyperlink"/>
                <w:spacing w:val="-2"/>
              </w:rPr>
            </w:pPr>
            <w:hyperlink r:id="rId79" w:history="1">
              <w:r w:rsidR="004939EC" w:rsidRPr="00A06F1E">
                <w:rPr>
                  <w:rStyle w:val="Hyperlink"/>
                  <w:rFonts w:cs="Calibri"/>
                  <w:spacing w:val="-2"/>
                  <w:szCs w:val="20"/>
                </w:rPr>
                <w:t>Strengthening Partnerships: A Framework for Prenatal through Young Adulthood Family Engagement in Massachusetts</w:t>
              </w:r>
            </w:hyperlink>
          </w:p>
          <w:p w14:paraId="4A6E66B2" w14:textId="77777777" w:rsidR="004939EC" w:rsidRPr="00A06F1E" w:rsidRDefault="00000000" w:rsidP="00056D2B">
            <w:pPr>
              <w:pStyle w:val="TableBullet1"/>
              <w:rPr>
                <w:rFonts w:cs="Calibri"/>
                <w:color w:val="000000" w:themeColor="text1"/>
                <w14:ligatures w14:val="standardContextual"/>
              </w:rPr>
            </w:pPr>
            <w:hyperlink r:id="rId80" w:history="1">
              <w:r w:rsidR="004939EC" w:rsidRPr="00A06F1E">
                <w:rPr>
                  <w:rStyle w:val="Hyperlink"/>
                  <w:rFonts w:ascii="Franklin Gothic Book" w:hAnsi="Franklin Gothic Book" w:cs="Calibri"/>
                  <w:szCs w:val="20"/>
                </w:rPr>
                <w:t>Learning Standards For Families</w:t>
              </w:r>
            </w:hyperlink>
          </w:p>
        </w:tc>
        <w:tc>
          <w:tcPr>
            <w:tcW w:w="6562" w:type="dxa"/>
            <w:tcBorders>
              <w:top w:val="single" w:sz="6" w:space="0" w:color="2F5496"/>
              <w:left w:val="single" w:sz="6" w:space="0" w:color="2F5496"/>
              <w:bottom w:val="single" w:sz="6" w:space="0" w:color="2F5496"/>
              <w:right w:val="single" w:sz="6" w:space="0" w:color="2F5496"/>
            </w:tcBorders>
            <w:hideMark/>
          </w:tcPr>
          <w:p w14:paraId="08668A9E" w14:textId="6F50AA55" w:rsidR="004939EC" w:rsidRPr="00A06F1E" w:rsidRDefault="004939EC" w:rsidP="00056D2B">
            <w:pPr>
              <w:pStyle w:val="TableText"/>
            </w:pPr>
            <w:r w:rsidRPr="00A06F1E">
              <w:rPr>
                <w:rFonts w:eastAsia="Franklin Gothic Book" w:cs="Tahoma"/>
                <w:szCs w:val="20"/>
                <w:shd w:val="clear" w:color="auto" w:fill="FFFFFF"/>
              </w:rPr>
              <w:t>Resources for authentically engaging families in their child</w:t>
            </w:r>
            <w:r w:rsidR="00040362" w:rsidRPr="00A06F1E">
              <w:rPr>
                <w:rFonts w:eastAsia="Franklin Gothic Book" w:cs="Tahoma"/>
                <w:szCs w:val="20"/>
                <w:shd w:val="clear" w:color="auto" w:fill="FFFFFF"/>
              </w:rPr>
              <w:t>’</w:t>
            </w:r>
            <w:r w:rsidRPr="00A06F1E">
              <w:rPr>
                <w:rFonts w:eastAsia="Franklin Gothic Book" w:cs="Tahoma"/>
                <w:szCs w:val="20"/>
                <w:shd w:val="clear" w:color="auto" w:fill="FFFFFF"/>
              </w:rPr>
              <w:t>s education and centering families</w:t>
            </w:r>
            <w:r w:rsidR="00EA779B" w:rsidRPr="00A06F1E">
              <w:rPr>
                <w:rFonts w:eastAsia="Franklin Gothic Book" w:cs="Tahoma"/>
                <w:szCs w:val="20"/>
                <w:shd w:val="clear" w:color="auto" w:fill="FFFFFF"/>
              </w:rPr>
              <w:t>’</w:t>
            </w:r>
            <w:r w:rsidRPr="00A06F1E">
              <w:rPr>
                <w:rFonts w:eastAsia="Franklin Gothic Book" w:cs="Tahoma"/>
                <w:szCs w:val="20"/>
                <w:shd w:val="clear" w:color="auto" w:fill="FFFFFF"/>
              </w:rPr>
              <w:t xml:space="preserve"> voices in school and district decision</w:t>
            </w:r>
            <w:r w:rsidR="00EA779B" w:rsidRPr="00A06F1E">
              <w:rPr>
                <w:rFonts w:eastAsia="Franklin Gothic Book" w:cs="Tahoma"/>
                <w:szCs w:val="20"/>
                <w:shd w:val="clear" w:color="auto" w:fill="FFFFFF"/>
              </w:rPr>
              <w:t xml:space="preserve"> </w:t>
            </w:r>
            <w:r w:rsidRPr="00A06F1E">
              <w:rPr>
                <w:rFonts w:eastAsia="Franklin Gothic Book" w:cs="Tahoma"/>
                <w:szCs w:val="20"/>
                <w:shd w:val="clear" w:color="auto" w:fill="FFFFFF"/>
              </w:rPr>
              <w:t>making.</w:t>
            </w:r>
          </w:p>
        </w:tc>
      </w:tr>
      <w:tr w:rsidR="004939EC" w:rsidRPr="00A06F1E" w14:paraId="3F84664F" w14:textId="77777777" w:rsidTr="00D90309">
        <w:tc>
          <w:tcPr>
            <w:tcW w:w="2782" w:type="dxa"/>
            <w:tcBorders>
              <w:top w:val="single" w:sz="6" w:space="0" w:color="2F5496"/>
              <w:left w:val="single" w:sz="6" w:space="0" w:color="2F5496"/>
              <w:bottom w:val="single" w:sz="6" w:space="0" w:color="2F5496"/>
              <w:right w:val="single" w:sz="6" w:space="0" w:color="2F5496"/>
            </w:tcBorders>
            <w:hideMark/>
          </w:tcPr>
          <w:p w14:paraId="1EF2C998" w14:textId="77777777" w:rsidR="004939EC" w:rsidRPr="00A06F1E" w:rsidRDefault="00000000" w:rsidP="00056D2B">
            <w:pPr>
              <w:pStyle w:val="TableText"/>
              <w:rPr>
                <w:rFonts w:eastAsia="Franklin Gothic Book" w:cs="Tahoma"/>
                <w:shd w:val="clear" w:color="auto" w:fill="FFFFFF"/>
              </w:rPr>
            </w:pPr>
            <w:hyperlink r:id="rId81" w:history="1">
              <w:r w:rsidR="004939EC" w:rsidRPr="00A06F1E">
                <w:rPr>
                  <w:rStyle w:val="Hyperlink"/>
                  <w:rFonts w:ascii="Franklin Gothic Book" w:hAnsi="Franklin Gothic Book" w:cs="Calibri"/>
                  <w:color w:val="4472C4"/>
                  <w:szCs w:val="20"/>
                </w:rPr>
                <w:t>Guidance on Updated Expectations for School and District Leaders Related to Student Discipline</w:t>
              </w:r>
            </w:hyperlink>
          </w:p>
        </w:tc>
        <w:tc>
          <w:tcPr>
            <w:tcW w:w="6562" w:type="dxa"/>
            <w:tcBorders>
              <w:top w:val="single" w:sz="6" w:space="0" w:color="2F5496"/>
              <w:left w:val="single" w:sz="6" w:space="0" w:color="2F5496"/>
              <w:bottom w:val="single" w:sz="6" w:space="0" w:color="2F5496"/>
              <w:right w:val="single" w:sz="6" w:space="0" w:color="2F5496"/>
            </w:tcBorders>
            <w:hideMark/>
          </w:tcPr>
          <w:p w14:paraId="632C8F5A" w14:textId="77777777" w:rsidR="004939EC" w:rsidRPr="00A06F1E" w:rsidRDefault="004939EC" w:rsidP="00056D2B">
            <w:pPr>
              <w:pStyle w:val="TableText"/>
              <w:rPr>
                <w:rFonts w:eastAsia="Franklin Gothic Book" w:cs="Tahoma"/>
                <w:szCs w:val="20"/>
                <w:shd w:val="clear" w:color="auto" w:fill="FFFFFF"/>
              </w:rPr>
            </w:pPr>
            <w:r w:rsidRPr="00A06F1E">
              <w:rPr>
                <w:color w:val="000000"/>
                <w:szCs w:val="20"/>
              </w:rPr>
              <w:t>Guidance on updated expectations for school and district leaders related to student discipline associated with the 2022 mental health law (G.L. c. 71, §37H¾).</w:t>
            </w:r>
          </w:p>
        </w:tc>
      </w:tr>
      <w:tr w:rsidR="004939EC" w:rsidRPr="00A06F1E" w14:paraId="2E5700E9" w14:textId="77777777" w:rsidTr="00D90309">
        <w:tc>
          <w:tcPr>
            <w:tcW w:w="2782" w:type="dxa"/>
            <w:tcBorders>
              <w:top w:val="single" w:sz="6" w:space="0" w:color="2F5496"/>
              <w:left w:val="single" w:sz="6" w:space="0" w:color="2F5496"/>
              <w:bottom w:val="single" w:sz="6" w:space="0" w:color="2F5496"/>
              <w:right w:val="single" w:sz="6" w:space="0" w:color="2F5496"/>
            </w:tcBorders>
            <w:hideMark/>
          </w:tcPr>
          <w:p w14:paraId="7408C1AC" w14:textId="04A374BF" w:rsidR="006C1DC9" w:rsidRPr="00A06F1E" w:rsidRDefault="004939EC" w:rsidP="00056D2B">
            <w:pPr>
              <w:pStyle w:val="TableText"/>
            </w:pPr>
            <w:r w:rsidRPr="00A06F1E">
              <w:t xml:space="preserve">MTSS </w:t>
            </w:r>
            <w:r w:rsidR="00EA779B" w:rsidRPr="00A06F1E">
              <w:t>r</w:t>
            </w:r>
            <w:r w:rsidRPr="00A06F1E">
              <w:t>esources:</w:t>
            </w:r>
          </w:p>
          <w:p w14:paraId="52D24474" w14:textId="1F9D63C2" w:rsidR="004939EC" w:rsidRPr="00A06F1E" w:rsidRDefault="00000000" w:rsidP="00056D2B">
            <w:pPr>
              <w:pStyle w:val="TableBullet1"/>
              <w:rPr>
                <w:rStyle w:val="Hyperlink"/>
                <w:rFonts w:eastAsia="Franklin Gothic Book" w:cs="Tahoma"/>
                <w:shd w:val="clear" w:color="auto" w:fill="FFFFFF"/>
              </w:rPr>
            </w:pPr>
            <w:hyperlink r:id="rId82" w:history="1">
              <w:r w:rsidR="004939EC" w:rsidRPr="00A06F1E">
                <w:rPr>
                  <w:rStyle w:val="Hyperlink"/>
                  <w:rFonts w:ascii="Franklin Gothic Book" w:hAnsi="Franklin Gothic Book" w:cs="Calibri"/>
                  <w:szCs w:val="20"/>
                </w:rPr>
                <w:t>MTSS Blueprint, Self-Assessment, and Resources</w:t>
              </w:r>
            </w:hyperlink>
          </w:p>
          <w:p w14:paraId="67990123" w14:textId="77777777" w:rsidR="004939EC" w:rsidRPr="00A06F1E" w:rsidRDefault="00000000" w:rsidP="00056D2B">
            <w:pPr>
              <w:pStyle w:val="TableBullet1"/>
            </w:pPr>
            <w:hyperlink r:id="rId83" w:history="1">
              <w:r w:rsidR="004939EC" w:rsidRPr="00A06F1E">
                <w:rPr>
                  <w:rStyle w:val="Hyperlink"/>
                  <w:rFonts w:ascii="Franklin Gothic Book" w:hAnsi="Franklin Gothic Book" w:cs="Calibri"/>
                  <w:szCs w:val="20"/>
                </w:rPr>
                <w:t>Massachusetts Tools for Schools</w:t>
              </w:r>
            </w:hyperlink>
          </w:p>
        </w:tc>
        <w:tc>
          <w:tcPr>
            <w:tcW w:w="6562" w:type="dxa"/>
            <w:tcBorders>
              <w:top w:val="single" w:sz="6" w:space="0" w:color="2F5496"/>
              <w:left w:val="single" w:sz="6" w:space="0" w:color="2F5496"/>
              <w:bottom w:val="single" w:sz="6" w:space="0" w:color="2F5496"/>
              <w:right w:val="single" w:sz="6" w:space="0" w:color="2F5496"/>
            </w:tcBorders>
            <w:hideMark/>
          </w:tcPr>
          <w:p w14:paraId="73CD843D" w14:textId="0DC26C3A" w:rsidR="004939EC" w:rsidRPr="00A06F1E" w:rsidRDefault="004939EC" w:rsidP="00056D2B">
            <w:pPr>
              <w:pStyle w:val="TableText"/>
              <w:rPr>
                <w:rFonts w:eastAsia="Franklin Gothic Book" w:cs="Tahoma"/>
                <w:szCs w:val="20"/>
                <w:shd w:val="clear" w:color="auto" w:fill="FFFFFF"/>
              </w:rPr>
            </w:pPr>
            <w:r w:rsidRPr="00A06F1E">
              <w:rPr>
                <w:color w:val="000000"/>
                <w:szCs w:val="20"/>
              </w:rPr>
              <w:t>MTSS is a framework for how districts can build the necessary systems to ensure that every student receives a high-quality educational experience.</w:t>
            </w:r>
          </w:p>
        </w:tc>
      </w:tr>
      <w:tr w:rsidR="004939EC" w:rsidRPr="00A06F1E" w14:paraId="0DCF21BC" w14:textId="77777777" w:rsidTr="00D90309">
        <w:tc>
          <w:tcPr>
            <w:tcW w:w="2782" w:type="dxa"/>
            <w:tcBorders>
              <w:top w:val="single" w:sz="6" w:space="0" w:color="2F5496"/>
              <w:left w:val="single" w:sz="6" w:space="0" w:color="2F5496"/>
              <w:bottom w:val="single" w:sz="6" w:space="0" w:color="2F5496"/>
              <w:right w:val="single" w:sz="6" w:space="0" w:color="2F5496"/>
            </w:tcBorders>
            <w:hideMark/>
          </w:tcPr>
          <w:p w14:paraId="5ACAC216" w14:textId="77777777" w:rsidR="004939EC" w:rsidRPr="00A06F1E" w:rsidRDefault="00000000" w:rsidP="00056D2B">
            <w:pPr>
              <w:pStyle w:val="TableText"/>
              <w:rPr>
                <w:rFonts w:ascii="Franklin Gothic Book" w:hAnsi="Franklin Gothic Book" w:cs="Calibri"/>
                <w:color w:val="000000"/>
                <w:szCs w:val="20"/>
                <w14:ligatures w14:val="standardContextual"/>
              </w:rPr>
            </w:pPr>
            <w:hyperlink r:id="rId84" w:history="1">
              <w:r w:rsidR="004939EC" w:rsidRPr="00A06F1E">
                <w:rPr>
                  <w:rStyle w:val="Hyperlink"/>
                  <w:rFonts w:ascii="Franklin Gothic Book" w:hAnsi="Franklin Gothic Book" w:cs="Calibri"/>
                  <w:szCs w:val="20"/>
                </w:rPr>
                <w:t>Resources for Supporting Immigrant and Refugee Students</w:t>
              </w:r>
            </w:hyperlink>
          </w:p>
        </w:tc>
        <w:tc>
          <w:tcPr>
            <w:tcW w:w="6562" w:type="dxa"/>
            <w:tcBorders>
              <w:top w:val="single" w:sz="6" w:space="0" w:color="2F5496"/>
              <w:left w:val="single" w:sz="6" w:space="0" w:color="2F5496"/>
              <w:bottom w:val="single" w:sz="6" w:space="0" w:color="2F5496"/>
              <w:right w:val="single" w:sz="6" w:space="0" w:color="2F5496"/>
            </w:tcBorders>
            <w:hideMark/>
          </w:tcPr>
          <w:p w14:paraId="2F849EDC" w14:textId="77777777" w:rsidR="004939EC" w:rsidRPr="00A06F1E" w:rsidRDefault="004939EC" w:rsidP="00056D2B">
            <w:pPr>
              <w:pStyle w:val="TableText"/>
              <w:rPr>
                <w:color w:val="000000"/>
                <w:szCs w:val="20"/>
              </w:rPr>
            </w:pPr>
            <w:r w:rsidRPr="00A06F1E">
              <w:rPr>
                <w:color w:val="000000"/>
                <w:szCs w:val="20"/>
              </w:rPr>
              <w:t>An evolving compilation of resources that can support districts in meeting the needs of immigrant and refugee students.</w:t>
            </w:r>
          </w:p>
        </w:tc>
      </w:tr>
      <w:tr w:rsidR="004939EC" w:rsidRPr="00A06F1E" w14:paraId="4EDE8ECB" w14:textId="77777777" w:rsidTr="00D90309">
        <w:tc>
          <w:tcPr>
            <w:tcW w:w="2782" w:type="dxa"/>
            <w:tcBorders>
              <w:top w:val="single" w:sz="6" w:space="0" w:color="2F5496"/>
              <w:left w:val="single" w:sz="6" w:space="0" w:color="2F5496"/>
              <w:bottom w:val="single" w:sz="6" w:space="0" w:color="2F5496"/>
              <w:right w:val="single" w:sz="6" w:space="0" w:color="2F5496"/>
            </w:tcBorders>
            <w:hideMark/>
          </w:tcPr>
          <w:p w14:paraId="5E4DEB88" w14:textId="77777777" w:rsidR="004939EC" w:rsidRPr="00A06F1E" w:rsidRDefault="00000000" w:rsidP="00056D2B">
            <w:pPr>
              <w:pStyle w:val="TableText"/>
              <w:rPr>
                <w:rFonts w:eastAsia="Franklin Gothic Book" w:cs="Tahoma"/>
              </w:rPr>
            </w:pPr>
            <w:hyperlink r:id="rId85" w:history="1">
              <w:r w:rsidR="004939EC" w:rsidRPr="00A06F1E">
                <w:rPr>
                  <w:rStyle w:val="Hyperlink"/>
                  <w:rFonts w:ascii="Franklin Gothic Book" w:hAnsi="Franklin Gothic Book" w:cs="Calibri"/>
                  <w:szCs w:val="20"/>
                </w:rPr>
                <w:t>Safe and Supportive Schools Framework and Self-Reflection Tool</w:t>
              </w:r>
            </w:hyperlink>
          </w:p>
        </w:tc>
        <w:tc>
          <w:tcPr>
            <w:tcW w:w="6562" w:type="dxa"/>
            <w:tcBorders>
              <w:top w:val="single" w:sz="6" w:space="0" w:color="2F5496"/>
              <w:left w:val="single" w:sz="6" w:space="0" w:color="2F5496"/>
              <w:bottom w:val="single" w:sz="6" w:space="0" w:color="2F5496"/>
              <w:right w:val="single" w:sz="6" w:space="0" w:color="2F5496"/>
            </w:tcBorders>
            <w:hideMark/>
          </w:tcPr>
          <w:p w14:paraId="6E51B01F" w14:textId="76BEA051" w:rsidR="004939EC" w:rsidRPr="00A06F1E" w:rsidRDefault="004939EC" w:rsidP="00056D2B">
            <w:pPr>
              <w:pStyle w:val="TableText"/>
              <w:rPr>
                <w:rFonts w:eastAsia="Franklin Gothic Book" w:cs="Tahoma"/>
              </w:rPr>
            </w:pPr>
            <w:r w:rsidRPr="00A06F1E">
              <w:t>These resources can help guide school- and district-based teams to create safer and more supportive school climates and cultures. Through a phased process (with preliminary and deeper dive self-reflection options)</w:t>
            </w:r>
            <w:r w:rsidR="00EA779B" w:rsidRPr="00A06F1E">
              <w:t>,</w:t>
            </w:r>
            <w:r w:rsidRPr="00A06F1E">
              <w:t xml:space="preserve"> teams can create plans based on local context and data and through examination of six areas of school operation. </w:t>
            </w:r>
          </w:p>
        </w:tc>
      </w:tr>
      <w:tr w:rsidR="004939EC" w:rsidRPr="00A06F1E" w14:paraId="416510A9" w14:textId="77777777" w:rsidTr="00D90309">
        <w:trPr>
          <w:trHeight w:val="76"/>
        </w:trPr>
        <w:tc>
          <w:tcPr>
            <w:tcW w:w="2782" w:type="dxa"/>
            <w:tcBorders>
              <w:top w:val="single" w:sz="6" w:space="0" w:color="2F5496"/>
              <w:left w:val="single" w:sz="6" w:space="0" w:color="2F5496"/>
              <w:bottom w:val="single" w:sz="6" w:space="0" w:color="2F5496"/>
              <w:right w:val="single" w:sz="6" w:space="0" w:color="2F5496"/>
            </w:tcBorders>
            <w:hideMark/>
          </w:tcPr>
          <w:p w14:paraId="4B18F390" w14:textId="77777777" w:rsidR="004939EC" w:rsidRPr="00A06F1E" w:rsidRDefault="00000000" w:rsidP="00056D2B">
            <w:pPr>
              <w:pStyle w:val="TableText"/>
              <w:rPr>
                <w14:ligatures w14:val="standardContextual"/>
              </w:rPr>
            </w:pPr>
            <w:hyperlink r:id="rId86" w:history="1">
              <w:r w:rsidR="004939EC" w:rsidRPr="00A06F1E">
                <w:rPr>
                  <w:rStyle w:val="Hyperlink"/>
                  <w:rFonts w:ascii="Franklin Gothic Book" w:hAnsi="Franklin Gothic Book" w:cs="Calibri"/>
                  <w:szCs w:val="20"/>
                </w:rPr>
                <w:t>School Breakfast: Breakfast After the Bell Resources</w:t>
              </w:r>
            </w:hyperlink>
          </w:p>
        </w:tc>
        <w:tc>
          <w:tcPr>
            <w:tcW w:w="6562" w:type="dxa"/>
            <w:tcBorders>
              <w:top w:val="single" w:sz="6" w:space="0" w:color="2F5496"/>
              <w:left w:val="single" w:sz="6" w:space="0" w:color="2F5496"/>
              <w:bottom w:val="single" w:sz="6" w:space="0" w:color="2F5496"/>
              <w:right w:val="single" w:sz="6" w:space="0" w:color="2F5496"/>
            </w:tcBorders>
            <w:hideMark/>
          </w:tcPr>
          <w:p w14:paraId="1744B1C8" w14:textId="0A194CEC" w:rsidR="004939EC" w:rsidRPr="00A06F1E" w:rsidRDefault="004939EC" w:rsidP="00056D2B">
            <w:pPr>
              <w:pStyle w:val="TableText"/>
            </w:pPr>
            <w:r w:rsidRPr="00A06F1E">
              <w:t xml:space="preserve">The </w:t>
            </w:r>
            <w:r w:rsidR="00D90309" w:rsidRPr="00A06F1E">
              <w:t xml:space="preserve">goal of the </w:t>
            </w:r>
            <w:r w:rsidRPr="00A06F1E">
              <w:t xml:space="preserve">Breakfast After the Bell Toolkit Series is to help with the launch and implementation of alternative breakfast models. </w:t>
            </w:r>
          </w:p>
        </w:tc>
      </w:tr>
      <w:tr w:rsidR="004939EC" w:rsidRPr="00A06F1E" w14:paraId="7A6908EE" w14:textId="77777777" w:rsidTr="00D90309">
        <w:tc>
          <w:tcPr>
            <w:tcW w:w="2782" w:type="dxa"/>
            <w:tcBorders>
              <w:top w:val="single" w:sz="6" w:space="0" w:color="2F5496"/>
              <w:left w:val="single" w:sz="6" w:space="0" w:color="2F5496"/>
              <w:bottom w:val="single" w:sz="6" w:space="0" w:color="2F5496"/>
              <w:right w:val="single" w:sz="6" w:space="0" w:color="2F5496"/>
            </w:tcBorders>
            <w:hideMark/>
          </w:tcPr>
          <w:p w14:paraId="5D3CF66A" w14:textId="77777777" w:rsidR="004939EC" w:rsidRPr="00A06F1E" w:rsidRDefault="00000000" w:rsidP="00056D2B">
            <w:pPr>
              <w:pStyle w:val="TableText"/>
              <w:rPr>
                <w:rFonts w:eastAsia="Franklin Gothic Book" w:cs="Tahoma"/>
              </w:rPr>
            </w:pPr>
            <w:hyperlink r:id="rId87" w:history="1">
              <w:r w:rsidR="004939EC" w:rsidRPr="00A06F1E">
                <w:rPr>
                  <w:rStyle w:val="Hyperlink"/>
                  <w:rFonts w:ascii="Franklin Gothic Book" w:hAnsi="Franklin Gothic Book" w:cs="Calibri"/>
                  <w:szCs w:val="20"/>
                </w:rPr>
                <w:t>School Wellness Initiative for Thriving Community Health</w:t>
              </w:r>
            </w:hyperlink>
            <w:r w:rsidR="004939EC" w:rsidRPr="00A06F1E">
              <w:rPr>
                <w:rStyle w:val="Hyperlink"/>
                <w:rFonts w:ascii="Franklin Gothic Book" w:hAnsi="Franklin Gothic Book" w:cs="Calibri"/>
                <w:szCs w:val="20"/>
              </w:rPr>
              <w:t xml:space="preserve"> (SWITCH)</w:t>
            </w:r>
          </w:p>
        </w:tc>
        <w:tc>
          <w:tcPr>
            <w:tcW w:w="6562" w:type="dxa"/>
            <w:tcBorders>
              <w:top w:val="single" w:sz="6" w:space="0" w:color="2F5496"/>
              <w:left w:val="single" w:sz="6" w:space="0" w:color="2F5496"/>
              <w:bottom w:val="single" w:sz="6" w:space="0" w:color="2F5496"/>
              <w:right w:val="single" w:sz="6" w:space="0" w:color="2F5496"/>
            </w:tcBorders>
            <w:hideMark/>
          </w:tcPr>
          <w:p w14:paraId="06C6243E" w14:textId="77777777" w:rsidR="004939EC" w:rsidRPr="00A06F1E" w:rsidRDefault="004939EC" w:rsidP="00056D2B">
            <w:pPr>
              <w:pStyle w:val="TableText"/>
              <w:rPr>
                <w:rFonts w:eastAsia="Franklin Gothic Book" w:cs="Tahoma"/>
                <w:color w:val="333333"/>
                <w:shd w:val="clear" w:color="auto" w:fill="FFFFFF"/>
              </w:rPr>
            </w:pPr>
            <w:r w:rsidRPr="00A06F1E">
              <w:t>SWITCH provides resources that support and advance wellness efforts for Massachusetts students, schools, and communities.</w:t>
            </w:r>
          </w:p>
        </w:tc>
      </w:tr>
      <w:tr w:rsidR="004939EC" w:rsidRPr="00A06F1E" w14:paraId="4A7B390B" w14:textId="77777777" w:rsidTr="00D90309">
        <w:tc>
          <w:tcPr>
            <w:tcW w:w="2782" w:type="dxa"/>
            <w:tcBorders>
              <w:top w:val="single" w:sz="6" w:space="0" w:color="2F5496"/>
              <w:left w:val="single" w:sz="6" w:space="0" w:color="2F5496"/>
              <w:bottom w:val="single" w:sz="6" w:space="0" w:color="2F5496"/>
              <w:right w:val="single" w:sz="6" w:space="0" w:color="2F5496"/>
            </w:tcBorders>
            <w:hideMark/>
          </w:tcPr>
          <w:p w14:paraId="2A888B52" w14:textId="6ED5AD98" w:rsidR="004939EC" w:rsidRPr="00A06F1E" w:rsidRDefault="004939EC" w:rsidP="00056D2B">
            <w:pPr>
              <w:pStyle w:val="TableText"/>
              <w:rPr>
                <w14:ligatures w14:val="standardContextual"/>
              </w:rPr>
            </w:pPr>
            <w:r w:rsidRPr="00A06F1E">
              <w:t>Social</w:t>
            </w:r>
            <w:r w:rsidR="00BE3E32" w:rsidRPr="00A06F1E">
              <w:t>-e</w:t>
            </w:r>
            <w:r w:rsidRPr="00A06F1E">
              <w:t xml:space="preserve">motional </w:t>
            </w:r>
            <w:r w:rsidR="00BE3E32" w:rsidRPr="00A06F1E">
              <w:t>l</w:t>
            </w:r>
            <w:r w:rsidRPr="00A06F1E">
              <w:t>earning:</w:t>
            </w:r>
          </w:p>
          <w:p w14:paraId="5355A22D" w14:textId="167198C8" w:rsidR="004939EC" w:rsidRPr="00A06F1E" w:rsidRDefault="00000000" w:rsidP="00056D2B">
            <w:pPr>
              <w:pStyle w:val="TableBullet1"/>
              <w:rPr>
                <w:rStyle w:val="Hyperlink"/>
                <w:rFonts w:eastAsia="Franklin Gothic Book" w:cs="Tahoma"/>
                <w:shd w:val="clear" w:color="auto" w:fill="FFFFFF"/>
              </w:rPr>
            </w:pPr>
            <w:hyperlink r:id="rId88" w:history="1">
              <w:r w:rsidR="004939EC" w:rsidRPr="00A06F1E">
                <w:rPr>
                  <w:rStyle w:val="Hyperlink"/>
                  <w:rFonts w:ascii="Franklin Gothic Book" w:hAnsi="Franklin Gothic Book" w:cs="Calibri"/>
                  <w:color w:val="4472C4"/>
                  <w:szCs w:val="20"/>
                </w:rPr>
                <w:t xml:space="preserve">SEL Resources </w:t>
              </w:r>
              <w:r w:rsidR="009570B2" w:rsidRPr="00A06F1E">
                <w:rPr>
                  <w:rStyle w:val="Hyperlink"/>
                  <w:rFonts w:ascii="Franklin Gothic Book" w:hAnsi="Franklin Gothic Book" w:cs="Calibri"/>
                  <w:color w:val="4472C4"/>
                  <w:szCs w:val="20"/>
                </w:rPr>
                <w:t>f</w:t>
              </w:r>
              <w:r w:rsidR="009570B2" w:rsidRPr="00A06F1E">
                <w:rPr>
                  <w:rStyle w:val="Hyperlink"/>
                  <w:rFonts w:ascii="Franklin Gothic Book" w:hAnsi="Franklin Gothic Book" w:cs="Calibri"/>
                  <w:color w:val="4472C4"/>
                </w:rPr>
                <w:t xml:space="preserve">or </w:t>
              </w:r>
              <w:r w:rsidR="004939EC" w:rsidRPr="00A06F1E">
                <w:rPr>
                  <w:rStyle w:val="Hyperlink"/>
                  <w:rFonts w:ascii="Franklin Gothic Book" w:hAnsi="Franklin Gothic Book" w:cs="Calibri"/>
                  <w:color w:val="4472C4"/>
                  <w:szCs w:val="20"/>
                </w:rPr>
                <w:t>Grades</w:t>
              </w:r>
              <w:r w:rsidR="004F6E3D" w:rsidRPr="00A06F1E">
                <w:rPr>
                  <w:rStyle w:val="Hyperlink"/>
                  <w:rFonts w:ascii="Franklin Gothic Book" w:hAnsi="Franklin Gothic Book" w:cs="Calibri"/>
                  <w:color w:val="4472C4"/>
                  <w:szCs w:val="20"/>
                </w:rPr>
                <w:t> </w:t>
              </w:r>
              <w:r w:rsidR="004939EC" w:rsidRPr="00A06F1E">
                <w:rPr>
                  <w:rStyle w:val="Hyperlink"/>
                  <w:rFonts w:ascii="Franklin Gothic Book" w:hAnsi="Franklin Gothic Book" w:cs="Calibri"/>
                  <w:color w:val="4472C4"/>
                  <w:szCs w:val="20"/>
                </w:rPr>
                <w:t>1-3</w:t>
              </w:r>
            </w:hyperlink>
          </w:p>
          <w:p w14:paraId="173B8CF0" w14:textId="5125F8BD" w:rsidR="004939EC" w:rsidRPr="00A06F1E" w:rsidRDefault="00000000" w:rsidP="00056D2B">
            <w:pPr>
              <w:pStyle w:val="TableBullet1"/>
              <w:rPr>
                <w:rStyle w:val="Hyperlink"/>
                <w:rFonts w:ascii="Franklin Gothic Book" w:eastAsia="Franklin Gothic Book" w:hAnsi="Franklin Gothic Book" w:cs="Tahoma"/>
                <w:szCs w:val="20"/>
                <w:shd w:val="clear" w:color="auto" w:fill="FFFFFF"/>
              </w:rPr>
            </w:pPr>
            <w:hyperlink r:id="rId89" w:history="1">
              <w:r w:rsidR="004939EC" w:rsidRPr="00A06F1E">
                <w:rPr>
                  <w:rStyle w:val="Hyperlink"/>
                  <w:rFonts w:ascii="Franklin Gothic Book" w:hAnsi="Franklin Gothic Book" w:cs="Calibri"/>
                  <w:color w:val="4472C4"/>
                  <w:szCs w:val="20"/>
                </w:rPr>
                <w:t>SEL Guide</w:t>
              </w:r>
            </w:hyperlink>
            <w:r w:rsidR="004939EC" w:rsidRPr="00A06F1E">
              <w:rPr>
                <w:rStyle w:val="Hyperlink"/>
                <w:rFonts w:ascii="Franklin Gothic Book" w:hAnsi="Franklin Gothic Book" w:cs="Calibri"/>
                <w:color w:val="4472C4"/>
                <w:szCs w:val="20"/>
              </w:rPr>
              <w:t xml:space="preserve"> (K-12)</w:t>
            </w:r>
          </w:p>
          <w:p w14:paraId="629A9EF0" w14:textId="31C64ADC" w:rsidR="004939EC" w:rsidRPr="00A06F1E" w:rsidRDefault="00000000" w:rsidP="00056D2B">
            <w:pPr>
              <w:pStyle w:val="TableBullet1"/>
              <w:rPr>
                <w:rStyle w:val="Hyperlink"/>
                <w:rFonts w:ascii="Franklin Gothic Book" w:eastAsia="Franklin Gothic Book" w:hAnsi="Franklin Gothic Book" w:cs="Tahoma"/>
                <w:szCs w:val="20"/>
                <w:shd w:val="clear" w:color="auto" w:fill="FFFFFF"/>
              </w:rPr>
            </w:pPr>
            <w:hyperlink r:id="rId90" w:anchor="standards" w:history="1">
              <w:r w:rsidR="004939EC" w:rsidRPr="00A06F1E">
                <w:rPr>
                  <w:rStyle w:val="Hyperlink"/>
                  <w:rFonts w:ascii="Franklin Gothic Book" w:hAnsi="Franklin Gothic Book" w:cs="Calibri"/>
                  <w:color w:val="4472C4"/>
                  <w:szCs w:val="20"/>
                </w:rPr>
                <w:t>SEL/APL Standards</w:t>
              </w:r>
            </w:hyperlink>
            <w:r w:rsidR="004939EC" w:rsidRPr="00A06F1E">
              <w:rPr>
                <w:rStyle w:val="Hyperlink"/>
                <w:rFonts w:ascii="Franklin Gothic Book" w:hAnsi="Franklin Gothic Book" w:cs="Calibri"/>
                <w:color w:val="4472C4"/>
                <w:szCs w:val="20"/>
              </w:rPr>
              <w:t xml:space="preserve"> (PK/K)</w:t>
            </w:r>
          </w:p>
          <w:p w14:paraId="60D04F87" w14:textId="3503ECB2" w:rsidR="004939EC" w:rsidRPr="00A06F1E" w:rsidRDefault="00000000" w:rsidP="00056D2B">
            <w:pPr>
              <w:pStyle w:val="TableBullet1"/>
              <w:rPr>
                <w:rStyle w:val="Hyperlink"/>
                <w:rFonts w:ascii="Franklin Gothic Book" w:eastAsia="Franklin Gothic Book" w:hAnsi="Franklin Gothic Book" w:cs="Tahoma"/>
                <w:szCs w:val="20"/>
                <w:shd w:val="clear" w:color="auto" w:fill="FFFFFF"/>
              </w:rPr>
            </w:pPr>
            <w:hyperlink r:id="rId91" w:history="1">
              <w:r w:rsidR="004939EC" w:rsidRPr="00A06F1E">
                <w:rPr>
                  <w:rStyle w:val="Hyperlink"/>
                  <w:rFonts w:ascii="Franklin Gothic Book" w:hAnsi="Franklin Gothic Book" w:cs="Calibri"/>
                  <w:szCs w:val="20"/>
                </w:rPr>
                <w:t xml:space="preserve">Playful Learning Institute, Preschool </w:t>
              </w:r>
              <w:r w:rsidR="004F6E3D" w:rsidRPr="00A06F1E">
                <w:rPr>
                  <w:rStyle w:val="Hyperlink"/>
                  <w:rFonts w:ascii="Franklin Gothic Book" w:hAnsi="Franklin Gothic Book" w:cs="Calibri"/>
                  <w:szCs w:val="20"/>
                </w:rPr>
                <w:t>t</w:t>
              </w:r>
              <w:r w:rsidR="004F6E3D" w:rsidRPr="00A06F1E">
                <w:rPr>
                  <w:rStyle w:val="Hyperlink"/>
                </w:rPr>
                <w:t>hrough</w:t>
              </w:r>
              <w:r w:rsidR="004939EC" w:rsidRPr="00A06F1E">
                <w:rPr>
                  <w:rStyle w:val="Hyperlink"/>
                  <w:rFonts w:ascii="Franklin Gothic Book" w:hAnsi="Franklin Gothic Book" w:cs="Calibri"/>
                  <w:szCs w:val="20"/>
                </w:rPr>
                <w:t xml:space="preserve"> 3rd Grade</w:t>
              </w:r>
            </w:hyperlink>
          </w:p>
          <w:p w14:paraId="3287CEED" w14:textId="77777777" w:rsidR="004939EC" w:rsidRPr="00A06F1E" w:rsidRDefault="00000000" w:rsidP="00056D2B">
            <w:pPr>
              <w:pStyle w:val="TableBullet1"/>
            </w:pPr>
            <w:hyperlink r:id="rId92" w:history="1">
              <w:r w:rsidR="004939EC" w:rsidRPr="00A06F1E">
                <w:rPr>
                  <w:rStyle w:val="Hyperlink"/>
                  <w:rFonts w:ascii="Franklin Gothic Book" w:hAnsi="Franklin Gothic Book" w:cs="Calibri"/>
                  <w:color w:val="4472C4"/>
                  <w:szCs w:val="20"/>
                </w:rPr>
                <w:t>Culturally Responsive Social-Emotional Competency Development</w:t>
              </w:r>
            </w:hyperlink>
          </w:p>
        </w:tc>
        <w:tc>
          <w:tcPr>
            <w:tcW w:w="6562" w:type="dxa"/>
            <w:tcBorders>
              <w:top w:val="single" w:sz="6" w:space="0" w:color="2F5496"/>
              <w:left w:val="single" w:sz="6" w:space="0" w:color="2F5496"/>
              <w:bottom w:val="single" w:sz="6" w:space="0" w:color="2F5496"/>
              <w:right w:val="single" w:sz="6" w:space="0" w:color="2F5496"/>
            </w:tcBorders>
            <w:hideMark/>
          </w:tcPr>
          <w:p w14:paraId="1F1A2E9E" w14:textId="6D5A3B6F" w:rsidR="004939EC" w:rsidRPr="00A06F1E" w:rsidRDefault="004939EC" w:rsidP="00056D2B">
            <w:pPr>
              <w:pStyle w:val="TableText"/>
              <w:rPr>
                <w:rFonts w:eastAsia="Franklin Gothic Book" w:cs="Tahoma"/>
                <w:shd w:val="clear" w:color="auto" w:fill="FFFFFF"/>
              </w:rPr>
            </w:pPr>
            <w:r w:rsidRPr="00A06F1E">
              <w:t xml:space="preserve">These resources provide evidence-based and developmentally appropriate guidance </w:t>
            </w:r>
            <w:r w:rsidR="00995107" w:rsidRPr="00A06F1E">
              <w:t>regarding</w:t>
            </w:r>
            <w:r w:rsidRPr="00A06F1E">
              <w:t xml:space="preserve"> supporting social</w:t>
            </w:r>
            <w:r w:rsidR="00995107" w:rsidRPr="00A06F1E">
              <w:t>-</w:t>
            </w:r>
            <w:r w:rsidRPr="00A06F1E">
              <w:t>emotional learning in schools.</w:t>
            </w:r>
          </w:p>
        </w:tc>
      </w:tr>
      <w:tr w:rsidR="004939EC" w:rsidRPr="00A06F1E" w14:paraId="2F028A83" w14:textId="77777777" w:rsidTr="00D90309">
        <w:tc>
          <w:tcPr>
            <w:tcW w:w="2782" w:type="dxa"/>
            <w:tcBorders>
              <w:top w:val="single" w:sz="6" w:space="0" w:color="2F5496"/>
              <w:left w:val="single" w:sz="6" w:space="0" w:color="2F5496"/>
              <w:bottom w:val="single" w:sz="6" w:space="0" w:color="2F5496"/>
              <w:right w:val="single" w:sz="6" w:space="0" w:color="2F5496"/>
            </w:tcBorders>
            <w:hideMark/>
          </w:tcPr>
          <w:p w14:paraId="74482612" w14:textId="77777777" w:rsidR="004939EC" w:rsidRPr="00A06F1E" w:rsidRDefault="00000000" w:rsidP="00056D2B">
            <w:pPr>
              <w:pStyle w:val="TableText"/>
              <w:rPr>
                <w:rFonts w:ascii="Franklin Gothic Book" w:eastAsia="Franklin Gothic Book" w:hAnsi="Franklin Gothic Book" w:cs="Tahoma"/>
                <w:szCs w:val="20"/>
                <w:shd w:val="clear" w:color="auto" w:fill="FFFFFF"/>
              </w:rPr>
            </w:pPr>
            <w:hyperlink r:id="rId93" w:history="1">
              <w:r w:rsidR="004939EC" w:rsidRPr="00A06F1E">
                <w:rPr>
                  <w:rStyle w:val="Hyperlink"/>
                  <w:rFonts w:ascii="Franklin Gothic Book" w:hAnsi="Franklin Gothic Book" w:cs="Calibri"/>
                  <w:szCs w:val="20"/>
                </w:rPr>
                <w:t>Students with Limited or Interrupted Formal Education</w:t>
              </w:r>
            </w:hyperlink>
          </w:p>
        </w:tc>
        <w:tc>
          <w:tcPr>
            <w:tcW w:w="6562" w:type="dxa"/>
            <w:tcBorders>
              <w:top w:val="single" w:sz="6" w:space="0" w:color="2F5496"/>
              <w:left w:val="single" w:sz="6" w:space="0" w:color="2F5496"/>
              <w:bottom w:val="single" w:sz="6" w:space="0" w:color="2F5496"/>
              <w:right w:val="single" w:sz="6" w:space="0" w:color="2F5496"/>
            </w:tcBorders>
            <w:hideMark/>
          </w:tcPr>
          <w:p w14:paraId="0EE980E5" w14:textId="7D784E29" w:rsidR="004939EC" w:rsidRPr="00A06F1E" w:rsidRDefault="004939EC" w:rsidP="00056D2B">
            <w:pPr>
              <w:pStyle w:val="TableText"/>
              <w:rPr>
                <w:rFonts w:eastAsia="Franklin Gothic Book" w:cs="Tahoma"/>
                <w:szCs w:val="20"/>
                <w:shd w:val="clear" w:color="auto" w:fill="FFFFFF"/>
              </w:rPr>
            </w:pPr>
            <w:r w:rsidRPr="00A06F1E">
              <w:t xml:space="preserve">Guidance and resources to support districts in meeting the needs of </w:t>
            </w:r>
            <w:r w:rsidR="00203B5A" w:rsidRPr="00A06F1E">
              <w:t>s</w:t>
            </w:r>
            <w:r w:rsidRPr="00A06F1E">
              <w:t xml:space="preserve">tudents with </w:t>
            </w:r>
            <w:r w:rsidR="00203B5A" w:rsidRPr="00A06F1E">
              <w:t>l</w:t>
            </w:r>
            <w:r w:rsidRPr="00A06F1E">
              <w:t xml:space="preserve">imited or </w:t>
            </w:r>
            <w:r w:rsidR="00203B5A" w:rsidRPr="00A06F1E">
              <w:t>i</w:t>
            </w:r>
            <w:r w:rsidRPr="00A06F1E">
              <w:t xml:space="preserve">nterrupted </w:t>
            </w:r>
            <w:r w:rsidR="00203B5A" w:rsidRPr="00A06F1E">
              <w:t>f</w:t>
            </w:r>
            <w:r w:rsidRPr="00A06F1E">
              <w:t xml:space="preserve">ormal </w:t>
            </w:r>
            <w:r w:rsidR="00203B5A" w:rsidRPr="00A06F1E">
              <w:t>e</w:t>
            </w:r>
            <w:r w:rsidRPr="00A06F1E">
              <w:t>ducation.</w:t>
            </w:r>
          </w:p>
        </w:tc>
      </w:tr>
    </w:tbl>
    <w:p w14:paraId="0F889BB5" w14:textId="77777777" w:rsidR="004939EC" w:rsidRPr="00A06F1E" w:rsidRDefault="004939EC" w:rsidP="00056D2B">
      <w:pPr>
        <w:pStyle w:val="TableTitle0"/>
      </w:pPr>
      <w:bookmarkStart w:id="219" w:name="_Toc170701931"/>
      <w:r w:rsidRPr="00A06F1E">
        <w:t>Table C6. Resources to Support Financial and Asset Management</w:t>
      </w:r>
      <w:bookmarkEnd w:id="219"/>
    </w:p>
    <w:tbl>
      <w:tblPr>
        <w:tblStyle w:val="MSVTable1"/>
        <w:tblW w:w="5004" w:type="pct"/>
        <w:tblLook w:val="0620" w:firstRow="1" w:lastRow="0" w:firstColumn="0" w:lastColumn="0" w:noHBand="1" w:noVBand="1"/>
      </w:tblPr>
      <w:tblGrid>
        <w:gridCol w:w="2782"/>
        <w:gridCol w:w="6569"/>
      </w:tblGrid>
      <w:tr w:rsidR="004939EC" w:rsidRPr="00A06F1E" w14:paraId="7CA50A15" w14:textId="77777777" w:rsidTr="004F6E3D">
        <w:trPr>
          <w:cnfStyle w:val="100000000000" w:firstRow="1" w:lastRow="0" w:firstColumn="0" w:lastColumn="0" w:oddVBand="0" w:evenVBand="0" w:oddHBand="0" w:evenHBand="0" w:firstRowFirstColumn="0" w:firstRowLastColumn="0" w:lastRowFirstColumn="0" w:lastRowLastColumn="0"/>
        </w:trPr>
        <w:tc>
          <w:tcPr>
            <w:tcW w:w="2782" w:type="dxa"/>
            <w:tcBorders>
              <w:top w:val="single" w:sz="6" w:space="0" w:color="2F5496"/>
              <w:left w:val="single" w:sz="6" w:space="0" w:color="2F5496"/>
              <w:bottom w:val="single" w:sz="6" w:space="0" w:color="2F5496"/>
            </w:tcBorders>
            <w:hideMark/>
          </w:tcPr>
          <w:p w14:paraId="06CA399C" w14:textId="77777777" w:rsidR="004939EC" w:rsidRPr="00DF7902" w:rsidRDefault="004939EC" w:rsidP="00056D2B">
            <w:pPr>
              <w:pStyle w:val="TableColHeadingLeft"/>
            </w:pPr>
            <w:r w:rsidRPr="00DF7902">
              <w:t xml:space="preserve">Resource </w:t>
            </w:r>
          </w:p>
        </w:tc>
        <w:tc>
          <w:tcPr>
            <w:tcW w:w="6569" w:type="dxa"/>
            <w:tcBorders>
              <w:top w:val="single" w:sz="6" w:space="0" w:color="2F5496"/>
              <w:bottom w:val="single" w:sz="6" w:space="0" w:color="2F5496"/>
              <w:right w:val="single" w:sz="6" w:space="0" w:color="2F5496"/>
            </w:tcBorders>
            <w:hideMark/>
          </w:tcPr>
          <w:p w14:paraId="1710DAC2" w14:textId="77777777" w:rsidR="004939EC" w:rsidRPr="00A06F1E" w:rsidRDefault="004939EC" w:rsidP="00056D2B">
            <w:pPr>
              <w:pStyle w:val="TableColHeadingLeft"/>
            </w:pPr>
            <w:r w:rsidRPr="00A06F1E">
              <w:t>Description</w:t>
            </w:r>
          </w:p>
        </w:tc>
      </w:tr>
      <w:tr w:rsidR="004939EC" w:rsidRPr="00A06F1E" w14:paraId="135C8470" w14:textId="77777777" w:rsidTr="004F6E3D">
        <w:tc>
          <w:tcPr>
            <w:tcW w:w="2782" w:type="dxa"/>
            <w:tcBorders>
              <w:top w:val="single" w:sz="6" w:space="0" w:color="2F5496"/>
              <w:left w:val="single" w:sz="6" w:space="0" w:color="2F5496"/>
              <w:bottom w:val="single" w:sz="6" w:space="0" w:color="2F5496"/>
              <w:right w:val="single" w:sz="6" w:space="0" w:color="2F5496"/>
            </w:tcBorders>
            <w:hideMark/>
          </w:tcPr>
          <w:p w14:paraId="6280BE04" w14:textId="0B5B7CD3" w:rsidR="004939EC" w:rsidRPr="00A06F1E" w:rsidRDefault="00000000" w:rsidP="00056D2B">
            <w:pPr>
              <w:pStyle w:val="TableText"/>
              <w:rPr>
                <w:rFonts w:ascii="Franklin Gothic Demi" w:eastAsia="HGGothicE" w:hAnsi="Franklin Gothic Demi" w:cs="Franklin Gothic Book"/>
                <w:bCs/>
              </w:rPr>
            </w:pPr>
            <w:hyperlink r:id="rId94" w:history="1">
              <w:r w:rsidR="004939EC" w:rsidRPr="00A06F1E">
                <w:rPr>
                  <w:rStyle w:val="Hyperlink"/>
                  <w:rFonts w:ascii="Franklin Gothic Book" w:hAnsi="Franklin Gothic Book" w:cs="Calibri"/>
                  <w:szCs w:val="20"/>
                </w:rPr>
                <w:t xml:space="preserve">DESE Spending Comparisons </w:t>
              </w:r>
              <w:r w:rsidR="00D2327C" w:rsidRPr="00A06F1E">
                <w:rPr>
                  <w:rStyle w:val="Hyperlink"/>
                  <w:rFonts w:ascii="Franklin Gothic Book" w:hAnsi="Franklin Gothic Book" w:cs="Calibri"/>
                  <w:szCs w:val="20"/>
                </w:rPr>
                <w:t>w</w:t>
              </w:r>
              <w:r w:rsidR="004939EC" w:rsidRPr="00A06F1E">
                <w:rPr>
                  <w:rStyle w:val="Hyperlink"/>
                  <w:rFonts w:ascii="Franklin Gothic Book" w:hAnsi="Franklin Gothic Book" w:cs="Calibri"/>
                  <w:szCs w:val="20"/>
                </w:rPr>
                <w:t>ebsite</w:t>
              </w:r>
            </w:hyperlink>
          </w:p>
        </w:tc>
        <w:tc>
          <w:tcPr>
            <w:tcW w:w="6569" w:type="dxa"/>
            <w:tcBorders>
              <w:top w:val="single" w:sz="6" w:space="0" w:color="2F5496"/>
              <w:left w:val="single" w:sz="6" w:space="0" w:color="2F5496"/>
              <w:bottom w:val="single" w:sz="6" w:space="0" w:color="2F5496"/>
              <w:right w:val="single" w:sz="6" w:space="0" w:color="2F5496"/>
            </w:tcBorders>
            <w:hideMark/>
          </w:tcPr>
          <w:p w14:paraId="000678FF" w14:textId="77777777" w:rsidR="004939EC" w:rsidRPr="00A06F1E" w:rsidRDefault="004939EC" w:rsidP="00056D2B">
            <w:pPr>
              <w:pStyle w:val="TableText"/>
              <w:rPr>
                <w:rFonts w:ascii="Franklin Gothic Demi" w:eastAsia="HGGothicE" w:hAnsi="Franklin Gothic Demi" w:cs="Franklin Gothic Book"/>
                <w:bCs/>
              </w:rPr>
            </w:pPr>
            <w:r w:rsidRPr="00A06F1E">
              <w:rPr>
                <w:rFonts w:ascii="Franklin Gothic Book" w:hAnsi="Franklin Gothic Book" w:cs="Calibri"/>
                <w:color w:val="000000"/>
                <w:szCs w:val="20"/>
              </w:rPr>
              <w:t>A clearinghouse of school finance data reports and other resources available to district users and the public.</w:t>
            </w:r>
          </w:p>
        </w:tc>
      </w:tr>
      <w:tr w:rsidR="004939EC" w:rsidRPr="00A06F1E" w14:paraId="7ED304DC" w14:textId="77777777" w:rsidTr="004F6E3D">
        <w:tc>
          <w:tcPr>
            <w:tcW w:w="2782" w:type="dxa"/>
            <w:tcBorders>
              <w:top w:val="single" w:sz="6" w:space="0" w:color="2F5496"/>
              <w:left w:val="single" w:sz="6" w:space="0" w:color="2F5496"/>
              <w:bottom w:val="single" w:sz="6" w:space="0" w:color="2F5496"/>
              <w:right w:val="single" w:sz="6" w:space="0" w:color="2F5496"/>
            </w:tcBorders>
            <w:hideMark/>
          </w:tcPr>
          <w:p w14:paraId="5F518033" w14:textId="77777777" w:rsidR="004939EC" w:rsidRPr="00A06F1E" w:rsidRDefault="00000000" w:rsidP="00056D2B">
            <w:pPr>
              <w:pStyle w:val="TableText"/>
              <w:rPr>
                <w14:ligatures w14:val="standardContextual"/>
              </w:rPr>
            </w:pPr>
            <w:hyperlink r:id="rId95" w:history="1">
              <w:r w:rsidR="004939EC" w:rsidRPr="00A06F1E">
                <w:rPr>
                  <w:rStyle w:val="Hyperlink"/>
                  <w:rFonts w:ascii="Franklin Gothic Book" w:hAnsi="Franklin Gothic Book" w:cs="Calibri"/>
                  <w:szCs w:val="20"/>
                </w:rPr>
                <w:t>General Resources for Federal Grant Programs</w:t>
              </w:r>
            </w:hyperlink>
          </w:p>
        </w:tc>
        <w:tc>
          <w:tcPr>
            <w:tcW w:w="6569" w:type="dxa"/>
            <w:tcBorders>
              <w:top w:val="single" w:sz="6" w:space="0" w:color="2F5496"/>
              <w:left w:val="single" w:sz="6" w:space="0" w:color="2F5496"/>
              <w:bottom w:val="single" w:sz="6" w:space="0" w:color="2F5496"/>
              <w:right w:val="single" w:sz="6" w:space="0" w:color="2F5496"/>
            </w:tcBorders>
            <w:hideMark/>
          </w:tcPr>
          <w:p w14:paraId="54AFFEE9" w14:textId="77777777" w:rsidR="004939EC" w:rsidRPr="00A06F1E" w:rsidRDefault="004939EC" w:rsidP="00056D2B">
            <w:pPr>
              <w:pStyle w:val="TableText"/>
              <w:rPr>
                <w:rFonts w:ascii="Franklin Gothic Book" w:hAnsi="Franklin Gothic Book" w:cs="Calibri"/>
                <w:color w:val="000000"/>
              </w:rPr>
            </w:pPr>
            <w:r w:rsidRPr="00A06F1E">
              <w:rPr>
                <w:rFonts w:ascii="Franklin Gothic Book" w:hAnsi="Franklin Gothic Book" w:cs="Calibri"/>
                <w:color w:val="000000" w:themeColor="text1"/>
              </w:rPr>
              <w:t xml:space="preserve">General federal grants resources. </w:t>
            </w:r>
          </w:p>
        </w:tc>
      </w:tr>
      <w:tr w:rsidR="004939EC" w:rsidRPr="00A06F1E" w14:paraId="2D58B0B0" w14:textId="77777777" w:rsidTr="004F6E3D">
        <w:tc>
          <w:tcPr>
            <w:tcW w:w="2782" w:type="dxa"/>
            <w:tcBorders>
              <w:top w:val="single" w:sz="6" w:space="0" w:color="2F5496"/>
              <w:left w:val="single" w:sz="6" w:space="0" w:color="2F5496"/>
              <w:bottom w:val="single" w:sz="6" w:space="0" w:color="2F5496"/>
              <w:right w:val="single" w:sz="6" w:space="0" w:color="2F5496"/>
            </w:tcBorders>
            <w:hideMark/>
          </w:tcPr>
          <w:p w14:paraId="006E726C" w14:textId="77777777" w:rsidR="004939EC" w:rsidRPr="00A06F1E" w:rsidRDefault="00000000" w:rsidP="00056D2B">
            <w:pPr>
              <w:pStyle w:val="TableText"/>
            </w:pPr>
            <w:hyperlink r:id="rId96" w:history="1">
              <w:r w:rsidR="004939EC" w:rsidRPr="00A06F1E">
                <w:rPr>
                  <w:rStyle w:val="Hyperlink"/>
                  <w:rFonts w:ascii="Franklin Gothic Book" w:eastAsia="Franklin Gothic Book" w:hAnsi="Franklin Gothic Book" w:cs="Franklin Gothic Book"/>
                </w:rPr>
                <w:t>Massachusetts Farm to School Grant Opportunities</w:t>
              </w:r>
            </w:hyperlink>
          </w:p>
        </w:tc>
        <w:tc>
          <w:tcPr>
            <w:tcW w:w="6569" w:type="dxa"/>
            <w:tcBorders>
              <w:top w:val="single" w:sz="6" w:space="0" w:color="2F5496"/>
              <w:left w:val="single" w:sz="6" w:space="0" w:color="2F5496"/>
              <w:bottom w:val="single" w:sz="6" w:space="0" w:color="2F5496"/>
              <w:right w:val="single" w:sz="6" w:space="0" w:color="2F5496"/>
            </w:tcBorders>
            <w:hideMark/>
          </w:tcPr>
          <w:p w14:paraId="28284E83" w14:textId="77777777" w:rsidR="004939EC" w:rsidRPr="00A06F1E" w:rsidRDefault="004939EC" w:rsidP="00056D2B">
            <w:pPr>
              <w:pStyle w:val="TableText"/>
              <w:rPr>
                <w:rFonts w:ascii="Franklin Gothic Book" w:hAnsi="Franklin Gothic Book" w:cs="Calibri"/>
                <w:color w:val="000000"/>
                <w:szCs w:val="20"/>
              </w:rPr>
            </w:pPr>
            <w:r w:rsidRPr="00A06F1E">
              <w:rPr>
                <w:rFonts w:ascii="Franklin Gothic Book" w:eastAsia="Franklin Gothic Book" w:hAnsi="Franklin Gothic Book" w:cs="Franklin Gothic Book"/>
                <w:color w:val="000000" w:themeColor="text1"/>
              </w:rPr>
              <w:t>A summary of state, regional and national grant opportunities related to farm to school, school gardens, hydroponics, school food and more.</w:t>
            </w:r>
          </w:p>
        </w:tc>
      </w:tr>
      <w:tr w:rsidR="004939EC" w:rsidRPr="00A06F1E" w14:paraId="6024D851" w14:textId="77777777" w:rsidTr="004F6E3D">
        <w:tc>
          <w:tcPr>
            <w:tcW w:w="2782" w:type="dxa"/>
            <w:tcBorders>
              <w:top w:val="single" w:sz="6" w:space="0" w:color="2F5496"/>
              <w:left w:val="single" w:sz="6" w:space="0" w:color="2F5496"/>
              <w:bottom w:val="single" w:sz="6" w:space="0" w:color="2F5496"/>
              <w:right w:val="single" w:sz="6" w:space="0" w:color="2F5496"/>
            </w:tcBorders>
            <w:hideMark/>
          </w:tcPr>
          <w:p w14:paraId="3E7F1EA6" w14:textId="77777777" w:rsidR="004939EC" w:rsidRPr="00A06F1E" w:rsidRDefault="00000000" w:rsidP="00056D2B">
            <w:pPr>
              <w:pStyle w:val="TableText"/>
            </w:pPr>
            <w:hyperlink r:id="rId97" w:history="1">
              <w:r w:rsidR="004939EC" w:rsidRPr="00A06F1E">
                <w:rPr>
                  <w:rStyle w:val="Hyperlink"/>
                  <w:rFonts w:ascii="Franklin Gothic Book" w:eastAsia="Franklin Gothic Book" w:hAnsi="Franklin Gothic Book" w:cs="Franklin Gothic Book"/>
                </w:rPr>
                <w:t>Office for Food and Nutrition Programs</w:t>
              </w:r>
            </w:hyperlink>
          </w:p>
        </w:tc>
        <w:tc>
          <w:tcPr>
            <w:tcW w:w="6569" w:type="dxa"/>
            <w:tcBorders>
              <w:top w:val="single" w:sz="6" w:space="0" w:color="2F5496"/>
              <w:left w:val="single" w:sz="6" w:space="0" w:color="2F5496"/>
              <w:bottom w:val="single" w:sz="6" w:space="0" w:color="2F5496"/>
              <w:right w:val="single" w:sz="6" w:space="0" w:color="2F5496"/>
            </w:tcBorders>
            <w:hideMark/>
          </w:tcPr>
          <w:p w14:paraId="2DC7AC2C" w14:textId="77777777" w:rsidR="004939EC" w:rsidRPr="00A06F1E" w:rsidRDefault="004939EC" w:rsidP="00056D2B">
            <w:pPr>
              <w:pStyle w:val="TableText"/>
              <w:rPr>
                <w:rFonts w:ascii="Franklin Gothic Book" w:hAnsi="Franklin Gothic Book" w:cs="Calibri"/>
                <w:color w:val="000000"/>
                <w:szCs w:val="20"/>
              </w:rPr>
            </w:pPr>
            <w:r w:rsidRPr="00A06F1E">
              <w:rPr>
                <w:rFonts w:ascii="Franklin Gothic Book" w:eastAsia="Franklin Gothic Book" w:hAnsi="Franklin Gothic Book" w:cs="Franklin Gothic Book"/>
                <w:color w:val="000000" w:themeColor="text1"/>
              </w:rPr>
              <w:t>Resources for school districts, childcare centers, family day care homes, adult day health programs, Summer Eats community organizations, USDA Foods storage and distribution vendors, food banks, and anti-hunger organizations across the Commonwealth.</w:t>
            </w:r>
          </w:p>
        </w:tc>
      </w:tr>
      <w:tr w:rsidR="004939EC" w:rsidRPr="00A06F1E" w14:paraId="470DCE87" w14:textId="77777777" w:rsidTr="004F6E3D">
        <w:tc>
          <w:tcPr>
            <w:tcW w:w="2782" w:type="dxa"/>
            <w:tcBorders>
              <w:top w:val="single" w:sz="6" w:space="0" w:color="2F5496"/>
              <w:left w:val="single" w:sz="6" w:space="0" w:color="2F5496"/>
              <w:bottom w:val="single" w:sz="6" w:space="0" w:color="2F5496"/>
              <w:right w:val="single" w:sz="6" w:space="0" w:color="2F5496"/>
            </w:tcBorders>
            <w:hideMark/>
          </w:tcPr>
          <w:p w14:paraId="008B8E72" w14:textId="4FD05CEE" w:rsidR="004939EC" w:rsidRPr="00A06F1E" w:rsidRDefault="00000000" w:rsidP="00056D2B">
            <w:pPr>
              <w:pStyle w:val="TableText"/>
            </w:pPr>
            <w:hyperlink r:id="rId98" w:history="1">
              <w:r w:rsidR="004939EC" w:rsidRPr="00A06F1E">
                <w:rPr>
                  <w:rStyle w:val="Hyperlink"/>
                  <w:rFonts w:ascii="Franklin Gothic Book" w:hAnsi="Franklin Gothic Book" w:cs="Calibri"/>
                </w:rPr>
                <w:t>Planning for Success</w:t>
              </w:r>
            </w:hyperlink>
          </w:p>
        </w:tc>
        <w:tc>
          <w:tcPr>
            <w:tcW w:w="6569" w:type="dxa"/>
            <w:tcBorders>
              <w:top w:val="single" w:sz="6" w:space="0" w:color="2F5496"/>
              <w:left w:val="single" w:sz="6" w:space="0" w:color="2F5496"/>
              <w:bottom w:val="single" w:sz="6" w:space="0" w:color="2F5496"/>
              <w:right w:val="single" w:sz="6" w:space="0" w:color="2F5496"/>
            </w:tcBorders>
            <w:hideMark/>
          </w:tcPr>
          <w:p w14:paraId="04E457ED" w14:textId="77777777" w:rsidR="004939EC" w:rsidRPr="00A06F1E" w:rsidRDefault="004939EC" w:rsidP="00056D2B">
            <w:pPr>
              <w:pStyle w:val="TableText"/>
              <w:rPr>
                <w:rFonts w:ascii="Franklin Gothic Book" w:eastAsia="Franklin Gothic Book" w:hAnsi="Franklin Gothic Book" w:cs="Franklin Gothic Book"/>
                <w:color w:val="000000" w:themeColor="text1"/>
              </w:rPr>
            </w:pPr>
            <w:r w:rsidRPr="00A06F1E">
              <w:rPr>
                <w:rFonts w:ascii="Franklin Gothic Book" w:hAnsi="Franklin Gothic Book" w:cs="Calibri"/>
                <w:color w:val="000000"/>
                <w:szCs w:val="20"/>
              </w:rPr>
              <w:t>An inclusive, hands-on planning process designed to build district and school capacity and coherence while also building community understanding and support.</w:t>
            </w:r>
          </w:p>
        </w:tc>
      </w:tr>
      <w:tr w:rsidR="004939EC" w:rsidRPr="00A06F1E" w14:paraId="5F5A4327" w14:textId="77777777" w:rsidTr="004F6E3D">
        <w:tc>
          <w:tcPr>
            <w:tcW w:w="2782" w:type="dxa"/>
            <w:tcBorders>
              <w:top w:val="single" w:sz="6" w:space="0" w:color="2F5496"/>
              <w:left w:val="single" w:sz="6" w:space="0" w:color="2F5496"/>
              <w:bottom w:val="single" w:sz="6" w:space="0" w:color="2F5496"/>
              <w:right w:val="single" w:sz="6" w:space="0" w:color="2F5496"/>
            </w:tcBorders>
            <w:hideMark/>
          </w:tcPr>
          <w:p w14:paraId="77B8F58D" w14:textId="77777777" w:rsidR="004939EC" w:rsidRPr="00A06F1E" w:rsidRDefault="00000000" w:rsidP="00056D2B">
            <w:pPr>
              <w:pStyle w:val="TableText"/>
            </w:pPr>
            <w:hyperlink r:id="rId99" w:history="1">
              <w:r w:rsidR="004939EC" w:rsidRPr="00A06F1E">
                <w:rPr>
                  <w:rStyle w:val="Hyperlink"/>
                  <w:rFonts w:ascii="Franklin Gothic Book" w:hAnsi="Franklin Gothic Book" w:cs="Calibri"/>
                  <w:szCs w:val="20"/>
                </w:rPr>
                <w:t>Resource Allocation and District Action Reports (RADAR)</w:t>
              </w:r>
            </w:hyperlink>
          </w:p>
        </w:tc>
        <w:tc>
          <w:tcPr>
            <w:tcW w:w="6569" w:type="dxa"/>
            <w:tcBorders>
              <w:top w:val="single" w:sz="6" w:space="0" w:color="2F5496"/>
              <w:left w:val="single" w:sz="6" w:space="0" w:color="2F5496"/>
              <w:bottom w:val="single" w:sz="6" w:space="0" w:color="2F5496"/>
              <w:right w:val="single" w:sz="6" w:space="0" w:color="2F5496"/>
            </w:tcBorders>
            <w:hideMark/>
          </w:tcPr>
          <w:p w14:paraId="0DB12161" w14:textId="77777777" w:rsidR="004939EC" w:rsidRPr="00A06F1E" w:rsidRDefault="004939EC" w:rsidP="00056D2B">
            <w:pPr>
              <w:pStyle w:val="TableText"/>
              <w:rPr>
                <w:rFonts w:ascii="Franklin Gothic Book" w:hAnsi="Franklin Gothic Book" w:cs="Calibri"/>
                <w:color w:val="000000"/>
                <w:szCs w:val="20"/>
              </w:rPr>
            </w:pPr>
            <w:r w:rsidRPr="00A06F1E">
              <w:rPr>
                <w:rFonts w:ascii="Franklin Gothic Book" w:hAnsi="Franklin Gothic Book" w:cs="Calibri"/>
                <w:color w:val="000000"/>
                <w:szCs w:val="20"/>
              </w:rPr>
              <w:t>RADAR is a suite of innovative data reports, case studies, and other resources that provide a new approach to resource decisions.</w:t>
            </w:r>
          </w:p>
        </w:tc>
      </w:tr>
      <w:tr w:rsidR="004939EC" w:rsidRPr="00A06F1E" w14:paraId="756BCDB8" w14:textId="77777777" w:rsidTr="004F6E3D">
        <w:tc>
          <w:tcPr>
            <w:tcW w:w="2782" w:type="dxa"/>
            <w:tcBorders>
              <w:top w:val="single" w:sz="6" w:space="0" w:color="2F5496"/>
              <w:left w:val="single" w:sz="6" w:space="0" w:color="2F5496"/>
              <w:bottom w:val="single" w:sz="6" w:space="0" w:color="2F5496"/>
              <w:right w:val="single" w:sz="6" w:space="0" w:color="2F5496"/>
            </w:tcBorders>
            <w:hideMark/>
          </w:tcPr>
          <w:p w14:paraId="24CF22DC" w14:textId="35D883F7" w:rsidR="004939EC" w:rsidRPr="00A06F1E" w:rsidRDefault="00000000" w:rsidP="00056D2B">
            <w:pPr>
              <w:pStyle w:val="TableText"/>
              <w:rPr>
                <w:rStyle w:val="Hyperlink"/>
              </w:rPr>
            </w:pPr>
            <w:hyperlink r:id="rId100" w:history="1">
              <w:r w:rsidR="004F6E3D" w:rsidRPr="00A06F1E">
                <w:rPr>
                  <w:rStyle w:val="Hyperlink"/>
                  <w:rFonts w:ascii="Franklin Gothic Book" w:hAnsi="Franklin Gothic Book" w:cs="Calibri"/>
                  <w:szCs w:val="20"/>
                </w:rPr>
                <w:t>Spending Money Wisely: Getting the Most From School District Budgets</w:t>
              </w:r>
            </w:hyperlink>
            <w:r w:rsidR="004F6E3D" w:rsidRPr="00A06F1E">
              <w:rPr>
                <w:rFonts w:ascii="Franklin Gothic Book" w:hAnsi="Franklin Gothic Book" w:cs="Calibri"/>
                <w:szCs w:val="20"/>
              </w:rPr>
              <w:t xml:space="preserve"> (scroll down to Research section)</w:t>
            </w:r>
          </w:p>
        </w:tc>
        <w:tc>
          <w:tcPr>
            <w:tcW w:w="6569" w:type="dxa"/>
            <w:tcBorders>
              <w:top w:val="single" w:sz="6" w:space="0" w:color="2F5496"/>
              <w:left w:val="single" w:sz="6" w:space="0" w:color="2F5496"/>
              <w:bottom w:val="single" w:sz="6" w:space="0" w:color="2F5496"/>
              <w:right w:val="single" w:sz="6" w:space="0" w:color="2F5496"/>
            </w:tcBorders>
            <w:hideMark/>
          </w:tcPr>
          <w:p w14:paraId="397916C8" w14:textId="77777777" w:rsidR="004939EC" w:rsidRPr="00A06F1E" w:rsidRDefault="004939EC" w:rsidP="00056D2B">
            <w:pPr>
              <w:pStyle w:val="TableText"/>
              <w:rPr>
                <w:color w:val="000000"/>
              </w:rPr>
            </w:pPr>
            <w:r w:rsidRPr="00A06F1E">
              <w:rPr>
                <w:rFonts w:ascii="Franklin Gothic Book" w:hAnsi="Franklin Gothic Book" w:cs="Calibri"/>
                <w:color w:val="000000"/>
                <w:szCs w:val="20"/>
              </w:rPr>
              <w:t xml:space="preserve">A discussion of the top 10 opportunities for districts to realign resources and free up funds to support strategic priorities. </w:t>
            </w:r>
          </w:p>
        </w:tc>
      </w:tr>
      <w:tr w:rsidR="004939EC" w:rsidRPr="00A06F1E" w14:paraId="2ED3CE73" w14:textId="77777777" w:rsidTr="004F6E3D">
        <w:tc>
          <w:tcPr>
            <w:tcW w:w="2782" w:type="dxa"/>
            <w:tcBorders>
              <w:top w:val="single" w:sz="6" w:space="0" w:color="2F5496"/>
              <w:left w:val="single" w:sz="6" w:space="0" w:color="2F5496"/>
              <w:bottom w:val="single" w:sz="6" w:space="0" w:color="2F5496"/>
              <w:right w:val="single" w:sz="6" w:space="0" w:color="2F5496"/>
            </w:tcBorders>
            <w:hideMark/>
          </w:tcPr>
          <w:p w14:paraId="43C00E98" w14:textId="77777777" w:rsidR="004939EC" w:rsidRPr="00A06F1E" w:rsidRDefault="00000000" w:rsidP="00056D2B">
            <w:pPr>
              <w:pStyle w:val="TableText"/>
              <w:rPr>
                <w:rStyle w:val="Hyperlink"/>
              </w:rPr>
            </w:pPr>
            <w:hyperlink r:id="rId101" w:history="1">
              <w:r w:rsidR="004939EC" w:rsidRPr="00A06F1E">
                <w:rPr>
                  <w:rStyle w:val="Hyperlink"/>
                  <w:rFonts w:ascii="Franklin Gothic Book" w:hAnsi="Franklin Gothic Book" w:cs="Calibri"/>
                  <w:szCs w:val="20"/>
                </w:rPr>
                <w:t>Summer Eats | Free Meals for Kids and Teens in MA</w:t>
              </w:r>
            </w:hyperlink>
          </w:p>
        </w:tc>
        <w:tc>
          <w:tcPr>
            <w:tcW w:w="6569" w:type="dxa"/>
            <w:tcBorders>
              <w:top w:val="single" w:sz="6" w:space="0" w:color="2F5496"/>
              <w:left w:val="single" w:sz="6" w:space="0" w:color="2F5496"/>
              <w:bottom w:val="single" w:sz="6" w:space="0" w:color="2F5496"/>
              <w:right w:val="single" w:sz="6" w:space="0" w:color="2F5496"/>
            </w:tcBorders>
            <w:hideMark/>
          </w:tcPr>
          <w:p w14:paraId="39FCB5B6" w14:textId="0789EBBC" w:rsidR="004939EC" w:rsidRPr="00A06F1E" w:rsidRDefault="004939EC" w:rsidP="00056D2B">
            <w:pPr>
              <w:pStyle w:val="TableText"/>
              <w:rPr>
                <w:color w:val="000000"/>
              </w:rPr>
            </w:pPr>
            <w:r w:rsidRPr="00A06F1E">
              <w:rPr>
                <w:rFonts w:ascii="Franklin Gothic Book" w:eastAsia="Franklin Gothic Book" w:hAnsi="Franklin Gothic Book" w:cs="Franklin Gothic Book"/>
                <w:color w:val="000000" w:themeColor="text1"/>
              </w:rPr>
              <w:t xml:space="preserve">Summer Eats is a free-of-charge program that provides free meals to all kids and teens, ages 18 and </w:t>
            </w:r>
            <w:r w:rsidR="00077B6A" w:rsidRPr="00A06F1E">
              <w:rPr>
                <w:rFonts w:ascii="Franklin Gothic Book" w:eastAsia="Franklin Gothic Book" w:hAnsi="Franklin Gothic Book" w:cs="Franklin Gothic Book"/>
                <w:color w:val="000000" w:themeColor="text1"/>
              </w:rPr>
              <w:t>younger</w:t>
            </w:r>
            <w:r w:rsidRPr="00A06F1E">
              <w:rPr>
                <w:rFonts w:ascii="Franklin Gothic Book" w:eastAsia="Franklin Gothic Book" w:hAnsi="Franklin Gothic Book" w:cs="Franklin Gothic Book"/>
                <w:color w:val="000000" w:themeColor="text1"/>
              </w:rPr>
              <w:t>, at locations all across Massachusetts during the summer months.</w:t>
            </w:r>
          </w:p>
        </w:tc>
      </w:tr>
      <w:tr w:rsidR="004939EC" w:rsidRPr="00A06F1E" w14:paraId="7F5DA64C" w14:textId="77777777" w:rsidTr="004F6E3D">
        <w:trPr>
          <w:trHeight w:val="58"/>
        </w:trPr>
        <w:tc>
          <w:tcPr>
            <w:tcW w:w="2782" w:type="dxa"/>
            <w:tcBorders>
              <w:top w:val="single" w:sz="6" w:space="0" w:color="2F5496"/>
              <w:left w:val="single" w:sz="6" w:space="0" w:color="2F5496"/>
              <w:bottom w:val="single" w:sz="6" w:space="0" w:color="2F5496"/>
              <w:right w:val="single" w:sz="6" w:space="0" w:color="2F5496"/>
            </w:tcBorders>
            <w:hideMark/>
          </w:tcPr>
          <w:p w14:paraId="0EA3E89F" w14:textId="51253388" w:rsidR="004939EC" w:rsidRPr="00A06F1E" w:rsidRDefault="00000000" w:rsidP="00056D2B">
            <w:pPr>
              <w:pStyle w:val="TableText"/>
              <w:rPr>
                <w:rStyle w:val="Hyperlink"/>
              </w:rPr>
            </w:pPr>
            <w:hyperlink r:id="rId102" w:history="1">
              <w:r w:rsidR="004939EC" w:rsidRPr="00A06F1E">
                <w:rPr>
                  <w:rStyle w:val="Hyperlink"/>
                  <w:rFonts w:ascii="Franklin Gothic Book" w:hAnsi="Franklin Gothic Book" w:cs="Calibri"/>
                  <w:szCs w:val="20"/>
                </w:rPr>
                <w:t>Transforming School Funding: A Guide to Implementing Student-Based Budgeting from Education Resource Strategies</w:t>
              </w:r>
            </w:hyperlink>
          </w:p>
        </w:tc>
        <w:tc>
          <w:tcPr>
            <w:tcW w:w="6569" w:type="dxa"/>
            <w:tcBorders>
              <w:top w:val="single" w:sz="6" w:space="0" w:color="2F5496"/>
              <w:left w:val="single" w:sz="6" w:space="0" w:color="2F5496"/>
              <w:bottom w:val="single" w:sz="6" w:space="0" w:color="2F5496"/>
              <w:right w:val="single" w:sz="6" w:space="0" w:color="2F5496"/>
            </w:tcBorders>
            <w:hideMark/>
          </w:tcPr>
          <w:p w14:paraId="411FE33E" w14:textId="77777777" w:rsidR="004939EC" w:rsidRPr="00A06F1E" w:rsidRDefault="004939EC" w:rsidP="00056D2B">
            <w:pPr>
              <w:pStyle w:val="TableText"/>
              <w:rPr>
                <w:rFonts w:ascii="Franklin Gothic Book" w:eastAsia="Franklin Gothic Book" w:hAnsi="Franklin Gothic Book" w:cs="Tahoma"/>
                <w:szCs w:val="20"/>
              </w:rPr>
            </w:pPr>
            <w:r w:rsidRPr="00A06F1E">
              <w:rPr>
                <w:rFonts w:ascii="Franklin Gothic Book" w:hAnsi="Franklin Gothic Book" w:cs="Calibri"/>
                <w:color w:val="000000"/>
                <w:szCs w:val="20"/>
              </w:rPr>
              <w:t>This guide describes a process to help districts tie funding to specific student needs.</w:t>
            </w:r>
          </w:p>
        </w:tc>
      </w:tr>
    </w:tbl>
    <w:p w14:paraId="74EAB7C2" w14:textId="77777777" w:rsidR="00486B55" w:rsidRPr="00A06F1E" w:rsidRDefault="00486B55" w:rsidP="00486B55">
      <w:pPr>
        <w:tabs>
          <w:tab w:val="left" w:pos="360"/>
          <w:tab w:val="left" w:pos="720"/>
          <w:tab w:val="left" w:pos="1080"/>
          <w:tab w:val="left" w:pos="1440"/>
          <w:tab w:val="left" w:pos="1800"/>
          <w:tab w:val="left" w:pos="2160"/>
          <w:tab w:val="left" w:pos="2520"/>
          <w:tab w:val="left" w:pos="2880"/>
        </w:tabs>
        <w:rPr>
          <w:bCs/>
        </w:rPr>
      </w:pPr>
    </w:p>
    <w:p w14:paraId="6B988AFB" w14:textId="77777777" w:rsidR="00486B55" w:rsidRPr="00A06F1E" w:rsidRDefault="00486B55" w:rsidP="00486B55">
      <w:pPr>
        <w:spacing w:line="240" w:lineRule="auto"/>
        <w:sectPr w:rsidR="00486B55" w:rsidRPr="00A06F1E" w:rsidSect="00D67AD2">
          <w:footerReference w:type="default" r:id="rId103"/>
          <w:footerReference w:type="first" r:id="rId104"/>
          <w:endnotePr>
            <w:numFmt w:val="decimal"/>
          </w:endnotePr>
          <w:pgSz w:w="12240" w:h="15840" w:code="1"/>
          <w:pgMar w:top="1440" w:right="1440" w:bottom="1440" w:left="1440" w:header="720" w:footer="720" w:gutter="0"/>
          <w:pgNumType w:start="1"/>
          <w:cols w:space="720"/>
          <w:noEndnote/>
          <w:docGrid w:linePitch="326"/>
        </w:sectPr>
      </w:pPr>
    </w:p>
    <w:p w14:paraId="46A7012E" w14:textId="72072F3E" w:rsidR="002F1EBE" w:rsidRPr="00A06F1E" w:rsidRDefault="002F1EBE" w:rsidP="009E578A">
      <w:pPr>
        <w:pStyle w:val="Heading2"/>
      </w:pPr>
      <w:bookmarkStart w:id="220" w:name="_Toc170701363"/>
      <w:bookmarkStart w:id="221" w:name="_Toc170896586"/>
      <w:r w:rsidRPr="00A06F1E">
        <w:lastRenderedPageBreak/>
        <w:t xml:space="preserve">Appendix </w:t>
      </w:r>
      <w:r w:rsidR="00486B55" w:rsidRPr="00A06F1E">
        <w:t>D</w:t>
      </w:r>
      <w:r w:rsidR="006A3A0E" w:rsidRPr="00A06F1E">
        <w:t>.</w:t>
      </w:r>
      <w:r w:rsidRPr="00A06F1E">
        <w:t xml:space="preserve"> Enrollment, </w:t>
      </w:r>
      <w:r w:rsidR="00FE2534" w:rsidRPr="00A06F1E">
        <w:t>Attendance</w:t>
      </w:r>
      <w:r w:rsidRPr="00A06F1E">
        <w:t xml:space="preserve">, </w:t>
      </w:r>
      <w:r w:rsidR="00077B6A" w:rsidRPr="00A06F1E">
        <w:t xml:space="preserve">and </w:t>
      </w:r>
      <w:r w:rsidRPr="00A06F1E">
        <w:t>Expenditures</w:t>
      </w:r>
      <w:bookmarkStart w:id="222" w:name="_Toc337817151"/>
      <w:bookmarkEnd w:id="76"/>
      <w:bookmarkEnd w:id="220"/>
      <w:bookmarkEnd w:id="221"/>
    </w:p>
    <w:p w14:paraId="3C071C04" w14:textId="326A7BED" w:rsidR="00F14975" w:rsidRPr="00A06F1E" w:rsidRDefault="00F14975" w:rsidP="00F14975">
      <w:pPr>
        <w:pStyle w:val="TableTitle0"/>
      </w:pPr>
      <w:bookmarkStart w:id="223" w:name="_Toc170701932"/>
      <w:r w:rsidRPr="00A06F1E">
        <w:t>Table D1</w:t>
      </w:r>
      <w:r w:rsidR="007D7C7C">
        <w:t>a</w:t>
      </w:r>
      <w:r w:rsidRPr="00A06F1E">
        <w:t xml:space="preserve">. </w:t>
      </w:r>
      <w:bookmarkStart w:id="224" w:name="_Hlk96949958"/>
      <w:r w:rsidRPr="00A06F1E">
        <w:t>Orange Public Schools</w:t>
      </w:r>
      <w:bookmarkEnd w:id="224"/>
      <w:r w:rsidRPr="00A06F1E">
        <w:t>: Student Enrollment by Race/Ethnicity, 2023-2024</w:t>
      </w:r>
      <w:bookmarkEnd w:id="223"/>
    </w:p>
    <w:tbl>
      <w:tblPr>
        <w:tblStyle w:val="MSVTable1"/>
        <w:tblW w:w="5000" w:type="pct"/>
        <w:tblLook w:val="06A0" w:firstRow="1" w:lastRow="0" w:firstColumn="1" w:lastColumn="0" w:noHBand="1" w:noVBand="1"/>
      </w:tblPr>
      <w:tblGrid>
        <w:gridCol w:w="2922"/>
        <w:gridCol w:w="1604"/>
        <w:gridCol w:w="1606"/>
        <w:gridCol w:w="1606"/>
        <w:gridCol w:w="1606"/>
      </w:tblGrid>
      <w:tr w:rsidR="00F14975" w:rsidRPr="00A06F1E" w14:paraId="18B0A675" w14:textId="77777777">
        <w:trPr>
          <w:cnfStyle w:val="100000000000" w:firstRow="1" w:lastRow="0" w:firstColumn="0" w:lastColumn="0" w:oddVBand="0" w:evenVBand="0" w:oddHBand="0" w:evenHBand="0" w:firstRowFirstColumn="0" w:firstRowLastColumn="0" w:lastRowFirstColumn="0" w:lastRowLastColumn="0"/>
        </w:trPr>
        <w:tc>
          <w:tcPr>
            <w:tcW w:w="2922" w:type="dxa"/>
            <w:vAlign w:val="bottom"/>
          </w:tcPr>
          <w:p w14:paraId="77CA92A0" w14:textId="77777777" w:rsidR="00F14975" w:rsidRPr="00A06F1E" w:rsidRDefault="00F14975" w:rsidP="00056D2B">
            <w:pPr>
              <w:pStyle w:val="TableColHeadingLeft"/>
              <w:spacing w:before="30" w:after="30"/>
              <w:rPr>
                <w:rFonts w:eastAsia="Calibri" w:cs="Calibri"/>
              </w:rPr>
            </w:pPr>
            <w:r w:rsidRPr="00A06F1E">
              <w:t>Group</w:t>
            </w:r>
          </w:p>
        </w:tc>
        <w:tc>
          <w:tcPr>
            <w:tcW w:w="1604" w:type="dxa"/>
            <w:vAlign w:val="bottom"/>
          </w:tcPr>
          <w:p w14:paraId="316807C6" w14:textId="77777777" w:rsidR="00F14975" w:rsidRPr="00A06F1E" w:rsidRDefault="00F14975" w:rsidP="00056D2B">
            <w:pPr>
              <w:pStyle w:val="TableColHeadingCenter"/>
              <w:spacing w:before="30" w:after="30"/>
            </w:pPr>
            <w:r w:rsidRPr="00A06F1E">
              <w:t>District</w:t>
            </w:r>
          </w:p>
        </w:tc>
        <w:tc>
          <w:tcPr>
            <w:tcW w:w="1606" w:type="dxa"/>
            <w:vAlign w:val="bottom"/>
          </w:tcPr>
          <w:p w14:paraId="7EFF164F" w14:textId="77777777" w:rsidR="00F14975" w:rsidRPr="00A06F1E" w:rsidRDefault="00F14975" w:rsidP="00056D2B">
            <w:pPr>
              <w:pStyle w:val="TableColHeadingCenter"/>
              <w:spacing w:before="30" w:after="30"/>
            </w:pPr>
            <w:r w:rsidRPr="00A06F1E">
              <w:t>Percentage of total</w:t>
            </w:r>
          </w:p>
        </w:tc>
        <w:tc>
          <w:tcPr>
            <w:tcW w:w="1606" w:type="dxa"/>
            <w:vAlign w:val="bottom"/>
          </w:tcPr>
          <w:p w14:paraId="1B07DDAC" w14:textId="77777777" w:rsidR="00F14975" w:rsidRPr="00A06F1E" w:rsidRDefault="00F14975" w:rsidP="00056D2B">
            <w:pPr>
              <w:pStyle w:val="TableColHeadingCenter"/>
              <w:spacing w:before="30" w:after="30"/>
            </w:pPr>
            <w:r w:rsidRPr="00A06F1E">
              <w:t>State</w:t>
            </w:r>
          </w:p>
        </w:tc>
        <w:tc>
          <w:tcPr>
            <w:tcW w:w="1606" w:type="dxa"/>
            <w:vAlign w:val="bottom"/>
          </w:tcPr>
          <w:p w14:paraId="17CFC476" w14:textId="77777777" w:rsidR="00F14975" w:rsidRPr="00A06F1E" w:rsidRDefault="00F14975" w:rsidP="00056D2B">
            <w:pPr>
              <w:pStyle w:val="TableColHeadingCenter"/>
              <w:spacing w:before="30" w:after="30"/>
            </w:pPr>
            <w:r w:rsidRPr="00A06F1E">
              <w:t>Percentage of total</w:t>
            </w:r>
          </w:p>
        </w:tc>
      </w:tr>
      <w:tr w:rsidR="00F14975" w:rsidRPr="00A06F1E" w14:paraId="295E980D" w14:textId="77777777">
        <w:tc>
          <w:tcPr>
            <w:tcW w:w="2922" w:type="dxa"/>
          </w:tcPr>
          <w:p w14:paraId="4BEE83D6" w14:textId="77777777" w:rsidR="00F14975" w:rsidRPr="00A06F1E" w:rsidRDefault="00F14975" w:rsidP="00056D2B">
            <w:pPr>
              <w:pStyle w:val="TableText"/>
              <w:spacing w:before="30" w:after="30"/>
            </w:pPr>
            <w:r w:rsidRPr="00A06F1E">
              <w:t>All</w:t>
            </w:r>
          </w:p>
        </w:tc>
        <w:tc>
          <w:tcPr>
            <w:tcW w:w="1604" w:type="dxa"/>
          </w:tcPr>
          <w:p w14:paraId="18447E77" w14:textId="77777777" w:rsidR="00F14975" w:rsidRPr="00A06F1E" w:rsidRDefault="00F14975" w:rsidP="00056D2B">
            <w:pPr>
              <w:pStyle w:val="TableTextCentered"/>
              <w:spacing w:before="30" w:after="30"/>
            </w:pPr>
            <w:r w:rsidRPr="00A06F1E">
              <w:t>523</w:t>
            </w:r>
          </w:p>
        </w:tc>
        <w:tc>
          <w:tcPr>
            <w:tcW w:w="1606" w:type="dxa"/>
            <w:shd w:val="clear" w:color="auto" w:fill="D9E2F3" w:themeFill="accent5" w:themeFillTint="33"/>
          </w:tcPr>
          <w:p w14:paraId="16B446EB" w14:textId="77777777" w:rsidR="00F14975" w:rsidRPr="00A06F1E" w:rsidRDefault="00F14975" w:rsidP="00056D2B">
            <w:pPr>
              <w:pStyle w:val="TableText"/>
              <w:tabs>
                <w:tab w:val="decimal" w:pos="0"/>
              </w:tabs>
              <w:spacing w:before="30" w:after="30"/>
              <w:jc w:val="center"/>
            </w:pPr>
            <w:r w:rsidRPr="00A06F1E">
              <w:t>100.0%</w:t>
            </w:r>
          </w:p>
        </w:tc>
        <w:tc>
          <w:tcPr>
            <w:tcW w:w="1606" w:type="dxa"/>
          </w:tcPr>
          <w:p w14:paraId="1D1154E1" w14:textId="77777777" w:rsidR="00F14975" w:rsidRPr="00A06F1E" w:rsidRDefault="00F14975" w:rsidP="00056D2B">
            <w:pPr>
              <w:pStyle w:val="TableTextCentered"/>
              <w:spacing w:before="30" w:after="30"/>
            </w:pPr>
            <w:r w:rsidRPr="00A06F1E">
              <w:t>914,959</w:t>
            </w:r>
          </w:p>
        </w:tc>
        <w:tc>
          <w:tcPr>
            <w:tcW w:w="1606" w:type="dxa"/>
            <w:shd w:val="clear" w:color="auto" w:fill="D9E2F3" w:themeFill="accent5" w:themeFillTint="33"/>
          </w:tcPr>
          <w:p w14:paraId="3CF1F55C" w14:textId="77777777" w:rsidR="00F14975" w:rsidRPr="00A06F1E" w:rsidRDefault="00F14975" w:rsidP="00056D2B">
            <w:pPr>
              <w:pStyle w:val="TableText"/>
              <w:spacing w:before="30" w:after="30"/>
              <w:jc w:val="center"/>
            </w:pPr>
            <w:r w:rsidRPr="00A06F1E">
              <w:t>100.0%</w:t>
            </w:r>
          </w:p>
        </w:tc>
      </w:tr>
      <w:tr w:rsidR="00F14975" w:rsidRPr="00A06F1E" w14:paraId="7820409D" w14:textId="77777777">
        <w:tc>
          <w:tcPr>
            <w:tcW w:w="2922" w:type="dxa"/>
          </w:tcPr>
          <w:p w14:paraId="2CFBE518" w14:textId="77777777" w:rsidR="00F14975" w:rsidRPr="00A06F1E" w:rsidRDefault="00F14975" w:rsidP="00056D2B">
            <w:pPr>
              <w:pStyle w:val="TableText"/>
              <w:spacing w:before="30" w:after="30"/>
            </w:pPr>
            <w:r w:rsidRPr="00A06F1E">
              <w:t>African American</w:t>
            </w:r>
          </w:p>
        </w:tc>
        <w:tc>
          <w:tcPr>
            <w:tcW w:w="1604" w:type="dxa"/>
          </w:tcPr>
          <w:p w14:paraId="5690904D" w14:textId="77777777" w:rsidR="00F14975" w:rsidRPr="00A06F1E" w:rsidRDefault="00F14975" w:rsidP="00056D2B">
            <w:pPr>
              <w:pStyle w:val="TableTextCentered"/>
              <w:spacing w:before="30" w:after="30"/>
            </w:pPr>
            <w:r w:rsidRPr="00A06F1E">
              <w:t>3</w:t>
            </w:r>
          </w:p>
        </w:tc>
        <w:tc>
          <w:tcPr>
            <w:tcW w:w="1606" w:type="dxa"/>
            <w:shd w:val="clear" w:color="auto" w:fill="D9E2F3" w:themeFill="accent5" w:themeFillTint="33"/>
          </w:tcPr>
          <w:p w14:paraId="02FCB7DD" w14:textId="77777777" w:rsidR="00F14975" w:rsidRPr="00A06F1E" w:rsidRDefault="00F14975" w:rsidP="00056D2B">
            <w:pPr>
              <w:pStyle w:val="TableText"/>
              <w:tabs>
                <w:tab w:val="decimal" w:pos="0"/>
              </w:tabs>
              <w:spacing w:before="30" w:after="30"/>
              <w:jc w:val="center"/>
            </w:pPr>
            <w:r w:rsidRPr="00A06F1E">
              <w:t>0.6%</w:t>
            </w:r>
          </w:p>
        </w:tc>
        <w:tc>
          <w:tcPr>
            <w:tcW w:w="1606" w:type="dxa"/>
          </w:tcPr>
          <w:p w14:paraId="34263D40" w14:textId="77777777" w:rsidR="00F14975" w:rsidRPr="00A06F1E" w:rsidRDefault="00F14975" w:rsidP="00056D2B">
            <w:pPr>
              <w:pStyle w:val="TableTextCentered"/>
              <w:spacing w:before="30" w:after="30"/>
            </w:pPr>
            <w:r w:rsidRPr="00A06F1E">
              <w:t>88,104</w:t>
            </w:r>
          </w:p>
        </w:tc>
        <w:tc>
          <w:tcPr>
            <w:tcW w:w="1606" w:type="dxa"/>
            <w:shd w:val="clear" w:color="auto" w:fill="D9E2F3" w:themeFill="accent5" w:themeFillTint="33"/>
          </w:tcPr>
          <w:p w14:paraId="3A08A149" w14:textId="77777777" w:rsidR="00F14975" w:rsidRPr="00A06F1E" w:rsidRDefault="00F14975" w:rsidP="00056D2B">
            <w:pPr>
              <w:pStyle w:val="TableText"/>
              <w:spacing w:before="30" w:after="30"/>
              <w:jc w:val="center"/>
            </w:pPr>
            <w:r w:rsidRPr="00A06F1E">
              <w:t>9.6%</w:t>
            </w:r>
          </w:p>
        </w:tc>
      </w:tr>
      <w:tr w:rsidR="00F14975" w:rsidRPr="00A06F1E" w14:paraId="3E753254" w14:textId="77777777">
        <w:tc>
          <w:tcPr>
            <w:tcW w:w="2922" w:type="dxa"/>
          </w:tcPr>
          <w:p w14:paraId="085BB1BD" w14:textId="77777777" w:rsidR="00F14975" w:rsidRPr="00A06F1E" w:rsidRDefault="00F14975" w:rsidP="00056D2B">
            <w:pPr>
              <w:pStyle w:val="TableText"/>
              <w:spacing w:before="30" w:after="30"/>
            </w:pPr>
            <w:r w:rsidRPr="00A06F1E">
              <w:t>Asian</w:t>
            </w:r>
          </w:p>
        </w:tc>
        <w:tc>
          <w:tcPr>
            <w:tcW w:w="1604" w:type="dxa"/>
          </w:tcPr>
          <w:p w14:paraId="40BE45F3" w14:textId="77777777" w:rsidR="00F14975" w:rsidRPr="00A06F1E" w:rsidRDefault="00F14975" w:rsidP="00056D2B">
            <w:pPr>
              <w:pStyle w:val="TableTextCentered"/>
              <w:spacing w:before="30" w:after="30"/>
            </w:pPr>
            <w:r w:rsidRPr="00A06F1E">
              <w:t>8</w:t>
            </w:r>
          </w:p>
        </w:tc>
        <w:tc>
          <w:tcPr>
            <w:tcW w:w="1606" w:type="dxa"/>
            <w:shd w:val="clear" w:color="auto" w:fill="D9E2F3" w:themeFill="accent5" w:themeFillTint="33"/>
          </w:tcPr>
          <w:p w14:paraId="5E8E4E26" w14:textId="77777777" w:rsidR="00F14975" w:rsidRPr="00A06F1E" w:rsidRDefault="00F14975" w:rsidP="00056D2B">
            <w:pPr>
              <w:pStyle w:val="TableText"/>
              <w:tabs>
                <w:tab w:val="decimal" w:pos="0"/>
              </w:tabs>
              <w:spacing w:before="30" w:after="30"/>
              <w:jc w:val="center"/>
            </w:pPr>
            <w:r w:rsidRPr="00A06F1E">
              <w:t>1.5%</w:t>
            </w:r>
          </w:p>
        </w:tc>
        <w:tc>
          <w:tcPr>
            <w:tcW w:w="1606" w:type="dxa"/>
          </w:tcPr>
          <w:p w14:paraId="1458DD9A" w14:textId="77777777" w:rsidR="00F14975" w:rsidRPr="00A06F1E" w:rsidRDefault="00F14975" w:rsidP="00056D2B">
            <w:pPr>
              <w:pStyle w:val="TableTextCentered"/>
              <w:spacing w:before="30" w:after="30"/>
            </w:pPr>
            <w:r w:rsidRPr="00A06F1E">
              <w:t>67,847</w:t>
            </w:r>
          </w:p>
        </w:tc>
        <w:tc>
          <w:tcPr>
            <w:tcW w:w="1606" w:type="dxa"/>
            <w:shd w:val="clear" w:color="auto" w:fill="D9E2F3" w:themeFill="accent5" w:themeFillTint="33"/>
          </w:tcPr>
          <w:p w14:paraId="303A0F99" w14:textId="77777777" w:rsidR="00F14975" w:rsidRPr="00A06F1E" w:rsidRDefault="00F14975" w:rsidP="00056D2B">
            <w:pPr>
              <w:pStyle w:val="TableText"/>
              <w:spacing w:before="30" w:after="30"/>
              <w:jc w:val="center"/>
            </w:pPr>
            <w:r w:rsidRPr="00A06F1E">
              <w:t>7.4%</w:t>
            </w:r>
          </w:p>
        </w:tc>
      </w:tr>
      <w:tr w:rsidR="00F14975" w:rsidRPr="00A06F1E" w14:paraId="021B4BFC" w14:textId="77777777">
        <w:tc>
          <w:tcPr>
            <w:tcW w:w="2922" w:type="dxa"/>
          </w:tcPr>
          <w:p w14:paraId="3118A0E0" w14:textId="77777777" w:rsidR="00F14975" w:rsidRPr="00A06F1E" w:rsidRDefault="00F14975" w:rsidP="00056D2B">
            <w:pPr>
              <w:pStyle w:val="TableText"/>
              <w:spacing w:before="30" w:after="30"/>
            </w:pPr>
            <w:r w:rsidRPr="00A06F1E">
              <w:t>Hispanic</w:t>
            </w:r>
          </w:p>
        </w:tc>
        <w:tc>
          <w:tcPr>
            <w:tcW w:w="1604" w:type="dxa"/>
          </w:tcPr>
          <w:p w14:paraId="18E07B7B" w14:textId="77777777" w:rsidR="00F14975" w:rsidRPr="00A06F1E" w:rsidRDefault="00F14975" w:rsidP="00056D2B">
            <w:pPr>
              <w:pStyle w:val="TableTextCentered"/>
              <w:spacing w:before="30" w:after="30"/>
            </w:pPr>
            <w:r w:rsidRPr="00A06F1E">
              <w:t>49</w:t>
            </w:r>
          </w:p>
        </w:tc>
        <w:tc>
          <w:tcPr>
            <w:tcW w:w="1606" w:type="dxa"/>
            <w:shd w:val="clear" w:color="auto" w:fill="D9E2F3" w:themeFill="accent5" w:themeFillTint="33"/>
          </w:tcPr>
          <w:p w14:paraId="76EDE9CF" w14:textId="77777777" w:rsidR="00F14975" w:rsidRPr="00A06F1E" w:rsidRDefault="00F14975" w:rsidP="00056D2B">
            <w:pPr>
              <w:pStyle w:val="TableText"/>
              <w:tabs>
                <w:tab w:val="decimal" w:pos="0"/>
              </w:tabs>
              <w:spacing w:before="30" w:after="30"/>
              <w:jc w:val="center"/>
            </w:pPr>
            <w:r w:rsidRPr="00A06F1E">
              <w:t>9.4%</w:t>
            </w:r>
          </w:p>
        </w:tc>
        <w:tc>
          <w:tcPr>
            <w:tcW w:w="1606" w:type="dxa"/>
          </w:tcPr>
          <w:p w14:paraId="202F9905" w14:textId="77777777" w:rsidR="00F14975" w:rsidRPr="00A06F1E" w:rsidRDefault="00F14975" w:rsidP="00056D2B">
            <w:pPr>
              <w:pStyle w:val="TableTextCentered"/>
              <w:spacing w:before="30" w:after="30"/>
            </w:pPr>
            <w:r w:rsidRPr="00A06F1E">
              <w:t>229,930</w:t>
            </w:r>
          </w:p>
        </w:tc>
        <w:tc>
          <w:tcPr>
            <w:tcW w:w="1606" w:type="dxa"/>
            <w:shd w:val="clear" w:color="auto" w:fill="D9E2F3" w:themeFill="accent5" w:themeFillTint="33"/>
          </w:tcPr>
          <w:p w14:paraId="5D0E212B" w14:textId="77777777" w:rsidR="00F14975" w:rsidRPr="00A06F1E" w:rsidRDefault="00F14975" w:rsidP="00056D2B">
            <w:pPr>
              <w:pStyle w:val="TableText"/>
              <w:spacing w:before="30" w:after="30"/>
              <w:jc w:val="center"/>
            </w:pPr>
            <w:r w:rsidRPr="00A06F1E">
              <w:t>25.1%</w:t>
            </w:r>
          </w:p>
        </w:tc>
      </w:tr>
      <w:tr w:rsidR="00F14975" w:rsidRPr="00A06F1E" w14:paraId="494AC17B" w14:textId="77777777">
        <w:tc>
          <w:tcPr>
            <w:tcW w:w="2922" w:type="dxa"/>
          </w:tcPr>
          <w:p w14:paraId="6C3EC275" w14:textId="77777777" w:rsidR="00F14975" w:rsidRPr="00A06F1E" w:rsidRDefault="00F14975" w:rsidP="00056D2B">
            <w:pPr>
              <w:pStyle w:val="TableText"/>
              <w:spacing w:before="30" w:after="30"/>
            </w:pPr>
            <w:r w:rsidRPr="00A06F1E">
              <w:t>Native American</w:t>
            </w:r>
          </w:p>
        </w:tc>
        <w:tc>
          <w:tcPr>
            <w:tcW w:w="1604" w:type="dxa"/>
          </w:tcPr>
          <w:p w14:paraId="3EB70063" w14:textId="77777777" w:rsidR="00F14975" w:rsidRPr="00A06F1E" w:rsidRDefault="00F14975" w:rsidP="00056D2B">
            <w:pPr>
              <w:pStyle w:val="TableTextCentered"/>
              <w:spacing w:before="30" w:after="30"/>
            </w:pPr>
            <w:r w:rsidRPr="00A06F1E">
              <w:t>1</w:t>
            </w:r>
          </w:p>
        </w:tc>
        <w:tc>
          <w:tcPr>
            <w:tcW w:w="1606" w:type="dxa"/>
            <w:shd w:val="clear" w:color="auto" w:fill="D9E2F3" w:themeFill="accent5" w:themeFillTint="33"/>
          </w:tcPr>
          <w:p w14:paraId="0D96A684" w14:textId="77777777" w:rsidR="00F14975" w:rsidRPr="00A06F1E" w:rsidRDefault="00F14975" w:rsidP="00056D2B">
            <w:pPr>
              <w:pStyle w:val="TableText"/>
              <w:tabs>
                <w:tab w:val="decimal" w:pos="0"/>
              </w:tabs>
              <w:spacing w:before="30" w:after="30"/>
              <w:jc w:val="center"/>
            </w:pPr>
            <w:r w:rsidRPr="00A06F1E">
              <w:t>0.2%</w:t>
            </w:r>
          </w:p>
        </w:tc>
        <w:tc>
          <w:tcPr>
            <w:tcW w:w="1606" w:type="dxa"/>
          </w:tcPr>
          <w:p w14:paraId="677ED38B" w14:textId="77777777" w:rsidR="00F14975" w:rsidRPr="00A06F1E" w:rsidRDefault="00F14975" w:rsidP="00056D2B">
            <w:pPr>
              <w:pStyle w:val="TableTextCentered"/>
              <w:spacing w:before="30" w:after="30"/>
            </w:pPr>
            <w:r w:rsidRPr="00A06F1E">
              <w:t>2,178</w:t>
            </w:r>
          </w:p>
        </w:tc>
        <w:tc>
          <w:tcPr>
            <w:tcW w:w="1606" w:type="dxa"/>
            <w:shd w:val="clear" w:color="auto" w:fill="D9E2F3" w:themeFill="accent5" w:themeFillTint="33"/>
          </w:tcPr>
          <w:p w14:paraId="0786612D" w14:textId="77777777" w:rsidR="00F14975" w:rsidRPr="00A06F1E" w:rsidRDefault="00F14975" w:rsidP="00056D2B">
            <w:pPr>
              <w:pStyle w:val="TableText"/>
              <w:spacing w:before="30" w:after="30"/>
              <w:jc w:val="center"/>
            </w:pPr>
            <w:r w:rsidRPr="00A06F1E">
              <w:t>0.2%</w:t>
            </w:r>
          </w:p>
        </w:tc>
      </w:tr>
      <w:tr w:rsidR="00F14975" w:rsidRPr="00A06F1E" w14:paraId="30F77150" w14:textId="77777777">
        <w:tc>
          <w:tcPr>
            <w:tcW w:w="2922" w:type="dxa"/>
          </w:tcPr>
          <w:p w14:paraId="53ED661F" w14:textId="77777777" w:rsidR="00F14975" w:rsidRPr="00A06F1E" w:rsidRDefault="00F14975" w:rsidP="00056D2B">
            <w:pPr>
              <w:pStyle w:val="TableText"/>
              <w:spacing w:before="30" w:after="30"/>
            </w:pPr>
            <w:r w:rsidRPr="00A06F1E">
              <w:t>White</w:t>
            </w:r>
          </w:p>
        </w:tc>
        <w:tc>
          <w:tcPr>
            <w:tcW w:w="1604" w:type="dxa"/>
          </w:tcPr>
          <w:p w14:paraId="55739651" w14:textId="77777777" w:rsidR="00F14975" w:rsidRPr="00A06F1E" w:rsidRDefault="00F14975" w:rsidP="00056D2B">
            <w:pPr>
              <w:pStyle w:val="TableTextCentered"/>
              <w:spacing w:before="30" w:after="30"/>
            </w:pPr>
            <w:r w:rsidRPr="00A06F1E">
              <w:t>434</w:t>
            </w:r>
          </w:p>
        </w:tc>
        <w:tc>
          <w:tcPr>
            <w:tcW w:w="1606" w:type="dxa"/>
            <w:shd w:val="clear" w:color="auto" w:fill="D9E2F3" w:themeFill="accent5" w:themeFillTint="33"/>
          </w:tcPr>
          <w:p w14:paraId="4E5A8036" w14:textId="77777777" w:rsidR="00F14975" w:rsidRPr="00A06F1E" w:rsidRDefault="00F14975" w:rsidP="00056D2B">
            <w:pPr>
              <w:pStyle w:val="TableText"/>
              <w:tabs>
                <w:tab w:val="decimal" w:pos="0"/>
              </w:tabs>
              <w:spacing w:before="30" w:after="30"/>
              <w:jc w:val="center"/>
            </w:pPr>
            <w:r w:rsidRPr="00A06F1E">
              <w:t>83.0%</w:t>
            </w:r>
          </w:p>
        </w:tc>
        <w:tc>
          <w:tcPr>
            <w:tcW w:w="1606" w:type="dxa"/>
          </w:tcPr>
          <w:p w14:paraId="00F568D8" w14:textId="77777777" w:rsidR="00F14975" w:rsidRPr="00A06F1E" w:rsidRDefault="00F14975" w:rsidP="00056D2B">
            <w:pPr>
              <w:pStyle w:val="TableTextCentered"/>
              <w:spacing w:before="30" w:after="30"/>
            </w:pPr>
            <w:r w:rsidRPr="00A06F1E">
              <w:t>484,692</w:t>
            </w:r>
          </w:p>
        </w:tc>
        <w:tc>
          <w:tcPr>
            <w:tcW w:w="1606" w:type="dxa"/>
            <w:shd w:val="clear" w:color="auto" w:fill="D9E2F3" w:themeFill="accent5" w:themeFillTint="33"/>
          </w:tcPr>
          <w:p w14:paraId="61C3D60C" w14:textId="77777777" w:rsidR="00F14975" w:rsidRPr="00A06F1E" w:rsidRDefault="00F14975" w:rsidP="00056D2B">
            <w:pPr>
              <w:pStyle w:val="TableText"/>
              <w:spacing w:before="30" w:after="30"/>
              <w:jc w:val="center"/>
            </w:pPr>
            <w:r w:rsidRPr="00A06F1E">
              <w:t>53.0%</w:t>
            </w:r>
          </w:p>
        </w:tc>
      </w:tr>
      <w:tr w:rsidR="00F14975" w:rsidRPr="00A06F1E" w14:paraId="103198F2" w14:textId="77777777">
        <w:tc>
          <w:tcPr>
            <w:tcW w:w="2922" w:type="dxa"/>
          </w:tcPr>
          <w:p w14:paraId="1FC2DF09" w14:textId="77777777" w:rsidR="00F14975" w:rsidRPr="00A06F1E" w:rsidRDefault="00F14975" w:rsidP="00056D2B">
            <w:pPr>
              <w:pStyle w:val="TableText"/>
              <w:spacing w:before="30" w:after="30"/>
            </w:pPr>
            <w:r w:rsidRPr="00A06F1E">
              <w:t>Native Hawaiian</w:t>
            </w:r>
          </w:p>
        </w:tc>
        <w:tc>
          <w:tcPr>
            <w:tcW w:w="1604" w:type="dxa"/>
          </w:tcPr>
          <w:p w14:paraId="11F30F00" w14:textId="77777777" w:rsidR="00F14975" w:rsidRPr="00A06F1E" w:rsidRDefault="00F14975" w:rsidP="00056D2B">
            <w:pPr>
              <w:pStyle w:val="TableTextCentered"/>
              <w:spacing w:before="30" w:after="30"/>
            </w:pPr>
            <w:r w:rsidRPr="00A06F1E">
              <w:t>1</w:t>
            </w:r>
          </w:p>
        </w:tc>
        <w:tc>
          <w:tcPr>
            <w:tcW w:w="1606" w:type="dxa"/>
            <w:shd w:val="clear" w:color="auto" w:fill="D9E2F3" w:themeFill="accent5" w:themeFillTint="33"/>
          </w:tcPr>
          <w:p w14:paraId="3493255A" w14:textId="77777777" w:rsidR="00F14975" w:rsidRPr="00A06F1E" w:rsidRDefault="00F14975" w:rsidP="00056D2B">
            <w:pPr>
              <w:pStyle w:val="TableText"/>
              <w:tabs>
                <w:tab w:val="decimal" w:pos="0"/>
              </w:tabs>
              <w:spacing w:before="30" w:after="30"/>
              <w:jc w:val="center"/>
            </w:pPr>
            <w:r w:rsidRPr="00A06F1E">
              <w:t>0.2%</w:t>
            </w:r>
          </w:p>
        </w:tc>
        <w:tc>
          <w:tcPr>
            <w:tcW w:w="1606" w:type="dxa"/>
          </w:tcPr>
          <w:p w14:paraId="0C0CC9EF" w14:textId="77777777" w:rsidR="00F14975" w:rsidRPr="00A06F1E" w:rsidRDefault="00F14975" w:rsidP="00056D2B">
            <w:pPr>
              <w:pStyle w:val="TableTextCentered"/>
              <w:spacing w:before="30" w:after="30"/>
            </w:pPr>
            <w:r w:rsidRPr="00A06F1E">
              <w:t>790</w:t>
            </w:r>
          </w:p>
        </w:tc>
        <w:tc>
          <w:tcPr>
            <w:tcW w:w="1606" w:type="dxa"/>
            <w:shd w:val="clear" w:color="auto" w:fill="D9E2F3" w:themeFill="accent5" w:themeFillTint="33"/>
          </w:tcPr>
          <w:p w14:paraId="61ABA04D" w14:textId="77777777" w:rsidR="00F14975" w:rsidRPr="00A06F1E" w:rsidRDefault="00F14975" w:rsidP="00056D2B">
            <w:pPr>
              <w:pStyle w:val="TableText"/>
              <w:spacing w:before="30" w:after="30"/>
              <w:jc w:val="center"/>
            </w:pPr>
            <w:r w:rsidRPr="00A06F1E">
              <w:t>0.1%</w:t>
            </w:r>
          </w:p>
        </w:tc>
      </w:tr>
      <w:tr w:rsidR="00F14975" w:rsidRPr="00A06F1E" w14:paraId="283A670C" w14:textId="77777777">
        <w:tc>
          <w:tcPr>
            <w:tcW w:w="2922" w:type="dxa"/>
          </w:tcPr>
          <w:p w14:paraId="59C52FC3" w14:textId="21E2F8BD" w:rsidR="00F14975" w:rsidRPr="00A06F1E" w:rsidRDefault="00F14975" w:rsidP="00056D2B">
            <w:pPr>
              <w:pStyle w:val="TableText"/>
              <w:spacing w:before="30" w:after="30"/>
            </w:pPr>
            <w:r w:rsidRPr="00A06F1E">
              <w:t>Multi</w:t>
            </w:r>
            <w:r w:rsidR="00245FB4" w:rsidRPr="00A06F1E">
              <w:t>-R</w:t>
            </w:r>
            <w:r w:rsidRPr="00A06F1E">
              <w:t xml:space="preserve">ace, </w:t>
            </w:r>
            <w:r w:rsidR="00245FB4" w:rsidRPr="00A06F1E">
              <w:t>n</w:t>
            </w:r>
            <w:r w:rsidRPr="00A06F1E">
              <w:t xml:space="preserve">on-Hispanic </w:t>
            </w:r>
          </w:p>
        </w:tc>
        <w:tc>
          <w:tcPr>
            <w:tcW w:w="1604" w:type="dxa"/>
          </w:tcPr>
          <w:p w14:paraId="7CC6405A" w14:textId="77777777" w:rsidR="00F14975" w:rsidRPr="00A06F1E" w:rsidRDefault="00F14975" w:rsidP="00056D2B">
            <w:pPr>
              <w:pStyle w:val="TableTextCentered"/>
              <w:spacing w:before="30" w:after="30"/>
            </w:pPr>
            <w:r w:rsidRPr="00A06F1E">
              <w:t>27</w:t>
            </w:r>
          </w:p>
        </w:tc>
        <w:tc>
          <w:tcPr>
            <w:tcW w:w="1606" w:type="dxa"/>
            <w:shd w:val="clear" w:color="auto" w:fill="D9E2F3" w:themeFill="accent5" w:themeFillTint="33"/>
          </w:tcPr>
          <w:p w14:paraId="5C9FA7D7" w14:textId="77777777" w:rsidR="00F14975" w:rsidRPr="00A06F1E" w:rsidRDefault="00F14975" w:rsidP="00056D2B">
            <w:pPr>
              <w:pStyle w:val="TableText"/>
              <w:tabs>
                <w:tab w:val="decimal" w:pos="0"/>
              </w:tabs>
              <w:spacing w:before="30" w:after="30"/>
              <w:jc w:val="center"/>
            </w:pPr>
            <w:r w:rsidRPr="00A06F1E">
              <w:t>5.2%</w:t>
            </w:r>
          </w:p>
        </w:tc>
        <w:tc>
          <w:tcPr>
            <w:tcW w:w="1606" w:type="dxa"/>
          </w:tcPr>
          <w:p w14:paraId="73F6D9B7" w14:textId="77777777" w:rsidR="00F14975" w:rsidRPr="00A06F1E" w:rsidRDefault="00F14975" w:rsidP="00056D2B">
            <w:pPr>
              <w:pStyle w:val="TableTextCentered"/>
              <w:spacing w:before="30" w:after="30"/>
            </w:pPr>
            <w:r w:rsidRPr="00A06F1E">
              <w:t>41,418</w:t>
            </w:r>
          </w:p>
        </w:tc>
        <w:tc>
          <w:tcPr>
            <w:tcW w:w="1606" w:type="dxa"/>
            <w:shd w:val="clear" w:color="auto" w:fill="D9E2F3" w:themeFill="accent5" w:themeFillTint="33"/>
          </w:tcPr>
          <w:p w14:paraId="600B2FEC" w14:textId="77777777" w:rsidR="00F14975" w:rsidRPr="00A06F1E" w:rsidRDefault="00F14975" w:rsidP="00056D2B">
            <w:pPr>
              <w:pStyle w:val="TableText"/>
              <w:spacing w:before="30" w:after="30"/>
              <w:jc w:val="center"/>
            </w:pPr>
            <w:r w:rsidRPr="00A06F1E">
              <w:t>4.5%</w:t>
            </w:r>
          </w:p>
        </w:tc>
      </w:tr>
    </w:tbl>
    <w:p w14:paraId="639009EE" w14:textId="77777777" w:rsidR="00F14975" w:rsidRPr="00A06F1E" w:rsidRDefault="00F14975" w:rsidP="00F14975">
      <w:pPr>
        <w:pStyle w:val="TableNote"/>
      </w:pPr>
      <w:r w:rsidRPr="00A06F1E">
        <w:rPr>
          <w:i/>
          <w:iCs/>
        </w:rPr>
        <w:t>Note</w:t>
      </w:r>
      <w:r w:rsidRPr="00A06F1E">
        <w:t>. As of October 1, 2023.</w:t>
      </w:r>
    </w:p>
    <w:p w14:paraId="27D9CFBF" w14:textId="3A20FD94" w:rsidR="00F14975" w:rsidRPr="00A06F1E" w:rsidRDefault="00F14975" w:rsidP="00F14975">
      <w:pPr>
        <w:pStyle w:val="TableTitle0"/>
      </w:pPr>
      <w:bookmarkStart w:id="225" w:name="_Toc170701933"/>
      <w:r w:rsidRPr="00A06F1E">
        <w:t>Table D</w:t>
      </w:r>
      <w:r w:rsidR="007D5F1C" w:rsidRPr="00A06F1E">
        <w:t>1</w:t>
      </w:r>
      <w:r w:rsidR="007D7C7C">
        <w:t>b</w:t>
      </w:r>
      <w:r w:rsidRPr="00A06F1E">
        <w:t xml:space="preserve">. </w:t>
      </w:r>
      <w:proofErr w:type="spellStart"/>
      <w:r w:rsidRPr="00A06F1E">
        <w:t>Petersham</w:t>
      </w:r>
      <w:proofErr w:type="spellEnd"/>
      <w:r w:rsidRPr="00A06F1E">
        <w:t xml:space="preserve"> Public Schools: Student Enrollment by Race/Ethnicity, 2023-2024</w:t>
      </w:r>
      <w:bookmarkEnd w:id="225"/>
    </w:p>
    <w:tbl>
      <w:tblPr>
        <w:tblStyle w:val="MSVTable1"/>
        <w:tblW w:w="5000" w:type="pct"/>
        <w:tblLook w:val="06A0" w:firstRow="1" w:lastRow="0" w:firstColumn="1" w:lastColumn="0" w:noHBand="1" w:noVBand="1"/>
      </w:tblPr>
      <w:tblGrid>
        <w:gridCol w:w="2922"/>
        <w:gridCol w:w="1604"/>
        <w:gridCol w:w="1606"/>
        <w:gridCol w:w="1606"/>
        <w:gridCol w:w="1606"/>
      </w:tblGrid>
      <w:tr w:rsidR="00F14975" w:rsidRPr="00A06F1E" w14:paraId="4D9FCE0C" w14:textId="77777777">
        <w:trPr>
          <w:cnfStyle w:val="100000000000" w:firstRow="1" w:lastRow="0" w:firstColumn="0" w:lastColumn="0" w:oddVBand="0" w:evenVBand="0" w:oddHBand="0" w:evenHBand="0" w:firstRowFirstColumn="0" w:firstRowLastColumn="0" w:lastRowFirstColumn="0" w:lastRowLastColumn="0"/>
        </w:trPr>
        <w:tc>
          <w:tcPr>
            <w:tcW w:w="2922" w:type="dxa"/>
            <w:vAlign w:val="bottom"/>
          </w:tcPr>
          <w:p w14:paraId="6A039585" w14:textId="77777777" w:rsidR="00F14975" w:rsidRPr="00A06F1E" w:rsidRDefault="00F14975" w:rsidP="00056D2B">
            <w:pPr>
              <w:pStyle w:val="TableColHeadingLeft"/>
              <w:spacing w:before="30" w:after="30"/>
              <w:rPr>
                <w:rFonts w:eastAsia="Calibri" w:cs="Calibri"/>
              </w:rPr>
            </w:pPr>
            <w:r w:rsidRPr="00A06F1E">
              <w:t>Group</w:t>
            </w:r>
          </w:p>
        </w:tc>
        <w:tc>
          <w:tcPr>
            <w:tcW w:w="1604" w:type="dxa"/>
            <w:vAlign w:val="bottom"/>
          </w:tcPr>
          <w:p w14:paraId="268C05EE" w14:textId="77777777" w:rsidR="00F14975" w:rsidRPr="00A06F1E" w:rsidRDefault="00F14975" w:rsidP="00056D2B">
            <w:pPr>
              <w:pStyle w:val="TableColHeadingCenter"/>
              <w:spacing w:before="30" w:after="30"/>
            </w:pPr>
            <w:r w:rsidRPr="00A06F1E">
              <w:t>District</w:t>
            </w:r>
          </w:p>
        </w:tc>
        <w:tc>
          <w:tcPr>
            <w:tcW w:w="1606" w:type="dxa"/>
            <w:vAlign w:val="bottom"/>
          </w:tcPr>
          <w:p w14:paraId="64CC438A" w14:textId="77777777" w:rsidR="00F14975" w:rsidRPr="00A06F1E" w:rsidRDefault="00F14975" w:rsidP="00056D2B">
            <w:pPr>
              <w:pStyle w:val="TableColHeadingCenter"/>
              <w:spacing w:before="30" w:after="30"/>
            </w:pPr>
            <w:r w:rsidRPr="00A06F1E">
              <w:t>Percentage of total</w:t>
            </w:r>
          </w:p>
        </w:tc>
        <w:tc>
          <w:tcPr>
            <w:tcW w:w="1606" w:type="dxa"/>
            <w:vAlign w:val="bottom"/>
          </w:tcPr>
          <w:p w14:paraId="0B47FB4C" w14:textId="77777777" w:rsidR="00F14975" w:rsidRPr="00A06F1E" w:rsidRDefault="00F14975" w:rsidP="00056D2B">
            <w:pPr>
              <w:pStyle w:val="TableColHeadingCenter"/>
              <w:spacing w:before="30" w:after="30"/>
            </w:pPr>
            <w:r w:rsidRPr="00A06F1E">
              <w:t>State</w:t>
            </w:r>
          </w:p>
        </w:tc>
        <w:tc>
          <w:tcPr>
            <w:tcW w:w="1606" w:type="dxa"/>
            <w:vAlign w:val="bottom"/>
          </w:tcPr>
          <w:p w14:paraId="6380573E" w14:textId="77777777" w:rsidR="00F14975" w:rsidRPr="00A06F1E" w:rsidRDefault="00F14975" w:rsidP="00056D2B">
            <w:pPr>
              <w:pStyle w:val="TableColHeadingCenter"/>
              <w:spacing w:before="30" w:after="30"/>
            </w:pPr>
            <w:r w:rsidRPr="00A06F1E">
              <w:t>Percentage of total</w:t>
            </w:r>
          </w:p>
        </w:tc>
      </w:tr>
      <w:tr w:rsidR="00F14975" w:rsidRPr="00A06F1E" w14:paraId="4F1C669A" w14:textId="77777777">
        <w:tc>
          <w:tcPr>
            <w:tcW w:w="2922" w:type="dxa"/>
          </w:tcPr>
          <w:p w14:paraId="06B08B1D" w14:textId="77777777" w:rsidR="00F14975" w:rsidRPr="00A06F1E" w:rsidRDefault="00F14975" w:rsidP="00056D2B">
            <w:pPr>
              <w:pStyle w:val="TableText"/>
              <w:spacing w:before="30" w:after="30"/>
            </w:pPr>
            <w:r w:rsidRPr="00A06F1E">
              <w:t>All</w:t>
            </w:r>
          </w:p>
        </w:tc>
        <w:tc>
          <w:tcPr>
            <w:tcW w:w="1604" w:type="dxa"/>
          </w:tcPr>
          <w:p w14:paraId="3DD58877" w14:textId="77777777" w:rsidR="00F14975" w:rsidRPr="00A06F1E" w:rsidRDefault="00F14975" w:rsidP="00056D2B">
            <w:pPr>
              <w:pStyle w:val="TableTextCentered"/>
              <w:spacing w:before="30" w:after="30"/>
            </w:pPr>
            <w:r w:rsidRPr="00A06F1E">
              <w:t>133</w:t>
            </w:r>
          </w:p>
        </w:tc>
        <w:tc>
          <w:tcPr>
            <w:tcW w:w="1606" w:type="dxa"/>
            <w:shd w:val="clear" w:color="auto" w:fill="D9E2F3" w:themeFill="accent5" w:themeFillTint="33"/>
          </w:tcPr>
          <w:p w14:paraId="43E10829" w14:textId="77777777" w:rsidR="00F14975" w:rsidRPr="00A06F1E" w:rsidRDefault="00F14975" w:rsidP="00056D2B">
            <w:pPr>
              <w:pStyle w:val="TableText"/>
              <w:tabs>
                <w:tab w:val="decimal" w:pos="0"/>
              </w:tabs>
              <w:spacing w:before="30" w:after="30"/>
              <w:jc w:val="center"/>
            </w:pPr>
            <w:r w:rsidRPr="00A06F1E">
              <w:t>100.0%</w:t>
            </w:r>
          </w:p>
        </w:tc>
        <w:tc>
          <w:tcPr>
            <w:tcW w:w="1606" w:type="dxa"/>
          </w:tcPr>
          <w:p w14:paraId="2B02D8F3" w14:textId="77777777" w:rsidR="00F14975" w:rsidRPr="00A06F1E" w:rsidRDefault="00F14975" w:rsidP="00056D2B">
            <w:pPr>
              <w:pStyle w:val="TableTextCentered"/>
              <w:spacing w:before="30" w:after="30"/>
            </w:pPr>
            <w:r w:rsidRPr="00A06F1E">
              <w:t>914,959</w:t>
            </w:r>
          </w:p>
        </w:tc>
        <w:tc>
          <w:tcPr>
            <w:tcW w:w="1606" w:type="dxa"/>
            <w:shd w:val="clear" w:color="auto" w:fill="D9E2F3" w:themeFill="accent5" w:themeFillTint="33"/>
          </w:tcPr>
          <w:p w14:paraId="2749A3C4" w14:textId="77777777" w:rsidR="00F14975" w:rsidRPr="00A06F1E" w:rsidRDefault="00F14975" w:rsidP="00056D2B">
            <w:pPr>
              <w:pStyle w:val="TableText"/>
              <w:spacing w:before="30" w:after="30"/>
              <w:jc w:val="center"/>
            </w:pPr>
            <w:r w:rsidRPr="00A06F1E">
              <w:t>100.0%</w:t>
            </w:r>
          </w:p>
        </w:tc>
      </w:tr>
      <w:tr w:rsidR="00F14975" w:rsidRPr="00A06F1E" w14:paraId="42B029CA" w14:textId="77777777">
        <w:tc>
          <w:tcPr>
            <w:tcW w:w="2922" w:type="dxa"/>
          </w:tcPr>
          <w:p w14:paraId="0F98F7F7" w14:textId="77777777" w:rsidR="00F14975" w:rsidRPr="00A06F1E" w:rsidRDefault="00F14975" w:rsidP="00056D2B">
            <w:pPr>
              <w:pStyle w:val="TableText"/>
              <w:spacing w:before="30" w:after="30"/>
            </w:pPr>
            <w:r w:rsidRPr="00A06F1E">
              <w:t>African American</w:t>
            </w:r>
          </w:p>
        </w:tc>
        <w:tc>
          <w:tcPr>
            <w:tcW w:w="1604" w:type="dxa"/>
          </w:tcPr>
          <w:p w14:paraId="7A6D8649" w14:textId="77777777" w:rsidR="00F14975" w:rsidRPr="00A06F1E" w:rsidRDefault="00F14975" w:rsidP="00056D2B">
            <w:pPr>
              <w:pStyle w:val="TableTextCentered"/>
              <w:spacing w:before="30" w:after="30"/>
            </w:pPr>
            <w:r w:rsidRPr="00A06F1E">
              <w:t>3</w:t>
            </w:r>
          </w:p>
        </w:tc>
        <w:tc>
          <w:tcPr>
            <w:tcW w:w="1606" w:type="dxa"/>
            <w:shd w:val="clear" w:color="auto" w:fill="D9E2F3" w:themeFill="accent5" w:themeFillTint="33"/>
          </w:tcPr>
          <w:p w14:paraId="56C58A44" w14:textId="77777777" w:rsidR="00F14975" w:rsidRPr="00A06F1E" w:rsidRDefault="00F14975" w:rsidP="00056D2B">
            <w:pPr>
              <w:pStyle w:val="TableText"/>
              <w:tabs>
                <w:tab w:val="decimal" w:pos="0"/>
              </w:tabs>
              <w:spacing w:before="30" w:after="30"/>
              <w:jc w:val="center"/>
            </w:pPr>
            <w:r w:rsidRPr="00A06F1E">
              <w:t>2.3%</w:t>
            </w:r>
          </w:p>
        </w:tc>
        <w:tc>
          <w:tcPr>
            <w:tcW w:w="1606" w:type="dxa"/>
          </w:tcPr>
          <w:p w14:paraId="73563455" w14:textId="77777777" w:rsidR="00F14975" w:rsidRPr="00A06F1E" w:rsidRDefault="00F14975" w:rsidP="00056D2B">
            <w:pPr>
              <w:pStyle w:val="TableTextCentered"/>
              <w:spacing w:before="30" w:after="30"/>
            </w:pPr>
            <w:r w:rsidRPr="00A06F1E">
              <w:t>88,104</w:t>
            </w:r>
          </w:p>
        </w:tc>
        <w:tc>
          <w:tcPr>
            <w:tcW w:w="1606" w:type="dxa"/>
            <w:shd w:val="clear" w:color="auto" w:fill="D9E2F3" w:themeFill="accent5" w:themeFillTint="33"/>
          </w:tcPr>
          <w:p w14:paraId="4D2294B8" w14:textId="77777777" w:rsidR="00F14975" w:rsidRPr="00A06F1E" w:rsidRDefault="00F14975" w:rsidP="00056D2B">
            <w:pPr>
              <w:pStyle w:val="TableText"/>
              <w:spacing w:before="30" w:after="30"/>
              <w:jc w:val="center"/>
            </w:pPr>
            <w:r w:rsidRPr="00A06F1E">
              <w:t>9.6%</w:t>
            </w:r>
          </w:p>
        </w:tc>
      </w:tr>
      <w:tr w:rsidR="00F14975" w:rsidRPr="00A06F1E" w14:paraId="5D583B54" w14:textId="77777777">
        <w:tc>
          <w:tcPr>
            <w:tcW w:w="2922" w:type="dxa"/>
          </w:tcPr>
          <w:p w14:paraId="7B400724" w14:textId="77777777" w:rsidR="00F14975" w:rsidRPr="00A06F1E" w:rsidRDefault="00F14975" w:rsidP="00056D2B">
            <w:pPr>
              <w:pStyle w:val="TableText"/>
              <w:spacing w:before="30" w:after="30"/>
            </w:pPr>
            <w:r w:rsidRPr="00A06F1E">
              <w:t>Asian</w:t>
            </w:r>
          </w:p>
        </w:tc>
        <w:tc>
          <w:tcPr>
            <w:tcW w:w="1604" w:type="dxa"/>
          </w:tcPr>
          <w:p w14:paraId="625EEB55" w14:textId="77777777" w:rsidR="00F14975" w:rsidRPr="00A06F1E" w:rsidRDefault="00F14975" w:rsidP="00056D2B">
            <w:pPr>
              <w:pStyle w:val="TableTextCentered"/>
              <w:spacing w:before="30" w:after="30"/>
            </w:pPr>
            <w:r w:rsidRPr="00A06F1E">
              <w:t>0</w:t>
            </w:r>
          </w:p>
        </w:tc>
        <w:tc>
          <w:tcPr>
            <w:tcW w:w="1606" w:type="dxa"/>
            <w:shd w:val="clear" w:color="auto" w:fill="D9E2F3" w:themeFill="accent5" w:themeFillTint="33"/>
          </w:tcPr>
          <w:p w14:paraId="6E771470" w14:textId="77777777" w:rsidR="00F14975" w:rsidRPr="00A06F1E" w:rsidRDefault="00F14975" w:rsidP="00056D2B">
            <w:pPr>
              <w:pStyle w:val="TableText"/>
              <w:tabs>
                <w:tab w:val="decimal" w:pos="0"/>
              </w:tabs>
              <w:spacing w:before="30" w:after="30"/>
              <w:jc w:val="center"/>
            </w:pPr>
            <w:r w:rsidRPr="00A06F1E">
              <w:t>0.0%</w:t>
            </w:r>
          </w:p>
        </w:tc>
        <w:tc>
          <w:tcPr>
            <w:tcW w:w="1606" w:type="dxa"/>
          </w:tcPr>
          <w:p w14:paraId="6957F07D" w14:textId="77777777" w:rsidR="00F14975" w:rsidRPr="00A06F1E" w:rsidRDefault="00F14975" w:rsidP="00056D2B">
            <w:pPr>
              <w:pStyle w:val="TableTextCentered"/>
              <w:spacing w:before="30" w:after="30"/>
            </w:pPr>
            <w:r w:rsidRPr="00A06F1E">
              <w:t>67,847</w:t>
            </w:r>
          </w:p>
        </w:tc>
        <w:tc>
          <w:tcPr>
            <w:tcW w:w="1606" w:type="dxa"/>
            <w:shd w:val="clear" w:color="auto" w:fill="D9E2F3" w:themeFill="accent5" w:themeFillTint="33"/>
          </w:tcPr>
          <w:p w14:paraId="6DB1E983" w14:textId="77777777" w:rsidR="00F14975" w:rsidRPr="00A06F1E" w:rsidRDefault="00F14975" w:rsidP="00056D2B">
            <w:pPr>
              <w:pStyle w:val="TableText"/>
              <w:spacing w:before="30" w:after="30"/>
              <w:jc w:val="center"/>
            </w:pPr>
            <w:r w:rsidRPr="00A06F1E">
              <w:t>7.4%</w:t>
            </w:r>
          </w:p>
        </w:tc>
      </w:tr>
      <w:tr w:rsidR="00F14975" w:rsidRPr="00A06F1E" w14:paraId="0FD39041" w14:textId="77777777">
        <w:tc>
          <w:tcPr>
            <w:tcW w:w="2922" w:type="dxa"/>
          </w:tcPr>
          <w:p w14:paraId="1CE8DF5B" w14:textId="77777777" w:rsidR="00F14975" w:rsidRPr="00A06F1E" w:rsidRDefault="00F14975" w:rsidP="00056D2B">
            <w:pPr>
              <w:pStyle w:val="TableText"/>
              <w:spacing w:before="30" w:after="30"/>
            </w:pPr>
            <w:r w:rsidRPr="00A06F1E">
              <w:t>Hispanic</w:t>
            </w:r>
          </w:p>
        </w:tc>
        <w:tc>
          <w:tcPr>
            <w:tcW w:w="1604" w:type="dxa"/>
          </w:tcPr>
          <w:p w14:paraId="2CCD77BB" w14:textId="77777777" w:rsidR="00F14975" w:rsidRPr="00A06F1E" w:rsidRDefault="00F14975" w:rsidP="00056D2B">
            <w:pPr>
              <w:pStyle w:val="TableTextCentered"/>
              <w:spacing w:before="30" w:after="30"/>
            </w:pPr>
            <w:r w:rsidRPr="00A06F1E">
              <w:t>10</w:t>
            </w:r>
          </w:p>
        </w:tc>
        <w:tc>
          <w:tcPr>
            <w:tcW w:w="1606" w:type="dxa"/>
            <w:shd w:val="clear" w:color="auto" w:fill="D9E2F3" w:themeFill="accent5" w:themeFillTint="33"/>
          </w:tcPr>
          <w:p w14:paraId="61771A52" w14:textId="77777777" w:rsidR="00F14975" w:rsidRPr="00A06F1E" w:rsidRDefault="00F14975" w:rsidP="00056D2B">
            <w:pPr>
              <w:pStyle w:val="TableText"/>
              <w:tabs>
                <w:tab w:val="decimal" w:pos="0"/>
              </w:tabs>
              <w:spacing w:before="30" w:after="30"/>
              <w:jc w:val="center"/>
            </w:pPr>
            <w:r w:rsidRPr="00A06F1E">
              <w:t>7.5%</w:t>
            </w:r>
          </w:p>
        </w:tc>
        <w:tc>
          <w:tcPr>
            <w:tcW w:w="1606" w:type="dxa"/>
          </w:tcPr>
          <w:p w14:paraId="3139B061" w14:textId="77777777" w:rsidR="00F14975" w:rsidRPr="00A06F1E" w:rsidRDefault="00F14975" w:rsidP="00056D2B">
            <w:pPr>
              <w:pStyle w:val="TableTextCentered"/>
              <w:spacing w:before="30" w:after="30"/>
            </w:pPr>
            <w:r w:rsidRPr="00A06F1E">
              <w:t>229,930</w:t>
            </w:r>
          </w:p>
        </w:tc>
        <w:tc>
          <w:tcPr>
            <w:tcW w:w="1606" w:type="dxa"/>
            <w:shd w:val="clear" w:color="auto" w:fill="D9E2F3" w:themeFill="accent5" w:themeFillTint="33"/>
          </w:tcPr>
          <w:p w14:paraId="0D3044FF" w14:textId="77777777" w:rsidR="00F14975" w:rsidRPr="00A06F1E" w:rsidRDefault="00F14975" w:rsidP="00056D2B">
            <w:pPr>
              <w:pStyle w:val="TableText"/>
              <w:spacing w:before="30" w:after="30"/>
              <w:jc w:val="center"/>
            </w:pPr>
            <w:r w:rsidRPr="00A06F1E">
              <w:t>25.1%</w:t>
            </w:r>
          </w:p>
        </w:tc>
      </w:tr>
      <w:tr w:rsidR="00F14975" w:rsidRPr="00A06F1E" w14:paraId="77072C93" w14:textId="77777777">
        <w:tc>
          <w:tcPr>
            <w:tcW w:w="2922" w:type="dxa"/>
          </w:tcPr>
          <w:p w14:paraId="4251C822" w14:textId="77777777" w:rsidR="00F14975" w:rsidRPr="00A06F1E" w:rsidRDefault="00F14975" w:rsidP="00056D2B">
            <w:pPr>
              <w:pStyle w:val="TableText"/>
              <w:spacing w:before="30" w:after="30"/>
            </w:pPr>
            <w:r w:rsidRPr="00A06F1E">
              <w:t>Native American</w:t>
            </w:r>
          </w:p>
        </w:tc>
        <w:tc>
          <w:tcPr>
            <w:tcW w:w="1604" w:type="dxa"/>
          </w:tcPr>
          <w:p w14:paraId="567794DF" w14:textId="77777777" w:rsidR="00F14975" w:rsidRPr="00A06F1E" w:rsidRDefault="00F14975" w:rsidP="00056D2B">
            <w:pPr>
              <w:pStyle w:val="TableTextCentered"/>
              <w:spacing w:before="30" w:after="30"/>
            </w:pPr>
            <w:r w:rsidRPr="00A06F1E">
              <w:t>0</w:t>
            </w:r>
          </w:p>
        </w:tc>
        <w:tc>
          <w:tcPr>
            <w:tcW w:w="1606" w:type="dxa"/>
            <w:shd w:val="clear" w:color="auto" w:fill="D9E2F3" w:themeFill="accent5" w:themeFillTint="33"/>
          </w:tcPr>
          <w:p w14:paraId="449704A8" w14:textId="77777777" w:rsidR="00F14975" w:rsidRPr="00A06F1E" w:rsidRDefault="00F14975" w:rsidP="00056D2B">
            <w:pPr>
              <w:pStyle w:val="TableText"/>
              <w:tabs>
                <w:tab w:val="decimal" w:pos="0"/>
              </w:tabs>
              <w:spacing w:before="30" w:after="30"/>
              <w:jc w:val="center"/>
            </w:pPr>
            <w:r w:rsidRPr="00A06F1E">
              <w:t>0.0%</w:t>
            </w:r>
          </w:p>
        </w:tc>
        <w:tc>
          <w:tcPr>
            <w:tcW w:w="1606" w:type="dxa"/>
          </w:tcPr>
          <w:p w14:paraId="709A6C1B" w14:textId="77777777" w:rsidR="00F14975" w:rsidRPr="00A06F1E" w:rsidRDefault="00F14975" w:rsidP="00056D2B">
            <w:pPr>
              <w:pStyle w:val="TableTextCentered"/>
              <w:spacing w:before="30" w:after="30"/>
            </w:pPr>
            <w:r w:rsidRPr="00A06F1E">
              <w:t>2,178</w:t>
            </w:r>
          </w:p>
        </w:tc>
        <w:tc>
          <w:tcPr>
            <w:tcW w:w="1606" w:type="dxa"/>
            <w:shd w:val="clear" w:color="auto" w:fill="D9E2F3" w:themeFill="accent5" w:themeFillTint="33"/>
          </w:tcPr>
          <w:p w14:paraId="6F324829" w14:textId="77777777" w:rsidR="00F14975" w:rsidRPr="00A06F1E" w:rsidRDefault="00F14975" w:rsidP="00056D2B">
            <w:pPr>
              <w:pStyle w:val="TableText"/>
              <w:spacing w:before="30" w:after="30"/>
              <w:jc w:val="center"/>
            </w:pPr>
            <w:r w:rsidRPr="00A06F1E">
              <w:t>0.2%</w:t>
            </w:r>
          </w:p>
        </w:tc>
      </w:tr>
      <w:tr w:rsidR="00F14975" w:rsidRPr="00A06F1E" w14:paraId="5A0716DF" w14:textId="77777777">
        <w:tc>
          <w:tcPr>
            <w:tcW w:w="2922" w:type="dxa"/>
          </w:tcPr>
          <w:p w14:paraId="694601F4" w14:textId="77777777" w:rsidR="00F14975" w:rsidRPr="00A06F1E" w:rsidRDefault="00F14975" w:rsidP="00056D2B">
            <w:pPr>
              <w:pStyle w:val="TableText"/>
              <w:spacing w:before="30" w:after="30"/>
            </w:pPr>
            <w:r w:rsidRPr="00A06F1E">
              <w:t>White</w:t>
            </w:r>
          </w:p>
        </w:tc>
        <w:tc>
          <w:tcPr>
            <w:tcW w:w="1604" w:type="dxa"/>
          </w:tcPr>
          <w:p w14:paraId="3DC5E5E7" w14:textId="77777777" w:rsidR="00F14975" w:rsidRPr="00A06F1E" w:rsidRDefault="00F14975" w:rsidP="00056D2B">
            <w:pPr>
              <w:pStyle w:val="TableTextCentered"/>
              <w:spacing w:before="30" w:after="30"/>
            </w:pPr>
            <w:r w:rsidRPr="00A06F1E">
              <w:t>118</w:t>
            </w:r>
          </w:p>
        </w:tc>
        <w:tc>
          <w:tcPr>
            <w:tcW w:w="1606" w:type="dxa"/>
            <w:shd w:val="clear" w:color="auto" w:fill="D9E2F3" w:themeFill="accent5" w:themeFillTint="33"/>
          </w:tcPr>
          <w:p w14:paraId="6C1196D9" w14:textId="77777777" w:rsidR="00F14975" w:rsidRPr="00A06F1E" w:rsidRDefault="00F14975" w:rsidP="00056D2B">
            <w:pPr>
              <w:pStyle w:val="TableText"/>
              <w:tabs>
                <w:tab w:val="decimal" w:pos="0"/>
              </w:tabs>
              <w:spacing w:before="30" w:after="30"/>
              <w:jc w:val="center"/>
            </w:pPr>
            <w:r w:rsidRPr="00A06F1E">
              <w:t>88.7%</w:t>
            </w:r>
          </w:p>
        </w:tc>
        <w:tc>
          <w:tcPr>
            <w:tcW w:w="1606" w:type="dxa"/>
          </w:tcPr>
          <w:p w14:paraId="79D4EB0E" w14:textId="77777777" w:rsidR="00F14975" w:rsidRPr="00A06F1E" w:rsidRDefault="00F14975" w:rsidP="00056D2B">
            <w:pPr>
              <w:pStyle w:val="TableTextCentered"/>
              <w:spacing w:before="30" w:after="30"/>
            </w:pPr>
            <w:r w:rsidRPr="00A06F1E">
              <w:t>484,692</w:t>
            </w:r>
          </w:p>
        </w:tc>
        <w:tc>
          <w:tcPr>
            <w:tcW w:w="1606" w:type="dxa"/>
            <w:shd w:val="clear" w:color="auto" w:fill="D9E2F3" w:themeFill="accent5" w:themeFillTint="33"/>
          </w:tcPr>
          <w:p w14:paraId="784A6B66" w14:textId="77777777" w:rsidR="00F14975" w:rsidRPr="00A06F1E" w:rsidRDefault="00F14975" w:rsidP="00056D2B">
            <w:pPr>
              <w:pStyle w:val="TableText"/>
              <w:spacing w:before="30" w:after="30"/>
              <w:jc w:val="center"/>
            </w:pPr>
            <w:r w:rsidRPr="00A06F1E">
              <w:t>53.0%</w:t>
            </w:r>
          </w:p>
        </w:tc>
      </w:tr>
      <w:tr w:rsidR="00F14975" w:rsidRPr="00A06F1E" w14:paraId="071DB5C4" w14:textId="77777777">
        <w:tc>
          <w:tcPr>
            <w:tcW w:w="2922" w:type="dxa"/>
          </w:tcPr>
          <w:p w14:paraId="5D055BBA" w14:textId="77777777" w:rsidR="00F14975" w:rsidRPr="00A06F1E" w:rsidRDefault="00F14975" w:rsidP="00056D2B">
            <w:pPr>
              <w:pStyle w:val="TableText"/>
              <w:spacing w:before="30" w:after="30"/>
            </w:pPr>
            <w:r w:rsidRPr="00A06F1E">
              <w:t>Native Hawaiian</w:t>
            </w:r>
          </w:p>
        </w:tc>
        <w:tc>
          <w:tcPr>
            <w:tcW w:w="1604" w:type="dxa"/>
          </w:tcPr>
          <w:p w14:paraId="319CCBEF" w14:textId="77777777" w:rsidR="00F14975" w:rsidRPr="00A06F1E" w:rsidRDefault="00F14975" w:rsidP="00056D2B">
            <w:pPr>
              <w:pStyle w:val="TableTextCentered"/>
              <w:spacing w:before="30" w:after="30"/>
            </w:pPr>
            <w:r w:rsidRPr="00A06F1E">
              <w:t>0</w:t>
            </w:r>
          </w:p>
        </w:tc>
        <w:tc>
          <w:tcPr>
            <w:tcW w:w="1606" w:type="dxa"/>
            <w:shd w:val="clear" w:color="auto" w:fill="D9E2F3" w:themeFill="accent5" w:themeFillTint="33"/>
          </w:tcPr>
          <w:p w14:paraId="67484FBC" w14:textId="77777777" w:rsidR="00F14975" w:rsidRPr="00A06F1E" w:rsidRDefault="00F14975" w:rsidP="00056D2B">
            <w:pPr>
              <w:pStyle w:val="TableText"/>
              <w:tabs>
                <w:tab w:val="decimal" w:pos="0"/>
              </w:tabs>
              <w:spacing w:before="30" w:after="30"/>
              <w:jc w:val="center"/>
            </w:pPr>
            <w:r w:rsidRPr="00A06F1E">
              <w:t>0.0%</w:t>
            </w:r>
          </w:p>
        </w:tc>
        <w:tc>
          <w:tcPr>
            <w:tcW w:w="1606" w:type="dxa"/>
          </w:tcPr>
          <w:p w14:paraId="5C27DD2D" w14:textId="77777777" w:rsidR="00F14975" w:rsidRPr="00A06F1E" w:rsidRDefault="00F14975" w:rsidP="00056D2B">
            <w:pPr>
              <w:pStyle w:val="TableTextCentered"/>
              <w:spacing w:before="30" w:after="30"/>
            </w:pPr>
            <w:r w:rsidRPr="00A06F1E">
              <w:t>790</w:t>
            </w:r>
          </w:p>
        </w:tc>
        <w:tc>
          <w:tcPr>
            <w:tcW w:w="1606" w:type="dxa"/>
            <w:shd w:val="clear" w:color="auto" w:fill="D9E2F3" w:themeFill="accent5" w:themeFillTint="33"/>
          </w:tcPr>
          <w:p w14:paraId="005CE72F" w14:textId="77777777" w:rsidR="00F14975" w:rsidRPr="00A06F1E" w:rsidRDefault="00F14975" w:rsidP="00056D2B">
            <w:pPr>
              <w:pStyle w:val="TableText"/>
              <w:spacing w:before="30" w:after="30"/>
              <w:jc w:val="center"/>
            </w:pPr>
            <w:r w:rsidRPr="00A06F1E">
              <w:t>0.1%</w:t>
            </w:r>
          </w:p>
        </w:tc>
      </w:tr>
      <w:tr w:rsidR="00F14975" w:rsidRPr="00A06F1E" w14:paraId="79064145" w14:textId="77777777">
        <w:tc>
          <w:tcPr>
            <w:tcW w:w="2922" w:type="dxa"/>
          </w:tcPr>
          <w:p w14:paraId="19D2E2D2" w14:textId="458006FF" w:rsidR="00F14975" w:rsidRPr="00A06F1E" w:rsidRDefault="00F14975" w:rsidP="00056D2B">
            <w:pPr>
              <w:pStyle w:val="TableText"/>
              <w:spacing w:before="30" w:after="30"/>
            </w:pPr>
            <w:r w:rsidRPr="00A06F1E">
              <w:t>Multi</w:t>
            </w:r>
            <w:r w:rsidR="000A5EEF" w:rsidRPr="00A06F1E">
              <w:t>-R</w:t>
            </w:r>
            <w:r w:rsidRPr="00A06F1E">
              <w:t xml:space="preserve">ace, </w:t>
            </w:r>
            <w:r w:rsidR="000A5EEF" w:rsidRPr="00A06F1E">
              <w:t>n</w:t>
            </w:r>
            <w:r w:rsidRPr="00A06F1E">
              <w:t xml:space="preserve">on-Hispanic </w:t>
            </w:r>
          </w:p>
        </w:tc>
        <w:tc>
          <w:tcPr>
            <w:tcW w:w="1604" w:type="dxa"/>
          </w:tcPr>
          <w:p w14:paraId="4A544023" w14:textId="77777777" w:rsidR="00F14975" w:rsidRPr="00A06F1E" w:rsidRDefault="00F14975" w:rsidP="00056D2B">
            <w:pPr>
              <w:pStyle w:val="TableTextCentered"/>
              <w:spacing w:before="30" w:after="30"/>
            </w:pPr>
            <w:r w:rsidRPr="00A06F1E">
              <w:t>2</w:t>
            </w:r>
          </w:p>
        </w:tc>
        <w:tc>
          <w:tcPr>
            <w:tcW w:w="1606" w:type="dxa"/>
            <w:shd w:val="clear" w:color="auto" w:fill="D9E2F3" w:themeFill="accent5" w:themeFillTint="33"/>
          </w:tcPr>
          <w:p w14:paraId="1D2D4F9A" w14:textId="77777777" w:rsidR="00F14975" w:rsidRPr="00A06F1E" w:rsidRDefault="00F14975" w:rsidP="00056D2B">
            <w:pPr>
              <w:pStyle w:val="TableText"/>
              <w:tabs>
                <w:tab w:val="decimal" w:pos="0"/>
              </w:tabs>
              <w:spacing w:before="30" w:after="30"/>
              <w:jc w:val="center"/>
            </w:pPr>
            <w:r w:rsidRPr="00A06F1E">
              <w:t>1.5%</w:t>
            </w:r>
          </w:p>
        </w:tc>
        <w:tc>
          <w:tcPr>
            <w:tcW w:w="1606" w:type="dxa"/>
          </w:tcPr>
          <w:p w14:paraId="6E5390AC" w14:textId="77777777" w:rsidR="00F14975" w:rsidRPr="00A06F1E" w:rsidRDefault="00F14975" w:rsidP="00056D2B">
            <w:pPr>
              <w:pStyle w:val="TableTextCentered"/>
              <w:spacing w:before="30" w:after="30"/>
            </w:pPr>
            <w:r w:rsidRPr="00A06F1E">
              <w:t>41,418</w:t>
            </w:r>
          </w:p>
        </w:tc>
        <w:tc>
          <w:tcPr>
            <w:tcW w:w="1606" w:type="dxa"/>
            <w:shd w:val="clear" w:color="auto" w:fill="D9E2F3" w:themeFill="accent5" w:themeFillTint="33"/>
          </w:tcPr>
          <w:p w14:paraId="16E20C80" w14:textId="77777777" w:rsidR="00F14975" w:rsidRPr="00A06F1E" w:rsidRDefault="00F14975" w:rsidP="00056D2B">
            <w:pPr>
              <w:pStyle w:val="TableText"/>
              <w:spacing w:before="30" w:after="30"/>
              <w:jc w:val="center"/>
            </w:pPr>
            <w:r w:rsidRPr="00A06F1E">
              <w:t>4.5%</w:t>
            </w:r>
          </w:p>
        </w:tc>
      </w:tr>
    </w:tbl>
    <w:p w14:paraId="0002EBCE" w14:textId="77777777" w:rsidR="00F14975" w:rsidRPr="00A06F1E" w:rsidRDefault="00F14975" w:rsidP="00F14975">
      <w:pPr>
        <w:pStyle w:val="TableNote"/>
      </w:pPr>
      <w:r w:rsidRPr="00A06F1E">
        <w:rPr>
          <w:i/>
          <w:iCs/>
        </w:rPr>
        <w:t>Note</w:t>
      </w:r>
      <w:r w:rsidRPr="00A06F1E">
        <w:t>. As of October 1, 2023.</w:t>
      </w:r>
    </w:p>
    <w:p w14:paraId="06A84390" w14:textId="1EACDF60" w:rsidR="00F14975" w:rsidRPr="00A06F1E" w:rsidRDefault="00F14975" w:rsidP="00F14975">
      <w:pPr>
        <w:pStyle w:val="TableTitle0"/>
      </w:pPr>
      <w:bookmarkStart w:id="226" w:name="_Toc170701934"/>
      <w:r w:rsidRPr="00A06F1E">
        <w:t>Table D</w:t>
      </w:r>
      <w:r w:rsidR="007D5F1C" w:rsidRPr="00A06F1E">
        <w:t>1</w:t>
      </w:r>
      <w:r w:rsidR="007D7C7C">
        <w:t>c</w:t>
      </w:r>
      <w:r w:rsidRPr="00A06F1E">
        <w:t>. Ralph C</w:t>
      </w:r>
      <w:r w:rsidR="004F6E3D" w:rsidRPr="00A06F1E">
        <w:t>.</w:t>
      </w:r>
      <w:r w:rsidRPr="00A06F1E">
        <w:t xml:space="preserve"> Mahar Public Schools: Student Enrollment by Race/Ethnicity, 2023-2024</w:t>
      </w:r>
      <w:bookmarkEnd w:id="226"/>
    </w:p>
    <w:tbl>
      <w:tblPr>
        <w:tblStyle w:val="MSVTable1"/>
        <w:tblW w:w="5000" w:type="pct"/>
        <w:tblLook w:val="06A0" w:firstRow="1" w:lastRow="0" w:firstColumn="1" w:lastColumn="0" w:noHBand="1" w:noVBand="1"/>
      </w:tblPr>
      <w:tblGrid>
        <w:gridCol w:w="2922"/>
        <w:gridCol w:w="1604"/>
        <w:gridCol w:w="1606"/>
        <w:gridCol w:w="1606"/>
        <w:gridCol w:w="1606"/>
      </w:tblGrid>
      <w:tr w:rsidR="00F14975" w:rsidRPr="00A06F1E" w14:paraId="59805E8B" w14:textId="77777777">
        <w:trPr>
          <w:cnfStyle w:val="100000000000" w:firstRow="1" w:lastRow="0" w:firstColumn="0" w:lastColumn="0" w:oddVBand="0" w:evenVBand="0" w:oddHBand="0" w:evenHBand="0" w:firstRowFirstColumn="0" w:firstRowLastColumn="0" w:lastRowFirstColumn="0" w:lastRowLastColumn="0"/>
        </w:trPr>
        <w:tc>
          <w:tcPr>
            <w:tcW w:w="2922" w:type="dxa"/>
            <w:vAlign w:val="bottom"/>
          </w:tcPr>
          <w:p w14:paraId="0034AB4E" w14:textId="77777777" w:rsidR="00F14975" w:rsidRPr="00A06F1E" w:rsidRDefault="00F14975" w:rsidP="00056D2B">
            <w:pPr>
              <w:pStyle w:val="TableColHeadingLeft"/>
              <w:spacing w:before="30" w:after="30"/>
              <w:rPr>
                <w:rFonts w:eastAsia="Calibri" w:cs="Calibri"/>
              </w:rPr>
            </w:pPr>
            <w:r w:rsidRPr="00A06F1E">
              <w:t>Group</w:t>
            </w:r>
          </w:p>
        </w:tc>
        <w:tc>
          <w:tcPr>
            <w:tcW w:w="1604" w:type="dxa"/>
            <w:vAlign w:val="bottom"/>
          </w:tcPr>
          <w:p w14:paraId="7F9C8774" w14:textId="77777777" w:rsidR="00F14975" w:rsidRPr="00A06F1E" w:rsidRDefault="00F14975" w:rsidP="00056D2B">
            <w:pPr>
              <w:pStyle w:val="TableColHeadingCenter"/>
              <w:spacing w:before="30" w:after="30"/>
            </w:pPr>
            <w:r w:rsidRPr="00A06F1E">
              <w:t>District</w:t>
            </w:r>
          </w:p>
        </w:tc>
        <w:tc>
          <w:tcPr>
            <w:tcW w:w="1606" w:type="dxa"/>
            <w:vAlign w:val="bottom"/>
          </w:tcPr>
          <w:p w14:paraId="33056F38" w14:textId="77777777" w:rsidR="00F14975" w:rsidRPr="00A06F1E" w:rsidRDefault="00F14975" w:rsidP="00056D2B">
            <w:pPr>
              <w:pStyle w:val="TableColHeadingCenter"/>
              <w:spacing w:before="30" w:after="30"/>
            </w:pPr>
            <w:r w:rsidRPr="00A06F1E">
              <w:t>Percentage of total</w:t>
            </w:r>
          </w:p>
        </w:tc>
        <w:tc>
          <w:tcPr>
            <w:tcW w:w="1606" w:type="dxa"/>
            <w:vAlign w:val="bottom"/>
          </w:tcPr>
          <w:p w14:paraId="728885CA" w14:textId="77777777" w:rsidR="00F14975" w:rsidRPr="00A06F1E" w:rsidRDefault="00F14975" w:rsidP="00056D2B">
            <w:pPr>
              <w:pStyle w:val="TableColHeadingCenter"/>
              <w:spacing w:before="30" w:after="30"/>
            </w:pPr>
            <w:r w:rsidRPr="00A06F1E">
              <w:t>State</w:t>
            </w:r>
          </w:p>
        </w:tc>
        <w:tc>
          <w:tcPr>
            <w:tcW w:w="1606" w:type="dxa"/>
            <w:vAlign w:val="bottom"/>
          </w:tcPr>
          <w:p w14:paraId="7A819D66" w14:textId="77777777" w:rsidR="00F14975" w:rsidRPr="00A06F1E" w:rsidRDefault="00F14975" w:rsidP="00056D2B">
            <w:pPr>
              <w:pStyle w:val="TableColHeadingCenter"/>
              <w:spacing w:before="30" w:after="30"/>
            </w:pPr>
            <w:r w:rsidRPr="00A06F1E">
              <w:t>Percentage of total</w:t>
            </w:r>
          </w:p>
        </w:tc>
      </w:tr>
      <w:tr w:rsidR="00F14975" w:rsidRPr="00A06F1E" w14:paraId="222C0CEE" w14:textId="77777777">
        <w:tc>
          <w:tcPr>
            <w:tcW w:w="2922" w:type="dxa"/>
          </w:tcPr>
          <w:p w14:paraId="2CB7EA84" w14:textId="77777777" w:rsidR="00F14975" w:rsidRPr="00A06F1E" w:rsidRDefault="00F14975" w:rsidP="00056D2B">
            <w:pPr>
              <w:pStyle w:val="TableText"/>
              <w:spacing w:before="30" w:after="30"/>
            </w:pPr>
            <w:r w:rsidRPr="00A06F1E">
              <w:t>All</w:t>
            </w:r>
          </w:p>
        </w:tc>
        <w:tc>
          <w:tcPr>
            <w:tcW w:w="1604" w:type="dxa"/>
          </w:tcPr>
          <w:p w14:paraId="26AC92A3" w14:textId="77777777" w:rsidR="00F14975" w:rsidRPr="00A06F1E" w:rsidRDefault="00F14975" w:rsidP="00056D2B">
            <w:pPr>
              <w:pStyle w:val="TableTextCentered"/>
              <w:spacing w:before="30" w:after="30"/>
            </w:pPr>
            <w:r w:rsidRPr="00A06F1E">
              <w:t>504</w:t>
            </w:r>
          </w:p>
        </w:tc>
        <w:tc>
          <w:tcPr>
            <w:tcW w:w="1606" w:type="dxa"/>
            <w:shd w:val="clear" w:color="auto" w:fill="D9E2F3" w:themeFill="accent5" w:themeFillTint="33"/>
          </w:tcPr>
          <w:p w14:paraId="45823209" w14:textId="77777777" w:rsidR="00F14975" w:rsidRPr="00A06F1E" w:rsidRDefault="00F14975" w:rsidP="00056D2B">
            <w:pPr>
              <w:pStyle w:val="TableText"/>
              <w:tabs>
                <w:tab w:val="decimal" w:pos="0"/>
              </w:tabs>
              <w:spacing w:before="30" w:after="30"/>
              <w:jc w:val="center"/>
            </w:pPr>
            <w:r w:rsidRPr="00A06F1E">
              <w:t>100.0%</w:t>
            </w:r>
          </w:p>
        </w:tc>
        <w:tc>
          <w:tcPr>
            <w:tcW w:w="1606" w:type="dxa"/>
          </w:tcPr>
          <w:p w14:paraId="2EC64D4D" w14:textId="77777777" w:rsidR="00F14975" w:rsidRPr="00A06F1E" w:rsidRDefault="00F14975" w:rsidP="00056D2B">
            <w:pPr>
              <w:pStyle w:val="TableTextCentered"/>
              <w:spacing w:before="30" w:after="30"/>
            </w:pPr>
            <w:r w:rsidRPr="00A06F1E">
              <w:t>914,959</w:t>
            </w:r>
          </w:p>
        </w:tc>
        <w:tc>
          <w:tcPr>
            <w:tcW w:w="1606" w:type="dxa"/>
            <w:shd w:val="clear" w:color="auto" w:fill="D9E2F3" w:themeFill="accent5" w:themeFillTint="33"/>
          </w:tcPr>
          <w:p w14:paraId="08904823" w14:textId="77777777" w:rsidR="00F14975" w:rsidRPr="00A06F1E" w:rsidRDefault="00F14975" w:rsidP="00056D2B">
            <w:pPr>
              <w:pStyle w:val="TableText"/>
              <w:spacing w:before="30" w:after="30"/>
              <w:jc w:val="center"/>
            </w:pPr>
            <w:r w:rsidRPr="00A06F1E">
              <w:t>100.0%</w:t>
            </w:r>
          </w:p>
        </w:tc>
      </w:tr>
      <w:tr w:rsidR="00F14975" w:rsidRPr="00A06F1E" w14:paraId="53CBF595" w14:textId="77777777">
        <w:tc>
          <w:tcPr>
            <w:tcW w:w="2922" w:type="dxa"/>
          </w:tcPr>
          <w:p w14:paraId="0EF8D25E" w14:textId="77777777" w:rsidR="00F14975" w:rsidRPr="00A06F1E" w:rsidRDefault="00F14975" w:rsidP="00056D2B">
            <w:pPr>
              <w:pStyle w:val="TableText"/>
              <w:spacing w:before="30" w:after="30"/>
            </w:pPr>
            <w:r w:rsidRPr="00A06F1E">
              <w:t>African American</w:t>
            </w:r>
          </w:p>
        </w:tc>
        <w:tc>
          <w:tcPr>
            <w:tcW w:w="1604" w:type="dxa"/>
          </w:tcPr>
          <w:p w14:paraId="7AAB13B2" w14:textId="77777777" w:rsidR="00F14975" w:rsidRPr="00A06F1E" w:rsidRDefault="00F14975" w:rsidP="00056D2B">
            <w:pPr>
              <w:pStyle w:val="TableTextCentered"/>
              <w:spacing w:before="30" w:after="30"/>
            </w:pPr>
            <w:r w:rsidRPr="00A06F1E">
              <w:t>9</w:t>
            </w:r>
          </w:p>
        </w:tc>
        <w:tc>
          <w:tcPr>
            <w:tcW w:w="1606" w:type="dxa"/>
            <w:shd w:val="clear" w:color="auto" w:fill="D9E2F3" w:themeFill="accent5" w:themeFillTint="33"/>
          </w:tcPr>
          <w:p w14:paraId="101F92AC" w14:textId="77777777" w:rsidR="00F14975" w:rsidRPr="00A06F1E" w:rsidRDefault="00F14975" w:rsidP="00056D2B">
            <w:pPr>
              <w:pStyle w:val="TableText"/>
              <w:tabs>
                <w:tab w:val="decimal" w:pos="0"/>
              </w:tabs>
              <w:spacing w:before="30" w:after="30"/>
              <w:jc w:val="center"/>
            </w:pPr>
            <w:r w:rsidRPr="00A06F1E">
              <w:t>1.8%</w:t>
            </w:r>
          </w:p>
        </w:tc>
        <w:tc>
          <w:tcPr>
            <w:tcW w:w="1606" w:type="dxa"/>
          </w:tcPr>
          <w:p w14:paraId="264A7F77" w14:textId="77777777" w:rsidR="00F14975" w:rsidRPr="00A06F1E" w:rsidRDefault="00F14975" w:rsidP="00056D2B">
            <w:pPr>
              <w:pStyle w:val="TableTextCentered"/>
              <w:spacing w:before="30" w:after="30"/>
            </w:pPr>
            <w:r w:rsidRPr="00A06F1E">
              <w:t>88,104</w:t>
            </w:r>
          </w:p>
        </w:tc>
        <w:tc>
          <w:tcPr>
            <w:tcW w:w="1606" w:type="dxa"/>
            <w:shd w:val="clear" w:color="auto" w:fill="D9E2F3" w:themeFill="accent5" w:themeFillTint="33"/>
          </w:tcPr>
          <w:p w14:paraId="1308CDCD" w14:textId="77777777" w:rsidR="00F14975" w:rsidRPr="00A06F1E" w:rsidRDefault="00F14975" w:rsidP="00056D2B">
            <w:pPr>
              <w:pStyle w:val="TableText"/>
              <w:spacing w:before="30" w:after="30"/>
              <w:jc w:val="center"/>
            </w:pPr>
            <w:r w:rsidRPr="00A06F1E">
              <w:t>9.6%</w:t>
            </w:r>
          </w:p>
        </w:tc>
      </w:tr>
      <w:tr w:rsidR="00F14975" w:rsidRPr="00A06F1E" w14:paraId="56FF7644" w14:textId="77777777">
        <w:tc>
          <w:tcPr>
            <w:tcW w:w="2922" w:type="dxa"/>
          </w:tcPr>
          <w:p w14:paraId="5299333D" w14:textId="77777777" w:rsidR="00F14975" w:rsidRPr="00A06F1E" w:rsidRDefault="00F14975" w:rsidP="00056D2B">
            <w:pPr>
              <w:pStyle w:val="TableText"/>
              <w:spacing w:before="30" w:after="30"/>
            </w:pPr>
            <w:r w:rsidRPr="00A06F1E">
              <w:t>Asian</w:t>
            </w:r>
          </w:p>
        </w:tc>
        <w:tc>
          <w:tcPr>
            <w:tcW w:w="1604" w:type="dxa"/>
          </w:tcPr>
          <w:p w14:paraId="5A4F8A65" w14:textId="77777777" w:rsidR="00F14975" w:rsidRPr="00A06F1E" w:rsidRDefault="00F14975" w:rsidP="00056D2B">
            <w:pPr>
              <w:pStyle w:val="TableTextCentered"/>
              <w:spacing w:before="30" w:after="30"/>
            </w:pPr>
            <w:r w:rsidRPr="00A06F1E">
              <w:t>4</w:t>
            </w:r>
          </w:p>
        </w:tc>
        <w:tc>
          <w:tcPr>
            <w:tcW w:w="1606" w:type="dxa"/>
            <w:shd w:val="clear" w:color="auto" w:fill="D9E2F3" w:themeFill="accent5" w:themeFillTint="33"/>
          </w:tcPr>
          <w:p w14:paraId="387D195C" w14:textId="77777777" w:rsidR="00F14975" w:rsidRPr="00A06F1E" w:rsidRDefault="00F14975" w:rsidP="00056D2B">
            <w:pPr>
              <w:pStyle w:val="TableText"/>
              <w:tabs>
                <w:tab w:val="decimal" w:pos="0"/>
              </w:tabs>
              <w:spacing w:before="30" w:after="30"/>
              <w:jc w:val="center"/>
            </w:pPr>
            <w:r w:rsidRPr="00A06F1E">
              <w:t>0.8%</w:t>
            </w:r>
          </w:p>
        </w:tc>
        <w:tc>
          <w:tcPr>
            <w:tcW w:w="1606" w:type="dxa"/>
          </w:tcPr>
          <w:p w14:paraId="3242C201" w14:textId="77777777" w:rsidR="00F14975" w:rsidRPr="00A06F1E" w:rsidRDefault="00F14975" w:rsidP="00056D2B">
            <w:pPr>
              <w:pStyle w:val="TableTextCentered"/>
              <w:spacing w:before="30" w:after="30"/>
            </w:pPr>
            <w:r w:rsidRPr="00A06F1E">
              <w:t>67,847</w:t>
            </w:r>
          </w:p>
        </w:tc>
        <w:tc>
          <w:tcPr>
            <w:tcW w:w="1606" w:type="dxa"/>
            <w:shd w:val="clear" w:color="auto" w:fill="D9E2F3" w:themeFill="accent5" w:themeFillTint="33"/>
          </w:tcPr>
          <w:p w14:paraId="46196333" w14:textId="77777777" w:rsidR="00F14975" w:rsidRPr="00A06F1E" w:rsidRDefault="00F14975" w:rsidP="00056D2B">
            <w:pPr>
              <w:pStyle w:val="TableText"/>
              <w:spacing w:before="30" w:after="30"/>
              <w:jc w:val="center"/>
            </w:pPr>
            <w:r w:rsidRPr="00A06F1E">
              <w:t>7.4%</w:t>
            </w:r>
          </w:p>
        </w:tc>
      </w:tr>
      <w:tr w:rsidR="00F14975" w:rsidRPr="00A06F1E" w14:paraId="60F0E047" w14:textId="77777777">
        <w:tc>
          <w:tcPr>
            <w:tcW w:w="2922" w:type="dxa"/>
          </w:tcPr>
          <w:p w14:paraId="2168E745" w14:textId="77777777" w:rsidR="00F14975" w:rsidRPr="00A06F1E" w:rsidRDefault="00F14975" w:rsidP="00056D2B">
            <w:pPr>
              <w:pStyle w:val="TableText"/>
              <w:spacing w:before="30" w:after="30"/>
            </w:pPr>
            <w:r w:rsidRPr="00A06F1E">
              <w:t>Hispanic</w:t>
            </w:r>
          </w:p>
        </w:tc>
        <w:tc>
          <w:tcPr>
            <w:tcW w:w="1604" w:type="dxa"/>
          </w:tcPr>
          <w:p w14:paraId="507D105E" w14:textId="77777777" w:rsidR="00F14975" w:rsidRPr="00A06F1E" w:rsidRDefault="00F14975" w:rsidP="00056D2B">
            <w:pPr>
              <w:pStyle w:val="TableTextCentered"/>
              <w:spacing w:before="30" w:after="30"/>
            </w:pPr>
            <w:r w:rsidRPr="00A06F1E">
              <w:t>46</w:t>
            </w:r>
          </w:p>
        </w:tc>
        <w:tc>
          <w:tcPr>
            <w:tcW w:w="1606" w:type="dxa"/>
            <w:shd w:val="clear" w:color="auto" w:fill="D9E2F3" w:themeFill="accent5" w:themeFillTint="33"/>
          </w:tcPr>
          <w:p w14:paraId="68E9B8DE" w14:textId="77777777" w:rsidR="00F14975" w:rsidRPr="00A06F1E" w:rsidRDefault="00F14975" w:rsidP="00056D2B">
            <w:pPr>
              <w:pStyle w:val="TableText"/>
              <w:tabs>
                <w:tab w:val="decimal" w:pos="0"/>
              </w:tabs>
              <w:spacing w:before="30" w:after="30"/>
              <w:jc w:val="center"/>
            </w:pPr>
            <w:r w:rsidRPr="00A06F1E">
              <w:t>9.1%</w:t>
            </w:r>
          </w:p>
        </w:tc>
        <w:tc>
          <w:tcPr>
            <w:tcW w:w="1606" w:type="dxa"/>
          </w:tcPr>
          <w:p w14:paraId="69660ADE" w14:textId="77777777" w:rsidR="00F14975" w:rsidRPr="00A06F1E" w:rsidRDefault="00F14975" w:rsidP="00056D2B">
            <w:pPr>
              <w:pStyle w:val="TableTextCentered"/>
              <w:spacing w:before="30" w:after="30"/>
            </w:pPr>
            <w:r w:rsidRPr="00A06F1E">
              <w:t>229,930</w:t>
            </w:r>
          </w:p>
        </w:tc>
        <w:tc>
          <w:tcPr>
            <w:tcW w:w="1606" w:type="dxa"/>
            <w:shd w:val="clear" w:color="auto" w:fill="D9E2F3" w:themeFill="accent5" w:themeFillTint="33"/>
          </w:tcPr>
          <w:p w14:paraId="0ABBC7E9" w14:textId="77777777" w:rsidR="00F14975" w:rsidRPr="00A06F1E" w:rsidRDefault="00F14975" w:rsidP="00056D2B">
            <w:pPr>
              <w:pStyle w:val="TableText"/>
              <w:spacing w:before="30" w:after="30"/>
              <w:jc w:val="center"/>
            </w:pPr>
            <w:r w:rsidRPr="00A06F1E">
              <w:t>25.1%</w:t>
            </w:r>
          </w:p>
        </w:tc>
      </w:tr>
      <w:tr w:rsidR="00F14975" w:rsidRPr="00A06F1E" w14:paraId="764D6A0B" w14:textId="77777777">
        <w:tc>
          <w:tcPr>
            <w:tcW w:w="2922" w:type="dxa"/>
          </w:tcPr>
          <w:p w14:paraId="13D8EB32" w14:textId="77777777" w:rsidR="00F14975" w:rsidRPr="00A06F1E" w:rsidRDefault="00F14975" w:rsidP="00056D2B">
            <w:pPr>
              <w:pStyle w:val="TableText"/>
              <w:spacing w:before="30" w:after="30"/>
            </w:pPr>
            <w:r w:rsidRPr="00A06F1E">
              <w:t>Native American</w:t>
            </w:r>
          </w:p>
        </w:tc>
        <w:tc>
          <w:tcPr>
            <w:tcW w:w="1604" w:type="dxa"/>
          </w:tcPr>
          <w:p w14:paraId="03C3AA1F" w14:textId="77777777" w:rsidR="00F14975" w:rsidRPr="00A06F1E" w:rsidRDefault="00F14975" w:rsidP="00056D2B">
            <w:pPr>
              <w:pStyle w:val="TableTextCentered"/>
              <w:spacing w:before="30" w:after="30"/>
            </w:pPr>
            <w:r w:rsidRPr="00A06F1E">
              <w:t>0</w:t>
            </w:r>
          </w:p>
        </w:tc>
        <w:tc>
          <w:tcPr>
            <w:tcW w:w="1606" w:type="dxa"/>
            <w:shd w:val="clear" w:color="auto" w:fill="D9E2F3" w:themeFill="accent5" w:themeFillTint="33"/>
          </w:tcPr>
          <w:p w14:paraId="04620948" w14:textId="77777777" w:rsidR="00F14975" w:rsidRPr="00A06F1E" w:rsidRDefault="00F14975" w:rsidP="00056D2B">
            <w:pPr>
              <w:pStyle w:val="TableText"/>
              <w:tabs>
                <w:tab w:val="decimal" w:pos="0"/>
              </w:tabs>
              <w:spacing w:before="30" w:after="30"/>
              <w:jc w:val="center"/>
            </w:pPr>
            <w:r w:rsidRPr="00A06F1E">
              <w:t>0.0%</w:t>
            </w:r>
          </w:p>
        </w:tc>
        <w:tc>
          <w:tcPr>
            <w:tcW w:w="1606" w:type="dxa"/>
          </w:tcPr>
          <w:p w14:paraId="400AD477" w14:textId="77777777" w:rsidR="00F14975" w:rsidRPr="00A06F1E" w:rsidRDefault="00F14975" w:rsidP="00056D2B">
            <w:pPr>
              <w:pStyle w:val="TableTextCentered"/>
              <w:spacing w:before="30" w:after="30"/>
            </w:pPr>
            <w:r w:rsidRPr="00A06F1E">
              <w:t>2,178</w:t>
            </w:r>
          </w:p>
        </w:tc>
        <w:tc>
          <w:tcPr>
            <w:tcW w:w="1606" w:type="dxa"/>
            <w:shd w:val="clear" w:color="auto" w:fill="D9E2F3" w:themeFill="accent5" w:themeFillTint="33"/>
          </w:tcPr>
          <w:p w14:paraId="7A85B3BE" w14:textId="77777777" w:rsidR="00F14975" w:rsidRPr="00A06F1E" w:rsidRDefault="00F14975" w:rsidP="00056D2B">
            <w:pPr>
              <w:pStyle w:val="TableText"/>
              <w:spacing w:before="30" w:after="30"/>
              <w:jc w:val="center"/>
            </w:pPr>
            <w:r w:rsidRPr="00A06F1E">
              <w:t>0.2%</w:t>
            </w:r>
          </w:p>
        </w:tc>
      </w:tr>
      <w:tr w:rsidR="00F14975" w:rsidRPr="00A06F1E" w14:paraId="06BE9A78" w14:textId="77777777">
        <w:tc>
          <w:tcPr>
            <w:tcW w:w="2922" w:type="dxa"/>
          </w:tcPr>
          <w:p w14:paraId="12EA291A" w14:textId="77777777" w:rsidR="00F14975" w:rsidRPr="00A06F1E" w:rsidRDefault="00F14975" w:rsidP="00056D2B">
            <w:pPr>
              <w:pStyle w:val="TableText"/>
              <w:spacing w:before="30" w:after="30"/>
            </w:pPr>
            <w:r w:rsidRPr="00A06F1E">
              <w:t>White</w:t>
            </w:r>
          </w:p>
        </w:tc>
        <w:tc>
          <w:tcPr>
            <w:tcW w:w="1604" w:type="dxa"/>
          </w:tcPr>
          <w:p w14:paraId="3C377CB9" w14:textId="77777777" w:rsidR="00F14975" w:rsidRPr="00A06F1E" w:rsidRDefault="00F14975" w:rsidP="00056D2B">
            <w:pPr>
              <w:pStyle w:val="TableTextCentered"/>
              <w:spacing w:before="30" w:after="30"/>
            </w:pPr>
            <w:r w:rsidRPr="00A06F1E">
              <w:t>425</w:t>
            </w:r>
          </w:p>
        </w:tc>
        <w:tc>
          <w:tcPr>
            <w:tcW w:w="1606" w:type="dxa"/>
            <w:shd w:val="clear" w:color="auto" w:fill="D9E2F3" w:themeFill="accent5" w:themeFillTint="33"/>
          </w:tcPr>
          <w:p w14:paraId="37B89A7A" w14:textId="77777777" w:rsidR="00F14975" w:rsidRPr="00A06F1E" w:rsidRDefault="00F14975" w:rsidP="00056D2B">
            <w:pPr>
              <w:pStyle w:val="TableText"/>
              <w:tabs>
                <w:tab w:val="decimal" w:pos="0"/>
              </w:tabs>
              <w:spacing w:before="30" w:after="30"/>
              <w:jc w:val="center"/>
            </w:pPr>
            <w:r w:rsidRPr="00A06F1E">
              <w:t>84.3%</w:t>
            </w:r>
          </w:p>
        </w:tc>
        <w:tc>
          <w:tcPr>
            <w:tcW w:w="1606" w:type="dxa"/>
          </w:tcPr>
          <w:p w14:paraId="400B08EC" w14:textId="77777777" w:rsidR="00F14975" w:rsidRPr="00A06F1E" w:rsidRDefault="00F14975" w:rsidP="00056D2B">
            <w:pPr>
              <w:pStyle w:val="TableTextCentered"/>
              <w:spacing w:before="30" w:after="30"/>
            </w:pPr>
            <w:r w:rsidRPr="00A06F1E">
              <w:t>484,692</w:t>
            </w:r>
          </w:p>
        </w:tc>
        <w:tc>
          <w:tcPr>
            <w:tcW w:w="1606" w:type="dxa"/>
            <w:shd w:val="clear" w:color="auto" w:fill="D9E2F3" w:themeFill="accent5" w:themeFillTint="33"/>
          </w:tcPr>
          <w:p w14:paraId="02620DF8" w14:textId="77777777" w:rsidR="00F14975" w:rsidRPr="00A06F1E" w:rsidRDefault="00F14975" w:rsidP="00056D2B">
            <w:pPr>
              <w:pStyle w:val="TableText"/>
              <w:spacing w:before="30" w:after="30"/>
              <w:jc w:val="center"/>
            </w:pPr>
            <w:r w:rsidRPr="00A06F1E">
              <w:t>53.0%</w:t>
            </w:r>
          </w:p>
        </w:tc>
      </w:tr>
      <w:tr w:rsidR="00F14975" w:rsidRPr="00A06F1E" w14:paraId="4FF23B95" w14:textId="77777777">
        <w:tc>
          <w:tcPr>
            <w:tcW w:w="2922" w:type="dxa"/>
          </w:tcPr>
          <w:p w14:paraId="5938A9FD" w14:textId="77777777" w:rsidR="00F14975" w:rsidRPr="00A06F1E" w:rsidRDefault="00F14975" w:rsidP="00056D2B">
            <w:pPr>
              <w:pStyle w:val="TableText"/>
              <w:spacing w:before="30" w:after="30"/>
            </w:pPr>
            <w:r w:rsidRPr="00A06F1E">
              <w:t>Native Hawaiian</w:t>
            </w:r>
          </w:p>
        </w:tc>
        <w:tc>
          <w:tcPr>
            <w:tcW w:w="1604" w:type="dxa"/>
          </w:tcPr>
          <w:p w14:paraId="6DDE28D0" w14:textId="77777777" w:rsidR="00F14975" w:rsidRPr="00A06F1E" w:rsidRDefault="00F14975" w:rsidP="00056D2B">
            <w:pPr>
              <w:pStyle w:val="TableTextCentered"/>
              <w:spacing w:before="30" w:after="30"/>
            </w:pPr>
            <w:r w:rsidRPr="00A06F1E">
              <w:t>0</w:t>
            </w:r>
          </w:p>
        </w:tc>
        <w:tc>
          <w:tcPr>
            <w:tcW w:w="1606" w:type="dxa"/>
            <w:shd w:val="clear" w:color="auto" w:fill="D9E2F3" w:themeFill="accent5" w:themeFillTint="33"/>
          </w:tcPr>
          <w:p w14:paraId="7ED0A347" w14:textId="77777777" w:rsidR="00F14975" w:rsidRPr="00A06F1E" w:rsidRDefault="00F14975" w:rsidP="00056D2B">
            <w:pPr>
              <w:pStyle w:val="TableText"/>
              <w:tabs>
                <w:tab w:val="decimal" w:pos="0"/>
              </w:tabs>
              <w:spacing w:before="30" w:after="30"/>
              <w:jc w:val="center"/>
            </w:pPr>
            <w:r w:rsidRPr="00A06F1E">
              <w:t>0.0%</w:t>
            </w:r>
          </w:p>
        </w:tc>
        <w:tc>
          <w:tcPr>
            <w:tcW w:w="1606" w:type="dxa"/>
          </w:tcPr>
          <w:p w14:paraId="2514D467" w14:textId="77777777" w:rsidR="00F14975" w:rsidRPr="00A06F1E" w:rsidRDefault="00F14975" w:rsidP="00056D2B">
            <w:pPr>
              <w:pStyle w:val="TableTextCentered"/>
              <w:spacing w:before="30" w:after="30"/>
            </w:pPr>
            <w:r w:rsidRPr="00A06F1E">
              <w:t>790</w:t>
            </w:r>
          </w:p>
        </w:tc>
        <w:tc>
          <w:tcPr>
            <w:tcW w:w="1606" w:type="dxa"/>
            <w:shd w:val="clear" w:color="auto" w:fill="D9E2F3" w:themeFill="accent5" w:themeFillTint="33"/>
          </w:tcPr>
          <w:p w14:paraId="2B2545C4" w14:textId="77777777" w:rsidR="00F14975" w:rsidRPr="00A06F1E" w:rsidRDefault="00F14975" w:rsidP="00056D2B">
            <w:pPr>
              <w:pStyle w:val="TableText"/>
              <w:spacing w:before="30" w:after="30"/>
              <w:jc w:val="center"/>
            </w:pPr>
            <w:r w:rsidRPr="00A06F1E">
              <w:t>0.1%</w:t>
            </w:r>
          </w:p>
        </w:tc>
      </w:tr>
      <w:tr w:rsidR="00F14975" w:rsidRPr="00A06F1E" w14:paraId="47B75582" w14:textId="77777777">
        <w:tc>
          <w:tcPr>
            <w:tcW w:w="2922" w:type="dxa"/>
          </w:tcPr>
          <w:p w14:paraId="1AE492A1" w14:textId="222C726A" w:rsidR="00F14975" w:rsidRPr="00A06F1E" w:rsidRDefault="00F14975" w:rsidP="00056D2B">
            <w:pPr>
              <w:pStyle w:val="TableText"/>
              <w:spacing w:before="30" w:after="30"/>
            </w:pPr>
            <w:r w:rsidRPr="00A06F1E">
              <w:t>Multi</w:t>
            </w:r>
            <w:r w:rsidR="000A5EEF" w:rsidRPr="00A06F1E">
              <w:t>-R</w:t>
            </w:r>
            <w:r w:rsidRPr="00A06F1E">
              <w:t xml:space="preserve">ace, </w:t>
            </w:r>
            <w:r w:rsidR="000A5EEF" w:rsidRPr="00A06F1E">
              <w:t>n</w:t>
            </w:r>
            <w:r w:rsidRPr="00A06F1E">
              <w:t xml:space="preserve">on-Hispanic </w:t>
            </w:r>
          </w:p>
        </w:tc>
        <w:tc>
          <w:tcPr>
            <w:tcW w:w="1604" w:type="dxa"/>
          </w:tcPr>
          <w:p w14:paraId="4DD9F99D" w14:textId="77777777" w:rsidR="00F14975" w:rsidRPr="00A06F1E" w:rsidRDefault="00F14975" w:rsidP="00056D2B">
            <w:pPr>
              <w:pStyle w:val="TableTextCentered"/>
              <w:spacing w:before="30" w:after="30"/>
            </w:pPr>
            <w:r w:rsidRPr="00A06F1E">
              <w:t>20</w:t>
            </w:r>
          </w:p>
        </w:tc>
        <w:tc>
          <w:tcPr>
            <w:tcW w:w="1606" w:type="dxa"/>
            <w:shd w:val="clear" w:color="auto" w:fill="D9E2F3" w:themeFill="accent5" w:themeFillTint="33"/>
          </w:tcPr>
          <w:p w14:paraId="3E49CEAE" w14:textId="77777777" w:rsidR="00F14975" w:rsidRPr="00A06F1E" w:rsidRDefault="00F14975" w:rsidP="00056D2B">
            <w:pPr>
              <w:pStyle w:val="TableText"/>
              <w:tabs>
                <w:tab w:val="decimal" w:pos="0"/>
              </w:tabs>
              <w:spacing w:before="30" w:after="30"/>
              <w:jc w:val="center"/>
            </w:pPr>
            <w:r w:rsidRPr="00A06F1E">
              <w:t>4.0%</w:t>
            </w:r>
          </w:p>
        </w:tc>
        <w:tc>
          <w:tcPr>
            <w:tcW w:w="1606" w:type="dxa"/>
          </w:tcPr>
          <w:p w14:paraId="308AD077" w14:textId="77777777" w:rsidR="00F14975" w:rsidRPr="00A06F1E" w:rsidRDefault="00F14975" w:rsidP="00056D2B">
            <w:pPr>
              <w:pStyle w:val="TableTextCentered"/>
              <w:spacing w:before="30" w:after="30"/>
            </w:pPr>
            <w:r w:rsidRPr="00A06F1E">
              <w:t>41,418</w:t>
            </w:r>
          </w:p>
        </w:tc>
        <w:tc>
          <w:tcPr>
            <w:tcW w:w="1606" w:type="dxa"/>
            <w:shd w:val="clear" w:color="auto" w:fill="D9E2F3" w:themeFill="accent5" w:themeFillTint="33"/>
          </w:tcPr>
          <w:p w14:paraId="586C243E" w14:textId="77777777" w:rsidR="00F14975" w:rsidRPr="00A06F1E" w:rsidRDefault="00F14975" w:rsidP="00056D2B">
            <w:pPr>
              <w:pStyle w:val="TableText"/>
              <w:spacing w:before="30" w:after="30"/>
              <w:jc w:val="center"/>
            </w:pPr>
            <w:r w:rsidRPr="00A06F1E">
              <w:t>4.5%</w:t>
            </w:r>
          </w:p>
        </w:tc>
      </w:tr>
    </w:tbl>
    <w:p w14:paraId="5F584726" w14:textId="77777777" w:rsidR="00F14975" w:rsidRPr="00A06F1E" w:rsidRDefault="00F14975" w:rsidP="00F14975">
      <w:pPr>
        <w:pStyle w:val="TableNote"/>
      </w:pPr>
      <w:r w:rsidRPr="00A06F1E">
        <w:rPr>
          <w:i/>
          <w:iCs/>
        </w:rPr>
        <w:t>Note</w:t>
      </w:r>
      <w:r w:rsidRPr="00A06F1E">
        <w:t>. As of October 1, 2023.</w:t>
      </w:r>
    </w:p>
    <w:p w14:paraId="58AE5E5C" w14:textId="690219B9" w:rsidR="00F14975" w:rsidRPr="00A06F1E" w:rsidRDefault="00F14975" w:rsidP="00F14975">
      <w:pPr>
        <w:pStyle w:val="TableTitle0"/>
        <w:spacing w:before="180"/>
      </w:pPr>
      <w:bookmarkStart w:id="227" w:name="_Toc170701935"/>
      <w:r w:rsidRPr="00A06F1E">
        <w:lastRenderedPageBreak/>
        <w:t>Table D</w:t>
      </w:r>
      <w:r w:rsidR="007D5F1C" w:rsidRPr="00A06F1E">
        <w:t>2</w:t>
      </w:r>
      <w:r w:rsidR="007D7C7C">
        <w:t>a</w:t>
      </w:r>
      <w:r w:rsidRPr="00A06F1E">
        <w:t>. Orange Public Schools: 2023-2024 Student Enrollment by High</w:t>
      </w:r>
      <w:r w:rsidR="00895E50" w:rsidRPr="00A06F1E">
        <w:t xml:space="preserve"> </w:t>
      </w:r>
      <w:r w:rsidRPr="00A06F1E">
        <w:t>Need</w:t>
      </w:r>
      <w:r w:rsidR="00895E50" w:rsidRPr="00A06F1E">
        <w:t>s</w:t>
      </w:r>
      <w:r w:rsidRPr="00A06F1E">
        <w:t xml:space="preserve"> Populations</w:t>
      </w:r>
      <w:bookmarkEnd w:id="227"/>
    </w:p>
    <w:tbl>
      <w:tblPr>
        <w:tblStyle w:val="MSVTable1"/>
        <w:tblW w:w="5000" w:type="pct"/>
        <w:tblLayout w:type="fixed"/>
        <w:tblLook w:val="0620" w:firstRow="1" w:lastRow="0" w:firstColumn="0" w:lastColumn="0" w:noHBand="1" w:noVBand="1"/>
      </w:tblPr>
      <w:tblGrid>
        <w:gridCol w:w="2287"/>
        <w:gridCol w:w="1125"/>
        <w:gridCol w:w="1227"/>
        <w:gridCol w:w="1176"/>
        <w:gridCol w:w="1017"/>
        <w:gridCol w:w="1335"/>
        <w:gridCol w:w="1177"/>
      </w:tblGrid>
      <w:tr w:rsidR="00F14975" w:rsidRPr="00A06F1E" w14:paraId="755C1569"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bottom w:val="single" w:sz="4" w:space="0" w:color="2F5496" w:themeColor="accent5" w:themeShade="BF"/>
            </w:tcBorders>
            <w:vAlign w:val="center"/>
          </w:tcPr>
          <w:p w14:paraId="3466DC4B" w14:textId="77777777" w:rsidR="00F14975" w:rsidRPr="00A06F1E" w:rsidRDefault="00F14975">
            <w:pPr>
              <w:pStyle w:val="TableColHeadingCenter"/>
              <w:rPr>
                <w:rFonts w:cs="Calibri"/>
              </w:rPr>
            </w:pPr>
          </w:p>
        </w:tc>
        <w:tc>
          <w:tcPr>
            <w:tcW w:w="3528" w:type="dxa"/>
            <w:gridSpan w:val="3"/>
            <w:vAlign w:val="bottom"/>
          </w:tcPr>
          <w:p w14:paraId="691E0029" w14:textId="77777777" w:rsidR="00F14975" w:rsidRPr="00A06F1E" w:rsidRDefault="00F14975">
            <w:pPr>
              <w:pStyle w:val="TableColHeadingCenter"/>
            </w:pPr>
            <w:r w:rsidRPr="00A06F1E">
              <w:t>District</w:t>
            </w:r>
          </w:p>
        </w:tc>
        <w:tc>
          <w:tcPr>
            <w:tcW w:w="3529" w:type="dxa"/>
            <w:gridSpan w:val="3"/>
            <w:vAlign w:val="bottom"/>
          </w:tcPr>
          <w:p w14:paraId="3EF919B5" w14:textId="77777777" w:rsidR="00F14975" w:rsidRPr="00A06F1E" w:rsidRDefault="00F14975">
            <w:pPr>
              <w:pStyle w:val="TableColHeadingCenter"/>
            </w:pPr>
            <w:r w:rsidRPr="00A06F1E">
              <w:t>State</w:t>
            </w:r>
          </w:p>
        </w:tc>
      </w:tr>
      <w:tr w:rsidR="00F14975" w:rsidRPr="00A06F1E" w14:paraId="016EC8B6"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top w:val="single" w:sz="4" w:space="0" w:color="2F5496" w:themeColor="accent5" w:themeShade="BF"/>
            </w:tcBorders>
            <w:vAlign w:val="bottom"/>
          </w:tcPr>
          <w:p w14:paraId="68AE431F" w14:textId="77777777" w:rsidR="00F14975" w:rsidRPr="00A06F1E" w:rsidRDefault="00F14975">
            <w:pPr>
              <w:pStyle w:val="TableColHeadingCenter"/>
              <w:jc w:val="left"/>
            </w:pPr>
            <w:r w:rsidRPr="00A06F1E">
              <w:t>Group</w:t>
            </w:r>
          </w:p>
        </w:tc>
        <w:tc>
          <w:tcPr>
            <w:tcW w:w="1125" w:type="dxa"/>
            <w:vAlign w:val="bottom"/>
          </w:tcPr>
          <w:p w14:paraId="0051DE59" w14:textId="77777777" w:rsidR="00F14975" w:rsidRPr="00A06F1E" w:rsidRDefault="00F14975">
            <w:pPr>
              <w:pStyle w:val="TableColHeadingCenter"/>
              <w:rPr>
                <w:i/>
                <w:iCs/>
              </w:rPr>
            </w:pPr>
            <w:r w:rsidRPr="00A06F1E">
              <w:rPr>
                <w:i/>
                <w:iCs/>
              </w:rPr>
              <w:t>N</w:t>
            </w:r>
          </w:p>
        </w:tc>
        <w:tc>
          <w:tcPr>
            <w:tcW w:w="1227" w:type="dxa"/>
            <w:vAlign w:val="bottom"/>
          </w:tcPr>
          <w:p w14:paraId="5FCBA6E4" w14:textId="03B636D1" w:rsidR="00F14975" w:rsidRPr="00A06F1E" w:rsidRDefault="00F14975">
            <w:pPr>
              <w:pStyle w:val="TableColHeadingCenter"/>
            </w:pPr>
            <w:r w:rsidRPr="00A06F1E">
              <w:t>Percentage of high need</w:t>
            </w:r>
            <w:r w:rsidR="00F964E5" w:rsidRPr="00A06F1E">
              <w:t>s</w:t>
            </w:r>
          </w:p>
        </w:tc>
        <w:tc>
          <w:tcPr>
            <w:tcW w:w="1176" w:type="dxa"/>
            <w:vAlign w:val="bottom"/>
          </w:tcPr>
          <w:p w14:paraId="22CE5944" w14:textId="77777777" w:rsidR="00F14975" w:rsidRPr="00A06F1E" w:rsidRDefault="00F14975">
            <w:pPr>
              <w:pStyle w:val="TableColHeadingCenter"/>
            </w:pPr>
            <w:r w:rsidRPr="00A06F1E">
              <w:t>Percentage of district</w:t>
            </w:r>
          </w:p>
        </w:tc>
        <w:tc>
          <w:tcPr>
            <w:tcW w:w="1017" w:type="dxa"/>
            <w:vAlign w:val="bottom"/>
          </w:tcPr>
          <w:p w14:paraId="61433ECC" w14:textId="77777777" w:rsidR="00F14975" w:rsidRPr="00A06F1E" w:rsidRDefault="00F14975">
            <w:pPr>
              <w:pStyle w:val="TableColHeadingCenter"/>
              <w:rPr>
                <w:i/>
                <w:iCs/>
              </w:rPr>
            </w:pPr>
            <w:r w:rsidRPr="00A06F1E">
              <w:rPr>
                <w:i/>
                <w:iCs/>
              </w:rPr>
              <w:t>N</w:t>
            </w:r>
          </w:p>
        </w:tc>
        <w:tc>
          <w:tcPr>
            <w:tcW w:w="1335" w:type="dxa"/>
            <w:vAlign w:val="bottom"/>
          </w:tcPr>
          <w:p w14:paraId="6BCD01AE" w14:textId="58E6813C" w:rsidR="00F14975" w:rsidRPr="00A06F1E" w:rsidRDefault="00F14975">
            <w:pPr>
              <w:pStyle w:val="TableColHeadingCenter"/>
            </w:pPr>
            <w:r w:rsidRPr="00A06F1E">
              <w:t>Percentage of high need</w:t>
            </w:r>
            <w:r w:rsidR="00F964E5" w:rsidRPr="00A06F1E">
              <w:t>s</w:t>
            </w:r>
          </w:p>
        </w:tc>
        <w:tc>
          <w:tcPr>
            <w:tcW w:w="1177" w:type="dxa"/>
            <w:vAlign w:val="bottom"/>
          </w:tcPr>
          <w:p w14:paraId="32C66DCB" w14:textId="77777777" w:rsidR="00F14975" w:rsidRPr="00A06F1E" w:rsidRDefault="00F14975">
            <w:pPr>
              <w:pStyle w:val="TableColHeadingCenter"/>
            </w:pPr>
            <w:r w:rsidRPr="00A06F1E">
              <w:t>Percentage of state</w:t>
            </w:r>
          </w:p>
        </w:tc>
      </w:tr>
      <w:tr w:rsidR="00F14975" w:rsidRPr="00A06F1E" w14:paraId="4DBA7A09" w14:textId="77777777">
        <w:tc>
          <w:tcPr>
            <w:tcW w:w="2287" w:type="dxa"/>
          </w:tcPr>
          <w:p w14:paraId="121697EE" w14:textId="77777777" w:rsidR="00F14975" w:rsidRPr="00A06F1E" w:rsidRDefault="00F14975">
            <w:pPr>
              <w:pStyle w:val="TableText"/>
            </w:pPr>
            <w:r w:rsidRPr="00A06F1E">
              <w:t>All students with high needs</w:t>
            </w:r>
          </w:p>
        </w:tc>
        <w:tc>
          <w:tcPr>
            <w:tcW w:w="1125" w:type="dxa"/>
            <w:vAlign w:val="center"/>
          </w:tcPr>
          <w:p w14:paraId="07CF4694" w14:textId="77777777" w:rsidR="00F14975" w:rsidRPr="00A06F1E" w:rsidRDefault="00F14975">
            <w:pPr>
              <w:pStyle w:val="TableTextCentered"/>
            </w:pPr>
            <w:r w:rsidRPr="00A06F1E">
              <w:t>397</w:t>
            </w:r>
          </w:p>
        </w:tc>
        <w:tc>
          <w:tcPr>
            <w:tcW w:w="1227" w:type="dxa"/>
            <w:shd w:val="clear" w:color="auto" w:fill="D9E2F3" w:themeFill="accent5" w:themeFillTint="33"/>
            <w:vAlign w:val="center"/>
          </w:tcPr>
          <w:p w14:paraId="35D354D3" w14:textId="77777777" w:rsidR="00F14975" w:rsidRPr="00A06F1E" w:rsidRDefault="00F14975">
            <w:pPr>
              <w:pStyle w:val="TableText"/>
              <w:tabs>
                <w:tab w:val="decimal" w:pos="0"/>
              </w:tabs>
              <w:jc w:val="center"/>
            </w:pPr>
            <w:r w:rsidRPr="00A06F1E">
              <w:t>100.0%</w:t>
            </w:r>
          </w:p>
        </w:tc>
        <w:tc>
          <w:tcPr>
            <w:tcW w:w="1176" w:type="dxa"/>
            <w:shd w:val="clear" w:color="auto" w:fill="D9E2F3" w:themeFill="accent5" w:themeFillTint="33"/>
            <w:vAlign w:val="center"/>
          </w:tcPr>
          <w:p w14:paraId="0769F590" w14:textId="77777777" w:rsidR="00F14975" w:rsidRPr="00A06F1E" w:rsidRDefault="00F14975">
            <w:pPr>
              <w:pStyle w:val="TableText"/>
              <w:tabs>
                <w:tab w:val="decimal" w:pos="0"/>
              </w:tabs>
              <w:jc w:val="center"/>
            </w:pPr>
            <w:r w:rsidRPr="00A06F1E">
              <w:t>74.6%</w:t>
            </w:r>
          </w:p>
        </w:tc>
        <w:tc>
          <w:tcPr>
            <w:tcW w:w="1017" w:type="dxa"/>
            <w:vAlign w:val="center"/>
          </w:tcPr>
          <w:p w14:paraId="06FE5B73" w14:textId="77777777" w:rsidR="00F14975" w:rsidRPr="00A06F1E" w:rsidRDefault="00F14975">
            <w:pPr>
              <w:pStyle w:val="TableTextCentered"/>
            </w:pPr>
            <w:r w:rsidRPr="00A06F1E">
              <w:t>515,939</w:t>
            </w:r>
          </w:p>
        </w:tc>
        <w:tc>
          <w:tcPr>
            <w:tcW w:w="1335" w:type="dxa"/>
            <w:shd w:val="clear" w:color="auto" w:fill="D9E2F3" w:themeFill="accent5" w:themeFillTint="33"/>
            <w:vAlign w:val="center"/>
          </w:tcPr>
          <w:p w14:paraId="6706FEDA" w14:textId="77777777" w:rsidR="00F14975" w:rsidRPr="00A06F1E" w:rsidRDefault="00F14975">
            <w:pPr>
              <w:pStyle w:val="TableText"/>
              <w:tabs>
                <w:tab w:val="decimal" w:pos="0"/>
              </w:tabs>
              <w:jc w:val="center"/>
            </w:pPr>
            <w:r w:rsidRPr="00A06F1E">
              <w:t>100.0%</w:t>
            </w:r>
          </w:p>
        </w:tc>
        <w:tc>
          <w:tcPr>
            <w:tcW w:w="1177" w:type="dxa"/>
            <w:shd w:val="clear" w:color="auto" w:fill="D9E2F3" w:themeFill="accent5" w:themeFillTint="33"/>
            <w:vAlign w:val="center"/>
          </w:tcPr>
          <w:p w14:paraId="126BD441" w14:textId="77777777" w:rsidR="00F14975" w:rsidRPr="00A06F1E" w:rsidRDefault="00F14975">
            <w:pPr>
              <w:pStyle w:val="TableText"/>
              <w:tabs>
                <w:tab w:val="decimal" w:pos="0"/>
              </w:tabs>
              <w:jc w:val="center"/>
            </w:pPr>
            <w:r w:rsidRPr="00A06F1E">
              <w:t>55.8%</w:t>
            </w:r>
          </w:p>
        </w:tc>
      </w:tr>
      <w:tr w:rsidR="00F14975" w:rsidRPr="00A06F1E" w14:paraId="6C585EBF" w14:textId="77777777">
        <w:tc>
          <w:tcPr>
            <w:tcW w:w="2287" w:type="dxa"/>
          </w:tcPr>
          <w:p w14:paraId="05E87C7F" w14:textId="77777777" w:rsidR="00F14975" w:rsidRPr="00A06F1E" w:rsidRDefault="00F14975">
            <w:pPr>
              <w:pStyle w:val="TableText"/>
            </w:pPr>
            <w:r w:rsidRPr="00A06F1E">
              <w:t>Students with disabilities</w:t>
            </w:r>
          </w:p>
        </w:tc>
        <w:tc>
          <w:tcPr>
            <w:tcW w:w="1125" w:type="dxa"/>
            <w:vAlign w:val="center"/>
          </w:tcPr>
          <w:p w14:paraId="42FCC3B7" w14:textId="77777777" w:rsidR="00F14975" w:rsidRPr="00A06F1E" w:rsidRDefault="00F14975">
            <w:pPr>
              <w:pStyle w:val="TableTextCentered"/>
            </w:pPr>
            <w:r w:rsidRPr="00A06F1E">
              <w:t>130</w:t>
            </w:r>
          </w:p>
        </w:tc>
        <w:tc>
          <w:tcPr>
            <w:tcW w:w="1227" w:type="dxa"/>
            <w:shd w:val="clear" w:color="auto" w:fill="D9E2F3" w:themeFill="accent5" w:themeFillTint="33"/>
            <w:vAlign w:val="center"/>
          </w:tcPr>
          <w:p w14:paraId="75ED2A6E" w14:textId="77777777" w:rsidR="00F14975" w:rsidRPr="00A06F1E" w:rsidRDefault="00F14975">
            <w:pPr>
              <w:pStyle w:val="TableText"/>
              <w:tabs>
                <w:tab w:val="decimal" w:pos="0"/>
              </w:tabs>
              <w:jc w:val="center"/>
            </w:pPr>
            <w:r w:rsidRPr="00A06F1E">
              <w:t>32.7%</w:t>
            </w:r>
          </w:p>
        </w:tc>
        <w:tc>
          <w:tcPr>
            <w:tcW w:w="1176" w:type="dxa"/>
            <w:shd w:val="clear" w:color="auto" w:fill="D9E2F3" w:themeFill="accent5" w:themeFillTint="33"/>
            <w:vAlign w:val="center"/>
          </w:tcPr>
          <w:p w14:paraId="2681ADD5" w14:textId="77777777" w:rsidR="00F14975" w:rsidRPr="00A06F1E" w:rsidRDefault="00F14975">
            <w:pPr>
              <w:pStyle w:val="TableText"/>
              <w:tabs>
                <w:tab w:val="decimal" w:pos="0"/>
              </w:tabs>
              <w:jc w:val="center"/>
            </w:pPr>
            <w:r w:rsidRPr="00A06F1E">
              <w:t>24.4%</w:t>
            </w:r>
          </w:p>
        </w:tc>
        <w:tc>
          <w:tcPr>
            <w:tcW w:w="1017" w:type="dxa"/>
            <w:vAlign w:val="center"/>
          </w:tcPr>
          <w:p w14:paraId="57F67F32" w14:textId="77777777" w:rsidR="00F14975" w:rsidRPr="00A06F1E" w:rsidRDefault="00F14975">
            <w:pPr>
              <w:pStyle w:val="TableTextCentered"/>
            </w:pPr>
            <w:r w:rsidRPr="00A06F1E">
              <w:t>187,160</w:t>
            </w:r>
          </w:p>
        </w:tc>
        <w:tc>
          <w:tcPr>
            <w:tcW w:w="1335" w:type="dxa"/>
            <w:shd w:val="clear" w:color="auto" w:fill="D9E2F3" w:themeFill="accent5" w:themeFillTint="33"/>
            <w:vAlign w:val="center"/>
          </w:tcPr>
          <w:p w14:paraId="267A918F" w14:textId="77777777" w:rsidR="00F14975" w:rsidRPr="00A06F1E" w:rsidRDefault="00F14975">
            <w:pPr>
              <w:pStyle w:val="TableText"/>
              <w:tabs>
                <w:tab w:val="decimal" w:pos="0"/>
              </w:tabs>
              <w:jc w:val="center"/>
            </w:pPr>
            <w:r w:rsidRPr="00A06F1E">
              <w:t>36.3%</w:t>
            </w:r>
          </w:p>
        </w:tc>
        <w:tc>
          <w:tcPr>
            <w:tcW w:w="1177" w:type="dxa"/>
            <w:shd w:val="clear" w:color="auto" w:fill="D9E2F3" w:themeFill="accent5" w:themeFillTint="33"/>
            <w:vAlign w:val="center"/>
          </w:tcPr>
          <w:p w14:paraId="472EE01C" w14:textId="77777777" w:rsidR="00F14975" w:rsidRPr="00A06F1E" w:rsidRDefault="00F14975">
            <w:pPr>
              <w:pStyle w:val="TableText"/>
              <w:tabs>
                <w:tab w:val="decimal" w:pos="0"/>
              </w:tabs>
              <w:jc w:val="center"/>
            </w:pPr>
            <w:r w:rsidRPr="00A06F1E">
              <w:t>20.2%</w:t>
            </w:r>
          </w:p>
        </w:tc>
      </w:tr>
      <w:tr w:rsidR="00F14975" w:rsidRPr="00A06F1E" w14:paraId="3CFA6874" w14:textId="77777777">
        <w:tc>
          <w:tcPr>
            <w:tcW w:w="2287" w:type="dxa"/>
          </w:tcPr>
          <w:p w14:paraId="1537B7A8" w14:textId="07CF5B40" w:rsidR="00F14975" w:rsidRPr="00A06F1E" w:rsidRDefault="00F14975">
            <w:pPr>
              <w:pStyle w:val="TableText"/>
            </w:pPr>
            <w:r w:rsidRPr="00A06F1E">
              <w:t xml:space="preserve">Low-income </w:t>
            </w:r>
          </w:p>
        </w:tc>
        <w:tc>
          <w:tcPr>
            <w:tcW w:w="1125" w:type="dxa"/>
            <w:vAlign w:val="center"/>
          </w:tcPr>
          <w:p w14:paraId="158D5BA9" w14:textId="77777777" w:rsidR="00F14975" w:rsidRPr="00A06F1E" w:rsidRDefault="00F14975">
            <w:pPr>
              <w:pStyle w:val="TableTextCentered"/>
            </w:pPr>
            <w:r w:rsidRPr="00A06F1E">
              <w:t>361</w:t>
            </w:r>
          </w:p>
        </w:tc>
        <w:tc>
          <w:tcPr>
            <w:tcW w:w="1227" w:type="dxa"/>
            <w:shd w:val="clear" w:color="auto" w:fill="D9E2F3" w:themeFill="accent5" w:themeFillTint="33"/>
            <w:vAlign w:val="center"/>
          </w:tcPr>
          <w:p w14:paraId="6B021BA3" w14:textId="77777777" w:rsidR="00F14975" w:rsidRPr="00A06F1E" w:rsidRDefault="00F14975">
            <w:pPr>
              <w:pStyle w:val="TableText"/>
              <w:tabs>
                <w:tab w:val="decimal" w:pos="0"/>
              </w:tabs>
              <w:jc w:val="center"/>
            </w:pPr>
            <w:r w:rsidRPr="00A06F1E">
              <w:t>90.9%</w:t>
            </w:r>
          </w:p>
        </w:tc>
        <w:tc>
          <w:tcPr>
            <w:tcW w:w="1176" w:type="dxa"/>
            <w:shd w:val="clear" w:color="auto" w:fill="D9E2F3" w:themeFill="accent5" w:themeFillTint="33"/>
            <w:vAlign w:val="center"/>
          </w:tcPr>
          <w:p w14:paraId="4AEB33BA" w14:textId="77777777" w:rsidR="00F14975" w:rsidRPr="00A06F1E" w:rsidRDefault="00F14975">
            <w:pPr>
              <w:pStyle w:val="TableText"/>
              <w:tabs>
                <w:tab w:val="decimal" w:pos="0"/>
              </w:tabs>
              <w:jc w:val="center"/>
            </w:pPr>
            <w:r w:rsidRPr="00A06F1E">
              <w:t>69.0%</w:t>
            </w:r>
          </w:p>
        </w:tc>
        <w:tc>
          <w:tcPr>
            <w:tcW w:w="1017" w:type="dxa"/>
            <w:vAlign w:val="center"/>
          </w:tcPr>
          <w:p w14:paraId="3C2C359F" w14:textId="77777777" w:rsidR="00F14975" w:rsidRPr="00A06F1E" w:rsidRDefault="00F14975">
            <w:pPr>
              <w:pStyle w:val="TableTextCentered"/>
            </w:pPr>
            <w:r w:rsidRPr="00A06F1E">
              <w:t>385,697</w:t>
            </w:r>
          </w:p>
        </w:tc>
        <w:tc>
          <w:tcPr>
            <w:tcW w:w="1335" w:type="dxa"/>
            <w:shd w:val="clear" w:color="auto" w:fill="D9E2F3" w:themeFill="accent5" w:themeFillTint="33"/>
            <w:vAlign w:val="center"/>
          </w:tcPr>
          <w:p w14:paraId="0711E071" w14:textId="77777777" w:rsidR="00F14975" w:rsidRPr="00A06F1E" w:rsidRDefault="00F14975">
            <w:pPr>
              <w:pStyle w:val="TableText"/>
              <w:tabs>
                <w:tab w:val="decimal" w:pos="0"/>
              </w:tabs>
              <w:jc w:val="center"/>
            </w:pPr>
            <w:r w:rsidRPr="00A06F1E">
              <w:t>74.8%</w:t>
            </w:r>
          </w:p>
        </w:tc>
        <w:tc>
          <w:tcPr>
            <w:tcW w:w="1177" w:type="dxa"/>
            <w:shd w:val="clear" w:color="auto" w:fill="D9E2F3" w:themeFill="accent5" w:themeFillTint="33"/>
            <w:vAlign w:val="center"/>
          </w:tcPr>
          <w:p w14:paraId="53DC140F" w14:textId="77777777" w:rsidR="00F14975" w:rsidRPr="00A06F1E" w:rsidRDefault="00F14975">
            <w:pPr>
              <w:pStyle w:val="TableText"/>
              <w:tabs>
                <w:tab w:val="decimal" w:pos="0"/>
              </w:tabs>
              <w:jc w:val="center"/>
            </w:pPr>
            <w:r w:rsidRPr="00A06F1E">
              <w:t>42.2%</w:t>
            </w:r>
          </w:p>
        </w:tc>
      </w:tr>
      <w:tr w:rsidR="00F14975" w:rsidRPr="00A06F1E" w14:paraId="29CE25A8" w14:textId="77777777">
        <w:tc>
          <w:tcPr>
            <w:tcW w:w="2287" w:type="dxa"/>
          </w:tcPr>
          <w:p w14:paraId="6D85FE48" w14:textId="0105B7CD" w:rsidR="00F14975" w:rsidRPr="00A06F1E" w:rsidRDefault="0066296E">
            <w:pPr>
              <w:pStyle w:val="TableText"/>
            </w:pPr>
            <w:r w:rsidRPr="00A06F1E">
              <w:rPr>
                <w:spacing w:val="-4"/>
              </w:rPr>
              <w:t>E</w:t>
            </w:r>
            <w:r>
              <w:rPr>
                <w:spacing w:val="-4"/>
              </w:rPr>
              <w:t>nglish learners</w:t>
            </w:r>
          </w:p>
        </w:tc>
        <w:tc>
          <w:tcPr>
            <w:tcW w:w="1125" w:type="dxa"/>
            <w:vAlign w:val="center"/>
          </w:tcPr>
          <w:p w14:paraId="48790FAF" w14:textId="77777777" w:rsidR="00F14975" w:rsidRPr="00A06F1E" w:rsidRDefault="00F14975">
            <w:pPr>
              <w:pStyle w:val="TableTextCentered"/>
            </w:pPr>
            <w:r w:rsidRPr="00A06F1E">
              <w:t>4</w:t>
            </w:r>
          </w:p>
        </w:tc>
        <w:tc>
          <w:tcPr>
            <w:tcW w:w="1227" w:type="dxa"/>
            <w:shd w:val="clear" w:color="auto" w:fill="D9E2F3" w:themeFill="accent5" w:themeFillTint="33"/>
            <w:vAlign w:val="center"/>
          </w:tcPr>
          <w:p w14:paraId="675B8C68" w14:textId="77777777" w:rsidR="00F14975" w:rsidRPr="00A06F1E" w:rsidRDefault="00F14975">
            <w:pPr>
              <w:pStyle w:val="TableText"/>
              <w:tabs>
                <w:tab w:val="decimal" w:pos="0"/>
              </w:tabs>
              <w:jc w:val="center"/>
            </w:pPr>
            <w:r w:rsidRPr="00A06F1E">
              <w:t>1.0%</w:t>
            </w:r>
          </w:p>
        </w:tc>
        <w:tc>
          <w:tcPr>
            <w:tcW w:w="1176" w:type="dxa"/>
            <w:shd w:val="clear" w:color="auto" w:fill="D9E2F3" w:themeFill="accent5" w:themeFillTint="33"/>
            <w:vAlign w:val="center"/>
          </w:tcPr>
          <w:p w14:paraId="3E2657D6" w14:textId="77777777" w:rsidR="00F14975" w:rsidRPr="00A06F1E" w:rsidRDefault="00F14975">
            <w:pPr>
              <w:pStyle w:val="TableText"/>
              <w:tabs>
                <w:tab w:val="decimal" w:pos="0"/>
              </w:tabs>
              <w:jc w:val="center"/>
            </w:pPr>
            <w:r w:rsidRPr="00A06F1E">
              <w:t>0.8%</w:t>
            </w:r>
          </w:p>
        </w:tc>
        <w:tc>
          <w:tcPr>
            <w:tcW w:w="1017" w:type="dxa"/>
            <w:vAlign w:val="center"/>
          </w:tcPr>
          <w:p w14:paraId="60046F5A" w14:textId="77777777" w:rsidR="00F14975" w:rsidRPr="00A06F1E" w:rsidRDefault="00F14975">
            <w:pPr>
              <w:pStyle w:val="TableTextCentered"/>
            </w:pPr>
            <w:r w:rsidRPr="00A06F1E">
              <w:t>119,749</w:t>
            </w:r>
          </w:p>
        </w:tc>
        <w:tc>
          <w:tcPr>
            <w:tcW w:w="1335" w:type="dxa"/>
            <w:shd w:val="clear" w:color="auto" w:fill="D9E2F3" w:themeFill="accent5" w:themeFillTint="33"/>
            <w:vAlign w:val="center"/>
          </w:tcPr>
          <w:p w14:paraId="2530BBE5" w14:textId="77777777" w:rsidR="00F14975" w:rsidRPr="00A06F1E" w:rsidRDefault="00F14975">
            <w:pPr>
              <w:pStyle w:val="TableText"/>
              <w:tabs>
                <w:tab w:val="decimal" w:pos="0"/>
              </w:tabs>
              <w:jc w:val="center"/>
            </w:pPr>
            <w:r w:rsidRPr="00A06F1E">
              <w:t>23.2%</w:t>
            </w:r>
          </w:p>
        </w:tc>
        <w:tc>
          <w:tcPr>
            <w:tcW w:w="1177" w:type="dxa"/>
            <w:shd w:val="clear" w:color="auto" w:fill="D9E2F3" w:themeFill="accent5" w:themeFillTint="33"/>
            <w:vAlign w:val="center"/>
          </w:tcPr>
          <w:p w14:paraId="59A4FEC1" w14:textId="77777777" w:rsidR="00F14975" w:rsidRPr="00A06F1E" w:rsidRDefault="00F14975">
            <w:pPr>
              <w:pStyle w:val="TableText"/>
              <w:tabs>
                <w:tab w:val="decimal" w:pos="0"/>
              </w:tabs>
              <w:jc w:val="center"/>
            </w:pPr>
            <w:r w:rsidRPr="00A06F1E">
              <w:t>13.1%</w:t>
            </w:r>
          </w:p>
        </w:tc>
      </w:tr>
    </w:tbl>
    <w:p w14:paraId="648754F4" w14:textId="77777777" w:rsidR="00F14975" w:rsidRPr="00A06F1E" w:rsidRDefault="00F14975" w:rsidP="00F14975">
      <w:pPr>
        <w:pStyle w:val="TableNote"/>
        <w:rPr>
          <w:rFonts w:eastAsia="Calibri"/>
        </w:rPr>
      </w:pPr>
      <w:r w:rsidRPr="00A06F1E">
        <w:rPr>
          <w:rFonts w:eastAsia="Calibri"/>
          <w:i/>
          <w:iCs/>
        </w:rPr>
        <w:t>Note</w:t>
      </w:r>
      <w:r w:rsidRPr="00A06F1E">
        <w:rPr>
          <w:rFonts w:eastAsia="Calibri"/>
        </w:rPr>
        <w:t>. As of October 1, 2023. District and state numbers and percentages for students with disabilities and high needs are calculated including students in out-of-district placements. Total district enrollment including students in out-of-district placement is 552; total state enrollment including students in out-of-district placement is 924,947.</w:t>
      </w:r>
    </w:p>
    <w:p w14:paraId="36D2F3F3" w14:textId="6C8C3F17" w:rsidR="00F14975" w:rsidRPr="00A06F1E" w:rsidRDefault="00F14975" w:rsidP="00F14975">
      <w:pPr>
        <w:pStyle w:val="TableTitle0"/>
        <w:spacing w:before="180"/>
      </w:pPr>
      <w:bookmarkStart w:id="228" w:name="_Toc170701936"/>
      <w:r w:rsidRPr="00A06F1E">
        <w:t>Table D</w:t>
      </w:r>
      <w:r w:rsidR="007D5F1C" w:rsidRPr="00A06F1E">
        <w:t>2</w:t>
      </w:r>
      <w:r w:rsidR="00875252">
        <w:t>b</w:t>
      </w:r>
      <w:r w:rsidRPr="00A06F1E">
        <w:t xml:space="preserve">. </w:t>
      </w:r>
      <w:proofErr w:type="spellStart"/>
      <w:r w:rsidRPr="00A06F1E">
        <w:t>Petersham</w:t>
      </w:r>
      <w:proofErr w:type="spellEnd"/>
      <w:r w:rsidRPr="00A06F1E">
        <w:t xml:space="preserve"> Public Schools: 2023-2024 Student Enrollment by High</w:t>
      </w:r>
      <w:r w:rsidR="00895E50" w:rsidRPr="00A06F1E">
        <w:t xml:space="preserve"> </w:t>
      </w:r>
      <w:r w:rsidRPr="00A06F1E">
        <w:t>Need</w:t>
      </w:r>
      <w:r w:rsidR="00895E50" w:rsidRPr="00A06F1E">
        <w:t>s</w:t>
      </w:r>
      <w:r w:rsidRPr="00A06F1E">
        <w:t xml:space="preserve"> Populations</w:t>
      </w:r>
      <w:bookmarkEnd w:id="228"/>
    </w:p>
    <w:tbl>
      <w:tblPr>
        <w:tblStyle w:val="MSVTable1"/>
        <w:tblW w:w="5000" w:type="pct"/>
        <w:tblLayout w:type="fixed"/>
        <w:tblLook w:val="0620" w:firstRow="1" w:lastRow="0" w:firstColumn="0" w:lastColumn="0" w:noHBand="1" w:noVBand="1"/>
      </w:tblPr>
      <w:tblGrid>
        <w:gridCol w:w="2287"/>
        <w:gridCol w:w="1125"/>
        <w:gridCol w:w="1227"/>
        <w:gridCol w:w="1176"/>
        <w:gridCol w:w="1017"/>
        <w:gridCol w:w="1335"/>
        <w:gridCol w:w="1177"/>
      </w:tblGrid>
      <w:tr w:rsidR="00F14975" w:rsidRPr="00A06F1E" w14:paraId="3939E80E"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bottom w:val="single" w:sz="4" w:space="0" w:color="2F5496" w:themeColor="accent5" w:themeShade="BF"/>
            </w:tcBorders>
            <w:vAlign w:val="center"/>
          </w:tcPr>
          <w:p w14:paraId="55E58CEA" w14:textId="77777777" w:rsidR="00F14975" w:rsidRPr="00A06F1E" w:rsidRDefault="00F14975">
            <w:pPr>
              <w:pStyle w:val="TableColHeadingCenter"/>
              <w:rPr>
                <w:rFonts w:cs="Calibri"/>
              </w:rPr>
            </w:pPr>
          </w:p>
        </w:tc>
        <w:tc>
          <w:tcPr>
            <w:tcW w:w="3528" w:type="dxa"/>
            <w:gridSpan w:val="3"/>
            <w:vAlign w:val="bottom"/>
          </w:tcPr>
          <w:p w14:paraId="625BCC77" w14:textId="77777777" w:rsidR="00F14975" w:rsidRPr="00A06F1E" w:rsidRDefault="00F14975">
            <w:pPr>
              <w:pStyle w:val="TableColHeadingCenter"/>
            </w:pPr>
            <w:r w:rsidRPr="00A06F1E">
              <w:t>District</w:t>
            </w:r>
          </w:p>
        </w:tc>
        <w:tc>
          <w:tcPr>
            <w:tcW w:w="3529" w:type="dxa"/>
            <w:gridSpan w:val="3"/>
            <w:vAlign w:val="bottom"/>
          </w:tcPr>
          <w:p w14:paraId="76BFDACD" w14:textId="77777777" w:rsidR="00F14975" w:rsidRPr="00A06F1E" w:rsidRDefault="00F14975">
            <w:pPr>
              <w:pStyle w:val="TableColHeadingCenter"/>
            </w:pPr>
            <w:r w:rsidRPr="00A06F1E">
              <w:t>State</w:t>
            </w:r>
          </w:p>
        </w:tc>
      </w:tr>
      <w:tr w:rsidR="00F14975" w:rsidRPr="00A06F1E" w14:paraId="1558457C"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top w:val="single" w:sz="4" w:space="0" w:color="2F5496" w:themeColor="accent5" w:themeShade="BF"/>
            </w:tcBorders>
            <w:vAlign w:val="bottom"/>
          </w:tcPr>
          <w:p w14:paraId="7D88250B" w14:textId="77777777" w:rsidR="00F14975" w:rsidRPr="00A06F1E" w:rsidRDefault="00F14975">
            <w:pPr>
              <w:pStyle w:val="TableColHeadingCenter"/>
              <w:jc w:val="left"/>
            </w:pPr>
            <w:r w:rsidRPr="00A06F1E">
              <w:t>Group</w:t>
            </w:r>
          </w:p>
        </w:tc>
        <w:tc>
          <w:tcPr>
            <w:tcW w:w="1125" w:type="dxa"/>
            <w:vAlign w:val="bottom"/>
          </w:tcPr>
          <w:p w14:paraId="6B020D88" w14:textId="77777777" w:rsidR="00F14975" w:rsidRPr="00A06F1E" w:rsidRDefault="00F14975">
            <w:pPr>
              <w:pStyle w:val="TableColHeadingCenter"/>
              <w:rPr>
                <w:i/>
                <w:iCs/>
              </w:rPr>
            </w:pPr>
            <w:r w:rsidRPr="00A06F1E">
              <w:rPr>
                <w:i/>
                <w:iCs/>
              </w:rPr>
              <w:t>N</w:t>
            </w:r>
          </w:p>
        </w:tc>
        <w:tc>
          <w:tcPr>
            <w:tcW w:w="1227" w:type="dxa"/>
            <w:vAlign w:val="bottom"/>
          </w:tcPr>
          <w:p w14:paraId="48CE0208" w14:textId="619AC681" w:rsidR="00F14975" w:rsidRPr="00A06F1E" w:rsidRDefault="00F14975">
            <w:pPr>
              <w:pStyle w:val="TableColHeadingCenter"/>
            </w:pPr>
            <w:r w:rsidRPr="00A06F1E">
              <w:t>Percentage of high need</w:t>
            </w:r>
            <w:r w:rsidR="00F03E07" w:rsidRPr="00A06F1E">
              <w:t>s</w:t>
            </w:r>
          </w:p>
        </w:tc>
        <w:tc>
          <w:tcPr>
            <w:tcW w:w="1176" w:type="dxa"/>
            <w:vAlign w:val="bottom"/>
          </w:tcPr>
          <w:p w14:paraId="2230CED7" w14:textId="77777777" w:rsidR="00F14975" w:rsidRPr="00A06F1E" w:rsidRDefault="00F14975">
            <w:pPr>
              <w:pStyle w:val="TableColHeadingCenter"/>
            </w:pPr>
            <w:r w:rsidRPr="00A06F1E">
              <w:t>Percentage of district</w:t>
            </w:r>
          </w:p>
        </w:tc>
        <w:tc>
          <w:tcPr>
            <w:tcW w:w="1017" w:type="dxa"/>
            <w:vAlign w:val="bottom"/>
          </w:tcPr>
          <w:p w14:paraId="457BD117" w14:textId="77777777" w:rsidR="00F14975" w:rsidRPr="00A06F1E" w:rsidRDefault="00F14975">
            <w:pPr>
              <w:pStyle w:val="TableColHeadingCenter"/>
              <w:rPr>
                <w:i/>
                <w:iCs/>
              </w:rPr>
            </w:pPr>
            <w:r w:rsidRPr="00A06F1E">
              <w:rPr>
                <w:i/>
                <w:iCs/>
              </w:rPr>
              <w:t>N</w:t>
            </w:r>
          </w:p>
        </w:tc>
        <w:tc>
          <w:tcPr>
            <w:tcW w:w="1335" w:type="dxa"/>
            <w:vAlign w:val="bottom"/>
          </w:tcPr>
          <w:p w14:paraId="3A114808" w14:textId="6CEB9237" w:rsidR="00F14975" w:rsidRPr="00A06F1E" w:rsidRDefault="00F14975">
            <w:pPr>
              <w:pStyle w:val="TableColHeadingCenter"/>
            </w:pPr>
            <w:r w:rsidRPr="00A06F1E">
              <w:t>Percentage of high need</w:t>
            </w:r>
            <w:r w:rsidR="00F03E07" w:rsidRPr="00A06F1E">
              <w:t>s</w:t>
            </w:r>
          </w:p>
        </w:tc>
        <w:tc>
          <w:tcPr>
            <w:tcW w:w="1177" w:type="dxa"/>
            <w:vAlign w:val="bottom"/>
          </w:tcPr>
          <w:p w14:paraId="44052B3B" w14:textId="77777777" w:rsidR="00F14975" w:rsidRPr="00A06F1E" w:rsidRDefault="00F14975">
            <w:pPr>
              <w:pStyle w:val="TableColHeadingCenter"/>
            </w:pPr>
            <w:r w:rsidRPr="00A06F1E">
              <w:t>Percentage of state</w:t>
            </w:r>
          </w:p>
        </w:tc>
      </w:tr>
      <w:tr w:rsidR="00F14975" w:rsidRPr="00A06F1E" w14:paraId="54CB5077" w14:textId="77777777">
        <w:tc>
          <w:tcPr>
            <w:tcW w:w="2287" w:type="dxa"/>
          </w:tcPr>
          <w:p w14:paraId="766E71B9" w14:textId="77777777" w:rsidR="00F14975" w:rsidRPr="00A06F1E" w:rsidRDefault="00F14975">
            <w:pPr>
              <w:pStyle w:val="TableText"/>
            </w:pPr>
            <w:r w:rsidRPr="00A06F1E">
              <w:t>All students with high needs</w:t>
            </w:r>
          </w:p>
        </w:tc>
        <w:tc>
          <w:tcPr>
            <w:tcW w:w="1125" w:type="dxa"/>
            <w:vAlign w:val="center"/>
          </w:tcPr>
          <w:p w14:paraId="060DB195" w14:textId="77777777" w:rsidR="00F14975" w:rsidRPr="00A06F1E" w:rsidRDefault="00F14975">
            <w:pPr>
              <w:pStyle w:val="TableTextCentered"/>
            </w:pPr>
            <w:r w:rsidRPr="00A06F1E">
              <w:t>54</w:t>
            </w:r>
          </w:p>
        </w:tc>
        <w:tc>
          <w:tcPr>
            <w:tcW w:w="1227" w:type="dxa"/>
            <w:shd w:val="clear" w:color="auto" w:fill="D9E2F3" w:themeFill="accent5" w:themeFillTint="33"/>
            <w:vAlign w:val="center"/>
          </w:tcPr>
          <w:p w14:paraId="56625FD8" w14:textId="77777777" w:rsidR="00F14975" w:rsidRPr="00A06F1E" w:rsidRDefault="00F14975">
            <w:pPr>
              <w:pStyle w:val="TableText"/>
              <w:tabs>
                <w:tab w:val="decimal" w:pos="0"/>
              </w:tabs>
              <w:jc w:val="center"/>
            </w:pPr>
            <w:r w:rsidRPr="00A06F1E">
              <w:t>100.0%</w:t>
            </w:r>
          </w:p>
        </w:tc>
        <w:tc>
          <w:tcPr>
            <w:tcW w:w="1176" w:type="dxa"/>
            <w:shd w:val="clear" w:color="auto" w:fill="D9E2F3" w:themeFill="accent5" w:themeFillTint="33"/>
            <w:vAlign w:val="center"/>
          </w:tcPr>
          <w:p w14:paraId="1703BC96" w14:textId="77777777" w:rsidR="00F14975" w:rsidRPr="00A06F1E" w:rsidRDefault="00F14975">
            <w:pPr>
              <w:pStyle w:val="TableText"/>
              <w:tabs>
                <w:tab w:val="decimal" w:pos="0"/>
              </w:tabs>
              <w:jc w:val="center"/>
            </w:pPr>
            <w:r w:rsidRPr="00A06F1E">
              <w:t>40.6%</w:t>
            </w:r>
          </w:p>
        </w:tc>
        <w:tc>
          <w:tcPr>
            <w:tcW w:w="1017" w:type="dxa"/>
            <w:vAlign w:val="center"/>
          </w:tcPr>
          <w:p w14:paraId="0566752D" w14:textId="77777777" w:rsidR="00F14975" w:rsidRPr="00A06F1E" w:rsidRDefault="00F14975">
            <w:pPr>
              <w:pStyle w:val="TableTextCentered"/>
            </w:pPr>
            <w:r w:rsidRPr="00A06F1E">
              <w:t>515,939</w:t>
            </w:r>
          </w:p>
        </w:tc>
        <w:tc>
          <w:tcPr>
            <w:tcW w:w="1335" w:type="dxa"/>
            <w:shd w:val="clear" w:color="auto" w:fill="D9E2F3" w:themeFill="accent5" w:themeFillTint="33"/>
            <w:vAlign w:val="center"/>
          </w:tcPr>
          <w:p w14:paraId="46A9F90B" w14:textId="77777777" w:rsidR="00F14975" w:rsidRPr="00A06F1E" w:rsidRDefault="00F14975">
            <w:pPr>
              <w:pStyle w:val="TableText"/>
              <w:tabs>
                <w:tab w:val="decimal" w:pos="0"/>
              </w:tabs>
              <w:jc w:val="center"/>
            </w:pPr>
            <w:r w:rsidRPr="00A06F1E">
              <w:t>100.0%</w:t>
            </w:r>
          </w:p>
        </w:tc>
        <w:tc>
          <w:tcPr>
            <w:tcW w:w="1177" w:type="dxa"/>
            <w:shd w:val="clear" w:color="auto" w:fill="D9E2F3" w:themeFill="accent5" w:themeFillTint="33"/>
            <w:vAlign w:val="center"/>
          </w:tcPr>
          <w:p w14:paraId="01C3EF98" w14:textId="77777777" w:rsidR="00F14975" w:rsidRPr="00A06F1E" w:rsidRDefault="00F14975">
            <w:pPr>
              <w:pStyle w:val="TableText"/>
              <w:tabs>
                <w:tab w:val="decimal" w:pos="0"/>
              </w:tabs>
              <w:jc w:val="center"/>
            </w:pPr>
            <w:r w:rsidRPr="00A06F1E">
              <w:t>55.8%</w:t>
            </w:r>
          </w:p>
        </w:tc>
      </w:tr>
      <w:tr w:rsidR="00F14975" w:rsidRPr="00A06F1E" w14:paraId="7BA6774E" w14:textId="77777777">
        <w:tc>
          <w:tcPr>
            <w:tcW w:w="2287" w:type="dxa"/>
          </w:tcPr>
          <w:p w14:paraId="16DAD28E" w14:textId="77777777" w:rsidR="00F14975" w:rsidRPr="00A06F1E" w:rsidRDefault="00F14975">
            <w:pPr>
              <w:pStyle w:val="TableText"/>
            </w:pPr>
            <w:r w:rsidRPr="00A06F1E">
              <w:t>Students with disabilities</w:t>
            </w:r>
          </w:p>
        </w:tc>
        <w:tc>
          <w:tcPr>
            <w:tcW w:w="1125" w:type="dxa"/>
            <w:vAlign w:val="center"/>
          </w:tcPr>
          <w:p w14:paraId="63CC5C96" w14:textId="77777777" w:rsidR="00F14975" w:rsidRPr="00A06F1E" w:rsidRDefault="00F14975">
            <w:pPr>
              <w:pStyle w:val="TableTextCentered"/>
            </w:pPr>
            <w:r w:rsidRPr="00A06F1E">
              <w:t>17</w:t>
            </w:r>
          </w:p>
        </w:tc>
        <w:tc>
          <w:tcPr>
            <w:tcW w:w="1227" w:type="dxa"/>
            <w:shd w:val="clear" w:color="auto" w:fill="D9E2F3" w:themeFill="accent5" w:themeFillTint="33"/>
            <w:vAlign w:val="center"/>
          </w:tcPr>
          <w:p w14:paraId="3208DFE1" w14:textId="77777777" w:rsidR="00F14975" w:rsidRPr="00A06F1E" w:rsidRDefault="00F14975">
            <w:pPr>
              <w:pStyle w:val="TableText"/>
              <w:tabs>
                <w:tab w:val="decimal" w:pos="0"/>
              </w:tabs>
              <w:jc w:val="center"/>
            </w:pPr>
            <w:r w:rsidRPr="00A06F1E">
              <w:t>31.5%</w:t>
            </w:r>
          </w:p>
        </w:tc>
        <w:tc>
          <w:tcPr>
            <w:tcW w:w="1176" w:type="dxa"/>
            <w:shd w:val="clear" w:color="auto" w:fill="D9E2F3" w:themeFill="accent5" w:themeFillTint="33"/>
            <w:vAlign w:val="center"/>
          </w:tcPr>
          <w:p w14:paraId="1981781B" w14:textId="77777777" w:rsidR="00F14975" w:rsidRPr="00A06F1E" w:rsidRDefault="00F14975">
            <w:pPr>
              <w:pStyle w:val="TableText"/>
              <w:tabs>
                <w:tab w:val="decimal" w:pos="0"/>
              </w:tabs>
              <w:jc w:val="center"/>
            </w:pPr>
            <w:r w:rsidRPr="00A06F1E">
              <w:t>12.8%</w:t>
            </w:r>
          </w:p>
        </w:tc>
        <w:tc>
          <w:tcPr>
            <w:tcW w:w="1017" w:type="dxa"/>
            <w:vAlign w:val="center"/>
          </w:tcPr>
          <w:p w14:paraId="16E97496" w14:textId="77777777" w:rsidR="00F14975" w:rsidRPr="00A06F1E" w:rsidRDefault="00F14975">
            <w:pPr>
              <w:pStyle w:val="TableTextCentered"/>
            </w:pPr>
            <w:r w:rsidRPr="00A06F1E">
              <w:t>187,160</w:t>
            </w:r>
          </w:p>
        </w:tc>
        <w:tc>
          <w:tcPr>
            <w:tcW w:w="1335" w:type="dxa"/>
            <w:shd w:val="clear" w:color="auto" w:fill="D9E2F3" w:themeFill="accent5" w:themeFillTint="33"/>
            <w:vAlign w:val="center"/>
          </w:tcPr>
          <w:p w14:paraId="152A4AA1" w14:textId="77777777" w:rsidR="00F14975" w:rsidRPr="00A06F1E" w:rsidRDefault="00F14975">
            <w:pPr>
              <w:pStyle w:val="TableText"/>
              <w:tabs>
                <w:tab w:val="decimal" w:pos="0"/>
              </w:tabs>
              <w:jc w:val="center"/>
            </w:pPr>
            <w:r w:rsidRPr="00A06F1E">
              <w:t>36.3%</w:t>
            </w:r>
          </w:p>
        </w:tc>
        <w:tc>
          <w:tcPr>
            <w:tcW w:w="1177" w:type="dxa"/>
            <w:shd w:val="clear" w:color="auto" w:fill="D9E2F3" w:themeFill="accent5" w:themeFillTint="33"/>
            <w:vAlign w:val="center"/>
          </w:tcPr>
          <w:p w14:paraId="127DB571" w14:textId="77777777" w:rsidR="00F14975" w:rsidRPr="00A06F1E" w:rsidRDefault="00F14975">
            <w:pPr>
              <w:pStyle w:val="TableText"/>
              <w:tabs>
                <w:tab w:val="decimal" w:pos="0"/>
              </w:tabs>
              <w:jc w:val="center"/>
            </w:pPr>
            <w:r w:rsidRPr="00A06F1E">
              <w:t>20.2%</w:t>
            </w:r>
          </w:p>
        </w:tc>
      </w:tr>
      <w:tr w:rsidR="00F14975" w:rsidRPr="00A06F1E" w14:paraId="3DC73D7B" w14:textId="77777777">
        <w:tc>
          <w:tcPr>
            <w:tcW w:w="2287" w:type="dxa"/>
          </w:tcPr>
          <w:p w14:paraId="3C3BE193" w14:textId="31488E87" w:rsidR="00F14975" w:rsidRPr="00A06F1E" w:rsidRDefault="00F14975">
            <w:pPr>
              <w:pStyle w:val="TableText"/>
            </w:pPr>
            <w:r w:rsidRPr="00A06F1E">
              <w:t xml:space="preserve">Low-income </w:t>
            </w:r>
          </w:p>
        </w:tc>
        <w:tc>
          <w:tcPr>
            <w:tcW w:w="1125" w:type="dxa"/>
            <w:vAlign w:val="center"/>
          </w:tcPr>
          <w:p w14:paraId="60499027" w14:textId="77777777" w:rsidR="00F14975" w:rsidRPr="00A06F1E" w:rsidRDefault="00F14975">
            <w:pPr>
              <w:pStyle w:val="TableTextCentered"/>
            </w:pPr>
            <w:r w:rsidRPr="00A06F1E">
              <w:t>43</w:t>
            </w:r>
          </w:p>
        </w:tc>
        <w:tc>
          <w:tcPr>
            <w:tcW w:w="1227" w:type="dxa"/>
            <w:shd w:val="clear" w:color="auto" w:fill="D9E2F3" w:themeFill="accent5" w:themeFillTint="33"/>
            <w:vAlign w:val="center"/>
          </w:tcPr>
          <w:p w14:paraId="012C1A83" w14:textId="77777777" w:rsidR="00F14975" w:rsidRPr="00A06F1E" w:rsidRDefault="00F14975">
            <w:pPr>
              <w:pStyle w:val="TableText"/>
              <w:tabs>
                <w:tab w:val="decimal" w:pos="0"/>
              </w:tabs>
              <w:jc w:val="center"/>
            </w:pPr>
            <w:r w:rsidRPr="00A06F1E">
              <w:t>79.6%</w:t>
            </w:r>
          </w:p>
        </w:tc>
        <w:tc>
          <w:tcPr>
            <w:tcW w:w="1176" w:type="dxa"/>
            <w:shd w:val="clear" w:color="auto" w:fill="D9E2F3" w:themeFill="accent5" w:themeFillTint="33"/>
            <w:vAlign w:val="center"/>
          </w:tcPr>
          <w:p w14:paraId="1401CE1D" w14:textId="77777777" w:rsidR="00F14975" w:rsidRPr="00A06F1E" w:rsidRDefault="00F14975">
            <w:pPr>
              <w:pStyle w:val="TableText"/>
              <w:tabs>
                <w:tab w:val="decimal" w:pos="0"/>
              </w:tabs>
              <w:jc w:val="center"/>
            </w:pPr>
            <w:r w:rsidRPr="00A06F1E">
              <w:t>32.3%</w:t>
            </w:r>
          </w:p>
        </w:tc>
        <w:tc>
          <w:tcPr>
            <w:tcW w:w="1017" w:type="dxa"/>
            <w:vAlign w:val="center"/>
          </w:tcPr>
          <w:p w14:paraId="244CDCB2" w14:textId="77777777" w:rsidR="00F14975" w:rsidRPr="00A06F1E" w:rsidRDefault="00F14975">
            <w:pPr>
              <w:pStyle w:val="TableTextCentered"/>
            </w:pPr>
            <w:r w:rsidRPr="00A06F1E">
              <w:t>385,697</w:t>
            </w:r>
          </w:p>
        </w:tc>
        <w:tc>
          <w:tcPr>
            <w:tcW w:w="1335" w:type="dxa"/>
            <w:shd w:val="clear" w:color="auto" w:fill="D9E2F3" w:themeFill="accent5" w:themeFillTint="33"/>
            <w:vAlign w:val="center"/>
          </w:tcPr>
          <w:p w14:paraId="33BB5372" w14:textId="77777777" w:rsidR="00F14975" w:rsidRPr="00A06F1E" w:rsidRDefault="00F14975">
            <w:pPr>
              <w:pStyle w:val="TableText"/>
              <w:tabs>
                <w:tab w:val="decimal" w:pos="0"/>
              </w:tabs>
              <w:jc w:val="center"/>
            </w:pPr>
            <w:r w:rsidRPr="00A06F1E">
              <w:t>74.8%</w:t>
            </w:r>
          </w:p>
        </w:tc>
        <w:tc>
          <w:tcPr>
            <w:tcW w:w="1177" w:type="dxa"/>
            <w:shd w:val="clear" w:color="auto" w:fill="D9E2F3" w:themeFill="accent5" w:themeFillTint="33"/>
            <w:vAlign w:val="center"/>
          </w:tcPr>
          <w:p w14:paraId="347D1624" w14:textId="77777777" w:rsidR="00F14975" w:rsidRPr="00A06F1E" w:rsidRDefault="00F14975">
            <w:pPr>
              <w:pStyle w:val="TableText"/>
              <w:tabs>
                <w:tab w:val="decimal" w:pos="0"/>
              </w:tabs>
              <w:jc w:val="center"/>
            </w:pPr>
            <w:r w:rsidRPr="00A06F1E">
              <w:t>42.2%</w:t>
            </w:r>
          </w:p>
        </w:tc>
      </w:tr>
      <w:tr w:rsidR="00F14975" w:rsidRPr="00A06F1E" w14:paraId="7F9FB79F" w14:textId="77777777">
        <w:tc>
          <w:tcPr>
            <w:tcW w:w="2287" w:type="dxa"/>
          </w:tcPr>
          <w:p w14:paraId="1F8E6413" w14:textId="2829A766" w:rsidR="00F14975" w:rsidRPr="00A06F1E" w:rsidRDefault="0066296E">
            <w:pPr>
              <w:pStyle w:val="TableText"/>
            </w:pPr>
            <w:r w:rsidRPr="00A06F1E">
              <w:rPr>
                <w:spacing w:val="-4"/>
              </w:rPr>
              <w:t>E</w:t>
            </w:r>
            <w:r>
              <w:rPr>
                <w:spacing w:val="-4"/>
              </w:rPr>
              <w:t>nglish learners</w:t>
            </w:r>
          </w:p>
        </w:tc>
        <w:tc>
          <w:tcPr>
            <w:tcW w:w="1125" w:type="dxa"/>
            <w:vAlign w:val="center"/>
          </w:tcPr>
          <w:p w14:paraId="34A1FA87" w14:textId="77777777" w:rsidR="00F14975" w:rsidRPr="00A06F1E" w:rsidRDefault="00F14975">
            <w:pPr>
              <w:pStyle w:val="TableTextCentered"/>
            </w:pPr>
            <w:r w:rsidRPr="00A06F1E">
              <w:t>4</w:t>
            </w:r>
          </w:p>
        </w:tc>
        <w:tc>
          <w:tcPr>
            <w:tcW w:w="1227" w:type="dxa"/>
            <w:shd w:val="clear" w:color="auto" w:fill="D9E2F3" w:themeFill="accent5" w:themeFillTint="33"/>
            <w:vAlign w:val="center"/>
          </w:tcPr>
          <w:p w14:paraId="4514EDC7" w14:textId="77777777" w:rsidR="00F14975" w:rsidRPr="00A06F1E" w:rsidRDefault="00F14975">
            <w:pPr>
              <w:pStyle w:val="TableText"/>
              <w:tabs>
                <w:tab w:val="decimal" w:pos="0"/>
              </w:tabs>
              <w:jc w:val="center"/>
            </w:pPr>
            <w:r w:rsidRPr="00A06F1E">
              <w:t>7.4%</w:t>
            </w:r>
          </w:p>
        </w:tc>
        <w:tc>
          <w:tcPr>
            <w:tcW w:w="1176" w:type="dxa"/>
            <w:shd w:val="clear" w:color="auto" w:fill="D9E2F3" w:themeFill="accent5" w:themeFillTint="33"/>
            <w:vAlign w:val="center"/>
          </w:tcPr>
          <w:p w14:paraId="4EF2B1E0" w14:textId="77777777" w:rsidR="00F14975" w:rsidRPr="00A06F1E" w:rsidRDefault="00F14975">
            <w:pPr>
              <w:pStyle w:val="TableText"/>
              <w:tabs>
                <w:tab w:val="decimal" w:pos="0"/>
              </w:tabs>
              <w:jc w:val="center"/>
            </w:pPr>
            <w:r w:rsidRPr="00A06F1E">
              <w:t>3.0%</w:t>
            </w:r>
          </w:p>
        </w:tc>
        <w:tc>
          <w:tcPr>
            <w:tcW w:w="1017" w:type="dxa"/>
            <w:vAlign w:val="center"/>
          </w:tcPr>
          <w:p w14:paraId="4F9EBC42" w14:textId="77777777" w:rsidR="00F14975" w:rsidRPr="00A06F1E" w:rsidRDefault="00F14975">
            <w:pPr>
              <w:pStyle w:val="TableTextCentered"/>
            </w:pPr>
            <w:r w:rsidRPr="00A06F1E">
              <w:t>119,749</w:t>
            </w:r>
          </w:p>
        </w:tc>
        <w:tc>
          <w:tcPr>
            <w:tcW w:w="1335" w:type="dxa"/>
            <w:shd w:val="clear" w:color="auto" w:fill="D9E2F3" w:themeFill="accent5" w:themeFillTint="33"/>
            <w:vAlign w:val="center"/>
          </w:tcPr>
          <w:p w14:paraId="17A920AC" w14:textId="77777777" w:rsidR="00F14975" w:rsidRPr="00A06F1E" w:rsidRDefault="00F14975">
            <w:pPr>
              <w:pStyle w:val="TableText"/>
              <w:tabs>
                <w:tab w:val="decimal" w:pos="0"/>
              </w:tabs>
              <w:jc w:val="center"/>
            </w:pPr>
            <w:r w:rsidRPr="00A06F1E">
              <w:t>23.2%</w:t>
            </w:r>
          </w:p>
        </w:tc>
        <w:tc>
          <w:tcPr>
            <w:tcW w:w="1177" w:type="dxa"/>
            <w:shd w:val="clear" w:color="auto" w:fill="D9E2F3" w:themeFill="accent5" w:themeFillTint="33"/>
            <w:vAlign w:val="center"/>
          </w:tcPr>
          <w:p w14:paraId="4E572127" w14:textId="77777777" w:rsidR="00F14975" w:rsidRPr="00A06F1E" w:rsidRDefault="00F14975">
            <w:pPr>
              <w:pStyle w:val="TableText"/>
              <w:tabs>
                <w:tab w:val="decimal" w:pos="0"/>
              </w:tabs>
              <w:jc w:val="center"/>
            </w:pPr>
            <w:r w:rsidRPr="00A06F1E">
              <w:t>13.1%</w:t>
            </w:r>
          </w:p>
        </w:tc>
      </w:tr>
    </w:tbl>
    <w:p w14:paraId="2D544287" w14:textId="77777777" w:rsidR="00F14975" w:rsidRPr="00A06F1E" w:rsidRDefault="00F14975" w:rsidP="00F14975">
      <w:pPr>
        <w:pStyle w:val="TableNote"/>
        <w:rPr>
          <w:rFonts w:eastAsia="Calibri"/>
        </w:rPr>
      </w:pPr>
      <w:r w:rsidRPr="00A06F1E">
        <w:rPr>
          <w:rFonts w:eastAsia="Calibri"/>
          <w:i/>
          <w:iCs/>
        </w:rPr>
        <w:t>Note</w:t>
      </w:r>
      <w:r w:rsidRPr="00A06F1E">
        <w:rPr>
          <w:rFonts w:eastAsia="Calibri"/>
        </w:rPr>
        <w:t>. As of October 1, 2023. District and state numbers and percentages for students with disabilities and high needs are calculated including students in out-of-district placements. Total district enrollment including students in out-of-district placement is 133; total state enrollment including students in out-of-district placement is 924,947.</w:t>
      </w:r>
    </w:p>
    <w:p w14:paraId="6BBD4D87" w14:textId="77777777" w:rsidR="004F6E3D" w:rsidRPr="00A06F1E" w:rsidRDefault="004F6E3D">
      <w:pPr>
        <w:spacing w:line="240" w:lineRule="auto"/>
        <w:rPr>
          <w:rFonts w:ascii="Franklin Gothic Demi" w:hAnsi="Franklin Gothic Demi"/>
        </w:rPr>
      </w:pPr>
      <w:bookmarkStart w:id="229" w:name="_Toc170701937"/>
      <w:r w:rsidRPr="00A06F1E">
        <w:br w:type="page"/>
      </w:r>
    </w:p>
    <w:p w14:paraId="66F61DD3" w14:textId="1584BB0C" w:rsidR="00F14975" w:rsidRPr="00A06F1E" w:rsidRDefault="00F14975" w:rsidP="00F14975">
      <w:pPr>
        <w:pStyle w:val="TableTitle0"/>
        <w:spacing w:before="180"/>
      </w:pPr>
      <w:r w:rsidRPr="00A06F1E">
        <w:lastRenderedPageBreak/>
        <w:t>Table D</w:t>
      </w:r>
      <w:r w:rsidR="007D5F1C" w:rsidRPr="00A06F1E">
        <w:t>2</w:t>
      </w:r>
      <w:r w:rsidR="00875252">
        <w:t>c</w:t>
      </w:r>
      <w:r w:rsidRPr="00A06F1E">
        <w:t>. Ralph C</w:t>
      </w:r>
      <w:r w:rsidR="004F6E3D" w:rsidRPr="00A06F1E">
        <w:t>.</w:t>
      </w:r>
      <w:r w:rsidRPr="00A06F1E">
        <w:t xml:space="preserve"> Mahar Public Schools: 2023-2024 Student Enrollment by High</w:t>
      </w:r>
      <w:r w:rsidR="00895E50" w:rsidRPr="00A06F1E">
        <w:t xml:space="preserve"> </w:t>
      </w:r>
      <w:r w:rsidRPr="00A06F1E">
        <w:t>Need</w:t>
      </w:r>
      <w:r w:rsidR="00895E50" w:rsidRPr="00A06F1E">
        <w:t>s</w:t>
      </w:r>
      <w:r w:rsidRPr="00A06F1E">
        <w:t xml:space="preserve"> Populations</w:t>
      </w:r>
      <w:bookmarkEnd w:id="229"/>
    </w:p>
    <w:tbl>
      <w:tblPr>
        <w:tblStyle w:val="MSVTable1"/>
        <w:tblW w:w="5000" w:type="pct"/>
        <w:tblLayout w:type="fixed"/>
        <w:tblLook w:val="0620" w:firstRow="1" w:lastRow="0" w:firstColumn="0" w:lastColumn="0" w:noHBand="1" w:noVBand="1"/>
      </w:tblPr>
      <w:tblGrid>
        <w:gridCol w:w="2287"/>
        <w:gridCol w:w="1125"/>
        <w:gridCol w:w="1227"/>
        <w:gridCol w:w="1176"/>
        <w:gridCol w:w="1017"/>
        <w:gridCol w:w="1335"/>
        <w:gridCol w:w="1177"/>
      </w:tblGrid>
      <w:tr w:rsidR="00F14975" w:rsidRPr="00A06F1E" w14:paraId="6C7C17A1"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bottom w:val="single" w:sz="4" w:space="0" w:color="2F5496" w:themeColor="accent5" w:themeShade="BF"/>
            </w:tcBorders>
            <w:vAlign w:val="center"/>
          </w:tcPr>
          <w:p w14:paraId="0AE326A9" w14:textId="77777777" w:rsidR="00F14975" w:rsidRPr="00A06F1E" w:rsidRDefault="00F14975">
            <w:pPr>
              <w:pStyle w:val="TableColHeadingCenter"/>
              <w:rPr>
                <w:rFonts w:cs="Calibri"/>
              </w:rPr>
            </w:pPr>
          </w:p>
        </w:tc>
        <w:tc>
          <w:tcPr>
            <w:tcW w:w="3528" w:type="dxa"/>
            <w:gridSpan w:val="3"/>
            <w:vAlign w:val="bottom"/>
          </w:tcPr>
          <w:p w14:paraId="474ED04D" w14:textId="77777777" w:rsidR="00F14975" w:rsidRPr="00DF7902" w:rsidRDefault="00F14975">
            <w:pPr>
              <w:pStyle w:val="TableColHeadingCenter"/>
            </w:pPr>
            <w:r w:rsidRPr="00DF7902">
              <w:t>District</w:t>
            </w:r>
          </w:p>
        </w:tc>
        <w:tc>
          <w:tcPr>
            <w:tcW w:w="3529" w:type="dxa"/>
            <w:gridSpan w:val="3"/>
            <w:vAlign w:val="bottom"/>
          </w:tcPr>
          <w:p w14:paraId="3599E893" w14:textId="77777777" w:rsidR="00F14975" w:rsidRPr="00A06F1E" w:rsidRDefault="00F14975">
            <w:pPr>
              <w:pStyle w:val="TableColHeadingCenter"/>
            </w:pPr>
            <w:r w:rsidRPr="00A06F1E">
              <w:t>State</w:t>
            </w:r>
          </w:p>
        </w:tc>
      </w:tr>
      <w:tr w:rsidR="00F14975" w:rsidRPr="00A06F1E" w14:paraId="304FEC5C"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top w:val="single" w:sz="4" w:space="0" w:color="2F5496" w:themeColor="accent5" w:themeShade="BF"/>
            </w:tcBorders>
            <w:vAlign w:val="bottom"/>
          </w:tcPr>
          <w:p w14:paraId="6FA37F96" w14:textId="77777777" w:rsidR="00F14975" w:rsidRPr="00A06F1E" w:rsidRDefault="00F14975">
            <w:pPr>
              <w:pStyle w:val="TableColHeadingCenter"/>
              <w:jc w:val="left"/>
            </w:pPr>
            <w:r w:rsidRPr="00A06F1E">
              <w:t>Group</w:t>
            </w:r>
          </w:p>
        </w:tc>
        <w:tc>
          <w:tcPr>
            <w:tcW w:w="1125" w:type="dxa"/>
            <w:vAlign w:val="bottom"/>
          </w:tcPr>
          <w:p w14:paraId="6E628052" w14:textId="77777777" w:rsidR="00F14975" w:rsidRPr="00A06F1E" w:rsidRDefault="00F14975">
            <w:pPr>
              <w:pStyle w:val="TableColHeadingCenter"/>
              <w:rPr>
                <w:i/>
                <w:iCs/>
              </w:rPr>
            </w:pPr>
            <w:r w:rsidRPr="00A06F1E">
              <w:rPr>
                <w:i/>
                <w:iCs/>
              </w:rPr>
              <w:t>N</w:t>
            </w:r>
          </w:p>
        </w:tc>
        <w:tc>
          <w:tcPr>
            <w:tcW w:w="1227" w:type="dxa"/>
            <w:vAlign w:val="bottom"/>
          </w:tcPr>
          <w:p w14:paraId="53E1BA1B" w14:textId="2E0651E1" w:rsidR="00F14975" w:rsidRPr="00A06F1E" w:rsidRDefault="00F14975">
            <w:pPr>
              <w:pStyle w:val="TableColHeadingCenter"/>
            </w:pPr>
            <w:r w:rsidRPr="00A06F1E">
              <w:t>Percentage of high need</w:t>
            </w:r>
            <w:r w:rsidR="004A34B4" w:rsidRPr="00A06F1E">
              <w:t>s</w:t>
            </w:r>
          </w:p>
        </w:tc>
        <w:tc>
          <w:tcPr>
            <w:tcW w:w="1176" w:type="dxa"/>
            <w:vAlign w:val="bottom"/>
          </w:tcPr>
          <w:p w14:paraId="15AD8271" w14:textId="77777777" w:rsidR="00F14975" w:rsidRPr="00A06F1E" w:rsidRDefault="00F14975">
            <w:pPr>
              <w:pStyle w:val="TableColHeadingCenter"/>
            </w:pPr>
            <w:r w:rsidRPr="00A06F1E">
              <w:t>Percentage of district</w:t>
            </w:r>
          </w:p>
        </w:tc>
        <w:tc>
          <w:tcPr>
            <w:tcW w:w="1017" w:type="dxa"/>
            <w:vAlign w:val="bottom"/>
          </w:tcPr>
          <w:p w14:paraId="3C71DA5B" w14:textId="77777777" w:rsidR="00F14975" w:rsidRPr="00A06F1E" w:rsidRDefault="00F14975">
            <w:pPr>
              <w:pStyle w:val="TableColHeadingCenter"/>
              <w:rPr>
                <w:i/>
                <w:iCs/>
              </w:rPr>
            </w:pPr>
            <w:r w:rsidRPr="00A06F1E">
              <w:rPr>
                <w:i/>
                <w:iCs/>
              </w:rPr>
              <w:t>N</w:t>
            </w:r>
          </w:p>
        </w:tc>
        <w:tc>
          <w:tcPr>
            <w:tcW w:w="1335" w:type="dxa"/>
            <w:vAlign w:val="bottom"/>
          </w:tcPr>
          <w:p w14:paraId="76D29C76" w14:textId="5702118C" w:rsidR="00F14975" w:rsidRPr="00A06F1E" w:rsidRDefault="00F14975">
            <w:pPr>
              <w:pStyle w:val="TableColHeadingCenter"/>
            </w:pPr>
            <w:r w:rsidRPr="00A06F1E">
              <w:t>Percentage of high need</w:t>
            </w:r>
            <w:r w:rsidR="004A34B4" w:rsidRPr="00A06F1E">
              <w:t>s</w:t>
            </w:r>
          </w:p>
        </w:tc>
        <w:tc>
          <w:tcPr>
            <w:tcW w:w="1177" w:type="dxa"/>
            <w:vAlign w:val="bottom"/>
          </w:tcPr>
          <w:p w14:paraId="08C95F0B" w14:textId="77777777" w:rsidR="00F14975" w:rsidRPr="00A06F1E" w:rsidRDefault="00F14975">
            <w:pPr>
              <w:pStyle w:val="TableColHeadingCenter"/>
            </w:pPr>
            <w:r w:rsidRPr="00A06F1E">
              <w:t>Percentage of state</w:t>
            </w:r>
          </w:p>
        </w:tc>
      </w:tr>
      <w:tr w:rsidR="00F14975" w:rsidRPr="00A06F1E" w14:paraId="2C49D1AA" w14:textId="77777777">
        <w:tc>
          <w:tcPr>
            <w:tcW w:w="2287" w:type="dxa"/>
          </w:tcPr>
          <w:p w14:paraId="052B4437" w14:textId="77777777" w:rsidR="00F14975" w:rsidRPr="00A06F1E" w:rsidRDefault="00F14975">
            <w:pPr>
              <w:pStyle w:val="TableText"/>
            </w:pPr>
            <w:r w:rsidRPr="00A06F1E">
              <w:t>All students with high needs</w:t>
            </w:r>
          </w:p>
        </w:tc>
        <w:tc>
          <w:tcPr>
            <w:tcW w:w="1125" w:type="dxa"/>
            <w:vAlign w:val="center"/>
          </w:tcPr>
          <w:p w14:paraId="67E4ADB2" w14:textId="77777777" w:rsidR="00F14975" w:rsidRPr="00A06F1E" w:rsidRDefault="00F14975">
            <w:pPr>
              <w:pStyle w:val="TableTextCentered"/>
            </w:pPr>
            <w:r w:rsidRPr="00A06F1E">
              <w:t>349</w:t>
            </w:r>
          </w:p>
        </w:tc>
        <w:tc>
          <w:tcPr>
            <w:tcW w:w="1227" w:type="dxa"/>
            <w:shd w:val="clear" w:color="auto" w:fill="D9E2F3" w:themeFill="accent5" w:themeFillTint="33"/>
            <w:vAlign w:val="center"/>
          </w:tcPr>
          <w:p w14:paraId="4AE87CF3" w14:textId="77777777" w:rsidR="00F14975" w:rsidRPr="00A06F1E" w:rsidRDefault="00F14975">
            <w:pPr>
              <w:pStyle w:val="TableText"/>
              <w:tabs>
                <w:tab w:val="decimal" w:pos="0"/>
              </w:tabs>
              <w:jc w:val="center"/>
            </w:pPr>
            <w:r w:rsidRPr="00A06F1E">
              <w:t>100.0%</w:t>
            </w:r>
          </w:p>
        </w:tc>
        <w:tc>
          <w:tcPr>
            <w:tcW w:w="1176" w:type="dxa"/>
            <w:shd w:val="clear" w:color="auto" w:fill="D9E2F3" w:themeFill="accent5" w:themeFillTint="33"/>
            <w:vAlign w:val="center"/>
          </w:tcPr>
          <w:p w14:paraId="540E56B6" w14:textId="77777777" w:rsidR="00F14975" w:rsidRPr="00A06F1E" w:rsidRDefault="00F14975">
            <w:pPr>
              <w:pStyle w:val="TableText"/>
              <w:tabs>
                <w:tab w:val="decimal" w:pos="0"/>
              </w:tabs>
              <w:jc w:val="center"/>
            </w:pPr>
            <w:r w:rsidRPr="00A06F1E">
              <w:t>67.0%</w:t>
            </w:r>
          </w:p>
        </w:tc>
        <w:tc>
          <w:tcPr>
            <w:tcW w:w="1017" w:type="dxa"/>
            <w:vAlign w:val="center"/>
          </w:tcPr>
          <w:p w14:paraId="45215531" w14:textId="77777777" w:rsidR="00F14975" w:rsidRPr="00A06F1E" w:rsidRDefault="00F14975">
            <w:pPr>
              <w:pStyle w:val="TableTextCentered"/>
            </w:pPr>
            <w:r w:rsidRPr="00A06F1E">
              <w:t>515,939</w:t>
            </w:r>
          </w:p>
        </w:tc>
        <w:tc>
          <w:tcPr>
            <w:tcW w:w="1335" w:type="dxa"/>
            <w:shd w:val="clear" w:color="auto" w:fill="D9E2F3" w:themeFill="accent5" w:themeFillTint="33"/>
            <w:vAlign w:val="center"/>
          </w:tcPr>
          <w:p w14:paraId="2ACE00CF" w14:textId="77777777" w:rsidR="00F14975" w:rsidRPr="00A06F1E" w:rsidRDefault="00F14975">
            <w:pPr>
              <w:pStyle w:val="TableText"/>
              <w:tabs>
                <w:tab w:val="decimal" w:pos="0"/>
              </w:tabs>
              <w:jc w:val="center"/>
            </w:pPr>
            <w:r w:rsidRPr="00A06F1E">
              <w:t>100.0%</w:t>
            </w:r>
          </w:p>
        </w:tc>
        <w:tc>
          <w:tcPr>
            <w:tcW w:w="1177" w:type="dxa"/>
            <w:shd w:val="clear" w:color="auto" w:fill="D9E2F3" w:themeFill="accent5" w:themeFillTint="33"/>
            <w:vAlign w:val="center"/>
          </w:tcPr>
          <w:p w14:paraId="3C01CE08" w14:textId="77777777" w:rsidR="00F14975" w:rsidRPr="00A06F1E" w:rsidRDefault="00F14975">
            <w:pPr>
              <w:pStyle w:val="TableText"/>
              <w:tabs>
                <w:tab w:val="decimal" w:pos="0"/>
              </w:tabs>
              <w:jc w:val="center"/>
            </w:pPr>
            <w:r w:rsidRPr="00A06F1E">
              <w:t>55.8%</w:t>
            </w:r>
          </w:p>
        </w:tc>
      </w:tr>
      <w:tr w:rsidR="00F14975" w:rsidRPr="00A06F1E" w14:paraId="627DDCA3" w14:textId="77777777">
        <w:tc>
          <w:tcPr>
            <w:tcW w:w="2287" w:type="dxa"/>
          </w:tcPr>
          <w:p w14:paraId="26FD288C" w14:textId="77777777" w:rsidR="00F14975" w:rsidRPr="00A06F1E" w:rsidRDefault="00F14975">
            <w:pPr>
              <w:pStyle w:val="TableText"/>
            </w:pPr>
            <w:r w:rsidRPr="00A06F1E">
              <w:t>Students with disabilities</w:t>
            </w:r>
          </w:p>
        </w:tc>
        <w:tc>
          <w:tcPr>
            <w:tcW w:w="1125" w:type="dxa"/>
            <w:vAlign w:val="center"/>
          </w:tcPr>
          <w:p w14:paraId="590948C4" w14:textId="77777777" w:rsidR="00F14975" w:rsidRPr="00A06F1E" w:rsidRDefault="00F14975">
            <w:pPr>
              <w:pStyle w:val="TableTextCentered"/>
            </w:pPr>
            <w:r w:rsidRPr="00A06F1E">
              <w:t>155</w:t>
            </w:r>
          </w:p>
        </w:tc>
        <w:tc>
          <w:tcPr>
            <w:tcW w:w="1227" w:type="dxa"/>
            <w:shd w:val="clear" w:color="auto" w:fill="D9E2F3" w:themeFill="accent5" w:themeFillTint="33"/>
            <w:vAlign w:val="center"/>
          </w:tcPr>
          <w:p w14:paraId="54397319" w14:textId="77777777" w:rsidR="00F14975" w:rsidRPr="00A06F1E" w:rsidRDefault="00F14975">
            <w:pPr>
              <w:pStyle w:val="TableText"/>
              <w:tabs>
                <w:tab w:val="decimal" w:pos="0"/>
              </w:tabs>
              <w:jc w:val="center"/>
            </w:pPr>
            <w:r w:rsidRPr="00A06F1E">
              <w:t>44.4%</w:t>
            </w:r>
          </w:p>
        </w:tc>
        <w:tc>
          <w:tcPr>
            <w:tcW w:w="1176" w:type="dxa"/>
            <w:shd w:val="clear" w:color="auto" w:fill="D9E2F3" w:themeFill="accent5" w:themeFillTint="33"/>
            <w:vAlign w:val="center"/>
          </w:tcPr>
          <w:p w14:paraId="3B017580" w14:textId="77777777" w:rsidR="00F14975" w:rsidRPr="00A06F1E" w:rsidRDefault="00F14975">
            <w:pPr>
              <w:pStyle w:val="TableText"/>
              <w:tabs>
                <w:tab w:val="decimal" w:pos="0"/>
              </w:tabs>
              <w:jc w:val="center"/>
            </w:pPr>
            <w:r w:rsidRPr="00A06F1E">
              <w:t>29.8%</w:t>
            </w:r>
          </w:p>
        </w:tc>
        <w:tc>
          <w:tcPr>
            <w:tcW w:w="1017" w:type="dxa"/>
            <w:vAlign w:val="center"/>
          </w:tcPr>
          <w:p w14:paraId="42058D29" w14:textId="77777777" w:rsidR="00F14975" w:rsidRPr="00A06F1E" w:rsidRDefault="00F14975">
            <w:pPr>
              <w:pStyle w:val="TableTextCentered"/>
            </w:pPr>
            <w:r w:rsidRPr="00A06F1E">
              <w:t>187,160</w:t>
            </w:r>
          </w:p>
        </w:tc>
        <w:tc>
          <w:tcPr>
            <w:tcW w:w="1335" w:type="dxa"/>
            <w:shd w:val="clear" w:color="auto" w:fill="D9E2F3" w:themeFill="accent5" w:themeFillTint="33"/>
            <w:vAlign w:val="center"/>
          </w:tcPr>
          <w:p w14:paraId="6A0539AE" w14:textId="77777777" w:rsidR="00F14975" w:rsidRPr="00A06F1E" w:rsidRDefault="00F14975">
            <w:pPr>
              <w:pStyle w:val="TableText"/>
              <w:tabs>
                <w:tab w:val="decimal" w:pos="0"/>
              </w:tabs>
              <w:jc w:val="center"/>
            </w:pPr>
            <w:r w:rsidRPr="00A06F1E">
              <w:t>36.3%</w:t>
            </w:r>
          </w:p>
        </w:tc>
        <w:tc>
          <w:tcPr>
            <w:tcW w:w="1177" w:type="dxa"/>
            <w:shd w:val="clear" w:color="auto" w:fill="D9E2F3" w:themeFill="accent5" w:themeFillTint="33"/>
            <w:vAlign w:val="center"/>
          </w:tcPr>
          <w:p w14:paraId="6582B59B" w14:textId="77777777" w:rsidR="00F14975" w:rsidRPr="00A06F1E" w:rsidRDefault="00F14975">
            <w:pPr>
              <w:pStyle w:val="TableText"/>
              <w:tabs>
                <w:tab w:val="decimal" w:pos="0"/>
              </w:tabs>
              <w:jc w:val="center"/>
            </w:pPr>
            <w:r w:rsidRPr="00A06F1E">
              <w:t>20.2%</w:t>
            </w:r>
          </w:p>
        </w:tc>
      </w:tr>
      <w:tr w:rsidR="00F14975" w:rsidRPr="00A06F1E" w14:paraId="4385A51B" w14:textId="77777777">
        <w:tc>
          <w:tcPr>
            <w:tcW w:w="2287" w:type="dxa"/>
          </w:tcPr>
          <w:p w14:paraId="1186578C" w14:textId="42FC8FF1" w:rsidR="00F14975" w:rsidRPr="00A06F1E" w:rsidRDefault="00F14975">
            <w:pPr>
              <w:pStyle w:val="TableText"/>
            </w:pPr>
            <w:r w:rsidRPr="00A06F1E">
              <w:t>Low-income</w:t>
            </w:r>
          </w:p>
        </w:tc>
        <w:tc>
          <w:tcPr>
            <w:tcW w:w="1125" w:type="dxa"/>
            <w:vAlign w:val="center"/>
          </w:tcPr>
          <w:p w14:paraId="69D952C6" w14:textId="77777777" w:rsidR="00F14975" w:rsidRPr="00A06F1E" w:rsidRDefault="00F14975">
            <w:pPr>
              <w:pStyle w:val="TableTextCentered"/>
            </w:pPr>
            <w:r w:rsidRPr="00A06F1E">
              <w:t>292</w:t>
            </w:r>
          </w:p>
        </w:tc>
        <w:tc>
          <w:tcPr>
            <w:tcW w:w="1227" w:type="dxa"/>
            <w:shd w:val="clear" w:color="auto" w:fill="D9E2F3" w:themeFill="accent5" w:themeFillTint="33"/>
            <w:vAlign w:val="center"/>
          </w:tcPr>
          <w:p w14:paraId="5149699E" w14:textId="77777777" w:rsidR="00F14975" w:rsidRPr="00A06F1E" w:rsidRDefault="00F14975">
            <w:pPr>
              <w:pStyle w:val="TableText"/>
              <w:tabs>
                <w:tab w:val="decimal" w:pos="0"/>
              </w:tabs>
              <w:jc w:val="center"/>
            </w:pPr>
            <w:r w:rsidRPr="00A06F1E">
              <w:t>83.7%</w:t>
            </w:r>
          </w:p>
        </w:tc>
        <w:tc>
          <w:tcPr>
            <w:tcW w:w="1176" w:type="dxa"/>
            <w:shd w:val="clear" w:color="auto" w:fill="D9E2F3" w:themeFill="accent5" w:themeFillTint="33"/>
            <w:vAlign w:val="center"/>
          </w:tcPr>
          <w:p w14:paraId="0865BDA0" w14:textId="77777777" w:rsidR="00F14975" w:rsidRPr="00A06F1E" w:rsidRDefault="00F14975">
            <w:pPr>
              <w:pStyle w:val="TableText"/>
              <w:tabs>
                <w:tab w:val="decimal" w:pos="0"/>
              </w:tabs>
              <w:jc w:val="center"/>
            </w:pPr>
            <w:r w:rsidRPr="00A06F1E">
              <w:t>57.9%</w:t>
            </w:r>
          </w:p>
        </w:tc>
        <w:tc>
          <w:tcPr>
            <w:tcW w:w="1017" w:type="dxa"/>
            <w:vAlign w:val="center"/>
          </w:tcPr>
          <w:p w14:paraId="422853D4" w14:textId="77777777" w:rsidR="00F14975" w:rsidRPr="00A06F1E" w:rsidRDefault="00F14975">
            <w:pPr>
              <w:pStyle w:val="TableTextCentered"/>
            </w:pPr>
            <w:r w:rsidRPr="00A06F1E">
              <w:t>385,697</w:t>
            </w:r>
          </w:p>
        </w:tc>
        <w:tc>
          <w:tcPr>
            <w:tcW w:w="1335" w:type="dxa"/>
            <w:shd w:val="clear" w:color="auto" w:fill="D9E2F3" w:themeFill="accent5" w:themeFillTint="33"/>
            <w:vAlign w:val="center"/>
          </w:tcPr>
          <w:p w14:paraId="2024C868" w14:textId="77777777" w:rsidR="00F14975" w:rsidRPr="00A06F1E" w:rsidRDefault="00F14975">
            <w:pPr>
              <w:pStyle w:val="TableText"/>
              <w:tabs>
                <w:tab w:val="decimal" w:pos="0"/>
              </w:tabs>
              <w:jc w:val="center"/>
            </w:pPr>
            <w:r w:rsidRPr="00A06F1E">
              <w:t>74.8%</w:t>
            </w:r>
          </w:p>
        </w:tc>
        <w:tc>
          <w:tcPr>
            <w:tcW w:w="1177" w:type="dxa"/>
            <w:shd w:val="clear" w:color="auto" w:fill="D9E2F3" w:themeFill="accent5" w:themeFillTint="33"/>
            <w:vAlign w:val="center"/>
          </w:tcPr>
          <w:p w14:paraId="3E28EFD5" w14:textId="77777777" w:rsidR="00F14975" w:rsidRPr="00A06F1E" w:rsidRDefault="00F14975">
            <w:pPr>
              <w:pStyle w:val="TableText"/>
              <w:tabs>
                <w:tab w:val="decimal" w:pos="0"/>
              </w:tabs>
              <w:jc w:val="center"/>
            </w:pPr>
            <w:r w:rsidRPr="00A06F1E">
              <w:t>42.2%</w:t>
            </w:r>
          </w:p>
        </w:tc>
      </w:tr>
      <w:tr w:rsidR="00F14975" w:rsidRPr="00A06F1E" w14:paraId="77C767C6" w14:textId="77777777">
        <w:tc>
          <w:tcPr>
            <w:tcW w:w="2287" w:type="dxa"/>
          </w:tcPr>
          <w:p w14:paraId="791BD7C5" w14:textId="39C9413D" w:rsidR="00F14975" w:rsidRPr="00A06F1E" w:rsidRDefault="0066296E">
            <w:pPr>
              <w:pStyle w:val="TableText"/>
            </w:pPr>
            <w:r w:rsidRPr="00A06F1E">
              <w:rPr>
                <w:spacing w:val="-4"/>
              </w:rPr>
              <w:t>E</w:t>
            </w:r>
            <w:r>
              <w:rPr>
                <w:spacing w:val="-4"/>
              </w:rPr>
              <w:t>nglish learners</w:t>
            </w:r>
          </w:p>
        </w:tc>
        <w:tc>
          <w:tcPr>
            <w:tcW w:w="1125" w:type="dxa"/>
            <w:vAlign w:val="center"/>
          </w:tcPr>
          <w:p w14:paraId="3C318E0A" w14:textId="77777777" w:rsidR="00F14975" w:rsidRPr="00A06F1E" w:rsidRDefault="00F14975">
            <w:pPr>
              <w:pStyle w:val="TableTextCentered"/>
            </w:pPr>
            <w:r w:rsidRPr="00A06F1E">
              <w:t>6</w:t>
            </w:r>
          </w:p>
        </w:tc>
        <w:tc>
          <w:tcPr>
            <w:tcW w:w="1227" w:type="dxa"/>
            <w:shd w:val="clear" w:color="auto" w:fill="D9E2F3" w:themeFill="accent5" w:themeFillTint="33"/>
            <w:vAlign w:val="center"/>
          </w:tcPr>
          <w:p w14:paraId="5422D7A5" w14:textId="77777777" w:rsidR="00F14975" w:rsidRPr="00A06F1E" w:rsidRDefault="00F14975">
            <w:pPr>
              <w:pStyle w:val="TableText"/>
              <w:tabs>
                <w:tab w:val="decimal" w:pos="0"/>
              </w:tabs>
              <w:jc w:val="center"/>
            </w:pPr>
            <w:r w:rsidRPr="00A06F1E">
              <w:t>1.7%</w:t>
            </w:r>
          </w:p>
        </w:tc>
        <w:tc>
          <w:tcPr>
            <w:tcW w:w="1176" w:type="dxa"/>
            <w:shd w:val="clear" w:color="auto" w:fill="D9E2F3" w:themeFill="accent5" w:themeFillTint="33"/>
            <w:vAlign w:val="center"/>
          </w:tcPr>
          <w:p w14:paraId="57B7AFC1" w14:textId="77777777" w:rsidR="00F14975" w:rsidRPr="00A06F1E" w:rsidRDefault="00F14975">
            <w:pPr>
              <w:pStyle w:val="TableText"/>
              <w:tabs>
                <w:tab w:val="decimal" w:pos="0"/>
              </w:tabs>
              <w:jc w:val="center"/>
            </w:pPr>
            <w:r w:rsidRPr="00A06F1E">
              <w:t>1.2%</w:t>
            </w:r>
          </w:p>
        </w:tc>
        <w:tc>
          <w:tcPr>
            <w:tcW w:w="1017" w:type="dxa"/>
            <w:vAlign w:val="center"/>
          </w:tcPr>
          <w:p w14:paraId="3CDE5EA6" w14:textId="77777777" w:rsidR="00F14975" w:rsidRPr="00A06F1E" w:rsidRDefault="00F14975">
            <w:pPr>
              <w:pStyle w:val="TableTextCentered"/>
            </w:pPr>
            <w:r w:rsidRPr="00A06F1E">
              <w:t>119,749</w:t>
            </w:r>
          </w:p>
        </w:tc>
        <w:tc>
          <w:tcPr>
            <w:tcW w:w="1335" w:type="dxa"/>
            <w:shd w:val="clear" w:color="auto" w:fill="D9E2F3" w:themeFill="accent5" w:themeFillTint="33"/>
            <w:vAlign w:val="center"/>
          </w:tcPr>
          <w:p w14:paraId="39E1D07C" w14:textId="77777777" w:rsidR="00F14975" w:rsidRPr="00A06F1E" w:rsidRDefault="00F14975">
            <w:pPr>
              <w:pStyle w:val="TableText"/>
              <w:tabs>
                <w:tab w:val="decimal" w:pos="0"/>
              </w:tabs>
              <w:jc w:val="center"/>
            </w:pPr>
            <w:r w:rsidRPr="00A06F1E">
              <w:t>23.2%</w:t>
            </w:r>
          </w:p>
        </w:tc>
        <w:tc>
          <w:tcPr>
            <w:tcW w:w="1177" w:type="dxa"/>
            <w:shd w:val="clear" w:color="auto" w:fill="D9E2F3" w:themeFill="accent5" w:themeFillTint="33"/>
            <w:vAlign w:val="center"/>
          </w:tcPr>
          <w:p w14:paraId="2707F825" w14:textId="77777777" w:rsidR="00F14975" w:rsidRPr="00A06F1E" w:rsidRDefault="00F14975">
            <w:pPr>
              <w:pStyle w:val="TableText"/>
              <w:tabs>
                <w:tab w:val="decimal" w:pos="0"/>
              </w:tabs>
              <w:jc w:val="center"/>
            </w:pPr>
            <w:r w:rsidRPr="00A06F1E">
              <w:t>13.1%</w:t>
            </w:r>
          </w:p>
        </w:tc>
      </w:tr>
    </w:tbl>
    <w:p w14:paraId="37E509F2" w14:textId="77777777" w:rsidR="00F14975" w:rsidRPr="00A06F1E" w:rsidRDefault="00F14975" w:rsidP="00F14975">
      <w:pPr>
        <w:pStyle w:val="TableNote"/>
        <w:rPr>
          <w:rFonts w:eastAsia="Calibri"/>
        </w:rPr>
      </w:pPr>
      <w:r w:rsidRPr="00A06F1E">
        <w:rPr>
          <w:rFonts w:eastAsia="Calibri"/>
          <w:i/>
          <w:iCs/>
        </w:rPr>
        <w:t>Note</w:t>
      </w:r>
      <w:r w:rsidRPr="00A06F1E">
        <w:rPr>
          <w:rFonts w:eastAsia="Calibri"/>
        </w:rPr>
        <w:t>. As of October 1, 2023. District and state numbers and percentages for students with disabilities and high needs are calculated including students in out-of-district placements. Total district enrollment including students in out-of-district placement is 521; total state enrollment including students in out-of-district placement is 924,947.</w:t>
      </w:r>
    </w:p>
    <w:p w14:paraId="68BB5BDC" w14:textId="2B59D207" w:rsidR="00F14975" w:rsidRPr="00A06F1E" w:rsidRDefault="00F14975" w:rsidP="00F14975">
      <w:pPr>
        <w:pStyle w:val="TableTitle0"/>
        <w:rPr>
          <w:spacing w:val="-4"/>
        </w:rPr>
      </w:pPr>
      <w:bookmarkStart w:id="230" w:name="_Toc170701938"/>
      <w:r w:rsidRPr="00A06F1E">
        <w:t>Table D</w:t>
      </w:r>
      <w:r w:rsidR="007D5F1C" w:rsidRPr="00A06F1E">
        <w:t>3</w:t>
      </w:r>
      <w:r w:rsidR="00875252">
        <w:t>a</w:t>
      </w:r>
      <w:r w:rsidRPr="00A06F1E">
        <w:t>. Orange Public Schools: Chronic Absence</w:t>
      </w:r>
      <w:r w:rsidRPr="00A06F1E">
        <w:rPr>
          <w:vertAlign w:val="superscript"/>
        </w:rPr>
        <w:t>a</w:t>
      </w:r>
      <w:r w:rsidRPr="00A06F1E">
        <w:t xml:space="preserve"> Rates by Student Group, 2021-2023</w:t>
      </w:r>
      <w:bookmarkEnd w:id="230"/>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F14975" w:rsidRPr="00A06F1E" w14:paraId="1B4A68A1" w14:textId="77777777">
        <w:trPr>
          <w:cnfStyle w:val="100000000000" w:firstRow="1" w:lastRow="0" w:firstColumn="0" w:lastColumn="0" w:oddVBand="0" w:evenVBand="0" w:oddHBand="0" w:evenHBand="0" w:firstRowFirstColumn="0" w:firstRowLastColumn="0" w:lastRowFirstColumn="0" w:lastRowLastColumn="0"/>
        </w:trPr>
        <w:tc>
          <w:tcPr>
            <w:tcW w:w="2872" w:type="dxa"/>
          </w:tcPr>
          <w:p w14:paraId="76BFE3AE" w14:textId="77777777" w:rsidR="00F14975" w:rsidRPr="00A06F1E" w:rsidRDefault="00F14975" w:rsidP="00DF5967">
            <w:pPr>
              <w:pStyle w:val="TableColHeadingLeft"/>
            </w:pPr>
            <w:r w:rsidRPr="00A06F1E">
              <w:t>Group</w:t>
            </w:r>
          </w:p>
        </w:tc>
        <w:tc>
          <w:tcPr>
            <w:tcW w:w="1160" w:type="dxa"/>
          </w:tcPr>
          <w:p w14:paraId="3A8E8578" w14:textId="77777777" w:rsidR="00F14975" w:rsidRPr="00A06F1E" w:rsidRDefault="00F14975" w:rsidP="00DF5967">
            <w:pPr>
              <w:pStyle w:val="TableColHeadingCenter"/>
            </w:pPr>
            <w:r w:rsidRPr="00A06F1E">
              <w:rPr>
                <w:i/>
                <w:iCs/>
              </w:rPr>
              <w:t>N</w:t>
            </w:r>
            <w:r w:rsidRPr="00A06F1E">
              <w:t xml:space="preserve"> (2023)</w:t>
            </w:r>
          </w:p>
        </w:tc>
        <w:tc>
          <w:tcPr>
            <w:tcW w:w="1325" w:type="dxa"/>
          </w:tcPr>
          <w:p w14:paraId="08A31ECB" w14:textId="77777777" w:rsidR="00F14975" w:rsidRPr="00A06F1E" w:rsidRDefault="00F14975" w:rsidP="00DF5967">
            <w:pPr>
              <w:pStyle w:val="TableColHeadingCenter"/>
            </w:pPr>
            <w:r w:rsidRPr="00A06F1E">
              <w:t>2021</w:t>
            </w:r>
          </w:p>
        </w:tc>
        <w:tc>
          <w:tcPr>
            <w:tcW w:w="1326" w:type="dxa"/>
          </w:tcPr>
          <w:p w14:paraId="74E10F2F" w14:textId="77777777" w:rsidR="00F14975" w:rsidRPr="00A06F1E" w:rsidRDefault="00F14975" w:rsidP="00DF5967">
            <w:pPr>
              <w:pStyle w:val="TableColHeadingCenter"/>
            </w:pPr>
            <w:r w:rsidRPr="00A06F1E">
              <w:t>2022</w:t>
            </w:r>
          </w:p>
        </w:tc>
        <w:tc>
          <w:tcPr>
            <w:tcW w:w="1325" w:type="dxa"/>
          </w:tcPr>
          <w:p w14:paraId="79107C2D" w14:textId="77777777" w:rsidR="00F14975" w:rsidRPr="00A06F1E" w:rsidRDefault="00F14975" w:rsidP="00DF5967">
            <w:pPr>
              <w:pStyle w:val="TableColHeadingCenter"/>
            </w:pPr>
            <w:r w:rsidRPr="00A06F1E">
              <w:t>2023</w:t>
            </w:r>
          </w:p>
        </w:tc>
        <w:tc>
          <w:tcPr>
            <w:tcW w:w="1336" w:type="dxa"/>
          </w:tcPr>
          <w:p w14:paraId="0878BF2A" w14:textId="77777777" w:rsidR="00F14975" w:rsidRPr="00A06F1E" w:rsidRDefault="00F14975" w:rsidP="00DF5967">
            <w:pPr>
              <w:pStyle w:val="TableColHeadingCenter"/>
            </w:pPr>
            <w:r w:rsidRPr="00A06F1E">
              <w:t>State (2023)</w:t>
            </w:r>
          </w:p>
        </w:tc>
      </w:tr>
      <w:tr w:rsidR="00F14975" w:rsidRPr="00A06F1E" w14:paraId="7EDB1A91"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109CAF13" w14:textId="77777777" w:rsidR="00F14975" w:rsidRPr="00A06F1E" w:rsidRDefault="00F14975" w:rsidP="00DF5967">
            <w:pPr>
              <w:pStyle w:val="TableText"/>
            </w:pPr>
            <w:r w:rsidRPr="00A06F1E">
              <w:t>All students</w:t>
            </w:r>
          </w:p>
        </w:tc>
        <w:tc>
          <w:tcPr>
            <w:tcW w:w="1160" w:type="dxa"/>
          </w:tcPr>
          <w:p w14:paraId="65F5236C" w14:textId="77777777" w:rsidR="00F14975" w:rsidRPr="00A06F1E" w:rsidRDefault="00F14975" w:rsidP="00DF5967">
            <w:pPr>
              <w:pStyle w:val="TableTextCentered"/>
              <w:rPr>
                <w:rFonts w:ascii="Calibri" w:eastAsia="Calibri" w:hAnsi="Calibri" w:cs="Times New Roman"/>
              </w:rPr>
            </w:pPr>
            <w:r w:rsidRPr="00A06F1E">
              <w:t>552</w:t>
            </w:r>
          </w:p>
        </w:tc>
        <w:tc>
          <w:tcPr>
            <w:tcW w:w="1325" w:type="dxa"/>
          </w:tcPr>
          <w:p w14:paraId="085CD6EE" w14:textId="77777777" w:rsidR="00F14975" w:rsidRPr="00A06F1E" w:rsidRDefault="00F14975" w:rsidP="00DF5967">
            <w:pPr>
              <w:pStyle w:val="TableTextCentered"/>
              <w:rPr>
                <w:rFonts w:ascii="Calibri" w:eastAsia="Calibri" w:hAnsi="Calibri" w:cs="Times New Roman"/>
              </w:rPr>
            </w:pPr>
            <w:r w:rsidRPr="00A06F1E">
              <w:t>20.2</w:t>
            </w:r>
          </w:p>
        </w:tc>
        <w:tc>
          <w:tcPr>
            <w:tcW w:w="1326" w:type="dxa"/>
          </w:tcPr>
          <w:p w14:paraId="6CAE2321" w14:textId="77777777" w:rsidR="00F14975" w:rsidRPr="00A06F1E" w:rsidRDefault="00F14975" w:rsidP="00DF5967">
            <w:pPr>
              <w:pStyle w:val="TableTextCentered"/>
              <w:rPr>
                <w:rFonts w:ascii="Calibri" w:eastAsia="Calibri" w:hAnsi="Calibri" w:cs="Times New Roman"/>
              </w:rPr>
            </w:pPr>
            <w:r w:rsidRPr="00A06F1E">
              <w:t>18.2</w:t>
            </w:r>
          </w:p>
        </w:tc>
        <w:tc>
          <w:tcPr>
            <w:tcW w:w="1325" w:type="dxa"/>
          </w:tcPr>
          <w:p w14:paraId="6F868B71" w14:textId="77777777" w:rsidR="00F14975" w:rsidRPr="00A06F1E" w:rsidRDefault="00F14975" w:rsidP="00DF5967">
            <w:pPr>
              <w:pStyle w:val="TableTextCentered"/>
              <w:rPr>
                <w:rFonts w:ascii="Calibri" w:eastAsia="Calibri" w:hAnsi="Calibri" w:cs="Times New Roman"/>
              </w:rPr>
            </w:pPr>
            <w:r w:rsidRPr="00A06F1E">
              <w:t>20.8</w:t>
            </w:r>
          </w:p>
        </w:tc>
        <w:tc>
          <w:tcPr>
            <w:tcW w:w="1336" w:type="dxa"/>
          </w:tcPr>
          <w:p w14:paraId="17A061F8" w14:textId="77777777" w:rsidR="00F14975" w:rsidRPr="00A06F1E" w:rsidRDefault="00F14975" w:rsidP="00DF5967">
            <w:pPr>
              <w:pStyle w:val="TableTextCentered"/>
              <w:rPr>
                <w:rFonts w:ascii="Calibri" w:eastAsia="Calibri" w:hAnsi="Calibri" w:cs="Times New Roman"/>
              </w:rPr>
            </w:pPr>
            <w:r w:rsidRPr="00A06F1E">
              <w:t>22.2</w:t>
            </w:r>
          </w:p>
        </w:tc>
      </w:tr>
      <w:tr w:rsidR="00F14975" w:rsidRPr="00A06F1E" w14:paraId="1AE8FAA9" w14:textId="77777777">
        <w:tc>
          <w:tcPr>
            <w:tcW w:w="2872" w:type="dxa"/>
          </w:tcPr>
          <w:p w14:paraId="369724B6" w14:textId="77777777" w:rsidR="00F14975" w:rsidRPr="00A06F1E" w:rsidRDefault="00F14975" w:rsidP="00DF5967">
            <w:pPr>
              <w:pStyle w:val="TableText"/>
            </w:pPr>
            <w:r w:rsidRPr="00A06F1E">
              <w:t>African American/Black</w:t>
            </w:r>
          </w:p>
        </w:tc>
        <w:tc>
          <w:tcPr>
            <w:tcW w:w="1160" w:type="dxa"/>
          </w:tcPr>
          <w:p w14:paraId="5F6833A8" w14:textId="77777777" w:rsidR="00F14975" w:rsidRPr="00A06F1E" w:rsidRDefault="00F14975" w:rsidP="00DF5967">
            <w:pPr>
              <w:pStyle w:val="TableTextCentered"/>
              <w:rPr>
                <w:rFonts w:ascii="Calibri" w:eastAsia="Calibri" w:hAnsi="Calibri" w:cs="Times New Roman"/>
              </w:rPr>
            </w:pPr>
            <w:r w:rsidRPr="00A06F1E">
              <w:t>9</w:t>
            </w:r>
          </w:p>
        </w:tc>
        <w:tc>
          <w:tcPr>
            <w:tcW w:w="1325" w:type="dxa"/>
          </w:tcPr>
          <w:p w14:paraId="3B929032" w14:textId="77777777" w:rsidR="00F14975" w:rsidRPr="00A06F1E" w:rsidRDefault="00F14975" w:rsidP="00DF5967">
            <w:pPr>
              <w:pStyle w:val="TableTextCentered"/>
              <w:rPr>
                <w:rFonts w:ascii="Calibri" w:eastAsia="Calibri" w:hAnsi="Calibri" w:cs="Times New Roman"/>
              </w:rPr>
            </w:pPr>
            <w:r w:rsidRPr="00A06F1E">
              <w:t>0.0</w:t>
            </w:r>
          </w:p>
        </w:tc>
        <w:tc>
          <w:tcPr>
            <w:tcW w:w="1326" w:type="dxa"/>
          </w:tcPr>
          <w:p w14:paraId="00B291AE" w14:textId="52A63FEC" w:rsidR="00F14975" w:rsidRPr="00A06F1E" w:rsidRDefault="007834A0" w:rsidP="00DF5967">
            <w:pPr>
              <w:pStyle w:val="TableTextCentered"/>
              <w:rPr>
                <w:rFonts w:ascii="Calibri" w:eastAsia="Calibri" w:hAnsi="Calibri" w:cs="Times New Roman"/>
              </w:rPr>
            </w:pPr>
            <w:r w:rsidRPr="00A06F1E">
              <w:rPr>
                <w:rFonts w:ascii="Calibri" w:eastAsia="Calibri" w:hAnsi="Calibri" w:cs="Times New Roman"/>
              </w:rPr>
              <w:t>—</w:t>
            </w:r>
          </w:p>
        </w:tc>
        <w:tc>
          <w:tcPr>
            <w:tcW w:w="1325" w:type="dxa"/>
          </w:tcPr>
          <w:p w14:paraId="5D8B6693" w14:textId="77777777" w:rsidR="00F14975" w:rsidRPr="00A06F1E" w:rsidRDefault="00F14975" w:rsidP="00DF5967">
            <w:pPr>
              <w:pStyle w:val="TableTextCentered"/>
              <w:rPr>
                <w:rFonts w:ascii="Calibri" w:eastAsia="Calibri" w:hAnsi="Calibri" w:cs="Times New Roman"/>
              </w:rPr>
            </w:pPr>
            <w:r w:rsidRPr="00A06F1E">
              <w:t>33.3</w:t>
            </w:r>
          </w:p>
        </w:tc>
        <w:tc>
          <w:tcPr>
            <w:tcW w:w="1336" w:type="dxa"/>
          </w:tcPr>
          <w:p w14:paraId="47EAEF3E" w14:textId="77777777" w:rsidR="00F14975" w:rsidRPr="00A06F1E" w:rsidRDefault="00F14975" w:rsidP="00DF5967">
            <w:pPr>
              <w:pStyle w:val="TableTextCentered"/>
              <w:rPr>
                <w:rFonts w:ascii="Calibri" w:eastAsia="Calibri" w:hAnsi="Calibri" w:cs="Times New Roman"/>
              </w:rPr>
            </w:pPr>
            <w:r w:rsidRPr="00A06F1E">
              <w:t>25.3</w:t>
            </w:r>
          </w:p>
        </w:tc>
      </w:tr>
      <w:tr w:rsidR="00F14975" w:rsidRPr="00A06F1E" w14:paraId="7434BB2B"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76E4F6C3" w14:textId="77777777" w:rsidR="00F14975" w:rsidRPr="00A06F1E" w:rsidRDefault="00F14975" w:rsidP="00DF5967">
            <w:pPr>
              <w:pStyle w:val="TableText"/>
            </w:pPr>
            <w:r w:rsidRPr="00A06F1E">
              <w:t>Asian</w:t>
            </w:r>
          </w:p>
        </w:tc>
        <w:tc>
          <w:tcPr>
            <w:tcW w:w="1160" w:type="dxa"/>
          </w:tcPr>
          <w:p w14:paraId="48DBA115" w14:textId="77777777" w:rsidR="00F14975" w:rsidRPr="00A06F1E" w:rsidRDefault="00F14975" w:rsidP="00DF5967">
            <w:pPr>
              <w:pStyle w:val="TableTextCentered"/>
              <w:rPr>
                <w:rFonts w:ascii="Calibri" w:eastAsia="Calibri" w:hAnsi="Calibri" w:cs="Times New Roman"/>
              </w:rPr>
            </w:pPr>
            <w:r w:rsidRPr="00A06F1E">
              <w:t>8</w:t>
            </w:r>
          </w:p>
        </w:tc>
        <w:tc>
          <w:tcPr>
            <w:tcW w:w="1325" w:type="dxa"/>
          </w:tcPr>
          <w:p w14:paraId="2CBF816A" w14:textId="4EEF242A" w:rsidR="00F14975" w:rsidRPr="00A06F1E" w:rsidRDefault="007834A0" w:rsidP="00DF5967">
            <w:pPr>
              <w:pStyle w:val="TableTextCentered"/>
              <w:rPr>
                <w:rFonts w:ascii="Calibri" w:eastAsia="Calibri" w:hAnsi="Calibri" w:cs="Times New Roman"/>
              </w:rPr>
            </w:pPr>
            <w:r w:rsidRPr="00A06F1E">
              <w:rPr>
                <w:rFonts w:ascii="Calibri" w:eastAsia="Calibri" w:hAnsi="Calibri" w:cs="Times New Roman"/>
              </w:rPr>
              <w:t>—</w:t>
            </w:r>
          </w:p>
        </w:tc>
        <w:tc>
          <w:tcPr>
            <w:tcW w:w="1326" w:type="dxa"/>
          </w:tcPr>
          <w:p w14:paraId="49D490BB" w14:textId="77777777" w:rsidR="00F14975" w:rsidRPr="00A06F1E" w:rsidRDefault="00F14975" w:rsidP="00DF5967">
            <w:pPr>
              <w:pStyle w:val="TableTextCentered"/>
              <w:rPr>
                <w:rFonts w:ascii="Calibri" w:eastAsia="Calibri" w:hAnsi="Calibri" w:cs="Times New Roman"/>
              </w:rPr>
            </w:pPr>
            <w:r w:rsidRPr="00A06F1E">
              <w:t>14.3</w:t>
            </w:r>
          </w:p>
        </w:tc>
        <w:tc>
          <w:tcPr>
            <w:tcW w:w="1325" w:type="dxa"/>
          </w:tcPr>
          <w:p w14:paraId="7AC12BE0" w14:textId="77777777" w:rsidR="00F14975" w:rsidRPr="00A06F1E" w:rsidRDefault="00F14975" w:rsidP="00DF5967">
            <w:pPr>
              <w:pStyle w:val="TableTextCentered"/>
              <w:rPr>
                <w:rFonts w:ascii="Calibri" w:eastAsia="Calibri" w:hAnsi="Calibri" w:cs="Times New Roman"/>
              </w:rPr>
            </w:pPr>
            <w:r w:rsidRPr="00A06F1E">
              <w:t>25.0</w:t>
            </w:r>
          </w:p>
        </w:tc>
        <w:tc>
          <w:tcPr>
            <w:tcW w:w="1336" w:type="dxa"/>
          </w:tcPr>
          <w:p w14:paraId="5FBD1753" w14:textId="77777777" w:rsidR="00F14975" w:rsidRPr="00A06F1E" w:rsidRDefault="00F14975" w:rsidP="00DF5967">
            <w:pPr>
              <w:pStyle w:val="TableTextCentered"/>
              <w:rPr>
                <w:rFonts w:ascii="Calibri" w:eastAsia="Calibri" w:hAnsi="Calibri" w:cs="Times New Roman"/>
              </w:rPr>
            </w:pPr>
            <w:r w:rsidRPr="00A06F1E">
              <w:t>13.9</w:t>
            </w:r>
          </w:p>
        </w:tc>
      </w:tr>
      <w:tr w:rsidR="00F14975" w:rsidRPr="00A06F1E" w14:paraId="67898BE0" w14:textId="77777777">
        <w:tc>
          <w:tcPr>
            <w:tcW w:w="2872" w:type="dxa"/>
          </w:tcPr>
          <w:p w14:paraId="25FD4FAB" w14:textId="77777777" w:rsidR="00F14975" w:rsidRPr="00A06F1E" w:rsidRDefault="00F14975" w:rsidP="00DF5967">
            <w:pPr>
              <w:pStyle w:val="TableText"/>
            </w:pPr>
            <w:r w:rsidRPr="00A06F1E">
              <w:t>Hispanic/Latino</w:t>
            </w:r>
          </w:p>
        </w:tc>
        <w:tc>
          <w:tcPr>
            <w:tcW w:w="1160" w:type="dxa"/>
          </w:tcPr>
          <w:p w14:paraId="01E60E18" w14:textId="77777777" w:rsidR="00F14975" w:rsidRPr="00A06F1E" w:rsidRDefault="00F14975" w:rsidP="00DF5967">
            <w:pPr>
              <w:pStyle w:val="TableTextCentered"/>
              <w:rPr>
                <w:rFonts w:ascii="Calibri" w:eastAsia="Calibri" w:hAnsi="Calibri" w:cs="Times New Roman"/>
              </w:rPr>
            </w:pPr>
            <w:r w:rsidRPr="00A06F1E">
              <w:t>57</w:t>
            </w:r>
          </w:p>
        </w:tc>
        <w:tc>
          <w:tcPr>
            <w:tcW w:w="1325" w:type="dxa"/>
          </w:tcPr>
          <w:p w14:paraId="71B76052" w14:textId="77777777" w:rsidR="00F14975" w:rsidRPr="00A06F1E" w:rsidRDefault="00F14975" w:rsidP="00DF5967">
            <w:pPr>
              <w:pStyle w:val="TableTextCentered"/>
              <w:rPr>
                <w:rFonts w:ascii="Calibri" w:eastAsia="Calibri" w:hAnsi="Calibri" w:cs="Times New Roman"/>
              </w:rPr>
            </w:pPr>
            <w:r w:rsidRPr="00A06F1E">
              <w:t>24.4</w:t>
            </w:r>
          </w:p>
        </w:tc>
        <w:tc>
          <w:tcPr>
            <w:tcW w:w="1326" w:type="dxa"/>
          </w:tcPr>
          <w:p w14:paraId="22F70D13" w14:textId="77777777" w:rsidR="00F14975" w:rsidRPr="00A06F1E" w:rsidRDefault="00F14975" w:rsidP="00DF5967">
            <w:pPr>
              <w:pStyle w:val="TableTextCentered"/>
              <w:rPr>
                <w:rFonts w:ascii="Calibri" w:eastAsia="Calibri" w:hAnsi="Calibri" w:cs="Times New Roman"/>
              </w:rPr>
            </w:pPr>
            <w:r w:rsidRPr="00A06F1E">
              <w:t>15.7</w:t>
            </w:r>
          </w:p>
        </w:tc>
        <w:tc>
          <w:tcPr>
            <w:tcW w:w="1325" w:type="dxa"/>
          </w:tcPr>
          <w:p w14:paraId="7ABD4FDD" w14:textId="77777777" w:rsidR="00F14975" w:rsidRPr="00A06F1E" w:rsidRDefault="00F14975" w:rsidP="00DF5967">
            <w:pPr>
              <w:pStyle w:val="TableTextCentered"/>
              <w:rPr>
                <w:rFonts w:ascii="Calibri" w:eastAsia="Calibri" w:hAnsi="Calibri" w:cs="Times New Roman"/>
              </w:rPr>
            </w:pPr>
            <w:r w:rsidRPr="00A06F1E">
              <w:t>24.6</w:t>
            </w:r>
          </w:p>
        </w:tc>
        <w:tc>
          <w:tcPr>
            <w:tcW w:w="1336" w:type="dxa"/>
          </w:tcPr>
          <w:p w14:paraId="4BADD9CE" w14:textId="77777777" w:rsidR="00F14975" w:rsidRPr="00A06F1E" w:rsidRDefault="00F14975" w:rsidP="00DF5967">
            <w:pPr>
              <w:pStyle w:val="TableTextCentered"/>
              <w:rPr>
                <w:rFonts w:ascii="Calibri" w:eastAsia="Calibri" w:hAnsi="Calibri" w:cs="Times New Roman"/>
              </w:rPr>
            </w:pPr>
            <w:r w:rsidRPr="00A06F1E">
              <w:t>34.5</w:t>
            </w:r>
          </w:p>
        </w:tc>
      </w:tr>
      <w:tr w:rsidR="00F14975" w:rsidRPr="00A06F1E" w14:paraId="4CF8F971"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22C7FAA0" w14:textId="77777777" w:rsidR="00F14975" w:rsidRPr="00A06F1E" w:rsidRDefault="00F14975" w:rsidP="00DF5967">
            <w:pPr>
              <w:pStyle w:val="TableText"/>
            </w:pPr>
            <w:r w:rsidRPr="00A06F1E">
              <w:t>Multi-Race, non-Hispanic/Latino</w:t>
            </w:r>
          </w:p>
        </w:tc>
        <w:tc>
          <w:tcPr>
            <w:tcW w:w="1160" w:type="dxa"/>
          </w:tcPr>
          <w:p w14:paraId="6CE69554" w14:textId="77777777" w:rsidR="00F14975" w:rsidRPr="00A06F1E" w:rsidRDefault="00F14975" w:rsidP="00DF5967">
            <w:pPr>
              <w:pStyle w:val="TableTextCentered"/>
              <w:rPr>
                <w:rFonts w:ascii="Calibri" w:eastAsia="Calibri" w:hAnsi="Calibri" w:cs="Times New Roman"/>
              </w:rPr>
            </w:pPr>
            <w:r w:rsidRPr="00A06F1E">
              <w:t>27</w:t>
            </w:r>
          </w:p>
        </w:tc>
        <w:tc>
          <w:tcPr>
            <w:tcW w:w="1325" w:type="dxa"/>
          </w:tcPr>
          <w:p w14:paraId="64FBA31C" w14:textId="77777777" w:rsidR="00F14975" w:rsidRPr="00A06F1E" w:rsidRDefault="00F14975" w:rsidP="00DF5967">
            <w:pPr>
              <w:pStyle w:val="TableTextCentered"/>
              <w:rPr>
                <w:rFonts w:ascii="Calibri" w:eastAsia="Calibri" w:hAnsi="Calibri" w:cs="Times New Roman"/>
              </w:rPr>
            </w:pPr>
            <w:r w:rsidRPr="00A06F1E">
              <w:t>33.3</w:t>
            </w:r>
          </w:p>
        </w:tc>
        <w:tc>
          <w:tcPr>
            <w:tcW w:w="1326" w:type="dxa"/>
          </w:tcPr>
          <w:p w14:paraId="24AD6315" w14:textId="77777777" w:rsidR="00F14975" w:rsidRPr="00A06F1E" w:rsidRDefault="00F14975" w:rsidP="00DF5967">
            <w:pPr>
              <w:pStyle w:val="TableTextCentered"/>
              <w:rPr>
                <w:rFonts w:ascii="Calibri" w:eastAsia="Calibri" w:hAnsi="Calibri" w:cs="Times New Roman"/>
              </w:rPr>
            </w:pPr>
            <w:r w:rsidRPr="00A06F1E">
              <w:t>20.6</w:t>
            </w:r>
          </w:p>
        </w:tc>
        <w:tc>
          <w:tcPr>
            <w:tcW w:w="1325" w:type="dxa"/>
          </w:tcPr>
          <w:p w14:paraId="2ABEE469" w14:textId="77777777" w:rsidR="00F14975" w:rsidRPr="00A06F1E" w:rsidRDefault="00F14975" w:rsidP="00DF5967">
            <w:pPr>
              <w:pStyle w:val="TableTextCentered"/>
              <w:rPr>
                <w:rFonts w:ascii="Calibri" w:eastAsia="Calibri" w:hAnsi="Calibri" w:cs="Times New Roman"/>
              </w:rPr>
            </w:pPr>
            <w:r w:rsidRPr="00A06F1E">
              <w:t>25.9</w:t>
            </w:r>
          </w:p>
        </w:tc>
        <w:tc>
          <w:tcPr>
            <w:tcW w:w="1336" w:type="dxa"/>
          </w:tcPr>
          <w:p w14:paraId="784D6A6E" w14:textId="77777777" w:rsidR="00F14975" w:rsidRPr="00A06F1E" w:rsidRDefault="00F14975" w:rsidP="00DF5967">
            <w:pPr>
              <w:pStyle w:val="TableTextCentered"/>
              <w:rPr>
                <w:rFonts w:ascii="Calibri" w:eastAsia="Calibri" w:hAnsi="Calibri" w:cs="Times New Roman"/>
              </w:rPr>
            </w:pPr>
            <w:r w:rsidRPr="00A06F1E">
              <w:t>23.3</w:t>
            </w:r>
          </w:p>
        </w:tc>
      </w:tr>
      <w:tr w:rsidR="00F14975" w:rsidRPr="00A06F1E" w14:paraId="5A62E6FE" w14:textId="77777777">
        <w:tc>
          <w:tcPr>
            <w:tcW w:w="2872" w:type="dxa"/>
          </w:tcPr>
          <w:p w14:paraId="06864B15" w14:textId="77777777" w:rsidR="00F14975" w:rsidRPr="00A06F1E" w:rsidRDefault="00F14975" w:rsidP="00DF5967">
            <w:pPr>
              <w:pStyle w:val="TableText"/>
            </w:pPr>
            <w:r w:rsidRPr="00A06F1E">
              <w:t>Native American</w:t>
            </w:r>
          </w:p>
        </w:tc>
        <w:tc>
          <w:tcPr>
            <w:tcW w:w="1160" w:type="dxa"/>
          </w:tcPr>
          <w:p w14:paraId="68FB0EBD" w14:textId="77777777" w:rsidR="00F14975" w:rsidRPr="00A06F1E" w:rsidRDefault="00F14975" w:rsidP="00DF5967">
            <w:pPr>
              <w:pStyle w:val="TableTextCentered"/>
              <w:rPr>
                <w:rFonts w:ascii="Calibri" w:eastAsia="Calibri" w:hAnsi="Calibri" w:cs="Times New Roman"/>
              </w:rPr>
            </w:pPr>
            <w:r w:rsidRPr="00A06F1E">
              <w:t>1</w:t>
            </w:r>
          </w:p>
        </w:tc>
        <w:tc>
          <w:tcPr>
            <w:tcW w:w="1325" w:type="dxa"/>
          </w:tcPr>
          <w:p w14:paraId="027145A6" w14:textId="474B3A85" w:rsidR="00F14975" w:rsidRPr="00A06F1E" w:rsidRDefault="007834A0" w:rsidP="00DF5967">
            <w:pPr>
              <w:pStyle w:val="TableTextCentered"/>
              <w:rPr>
                <w:rFonts w:ascii="Calibri" w:eastAsia="Calibri" w:hAnsi="Calibri" w:cs="Times New Roman"/>
              </w:rPr>
            </w:pPr>
            <w:r w:rsidRPr="00A06F1E">
              <w:rPr>
                <w:rFonts w:ascii="Calibri" w:eastAsia="Calibri" w:hAnsi="Calibri" w:cs="Times New Roman"/>
              </w:rPr>
              <w:t>—</w:t>
            </w:r>
          </w:p>
        </w:tc>
        <w:tc>
          <w:tcPr>
            <w:tcW w:w="1326" w:type="dxa"/>
          </w:tcPr>
          <w:p w14:paraId="4E89B4BD" w14:textId="2C10E34C" w:rsidR="00F14975" w:rsidRPr="00A06F1E" w:rsidRDefault="007834A0" w:rsidP="00DF5967">
            <w:pPr>
              <w:pStyle w:val="TableTextCentered"/>
              <w:rPr>
                <w:rFonts w:ascii="Calibri" w:eastAsia="Calibri" w:hAnsi="Calibri" w:cs="Times New Roman"/>
              </w:rPr>
            </w:pPr>
            <w:r w:rsidRPr="00A06F1E">
              <w:rPr>
                <w:rFonts w:ascii="Calibri" w:eastAsia="Calibri" w:hAnsi="Calibri" w:cs="Times New Roman"/>
              </w:rPr>
              <w:t>—</w:t>
            </w:r>
          </w:p>
        </w:tc>
        <w:tc>
          <w:tcPr>
            <w:tcW w:w="1325" w:type="dxa"/>
          </w:tcPr>
          <w:p w14:paraId="13E7A2C9" w14:textId="1EECB26D" w:rsidR="00F14975" w:rsidRPr="00A06F1E" w:rsidRDefault="007834A0" w:rsidP="00DF5967">
            <w:pPr>
              <w:pStyle w:val="TableTextCentered"/>
              <w:rPr>
                <w:rFonts w:ascii="Calibri" w:eastAsia="Calibri" w:hAnsi="Calibri" w:cs="Times New Roman"/>
              </w:rPr>
            </w:pPr>
            <w:r w:rsidRPr="00A06F1E">
              <w:rPr>
                <w:rFonts w:ascii="Calibri" w:eastAsia="Calibri" w:hAnsi="Calibri" w:cs="Times New Roman"/>
              </w:rPr>
              <w:t>—</w:t>
            </w:r>
          </w:p>
        </w:tc>
        <w:tc>
          <w:tcPr>
            <w:tcW w:w="1336" w:type="dxa"/>
          </w:tcPr>
          <w:p w14:paraId="385CC79F" w14:textId="77777777" w:rsidR="00F14975" w:rsidRPr="00A06F1E" w:rsidRDefault="00F14975" w:rsidP="00DF5967">
            <w:pPr>
              <w:pStyle w:val="TableTextCentered"/>
              <w:rPr>
                <w:rFonts w:ascii="Calibri" w:eastAsia="Calibri" w:hAnsi="Calibri" w:cs="Times New Roman"/>
              </w:rPr>
            </w:pPr>
            <w:r w:rsidRPr="00A06F1E">
              <w:t>33.5</w:t>
            </w:r>
          </w:p>
        </w:tc>
      </w:tr>
      <w:tr w:rsidR="00F14975" w:rsidRPr="00A06F1E" w14:paraId="5E653AFA"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1F447C03" w14:textId="77777777" w:rsidR="00F14975" w:rsidRPr="00A06F1E" w:rsidRDefault="00F14975" w:rsidP="00DF5967">
            <w:pPr>
              <w:pStyle w:val="TableText"/>
              <w:rPr>
                <w:spacing w:val="-4"/>
              </w:rPr>
            </w:pPr>
            <w:r w:rsidRPr="00A06F1E">
              <w:rPr>
                <w:spacing w:val="-4"/>
              </w:rPr>
              <w:t>Native Hawaiian, Pacific Islander</w:t>
            </w:r>
          </w:p>
        </w:tc>
        <w:tc>
          <w:tcPr>
            <w:tcW w:w="1160" w:type="dxa"/>
          </w:tcPr>
          <w:p w14:paraId="21563B7C" w14:textId="77777777" w:rsidR="00F14975" w:rsidRPr="00A06F1E" w:rsidRDefault="00F14975" w:rsidP="00DF5967">
            <w:pPr>
              <w:pStyle w:val="TableTextCentered"/>
              <w:rPr>
                <w:rFonts w:ascii="Calibri" w:eastAsia="Calibri" w:hAnsi="Calibri" w:cs="Times New Roman"/>
              </w:rPr>
            </w:pPr>
            <w:r w:rsidRPr="00A06F1E">
              <w:t>1</w:t>
            </w:r>
          </w:p>
        </w:tc>
        <w:tc>
          <w:tcPr>
            <w:tcW w:w="1325" w:type="dxa"/>
          </w:tcPr>
          <w:p w14:paraId="0434C6F6" w14:textId="7985D4F0" w:rsidR="00F14975" w:rsidRPr="00A06F1E" w:rsidRDefault="007834A0" w:rsidP="00DF5967">
            <w:pPr>
              <w:pStyle w:val="TableTextCentered"/>
              <w:rPr>
                <w:rFonts w:ascii="Calibri" w:eastAsia="Calibri" w:hAnsi="Calibri" w:cs="Times New Roman"/>
              </w:rPr>
            </w:pPr>
            <w:r w:rsidRPr="00A06F1E">
              <w:t>—</w:t>
            </w:r>
          </w:p>
        </w:tc>
        <w:tc>
          <w:tcPr>
            <w:tcW w:w="1326" w:type="dxa"/>
          </w:tcPr>
          <w:p w14:paraId="77C186B5" w14:textId="1E46F71F" w:rsidR="00F14975" w:rsidRPr="00A06F1E" w:rsidRDefault="007834A0" w:rsidP="00DF5967">
            <w:pPr>
              <w:pStyle w:val="TableTextCentered"/>
              <w:rPr>
                <w:rFonts w:ascii="Calibri" w:eastAsia="Calibri" w:hAnsi="Calibri" w:cs="Times New Roman"/>
              </w:rPr>
            </w:pPr>
            <w:r w:rsidRPr="00A06F1E">
              <w:rPr>
                <w:rFonts w:ascii="Calibri" w:eastAsia="Calibri" w:hAnsi="Calibri" w:cs="Times New Roman"/>
              </w:rPr>
              <w:t>—</w:t>
            </w:r>
          </w:p>
        </w:tc>
        <w:tc>
          <w:tcPr>
            <w:tcW w:w="1325" w:type="dxa"/>
          </w:tcPr>
          <w:p w14:paraId="5659C88F" w14:textId="23832486" w:rsidR="00F14975" w:rsidRPr="00A06F1E" w:rsidRDefault="007834A0" w:rsidP="00DF5967">
            <w:pPr>
              <w:pStyle w:val="TableTextCentered"/>
              <w:rPr>
                <w:rFonts w:ascii="Calibri" w:eastAsia="Calibri" w:hAnsi="Calibri" w:cs="Times New Roman"/>
              </w:rPr>
            </w:pPr>
            <w:r w:rsidRPr="00A06F1E">
              <w:rPr>
                <w:rFonts w:ascii="Calibri" w:eastAsia="Calibri" w:hAnsi="Calibri" w:cs="Times New Roman"/>
              </w:rPr>
              <w:t>—</w:t>
            </w:r>
          </w:p>
        </w:tc>
        <w:tc>
          <w:tcPr>
            <w:tcW w:w="1336" w:type="dxa"/>
          </w:tcPr>
          <w:p w14:paraId="4D700B10" w14:textId="77777777" w:rsidR="00F14975" w:rsidRPr="00A06F1E" w:rsidRDefault="00F14975" w:rsidP="00DF5967">
            <w:pPr>
              <w:pStyle w:val="TableTextCentered"/>
              <w:rPr>
                <w:rFonts w:ascii="Calibri" w:eastAsia="Calibri" w:hAnsi="Calibri" w:cs="Times New Roman"/>
              </w:rPr>
            </w:pPr>
            <w:r w:rsidRPr="00A06F1E">
              <w:t>28.3</w:t>
            </w:r>
          </w:p>
        </w:tc>
      </w:tr>
      <w:tr w:rsidR="00F14975" w:rsidRPr="00A06F1E" w14:paraId="0B16A0BF" w14:textId="77777777">
        <w:tc>
          <w:tcPr>
            <w:tcW w:w="2872" w:type="dxa"/>
          </w:tcPr>
          <w:p w14:paraId="6C9484AD" w14:textId="77777777" w:rsidR="00F14975" w:rsidRPr="00A06F1E" w:rsidRDefault="00F14975" w:rsidP="00DF5967">
            <w:pPr>
              <w:pStyle w:val="TableText"/>
            </w:pPr>
            <w:r w:rsidRPr="00A06F1E">
              <w:t>White</w:t>
            </w:r>
          </w:p>
        </w:tc>
        <w:tc>
          <w:tcPr>
            <w:tcW w:w="1160" w:type="dxa"/>
          </w:tcPr>
          <w:p w14:paraId="18B2C45B" w14:textId="77777777" w:rsidR="00F14975" w:rsidRPr="00A06F1E" w:rsidRDefault="00F14975" w:rsidP="00DF5967">
            <w:pPr>
              <w:pStyle w:val="TableTextCentered"/>
              <w:rPr>
                <w:rFonts w:ascii="Calibri" w:eastAsia="Calibri" w:hAnsi="Calibri" w:cs="Times New Roman"/>
              </w:rPr>
            </w:pPr>
            <w:r w:rsidRPr="00A06F1E">
              <w:t>449</w:t>
            </w:r>
          </w:p>
        </w:tc>
        <w:tc>
          <w:tcPr>
            <w:tcW w:w="1325" w:type="dxa"/>
          </w:tcPr>
          <w:p w14:paraId="1D2392EE" w14:textId="77777777" w:rsidR="00F14975" w:rsidRPr="00A06F1E" w:rsidRDefault="00F14975" w:rsidP="00DF5967">
            <w:pPr>
              <w:pStyle w:val="TableTextCentered"/>
              <w:rPr>
                <w:rFonts w:ascii="Calibri" w:eastAsia="Calibri" w:hAnsi="Calibri" w:cs="Times New Roman"/>
              </w:rPr>
            </w:pPr>
            <w:r w:rsidRPr="00A06F1E">
              <w:t>19.5</w:t>
            </w:r>
          </w:p>
        </w:tc>
        <w:tc>
          <w:tcPr>
            <w:tcW w:w="1326" w:type="dxa"/>
          </w:tcPr>
          <w:p w14:paraId="78C86CF4" w14:textId="77777777" w:rsidR="00F14975" w:rsidRPr="00A06F1E" w:rsidRDefault="00F14975" w:rsidP="00DF5967">
            <w:pPr>
              <w:pStyle w:val="TableTextCentered"/>
              <w:rPr>
                <w:rFonts w:ascii="Calibri" w:eastAsia="Calibri" w:hAnsi="Calibri" w:cs="Times New Roman"/>
              </w:rPr>
            </w:pPr>
            <w:r w:rsidRPr="00A06F1E">
              <w:t>18.2</w:t>
            </w:r>
          </w:p>
        </w:tc>
        <w:tc>
          <w:tcPr>
            <w:tcW w:w="1325" w:type="dxa"/>
          </w:tcPr>
          <w:p w14:paraId="3C08CB32" w14:textId="77777777" w:rsidR="00F14975" w:rsidRPr="00A06F1E" w:rsidRDefault="00F14975" w:rsidP="00DF5967">
            <w:pPr>
              <w:pStyle w:val="TableTextCentered"/>
              <w:rPr>
                <w:rFonts w:ascii="Calibri" w:eastAsia="Calibri" w:hAnsi="Calibri" w:cs="Times New Roman"/>
              </w:rPr>
            </w:pPr>
            <w:r w:rsidRPr="00A06F1E">
              <w:t>19.6</w:t>
            </w:r>
          </w:p>
        </w:tc>
        <w:tc>
          <w:tcPr>
            <w:tcW w:w="1336" w:type="dxa"/>
          </w:tcPr>
          <w:p w14:paraId="38680F10" w14:textId="77777777" w:rsidR="00F14975" w:rsidRPr="00A06F1E" w:rsidRDefault="00F14975" w:rsidP="00DF5967">
            <w:pPr>
              <w:pStyle w:val="TableTextCentered"/>
              <w:rPr>
                <w:rFonts w:ascii="Calibri" w:eastAsia="Calibri" w:hAnsi="Calibri" w:cs="Times New Roman"/>
              </w:rPr>
            </w:pPr>
            <w:r w:rsidRPr="00A06F1E">
              <w:t>17.0</w:t>
            </w:r>
          </w:p>
        </w:tc>
      </w:tr>
      <w:tr w:rsidR="00F14975" w:rsidRPr="00A06F1E" w14:paraId="50107C17"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7E21813F" w14:textId="77777777" w:rsidR="00F14975" w:rsidRPr="00A06F1E" w:rsidRDefault="00F14975" w:rsidP="00DF5967">
            <w:pPr>
              <w:pStyle w:val="TableText"/>
            </w:pPr>
            <w:r w:rsidRPr="00A06F1E">
              <w:t>High needs</w:t>
            </w:r>
          </w:p>
        </w:tc>
        <w:tc>
          <w:tcPr>
            <w:tcW w:w="1160" w:type="dxa"/>
          </w:tcPr>
          <w:p w14:paraId="66684120" w14:textId="77777777" w:rsidR="00F14975" w:rsidRPr="00A06F1E" w:rsidRDefault="00F14975" w:rsidP="00DF5967">
            <w:pPr>
              <w:pStyle w:val="TableTextCentered"/>
              <w:rPr>
                <w:rFonts w:ascii="Calibri" w:eastAsia="Calibri" w:hAnsi="Calibri" w:cs="Times New Roman"/>
              </w:rPr>
            </w:pPr>
            <w:r w:rsidRPr="00A06F1E">
              <w:t>447</w:t>
            </w:r>
          </w:p>
        </w:tc>
        <w:tc>
          <w:tcPr>
            <w:tcW w:w="1325" w:type="dxa"/>
          </w:tcPr>
          <w:p w14:paraId="4897508D" w14:textId="77777777" w:rsidR="00F14975" w:rsidRPr="00A06F1E" w:rsidRDefault="00F14975" w:rsidP="00DF5967">
            <w:pPr>
              <w:pStyle w:val="TableTextCentered"/>
              <w:rPr>
                <w:rFonts w:ascii="Calibri" w:eastAsia="Calibri" w:hAnsi="Calibri" w:cs="Times New Roman"/>
              </w:rPr>
            </w:pPr>
            <w:r w:rsidRPr="00A06F1E">
              <w:t>24.1</w:t>
            </w:r>
          </w:p>
        </w:tc>
        <w:tc>
          <w:tcPr>
            <w:tcW w:w="1326" w:type="dxa"/>
          </w:tcPr>
          <w:p w14:paraId="6FFA0896" w14:textId="77777777" w:rsidR="00F14975" w:rsidRPr="00A06F1E" w:rsidRDefault="00F14975" w:rsidP="00DF5967">
            <w:pPr>
              <w:pStyle w:val="TableTextCentered"/>
              <w:rPr>
                <w:rFonts w:ascii="Calibri" w:eastAsia="Calibri" w:hAnsi="Calibri" w:cs="Times New Roman"/>
              </w:rPr>
            </w:pPr>
            <w:r w:rsidRPr="00A06F1E">
              <w:t>18.8</w:t>
            </w:r>
          </w:p>
        </w:tc>
        <w:tc>
          <w:tcPr>
            <w:tcW w:w="1325" w:type="dxa"/>
          </w:tcPr>
          <w:p w14:paraId="66285AC0" w14:textId="77777777" w:rsidR="00F14975" w:rsidRPr="00A06F1E" w:rsidRDefault="00F14975" w:rsidP="00DF5967">
            <w:pPr>
              <w:pStyle w:val="TableTextCentered"/>
              <w:rPr>
                <w:rFonts w:ascii="Calibri" w:eastAsia="Calibri" w:hAnsi="Calibri" w:cs="Times New Roman"/>
              </w:rPr>
            </w:pPr>
            <w:r w:rsidRPr="00A06F1E">
              <w:t>22.8</w:t>
            </w:r>
          </w:p>
        </w:tc>
        <w:tc>
          <w:tcPr>
            <w:tcW w:w="1336" w:type="dxa"/>
          </w:tcPr>
          <w:p w14:paraId="352E661F" w14:textId="77777777" w:rsidR="00F14975" w:rsidRPr="00A06F1E" w:rsidRDefault="00F14975" w:rsidP="00DF5967">
            <w:pPr>
              <w:pStyle w:val="TableTextCentered"/>
              <w:rPr>
                <w:rFonts w:ascii="Calibri" w:eastAsia="Calibri" w:hAnsi="Calibri" w:cs="Times New Roman"/>
              </w:rPr>
            </w:pPr>
            <w:r w:rsidRPr="00A06F1E">
              <w:t>30.3</w:t>
            </w:r>
          </w:p>
        </w:tc>
      </w:tr>
      <w:tr w:rsidR="00F14975" w:rsidRPr="00A06F1E" w14:paraId="20832B17" w14:textId="77777777">
        <w:tc>
          <w:tcPr>
            <w:tcW w:w="2872" w:type="dxa"/>
          </w:tcPr>
          <w:p w14:paraId="23756D7A" w14:textId="77777777" w:rsidR="00F14975" w:rsidRPr="00A06F1E" w:rsidRDefault="00F14975" w:rsidP="00DF5967">
            <w:pPr>
              <w:pStyle w:val="TableText"/>
            </w:pPr>
            <w:r w:rsidRPr="00A06F1E">
              <w:t>Low income</w:t>
            </w:r>
          </w:p>
        </w:tc>
        <w:tc>
          <w:tcPr>
            <w:tcW w:w="1160" w:type="dxa"/>
          </w:tcPr>
          <w:p w14:paraId="6AF5A31B" w14:textId="77777777" w:rsidR="00F14975" w:rsidRPr="00A06F1E" w:rsidRDefault="00F14975" w:rsidP="00DF5967">
            <w:pPr>
              <w:pStyle w:val="TableTextCentered"/>
              <w:rPr>
                <w:rFonts w:ascii="Calibri" w:eastAsia="Calibri" w:hAnsi="Calibri" w:cs="Times New Roman"/>
              </w:rPr>
            </w:pPr>
            <w:r w:rsidRPr="00A06F1E">
              <w:t>420</w:t>
            </w:r>
          </w:p>
        </w:tc>
        <w:tc>
          <w:tcPr>
            <w:tcW w:w="1325" w:type="dxa"/>
          </w:tcPr>
          <w:p w14:paraId="6C7F2F14" w14:textId="791CEE5C" w:rsidR="00F14975" w:rsidRPr="00A06F1E" w:rsidRDefault="007834A0" w:rsidP="00DF5967">
            <w:pPr>
              <w:pStyle w:val="TableTextCentered"/>
              <w:rPr>
                <w:rFonts w:ascii="Calibri" w:eastAsia="Calibri" w:hAnsi="Calibri" w:cs="Times New Roman"/>
              </w:rPr>
            </w:pPr>
            <w:r w:rsidRPr="00A06F1E">
              <w:t>—</w:t>
            </w:r>
          </w:p>
        </w:tc>
        <w:tc>
          <w:tcPr>
            <w:tcW w:w="1326" w:type="dxa"/>
          </w:tcPr>
          <w:p w14:paraId="663DFE3C" w14:textId="77777777" w:rsidR="00F14975" w:rsidRPr="00A06F1E" w:rsidRDefault="00F14975" w:rsidP="00DF5967">
            <w:pPr>
              <w:pStyle w:val="TableTextCentered"/>
              <w:rPr>
                <w:rFonts w:ascii="Calibri" w:eastAsia="Calibri" w:hAnsi="Calibri" w:cs="Times New Roman"/>
              </w:rPr>
            </w:pPr>
            <w:r w:rsidRPr="00A06F1E">
              <w:t>19.4</w:t>
            </w:r>
          </w:p>
        </w:tc>
        <w:tc>
          <w:tcPr>
            <w:tcW w:w="1325" w:type="dxa"/>
          </w:tcPr>
          <w:p w14:paraId="734F3A41" w14:textId="77777777" w:rsidR="00F14975" w:rsidRPr="00A06F1E" w:rsidRDefault="00F14975" w:rsidP="00DF5967">
            <w:pPr>
              <w:pStyle w:val="TableTextCentered"/>
              <w:rPr>
                <w:rFonts w:ascii="Calibri" w:eastAsia="Calibri" w:hAnsi="Calibri" w:cs="Times New Roman"/>
              </w:rPr>
            </w:pPr>
            <w:r w:rsidRPr="00A06F1E">
              <w:t>23.8</w:t>
            </w:r>
          </w:p>
        </w:tc>
        <w:tc>
          <w:tcPr>
            <w:tcW w:w="1336" w:type="dxa"/>
          </w:tcPr>
          <w:p w14:paraId="417AD67C" w14:textId="77777777" w:rsidR="00F14975" w:rsidRPr="00A06F1E" w:rsidRDefault="00F14975" w:rsidP="00DF5967">
            <w:pPr>
              <w:pStyle w:val="TableTextCentered"/>
              <w:rPr>
                <w:rFonts w:ascii="Calibri" w:eastAsia="Calibri" w:hAnsi="Calibri" w:cs="Times New Roman"/>
              </w:rPr>
            </w:pPr>
            <w:r w:rsidRPr="00A06F1E">
              <w:t>33.5</w:t>
            </w:r>
          </w:p>
        </w:tc>
      </w:tr>
      <w:tr w:rsidR="00F14975" w:rsidRPr="00A06F1E" w14:paraId="4294B2DF"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6318D53D" w14:textId="020C41BE" w:rsidR="00F14975" w:rsidRPr="00A06F1E" w:rsidRDefault="0066296E" w:rsidP="00DF5967">
            <w:pPr>
              <w:pStyle w:val="TableText"/>
            </w:pPr>
            <w:r w:rsidRPr="00A06F1E">
              <w:rPr>
                <w:spacing w:val="-4"/>
              </w:rPr>
              <w:t>E</w:t>
            </w:r>
            <w:r>
              <w:rPr>
                <w:spacing w:val="-4"/>
              </w:rPr>
              <w:t>nglish learners</w:t>
            </w:r>
          </w:p>
        </w:tc>
        <w:tc>
          <w:tcPr>
            <w:tcW w:w="1160" w:type="dxa"/>
          </w:tcPr>
          <w:p w14:paraId="4AB974BA" w14:textId="77777777" w:rsidR="00F14975" w:rsidRPr="00A06F1E" w:rsidRDefault="00F14975" w:rsidP="00DF5967">
            <w:pPr>
              <w:pStyle w:val="TableTextCentered"/>
              <w:rPr>
                <w:rFonts w:ascii="Calibri" w:eastAsia="Calibri" w:hAnsi="Calibri" w:cs="Times New Roman"/>
              </w:rPr>
            </w:pPr>
            <w:r w:rsidRPr="00A06F1E">
              <w:t>7</w:t>
            </w:r>
          </w:p>
        </w:tc>
        <w:tc>
          <w:tcPr>
            <w:tcW w:w="1325" w:type="dxa"/>
          </w:tcPr>
          <w:p w14:paraId="47BFEF2B" w14:textId="77777777" w:rsidR="00F14975" w:rsidRPr="00A06F1E" w:rsidRDefault="00F14975" w:rsidP="00DF5967">
            <w:pPr>
              <w:pStyle w:val="TableTextCentered"/>
              <w:rPr>
                <w:rFonts w:ascii="Calibri" w:eastAsia="Calibri" w:hAnsi="Calibri" w:cs="Times New Roman"/>
              </w:rPr>
            </w:pPr>
            <w:r w:rsidRPr="00A06F1E">
              <w:t>28.6</w:t>
            </w:r>
          </w:p>
        </w:tc>
        <w:tc>
          <w:tcPr>
            <w:tcW w:w="1326" w:type="dxa"/>
          </w:tcPr>
          <w:p w14:paraId="2947182B" w14:textId="77777777" w:rsidR="00F14975" w:rsidRPr="00A06F1E" w:rsidRDefault="00F14975" w:rsidP="00DF5967">
            <w:pPr>
              <w:pStyle w:val="TableTextCentered"/>
              <w:rPr>
                <w:rFonts w:ascii="Calibri" w:eastAsia="Calibri" w:hAnsi="Calibri" w:cs="Times New Roman"/>
              </w:rPr>
            </w:pPr>
            <w:r w:rsidRPr="00A06F1E">
              <w:t>11.1</w:t>
            </w:r>
          </w:p>
        </w:tc>
        <w:tc>
          <w:tcPr>
            <w:tcW w:w="1325" w:type="dxa"/>
          </w:tcPr>
          <w:p w14:paraId="2776F167" w14:textId="77777777" w:rsidR="00F14975" w:rsidRPr="00A06F1E" w:rsidRDefault="00F14975" w:rsidP="00DF5967">
            <w:pPr>
              <w:pStyle w:val="TableTextCentered"/>
              <w:rPr>
                <w:rFonts w:ascii="Calibri" w:eastAsia="Calibri" w:hAnsi="Calibri" w:cs="Times New Roman"/>
              </w:rPr>
            </w:pPr>
            <w:r w:rsidRPr="00A06F1E">
              <w:t>42.9</w:t>
            </w:r>
          </w:p>
        </w:tc>
        <w:tc>
          <w:tcPr>
            <w:tcW w:w="1336" w:type="dxa"/>
          </w:tcPr>
          <w:p w14:paraId="1917D6B6" w14:textId="77777777" w:rsidR="00F14975" w:rsidRPr="00A06F1E" w:rsidRDefault="00F14975" w:rsidP="00DF5967">
            <w:pPr>
              <w:pStyle w:val="TableTextCentered"/>
              <w:rPr>
                <w:rFonts w:ascii="Calibri" w:eastAsia="Calibri" w:hAnsi="Calibri" w:cs="Times New Roman"/>
              </w:rPr>
            </w:pPr>
            <w:r w:rsidRPr="00A06F1E">
              <w:t>33.5</w:t>
            </w:r>
          </w:p>
        </w:tc>
      </w:tr>
      <w:tr w:rsidR="00F14975" w:rsidRPr="00A06F1E" w14:paraId="5FEF96B8" w14:textId="77777777">
        <w:tc>
          <w:tcPr>
            <w:tcW w:w="2872" w:type="dxa"/>
          </w:tcPr>
          <w:p w14:paraId="5D9EFC09" w14:textId="77777777" w:rsidR="00F14975" w:rsidRPr="00A06F1E" w:rsidRDefault="00F14975" w:rsidP="00DF5967">
            <w:pPr>
              <w:pStyle w:val="TableText"/>
            </w:pPr>
            <w:r w:rsidRPr="00A06F1E">
              <w:t>Students w/disabilities</w:t>
            </w:r>
          </w:p>
        </w:tc>
        <w:tc>
          <w:tcPr>
            <w:tcW w:w="1160" w:type="dxa"/>
          </w:tcPr>
          <w:p w14:paraId="3737DC1B" w14:textId="77777777" w:rsidR="00F14975" w:rsidRPr="00A06F1E" w:rsidRDefault="00F14975" w:rsidP="00DF5967">
            <w:pPr>
              <w:pStyle w:val="TableTextCentered"/>
              <w:rPr>
                <w:rFonts w:ascii="Calibri" w:eastAsia="Calibri" w:hAnsi="Calibri" w:cs="Times New Roman"/>
              </w:rPr>
            </w:pPr>
            <w:r w:rsidRPr="00A06F1E">
              <w:t>160</w:t>
            </w:r>
          </w:p>
        </w:tc>
        <w:tc>
          <w:tcPr>
            <w:tcW w:w="1325" w:type="dxa"/>
          </w:tcPr>
          <w:p w14:paraId="7503D4CB" w14:textId="77777777" w:rsidR="00F14975" w:rsidRPr="00A06F1E" w:rsidRDefault="00F14975" w:rsidP="00DF5967">
            <w:pPr>
              <w:pStyle w:val="TableTextCentered"/>
              <w:rPr>
                <w:rFonts w:ascii="Calibri" w:eastAsia="Calibri" w:hAnsi="Calibri" w:cs="Times New Roman"/>
              </w:rPr>
            </w:pPr>
            <w:r w:rsidRPr="00A06F1E">
              <w:t>24.0</w:t>
            </w:r>
          </w:p>
        </w:tc>
        <w:tc>
          <w:tcPr>
            <w:tcW w:w="1326" w:type="dxa"/>
          </w:tcPr>
          <w:p w14:paraId="2F07598C" w14:textId="77777777" w:rsidR="00F14975" w:rsidRPr="00A06F1E" w:rsidRDefault="00F14975" w:rsidP="00DF5967">
            <w:pPr>
              <w:pStyle w:val="TableTextCentered"/>
              <w:rPr>
                <w:rFonts w:ascii="Calibri" w:eastAsia="Calibri" w:hAnsi="Calibri" w:cs="Times New Roman"/>
              </w:rPr>
            </w:pPr>
            <w:r w:rsidRPr="00A06F1E">
              <w:t>17.5</w:t>
            </w:r>
          </w:p>
        </w:tc>
        <w:tc>
          <w:tcPr>
            <w:tcW w:w="1325" w:type="dxa"/>
          </w:tcPr>
          <w:p w14:paraId="4803159E" w14:textId="77777777" w:rsidR="00F14975" w:rsidRPr="00A06F1E" w:rsidRDefault="00F14975" w:rsidP="00DF5967">
            <w:pPr>
              <w:pStyle w:val="TableTextCentered"/>
              <w:rPr>
                <w:rFonts w:ascii="Calibri" w:eastAsia="Calibri" w:hAnsi="Calibri" w:cs="Times New Roman"/>
              </w:rPr>
            </w:pPr>
            <w:r w:rsidRPr="00A06F1E">
              <w:t>15.6</w:t>
            </w:r>
          </w:p>
        </w:tc>
        <w:tc>
          <w:tcPr>
            <w:tcW w:w="1336" w:type="dxa"/>
          </w:tcPr>
          <w:p w14:paraId="39612C5C" w14:textId="77777777" w:rsidR="00F14975" w:rsidRPr="00A06F1E" w:rsidRDefault="00F14975" w:rsidP="00DF5967">
            <w:pPr>
              <w:pStyle w:val="TableTextCentered"/>
              <w:rPr>
                <w:rFonts w:ascii="Calibri" w:eastAsia="Calibri" w:hAnsi="Calibri" w:cs="Times New Roman"/>
              </w:rPr>
            </w:pPr>
            <w:r w:rsidRPr="00A06F1E">
              <w:t>30.4</w:t>
            </w:r>
          </w:p>
        </w:tc>
      </w:tr>
    </w:tbl>
    <w:p w14:paraId="0575EDC2" w14:textId="77777777" w:rsidR="00F14975" w:rsidRPr="00A06F1E" w:rsidRDefault="00F14975" w:rsidP="00F14975">
      <w:pPr>
        <w:pStyle w:val="TableNote"/>
      </w:pPr>
      <w:proofErr w:type="spellStart"/>
      <w:r w:rsidRPr="00A06F1E">
        <w:rPr>
          <w:vertAlign w:val="superscript"/>
        </w:rPr>
        <w:t>a</w:t>
      </w:r>
      <w:proofErr w:type="spellEnd"/>
      <w:r w:rsidRPr="00A06F1E" w:rsidDel="00305C73">
        <w:t xml:space="preserve"> </w:t>
      </w:r>
      <w:r w:rsidRPr="00A06F1E">
        <w:rPr>
          <w:shd w:val="clear" w:color="auto" w:fill="FFFFFF" w:themeFill="background1"/>
        </w:rPr>
        <w:t>The percentage of students absent 10 percent or more of their total number of student days of membership in a school</w:t>
      </w:r>
      <w:r w:rsidRPr="00A06F1E">
        <w:t>.</w:t>
      </w:r>
    </w:p>
    <w:p w14:paraId="3518AC5C" w14:textId="77777777" w:rsidR="004F6E3D" w:rsidRPr="00A06F1E" w:rsidRDefault="004F6E3D">
      <w:pPr>
        <w:spacing w:line="240" w:lineRule="auto"/>
        <w:rPr>
          <w:rFonts w:ascii="Franklin Gothic Demi" w:hAnsi="Franklin Gothic Demi"/>
        </w:rPr>
      </w:pPr>
      <w:bookmarkStart w:id="231" w:name="_Toc170701939"/>
      <w:r w:rsidRPr="00A06F1E">
        <w:br w:type="page"/>
      </w:r>
    </w:p>
    <w:p w14:paraId="2A02939E" w14:textId="5A626CDC" w:rsidR="00F14975" w:rsidRPr="00A06F1E" w:rsidRDefault="00F14975" w:rsidP="00F14975">
      <w:pPr>
        <w:pStyle w:val="TableTitle0"/>
        <w:rPr>
          <w:spacing w:val="-4"/>
        </w:rPr>
      </w:pPr>
      <w:r w:rsidRPr="00A06F1E">
        <w:lastRenderedPageBreak/>
        <w:t>Table D</w:t>
      </w:r>
      <w:r w:rsidR="007D5F1C" w:rsidRPr="00A06F1E">
        <w:t>3</w:t>
      </w:r>
      <w:r w:rsidR="00875252">
        <w:t>b</w:t>
      </w:r>
      <w:r w:rsidRPr="00A06F1E">
        <w:t xml:space="preserve">. </w:t>
      </w:r>
      <w:proofErr w:type="spellStart"/>
      <w:r w:rsidRPr="00A06F1E">
        <w:t>Petersham</w:t>
      </w:r>
      <w:proofErr w:type="spellEnd"/>
      <w:r w:rsidRPr="00A06F1E">
        <w:t xml:space="preserve"> Public Schools: Chronic Absence</w:t>
      </w:r>
      <w:r w:rsidRPr="00A06F1E">
        <w:rPr>
          <w:vertAlign w:val="superscript"/>
        </w:rPr>
        <w:t>a</w:t>
      </w:r>
      <w:r w:rsidRPr="00A06F1E">
        <w:t xml:space="preserve"> Rates by Student Group, 2021-2023</w:t>
      </w:r>
      <w:bookmarkEnd w:id="231"/>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F14975" w:rsidRPr="00A06F1E" w14:paraId="79E41540" w14:textId="77777777">
        <w:trPr>
          <w:cnfStyle w:val="100000000000" w:firstRow="1" w:lastRow="0" w:firstColumn="0" w:lastColumn="0" w:oddVBand="0" w:evenVBand="0" w:oddHBand="0" w:evenHBand="0" w:firstRowFirstColumn="0" w:firstRowLastColumn="0" w:lastRowFirstColumn="0" w:lastRowLastColumn="0"/>
        </w:trPr>
        <w:tc>
          <w:tcPr>
            <w:tcW w:w="2872" w:type="dxa"/>
          </w:tcPr>
          <w:p w14:paraId="3FE5EADE" w14:textId="77777777" w:rsidR="00F14975" w:rsidRPr="00A06F1E" w:rsidRDefault="00F14975" w:rsidP="00DF5967">
            <w:pPr>
              <w:pStyle w:val="TableColHeadingLeft"/>
            </w:pPr>
            <w:r w:rsidRPr="00A06F1E">
              <w:t>Group</w:t>
            </w:r>
          </w:p>
        </w:tc>
        <w:tc>
          <w:tcPr>
            <w:tcW w:w="1160" w:type="dxa"/>
          </w:tcPr>
          <w:p w14:paraId="727011A6" w14:textId="77777777" w:rsidR="00F14975" w:rsidRPr="00A06F1E" w:rsidRDefault="00F14975" w:rsidP="00DF5967">
            <w:pPr>
              <w:pStyle w:val="TableColHeadingCenter"/>
            </w:pPr>
            <w:r w:rsidRPr="00A06F1E">
              <w:rPr>
                <w:i/>
                <w:iCs/>
              </w:rPr>
              <w:t>N</w:t>
            </w:r>
            <w:r w:rsidRPr="00A06F1E">
              <w:t xml:space="preserve"> (2023)</w:t>
            </w:r>
          </w:p>
        </w:tc>
        <w:tc>
          <w:tcPr>
            <w:tcW w:w="1325" w:type="dxa"/>
          </w:tcPr>
          <w:p w14:paraId="506206B0" w14:textId="77777777" w:rsidR="00F14975" w:rsidRPr="00A06F1E" w:rsidRDefault="00F14975" w:rsidP="00DF5967">
            <w:pPr>
              <w:pStyle w:val="TableColHeadingCenter"/>
            </w:pPr>
            <w:r w:rsidRPr="00A06F1E">
              <w:t>2021</w:t>
            </w:r>
          </w:p>
        </w:tc>
        <w:tc>
          <w:tcPr>
            <w:tcW w:w="1326" w:type="dxa"/>
          </w:tcPr>
          <w:p w14:paraId="5BA771AA" w14:textId="77777777" w:rsidR="00F14975" w:rsidRPr="00A06F1E" w:rsidRDefault="00F14975" w:rsidP="00DF5967">
            <w:pPr>
              <w:pStyle w:val="TableColHeadingCenter"/>
            </w:pPr>
            <w:r w:rsidRPr="00A06F1E">
              <w:t>2022</w:t>
            </w:r>
          </w:p>
        </w:tc>
        <w:tc>
          <w:tcPr>
            <w:tcW w:w="1325" w:type="dxa"/>
          </w:tcPr>
          <w:p w14:paraId="41C07DE5" w14:textId="77777777" w:rsidR="00F14975" w:rsidRPr="00A06F1E" w:rsidRDefault="00F14975" w:rsidP="00DF5967">
            <w:pPr>
              <w:pStyle w:val="TableColHeadingCenter"/>
            </w:pPr>
            <w:r w:rsidRPr="00A06F1E">
              <w:t>2023</w:t>
            </w:r>
          </w:p>
        </w:tc>
        <w:tc>
          <w:tcPr>
            <w:tcW w:w="1336" w:type="dxa"/>
          </w:tcPr>
          <w:p w14:paraId="10AA8CB1" w14:textId="77777777" w:rsidR="00F14975" w:rsidRPr="00A06F1E" w:rsidRDefault="00F14975" w:rsidP="00DF5967">
            <w:pPr>
              <w:pStyle w:val="TableColHeadingCenter"/>
            </w:pPr>
            <w:r w:rsidRPr="00A06F1E">
              <w:t>State (2023)</w:t>
            </w:r>
          </w:p>
        </w:tc>
      </w:tr>
      <w:tr w:rsidR="00F14975" w:rsidRPr="00A06F1E" w14:paraId="39D6E82D"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3E1025DF" w14:textId="77777777" w:rsidR="00F14975" w:rsidRPr="00A06F1E" w:rsidRDefault="00F14975" w:rsidP="00DF5967">
            <w:pPr>
              <w:pStyle w:val="TableText"/>
            </w:pPr>
            <w:r w:rsidRPr="00A06F1E">
              <w:t>All students</w:t>
            </w:r>
          </w:p>
        </w:tc>
        <w:tc>
          <w:tcPr>
            <w:tcW w:w="1160" w:type="dxa"/>
          </w:tcPr>
          <w:p w14:paraId="0C89ABF7" w14:textId="77777777" w:rsidR="00F14975" w:rsidRPr="00A06F1E" w:rsidRDefault="00F14975" w:rsidP="00DF5967">
            <w:pPr>
              <w:pStyle w:val="TableTextCentered"/>
              <w:rPr>
                <w:rFonts w:ascii="Calibri" w:eastAsia="Calibri" w:hAnsi="Calibri" w:cs="Times New Roman"/>
              </w:rPr>
            </w:pPr>
            <w:r w:rsidRPr="00A06F1E">
              <w:t>128</w:t>
            </w:r>
          </w:p>
        </w:tc>
        <w:tc>
          <w:tcPr>
            <w:tcW w:w="1325" w:type="dxa"/>
          </w:tcPr>
          <w:p w14:paraId="1896CEF1" w14:textId="77777777" w:rsidR="00F14975" w:rsidRPr="00A06F1E" w:rsidRDefault="00F14975" w:rsidP="00DF5967">
            <w:pPr>
              <w:pStyle w:val="TableTextCentered"/>
              <w:rPr>
                <w:rFonts w:ascii="Calibri" w:eastAsia="Calibri" w:hAnsi="Calibri" w:cs="Times New Roman"/>
              </w:rPr>
            </w:pPr>
            <w:r w:rsidRPr="00A06F1E">
              <w:t>4.9</w:t>
            </w:r>
          </w:p>
        </w:tc>
        <w:tc>
          <w:tcPr>
            <w:tcW w:w="1326" w:type="dxa"/>
          </w:tcPr>
          <w:p w14:paraId="6C8DAD78" w14:textId="77777777" w:rsidR="00F14975" w:rsidRPr="00A06F1E" w:rsidRDefault="00F14975" w:rsidP="00DF5967">
            <w:pPr>
              <w:pStyle w:val="TableTextCentered"/>
              <w:rPr>
                <w:rFonts w:ascii="Calibri" w:eastAsia="Calibri" w:hAnsi="Calibri" w:cs="Times New Roman"/>
              </w:rPr>
            </w:pPr>
            <w:r w:rsidRPr="00A06F1E">
              <w:t>0.0</w:t>
            </w:r>
          </w:p>
        </w:tc>
        <w:tc>
          <w:tcPr>
            <w:tcW w:w="1325" w:type="dxa"/>
          </w:tcPr>
          <w:p w14:paraId="1244BE19" w14:textId="77777777" w:rsidR="00F14975" w:rsidRPr="00A06F1E" w:rsidRDefault="00F14975" w:rsidP="00DF5967">
            <w:pPr>
              <w:pStyle w:val="TableTextCentered"/>
              <w:rPr>
                <w:rFonts w:ascii="Calibri" w:eastAsia="Calibri" w:hAnsi="Calibri" w:cs="Times New Roman"/>
              </w:rPr>
            </w:pPr>
            <w:r w:rsidRPr="00A06F1E">
              <w:t>19.5</w:t>
            </w:r>
          </w:p>
        </w:tc>
        <w:tc>
          <w:tcPr>
            <w:tcW w:w="1336" w:type="dxa"/>
          </w:tcPr>
          <w:p w14:paraId="723D6EF7" w14:textId="77777777" w:rsidR="00F14975" w:rsidRPr="00A06F1E" w:rsidRDefault="00F14975" w:rsidP="00DF5967">
            <w:pPr>
              <w:pStyle w:val="TableTextCentered"/>
              <w:rPr>
                <w:rFonts w:ascii="Calibri" w:eastAsia="Calibri" w:hAnsi="Calibri" w:cs="Times New Roman"/>
              </w:rPr>
            </w:pPr>
            <w:r w:rsidRPr="00A06F1E">
              <w:t>22.2</w:t>
            </w:r>
          </w:p>
        </w:tc>
      </w:tr>
      <w:tr w:rsidR="00F14975" w:rsidRPr="00A06F1E" w14:paraId="53913EDE" w14:textId="77777777">
        <w:tc>
          <w:tcPr>
            <w:tcW w:w="2872" w:type="dxa"/>
          </w:tcPr>
          <w:p w14:paraId="0495D64D" w14:textId="77777777" w:rsidR="00F14975" w:rsidRPr="00A06F1E" w:rsidRDefault="00F14975" w:rsidP="00DF5967">
            <w:pPr>
              <w:pStyle w:val="TableText"/>
            </w:pPr>
            <w:r w:rsidRPr="00A06F1E">
              <w:t>African American/Black</w:t>
            </w:r>
          </w:p>
        </w:tc>
        <w:tc>
          <w:tcPr>
            <w:tcW w:w="1160" w:type="dxa"/>
          </w:tcPr>
          <w:p w14:paraId="034AF42F" w14:textId="72B573C9" w:rsidR="00F14975" w:rsidRPr="00A06F1E" w:rsidRDefault="007834A0" w:rsidP="00DF5967">
            <w:pPr>
              <w:pStyle w:val="TableTextCentered"/>
              <w:rPr>
                <w:rFonts w:ascii="Calibri" w:eastAsia="Calibri" w:hAnsi="Calibri" w:cs="Times New Roman"/>
              </w:rPr>
            </w:pPr>
            <w:r w:rsidRPr="00A06F1E">
              <w:t>—</w:t>
            </w:r>
          </w:p>
        </w:tc>
        <w:tc>
          <w:tcPr>
            <w:tcW w:w="1325" w:type="dxa"/>
          </w:tcPr>
          <w:p w14:paraId="6D8668FE" w14:textId="3627C986" w:rsidR="00F14975" w:rsidRPr="00A06F1E" w:rsidRDefault="007834A0" w:rsidP="00DF5967">
            <w:pPr>
              <w:pStyle w:val="TableTextCentered"/>
              <w:rPr>
                <w:rFonts w:ascii="Calibri" w:eastAsia="Calibri" w:hAnsi="Calibri" w:cs="Times New Roman"/>
              </w:rPr>
            </w:pPr>
            <w:r w:rsidRPr="00A06F1E">
              <w:t>—</w:t>
            </w:r>
          </w:p>
        </w:tc>
        <w:tc>
          <w:tcPr>
            <w:tcW w:w="1326" w:type="dxa"/>
          </w:tcPr>
          <w:p w14:paraId="5876C1C6" w14:textId="2F6AFBE9" w:rsidR="00F14975" w:rsidRPr="00A06F1E" w:rsidRDefault="007834A0" w:rsidP="00DF5967">
            <w:pPr>
              <w:pStyle w:val="TableTextCentered"/>
              <w:rPr>
                <w:rFonts w:ascii="Calibri" w:eastAsia="Calibri" w:hAnsi="Calibri" w:cs="Times New Roman"/>
              </w:rPr>
            </w:pPr>
            <w:r w:rsidRPr="00A06F1E">
              <w:t>—</w:t>
            </w:r>
          </w:p>
        </w:tc>
        <w:tc>
          <w:tcPr>
            <w:tcW w:w="1325" w:type="dxa"/>
          </w:tcPr>
          <w:p w14:paraId="5EF4B041" w14:textId="364EF881" w:rsidR="00F14975" w:rsidRPr="00A06F1E" w:rsidRDefault="007834A0" w:rsidP="00DF5967">
            <w:pPr>
              <w:pStyle w:val="TableTextCentered"/>
              <w:rPr>
                <w:rFonts w:ascii="Calibri" w:eastAsia="Calibri" w:hAnsi="Calibri" w:cs="Times New Roman"/>
              </w:rPr>
            </w:pPr>
            <w:r w:rsidRPr="00A06F1E">
              <w:t>—</w:t>
            </w:r>
          </w:p>
        </w:tc>
        <w:tc>
          <w:tcPr>
            <w:tcW w:w="1336" w:type="dxa"/>
          </w:tcPr>
          <w:p w14:paraId="6C1A99F5" w14:textId="77777777" w:rsidR="00F14975" w:rsidRPr="00A06F1E" w:rsidRDefault="00F14975" w:rsidP="00DF5967">
            <w:pPr>
              <w:pStyle w:val="TableTextCentered"/>
              <w:rPr>
                <w:rFonts w:ascii="Calibri" w:eastAsia="Calibri" w:hAnsi="Calibri" w:cs="Times New Roman"/>
              </w:rPr>
            </w:pPr>
            <w:r w:rsidRPr="00A06F1E">
              <w:t>25.3</w:t>
            </w:r>
          </w:p>
        </w:tc>
      </w:tr>
      <w:tr w:rsidR="00F14975" w:rsidRPr="00A06F1E" w14:paraId="705A9CCC"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0625B606" w14:textId="77777777" w:rsidR="00F14975" w:rsidRPr="00A06F1E" w:rsidRDefault="00F14975" w:rsidP="00DF5967">
            <w:pPr>
              <w:pStyle w:val="TableText"/>
            </w:pPr>
            <w:r w:rsidRPr="00A06F1E">
              <w:t>Asian</w:t>
            </w:r>
          </w:p>
        </w:tc>
        <w:tc>
          <w:tcPr>
            <w:tcW w:w="1160" w:type="dxa"/>
          </w:tcPr>
          <w:p w14:paraId="6FC4C2D1" w14:textId="0EA0450F" w:rsidR="00F14975" w:rsidRPr="00A06F1E" w:rsidRDefault="007834A0" w:rsidP="00DF5967">
            <w:pPr>
              <w:pStyle w:val="TableTextCentered"/>
              <w:rPr>
                <w:rFonts w:ascii="Calibri" w:eastAsia="Calibri" w:hAnsi="Calibri" w:cs="Times New Roman"/>
              </w:rPr>
            </w:pPr>
            <w:r w:rsidRPr="00A06F1E">
              <w:t>—</w:t>
            </w:r>
          </w:p>
        </w:tc>
        <w:tc>
          <w:tcPr>
            <w:tcW w:w="1325" w:type="dxa"/>
          </w:tcPr>
          <w:p w14:paraId="6A72C66E" w14:textId="3585FBE9" w:rsidR="00F14975" w:rsidRPr="00A06F1E" w:rsidRDefault="007834A0" w:rsidP="00DF5967">
            <w:pPr>
              <w:pStyle w:val="TableTextCentered"/>
              <w:rPr>
                <w:rFonts w:ascii="Calibri" w:eastAsia="Calibri" w:hAnsi="Calibri" w:cs="Times New Roman"/>
              </w:rPr>
            </w:pPr>
            <w:r w:rsidRPr="00A06F1E">
              <w:t>—</w:t>
            </w:r>
          </w:p>
        </w:tc>
        <w:tc>
          <w:tcPr>
            <w:tcW w:w="1326" w:type="dxa"/>
          </w:tcPr>
          <w:p w14:paraId="50336990" w14:textId="701DDA9B" w:rsidR="00F14975" w:rsidRPr="00A06F1E" w:rsidRDefault="007834A0" w:rsidP="00DF5967">
            <w:pPr>
              <w:pStyle w:val="TableTextCentered"/>
              <w:rPr>
                <w:rFonts w:ascii="Calibri" w:eastAsia="Calibri" w:hAnsi="Calibri" w:cs="Times New Roman"/>
              </w:rPr>
            </w:pPr>
            <w:r w:rsidRPr="00A06F1E">
              <w:t>—</w:t>
            </w:r>
          </w:p>
        </w:tc>
        <w:tc>
          <w:tcPr>
            <w:tcW w:w="1325" w:type="dxa"/>
          </w:tcPr>
          <w:p w14:paraId="5F659FF6" w14:textId="445858A8" w:rsidR="00F14975" w:rsidRPr="00A06F1E" w:rsidRDefault="007834A0" w:rsidP="00DF5967">
            <w:pPr>
              <w:pStyle w:val="TableTextCentered"/>
              <w:rPr>
                <w:rFonts w:ascii="Calibri" w:eastAsia="Calibri" w:hAnsi="Calibri" w:cs="Times New Roman"/>
              </w:rPr>
            </w:pPr>
            <w:r w:rsidRPr="00A06F1E">
              <w:t>—</w:t>
            </w:r>
          </w:p>
        </w:tc>
        <w:tc>
          <w:tcPr>
            <w:tcW w:w="1336" w:type="dxa"/>
          </w:tcPr>
          <w:p w14:paraId="58B69AB9" w14:textId="77777777" w:rsidR="00F14975" w:rsidRPr="00A06F1E" w:rsidRDefault="00F14975" w:rsidP="00DF5967">
            <w:pPr>
              <w:pStyle w:val="TableTextCentered"/>
              <w:rPr>
                <w:rFonts w:ascii="Calibri" w:eastAsia="Calibri" w:hAnsi="Calibri" w:cs="Times New Roman"/>
              </w:rPr>
            </w:pPr>
            <w:r w:rsidRPr="00A06F1E">
              <w:t>13.9</w:t>
            </w:r>
          </w:p>
        </w:tc>
      </w:tr>
      <w:tr w:rsidR="00F14975" w:rsidRPr="00A06F1E" w14:paraId="33D3CF67" w14:textId="77777777">
        <w:tc>
          <w:tcPr>
            <w:tcW w:w="2872" w:type="dxa"/>
          </w:tcPr>
          <w:p w14:paraId="5F3E2609" w14:textId="77777777" w:rsidR="00F14975" w:rsidRPr="00A06F1E" w:rsidRDefault="00F14975" w:rsidP="00DF5967">
            <w:pPr>
              <w:pStyle w:val="TableText"/>
            </w:pPr>
            <w:r w:rsidRPr="00A06F1E">
              <w:t>Hispanic/Latino</w:t>
            </w:r>
          </w:p>
        </w:tc>
        <w:tc>
          <w:tcPr>
            <w:tcW w:w="1160" w:type="dxa"/>
          </w:tcPr>
          <w:p w14:paraId="6E45FEB5" w14:textId="77777777" w:rsidR="00F14975" w:rsidRPr="00A06F1E" w:rsidRDefault="00F14975" w:rsidP="00DF5967">
            <w:pPr>
              <w:pStyle w:val="TableTextCentered"/>
              <w:rPr>
                <w:rFonts w:ascii="Calibri" w:eastAsia="Calibri" w:hAnsi="Calibri" w:cs="Times New Roman"/>
              </w:rPr>
            </w:pPr>
            <w:r w:rsidRPr="00A06F1E">
              <w:t>14</w:t>
            </w:r>
          </w:p>
        </w:tc>
        <w:tc>
          <w:tcPr>
            <w:tcW w:w="1325" w:type="dxa"/>
          </w:tcPr>
          <w:p w14:paraId="0E4964FC" w14:textId="77777777" w:rsidR="00F14975" w:rsidRPr="00A06F1E" w:rsidRDefault="00F14975" w:rsidP="00DF5967">
            <w:pPr>
              <w:pStyle w:val="TableTextCentered"/>
              <w:rPr>
                <w:rFonts w:ascii="Calibri" w:eastAsia="Calibri" w:hAnsi="Calibri" w:cs="Times New Roman"/>
              </w:rPr>
            </w:pPr>
            <w:r w:rsidRPr="00A06F1E">
              <w:t>30.0</w:t>
            </w:r>
          </w:p>
        </w:tc>
        <w:tc>
          <w:tcPr>
            <w:tcW w:w="1326" w:type="dxa"/>
          </w:tcPr>
          <w:p w14:paraId="30B3DB82" w14:textId="77777777" w:rsidR="00F14975" w:rsidRPr="00A06F1E" w:rsidRDefault="00F14975" w:rsidP="00DF5967">
            <w:pPr>
              <w:pStyle w:val="TableTextCentered"/>
              <w:rPr>
                <w:rFonts w:ascii="Calibri" w:eastAsia="Calibri" w:hAnsi="Calibri" w:cs="Times New Roman"/>
              </w:rPr>
            </w:pPr>
            <w:r w:rsidRPr="00A06F1E">
              <w:t>0.0</w:t>
            </w:r>
          </w:p>
        </w:tc>
        <w:tc>
          <w:tcPr>
            <w:tcW w:w="1325" w:type="dxa"/>
          </w:tcPr>
          <w:p w14:paraId="7EF8DA65" w14:textId="77777777" w:rsidR="00F14975" w:rsidRPr="00A06F1E" w:rsidRDefault="00F14975" w:rsidP="00DF5967">
            <w:pPr>
              <w:pStyle w:val="TableTextCentered"/>
              <w:rPr>
                <w:rFonts w:ascii="Calibri" w:eastAsia="Calibri" w:hAnsi="Calibri" w:cs="Times New Roman"/>
              </w:rPr>
            </w:pPr>
            <w:r w:rsidRPr="00A06F1E">
              <w:t>35.7</w:t>
            </w:r>
          </w:p>
        </w:tc>
        <w:tc>
          <w:tcPr>
            <w:tcW w:w="1336" w:type="dxa"/>
          </w:tcPr>
          <w:p w14:paraId="2BDF6288" w14:textId="77777777" w:rsidR="00F14975" w:rsidRPr="00A06F1E" w:rsidRDefault="00F14975" w:rsidP="00DF5967">
            <w:pPr>
              <w:pStyle w:val="TableTextCentered"/>
              <w:rPr>
                <w:rFonts w:ascii="Calibri" w:eastAsia="Calibri" w:hAnsi="Calibri" w:cs="Times New Roman"/>
              </w:rPr>
            </w:pPr>
            <w:r w:rsidRPr="00A06F1E">
              <w:t>34.5</w:t>
            </w:r>
          </w:p>
        </w:tc>
      </w:tr>
      <w:tr w:rsidR="00F14975" w:rsidRPr="00A06F1E" w14:paraId="50D86C92"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5FC86DA5" w14:textId="77777777" w:rsidR="00F14975" w:rsidRPr="00A06F1E" w:rsidRDefault="00F14975" w:rsidP="00DF5967">
            <w:pPr>
              <w:pStyle w:val="TableText"/>
            </w:pPr>
            <w:r w:rsidRPr="00A06F1E">
              <w:t>Multi-Race, non-Hispanic/Latino</w:t>
            </w:r>
          </w:p>
        </w:tc>
        <w:tc>
          <w:tcPr>
            <w:tcW w:w="1160" w:type="dxa"/>
          </w:tcPr>
          <w:p w14:paraId="27233ADE" w14:textId="77777777" w:rsidR="00F14975" w:rsidRPr="00A06F1E" w:rsidRDefault="00F14975" w:rsidP="00DF5967">
            <w:pPr>
              <w:pStyle w:val="TableTextCentered"/>
              <w:rPr>
                <w:rFonts w:ascii="Calibri" w:eastAsia="Calibri" w:hAnsi="Calibri" w:cs="Times New Roman"/>
              </w:rPr>
            </w:pPr>
            <w:r w:rsidRPr="00A06F1E">
              <w:t>4</w:t>
            </w:r>
          </w:p>
        </w:tc>
        <w:tc>
          <w:tcPr>
            <w:tcW w:w="1325" w:type="dxa"/>
          </w:tcPr>
          <w:p w14:paraId="0D962E05" w14:textId="0C4DF1B0" w:rsidR="00F14975" w:rsidRPr="00A06F1E" w:rsidRDefault="007834A0" w:rsidP="00DF5967">
            <w:pPr>
              <w:pStyle w:val="TableTextCentered"/>
              <w:rPr>
                <w:rFonts w:ascii="Calibri" w:eastAsia="Calibri" w:hAnsi="Calibri" w:cs="Times New Roman"/>
              </w:rPr>
            </w:pPr>
            <w:r w:rsidRPr="00A06F1E">
              <w:rPr>
                <w:rFonts w:ascii="Calibri" w:eastAsia="Calibri" w:hAnsi="Calibri" w:cs="Times New Roman"/>
              </w:rPr>
              <w:t>—</w:t>
            </w:r>
          </w:p>
        </w:tc>
        <w:tc>
          <w:tcPr>
            <w:tcW w:w="1326" w:type="dxa"/>
          </w:tcPr>
          <w:p w14:paraId="55702159" w14:textId="77777777" w:rsidR="00F14975" w:rsidRPr="00A06F1E" w:rsidRDefault="00F14975" w:rsidP="00DF5967">
            <w:pPr>
              <w:pStyle w:val="TableTextCentered"/>
              <w:rPr>
                <w:rFonts w:ascii="Calibri" w:eastAsia="Calibri" w:hAnsi="Calibri" w:cs="Times New Roman"/>
              </w:rPr>
            </w:pPr>
            <w:r w:rsidRPr="00A06F1E">
              <w:t>0.0</w:t>
            </w:r>
          </w:p>
        </w:tc>
        <w:tc>
          <w:tcPr>
            <w:tcW w:w="1325" w:type="dxa"/>
          </w:tcPr>
          <w:p w14:paraId="49BC41A0" w14:textId="253D9972" w:rsidR="00F14975" w:rsidRPr="00A06F1E" w:rsidRDefault="007834A0" w:rsidP="00DF5967">
            <w:pPr>
              <w:pStyle w:val="TableTextCentered"/>
              <w:rPr>
                <w:rFonts w:ascii="Calibri" w:eastAsia="Calibri" w:hAnsi="Calibri" w:cs="Times New Roman"/>
              </w:rPr>
            </w:pPr>
            <w:r w:rsidRPr="00A06F1E">
              <w:rPr>
                <w:rFonts w:ascii="Calibri" w:eastAsia="Calibri" w:hAnsi="Calibri" w:cs="Times New Roman"/>
              </w:rPr>
              <w:t>—</w:t>
            </w:r>
          </w:p>
        </w:tc>
        <w:tc>
          <w:tcPr>
            <w:tcW w:w="1336" w:type="dxa"/>
          </w:tcPr>
          <w:p w14:paraId="562E7F59" w14:textId="77777777" w:rsidR="00F14975" w:rsidRPr="00A06F1E" w:rsidRDefault="00F14975" w:rsidP="00DF5967">
            <w:pPr>
              <w:pStyle w:val="TableTextCentered"/>
              <w:rPr>
                <w:rFonts w:ascii="Calibri" w:eastAsia="Calibri" w:hAnsi="Calibri" w:cs="Times New Roman"/>
              </w:rPr>
            </w:pPr>
            <w:r w:rsidRPr="00A06F1E">
              <w:t>23.3</w:t>
            </w:r>
          </w:p>
        </w:tc>
      </w:tr>
      <w:tr w:rsidR="00F14975" w:rsidRPr="00A06F1E" w14:paraId="4867E126" w14:textId="77777777">
        <w:tc>
          <w:tcPr>
            <w:tcW w:w="2872" w:type="dxa"/>
          </w:tcPr>
          <w:p w14:paraId="19CA04D1" w14:textId="77777777" w:rsidR="00F14975" w:rsidRPr="00A06F1E" w:rsidRDefault="00F14975" w:rsidP="00DF5967">
            <w:pPr>
              <w:pStyle w:val="TableText"/>
            </w:pPr>
            <w:r w:rsidRPr="00A06F1E">
              <w:t>Native American</w:t>
            </w:r>
          </w:p>
        </w:tc>
        <w:tc>
          <w:tcPr>
            <w:tcW w:w="1160" w:type="dxa"/>
          </w:tcPr>
          <w:p w14:paraId="76278F5A" w14:textId="47348035" w:rsidR="00F14975" w:rsidRPr="00A06F1E" w:rsidRDefault="007834A0" w:rsidP="00DF5967">
            <w:pPr>
              <w:pStyle w:val="TableTextCentered"/>
              <w:rPr>
                <w:rFonts w:ascii="Calibri" w:eastAsia="Calibri" w:hAnsi="Calibri" w:cs="Times New Roman"/>
              </w:rPr>
            </w:pPr>
            <w:r w:rsidRPr="00A06F1E">
              <w:t>—</w:t>
            </w:r>
          </w:p>
        </w:tc>
        <w:tc>
          <w:tcPr>
            <w:tcW w:w="1325" w:type="dxa"/>
          </w:tcPr>
          <w:p w14:paraId="66B37032" w14:textId="44274A45" w:rsidR="00F14975" w:rsidRPr="00A06F1E" w:rsidRDefault="007834A0" w:rsidP="00DF5967">
            <w:pPr>
              <w:pStyle w:val="TableTextCentered"/>
              <w:rPr>
                <w:rFonts w:ascii="Calibri" w:eastAsia="Calibri" w:hAnsi="Calibri" w:cs="Times New Roman"/>
              </w:rPr>
            </w:pPr>
            <w:r w:rsidRPr="00A06F1E">
              <w:t>—</w:t>
            </w:r>
          </w:p>
        </w:tc>
        <w:tc>
          <w:tcPr>
            <w:tcW w:w="1326" w:type="dxa"/>
          </w:tcPr>
          <w:p w14:paraId="0CE41BCA" w14:textId="32590AD0" w:rsidR="00F14975" w:rsidRPr="00A06F1E" w:rsidRDefault="007834A0" w:rsidP="00DF5967">
            <w:pPr>
              <w:pStyle w:val="TableTextCentered"/>
              <w:rPr>
                <w:rFonts w:ascii="Calibri" w:eastAsia="Calibri" w:hAnsi="Calibri" w:cs="Times New Roman"/>
              </w:rPr>
            </w:pPr>
            <w:r w:rsidRPr="00A06F1E">
              <w:t>—</w:t>
            </w:r>
          </w:p>
        </w:tc>
        <w:tc>
          <w:tcPr>
            <w:tcW w:w="1325" w:type="dxa"/>
          </w:tcPr>
          <w:p w14:paraId="260ABDE5" w14:textId="1D00ADEC" w:rsidR="00F14975" w:rsidRPr="00A06F1E" w:rsidRDefault="007834A0" w:rsidP="00DF5967">
            <w:pPr>
              <w:pStyle w:val="TableTextCentered"/>
              <w:rPr>
                <w:rFonts w:ascii="Calibri" w:eastAsia="Calibri" w:hAnsi="Calibri" w:cs="Times New Roman"/>
              </w:rPr>
            </w:pPr>
            <w:r w:rsidRPr="00A06F1E">
              <w:t>—</w:t>
            </w:r>
          </w:p>
        </w:tc>
        <w:tc>
          <w:tcPr>
            <w:tcW w:w="1336" w:type="dxa"/>
          </w:tcPr>
          <w:p w14:paraId="0523C5CC" w14:textId="77777777" w:rsidR="00F14975" w:rsidRPr="00A06F1E" w:rsidRDefault="00F14975" w:rsidP="00DF5967">
            <w:pPr>
              <w:pStyle w:val="TableTextCentered"/>
              <w:rPr>
                <w:rFonts w:ascii="Calibri" w:eastAsia="Calibri" w:hAnsi="Calibri" w:cs="Times New Roman"/>
              </w:rPr>
            </w:pPr>
            <w:r w:rsidRPr="00A06F1E">
              <w:t>33.5</w:t>
            </w:r>
          </w:p>
        </w:tc>
      </w:tr>
      <w:tr w:rsidR="00F14975" w:rsidRPr="00A06F1E" w14:paraId="7E4F5004"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543557EE" w14:textId="77777777" w:rsidR="00F14975" w:rsidRPr="00A06F1E" w:rsidRDefault="00F14975" w:rsidP="00DF5967">
            <w:pPr>
              <w:pStyle w:val="TableText"/>
              <w:rPr>
                <w:spacing w:val="-4"/>
              </w:rPr>
            </w:pPr>
            <w:r w:rsidRPr="00A06F1E">
              <w:rPr>
                <w:spacing w:val="-4"/>
              </w:rPr>
              <w:t>Native Hawaiian, Pacific Islander</w:t>
            </w:r>
          </w:p>
        </w:tc>
        <w:tc>
          <w:tcPr>
            <w:tcW w:w="1160" w:type="dxa"/>
          </w:tcPr>
          <w:p w14:paraId="1D7B193C" w14:textId="3E1D00D7" w:rsidR="00F14975" w:rsidRPr="00A06F1E" w:rsidRDefault="007834A0" w:rsidP="00DF5967">
            <w:pPr>
              <w:pStyle w:val="TableTextCentered"/>
              <w:rPr>
                <w:rFonts w:ascii="Calibri" w:eastAsia="Calibri" w:hAnsi="Calibri" w:cs="Times New Roman"/>
              </w:rPr>
            </w:pPr>
            <w:r w:rsidRPr="00A06F1E">
              <w:t>—</w:t>
            </w:r>
          </w:p>
        </w:tc>
        <w:tc>
          <w:tcPr>
            <w:tcW w:w="1325" w:type="dxa"/>
          </w:tcPr>
          <w:p w14:paraId="1683C91F" w14:textId="79B6043B" w:rsidR="00F14975" w:rsidRPr="00A06F1E" w:rsidRDefault="007834A0" w:rsidP="00DF5967">
            <w:pPr>
              <w:pStyle w:val="TableTextCentered"/>
              <w:rPr>
                <w:rFonts w:ascii="Calibri" w:eastAsia="Calibri" w:hAnsi="Calibri" w:cs="Times New Roman"/>
              </w:rPr>
            </w:pPr>
            <w:r w:rsidRPr="00A06F1E">
              <w:t>—</w:t>
            </w:r>
          </w:p>
        </w:tc>
        <w:tc>
          <w:tcPr>
            <w:tcW w:w="1326" w:type="dxa"/>
          </w:tcPr>
          <w:p w14:paraId="58C77830" w14:textId="56CD3A40" w:rsidR="00F14975" w:rsidRPr="00A06F1E" w:rsidRDefault="007834A0" w:rsidP="00DF5967">
            <w:pPr>
              <w:pStyle w:val="TableTextCentered"/>
              <w:rPr>
                <w:rFonts w:ascii="Calibri" w:eastAsia="Calibri" w:hAnsi="Calibri" w:cs="Times New Roman"/>
              </w:rPr>
            </w:pPr>
            <w:r w:rsidRPr="00A06F1E">
              <w:t>—</w:t>
            </w:r>
          </w:p>
        </w:tc>
        <w:tc>
          <w:tcPr>
            <w:tcW w:w="1325" w:type="dxa"/>
          </w:tcPr>
          <w:p w14:paraId="775A9FAD" w14:textId="1A409BF8" w:rsidR="00F14975" w:rsidRPr="00A06F1E" w:rsidRDefault="007834A0" w:rsidP="00DF5967">
            <w:pPr>
              <w:pStyle w:val="TableTextCentered"/>
              <w:rPr>
                <w:rFonts w:ascii="Calibri" w:eastAsia="Calibri" w:hAnsi="Calibri" w:cs="Times New Roman"/>
              </w:rPr>
            </w:pPr>
            <w:r w:rsidRPr="00A06F1E">
              <w:t>—</w:t>
            </w:r>
          </w:p>
        </w:tc>
        <w:tc>
          <w:tcPr>
            <w:tcW w:w="1336" w:type="dxa"/>
          </w:tcPr>
          <w:p w14:paraId="6AACB2AC" w14:textId="77777777" w:rsidR="00F14975" w:rsidRPr="00A06F1E" w:rsidRDefault="00F14975" w:rsidP="00DF5967">
            <w:pPr>
              <w:pStyle w:val="TableTextCentered"/>
              <w:rPr>
                <w:rFonts w:ascii="Calibri" w:eastAsia="Calibri" w:hAnsi="Calibri" w:cs="Times New Roman"/>
              </w:rPr>
            </w:pPr>
            <w:r w:rsidRPr="00A06F1E">
              <w:t>28.3</w:t>
            </w:r>
          </w:p>
        </w:tc>
      </w:tr>
      <w:tr w:rsidR="00F14975" w:rsidRPr="00A06F1E" w14:paraId="7C54BF2E" w14:textId="77777777">
        <w:tc>
          <w:tcPr>
            <w:tcW w:w="2872" w:type="dxa"/>
          </w:tcPr>
          <w:p w14:paraId="43BD99FF" w14:textId="77777777" w:rsidR="00F14975" w:rsidRPr="00A06F1E" w:rsidRDefault="00F14975" w:rsidP="00DF5967">
            <w:pPr>
              <w:pStyle w:val="TableText"/>
            </w:pPr>
            <w:r w:rsidRPr="00A06F1E">
              <w:t>White</w:t>
            </w:r>
          </w:p>
        </w:tc>
        <w:tc>
          <w:tcPr>
            <w:tcW w:w="1160" w:type="dxa"/>
          </w:tcPr>
          <w:p w14:paraId="5BC99EE1" w14:textId="77777777" w:rsidR="00F14975" w:rsidRPr="00A06F1E" w:rsidRDefault="00F14975" w:rsidP="00DF5967">
            <w:pPr>
              <w:pStyle w:val="TableTextCentered"/>
              <w:rPr>
                <w:rFonts w:ascii="Calibri" w:eastAsia="Calibri" w:hAnsi="Calibri" w:cs="Times New Roman"/>
              </w:rPr>
            </w:pPr>
            <w:r w:rsidRPr="00A06F1E">
              <w:t>110</w:t>
            </w:r>
          </w:p>
        </w:tc>
        <w:tc>
          <w:tcPr>
            <w:tcW w:w="1325" w:type="dxa"/>
          </w:tcPr>
          <w:p w14:paraId="60E1165F" w14:textId="77777777" w:rsidR="00F14975" w:rsidRPr="00A06F1E" w:rsidRDefault="00F14975" w:rsidP="00DF5967">
            <w:pPr>
              <w:pStyle w:val="TableTextCentered"/>
              <w:rPr>
                <w:rFonts w:ascii="Calibri" w:eastAsia="Calibri" w:hAnsi="Calibri" w:cs="Times New Roman"/>
              </w:rPr>
            </w:pPr>
            <w:r w:rsidRPr="00A06F1E">
              <w:t>1.8</w:t>
            </w:r>
          </w:p>
        </w:tc>
        <w:tc>
          <w:tcPr>
            <w:tcW w:w="1326" w:type="dxa"/>
          </w:tcPr>
          <w:p w14:paraId="36242549" w14:textId="77777777" w:rsidR="00F14975" w:rsidRPr="00A06F1E" w:rsidRDefault="00F14975" w:rsidP="00DF5967">
            <w:pPr>
              <w:pStyle w:val="TableTextCentered"/>
              <w:rPr>
                <w:rFonts w:ascii="Calibri" w:eastAsia="Calibri" w:hAnsi="Calibri" w:cs="Times New Roman"/>
              </w:rPr>
            </w:pPr>
            <w:r w:rsidRPr="00A06F1E">
              <w:t>0.0</w:t>
            </w:r>
          </w:p>
        </w:tc>
        <w:tc>
          <w:tcPr>
            <w:tcW w:w="1325" w:type="dxa"/>
          </w:tcPr>
          <w:p w14:paraId="23B73524" w14:textId="77777777" w:rsidR="00F14975" w:rsidRPr="00A06F1E" w:rsidRDefault="00F14975" w:rsidP="00DF5967">
            <w:pPr>
              <w:pStyle w:val="TableTextCentered"/>
              <w:rPr>
                <w:rFonts w:ascii="Calibri" w:eastAsia="Calibri" w:hAnsi="Calibri" w:cs="Times New Roman"/>
              </w:rPr>
            </w:pPr>
            <w:r w:rsidRPr="00A06F1E">
              <w:t>18.2</w:t>
            </w:r>
          </w:p>
        </w:tc>
        <w:tc>
          <w:tcPr>
            <w:tcW w:w="1336" w:type="dxa"/>
          </w:tcPr>
          <w:p w14:paraId="467E74D4" w14:textId="77777777" w:rsidR="00F14975" w:rsidRPr="00A06F1E" w:rsidRDefault="00F14975" w:rsidP="00DF5967">
            <w:pPr>
              <w:pStyle w:val="TableTextCentered"/>
              <w:rPr>
                <w:rFonts w:ascii="Calibri" w:eastAsia="Calibri" w:hAnsi="Calibri" w:cs="Times New Roman"/>
              </w:rPr>
            </w:pPr>
            <w:r w:rsidRPr="00A06F1E">
              <w:t>17.0</w:t>
            </w:r>
          </w:p>
        </w:tc>
      </w:tr>
      <w:tr w:rsidR="00F14975" w:rsidRPr="00A06F1E" w14:paraId="1FEBE80C"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5A374391" w14:textId="77777777" w:rsidR="00F14975" w:rsidRPr="00A06F1E" w:rsidRDefault="00F14975" w:rsidP="00DF5967">
            <w:pPr>
              <w:pStyle w:val="TableText"/>
            </w:pPr>
            <w:r w:rsidRPr="00A06F1E">
              <w:t>High needs</w:t>
            </w:r>
          </w:p>
        </w:tc>
        <w:tc>
          <w:tcPr>
            <w:tcW w:w="1160" w:type="dxa"/>
          </w:tcPr>
          <w:p w14:paraId="1527F542" w14:textId="77777777" w:rsidR="00F14975" w:rsidRPr="00A06F1E" w:rsidRDefault="00F14975" w:rsidP="00DF5967">
            <w:pPr>
              <w:pStyle w:val="TableTextCentered"/>
              <w:rPr>
                <w:rFonts w:ascii="Calibri" w:eastAsia="Calibri" w:hAnsi="Calibri" w:cs="Times New Roman"/>
              </w:rPr>
            </w:pPr>
            <w:r w:rsidRPr="00A06F1E">
              <w:t>57</w:t>
            </w:r>
          </w:p>
        </w:tc>
        <w:tc>
          <w:tcPr>
            <w:tcW w:w="1325" w:type="dxa"/>
          </w:tcPr>
          <w:p w14:paraId="38F8A7D0" w14:textId="77777777" w:rsidR="00F14975" w:rsidRPr="00A06F1E" w:rsidRDefault="00F14975" w:rsidP="00DF5967">
            <w:pPr>
              <w:pStyle w:val="TableTextCentered"/>
              <w:rPr>
                <w:rFonts w:ascii="Calibri" w:eastAsia="Calibri" w:hAnsi="Calibri" w:cs="Times New Roman"/>
              </w:rPr>
            </w:pPr>
            <w:r w:rsidRPr="00A06F1E">
              <w:t>4.8</w:t>
            </w:r>
          </w:p>
        </w:tc>
        <w:tc>
          <w:tcPr>
            <w:tcW w:w="1326" w:type="dxa"/>
          </w:tcPr>
          <w:p w14:paraId="364AB14D" w14:textId="77777777" w:rsidR="00F14975" w:rsidRPr="00A06F1E" w:rsidRDefault="00F14975" w:rsidP="00DF5967">
            <w:pPr>
              <w:pStyle w:val="TableTextCentered"/>
              <w:rPr>
                <w:rFonts w:ascii="Calibri" w:eastAsia="Calibri" w:hAnsi="Calibri" w:cs="Times New Roman"/>
              </w:rPr>
            </w:pPr>
            <w:r w:rsidRPr="00A06F1E">
              <w:t>0.0</w:t>
            </w:r>
          </w:p>
        </w:tc>
        <w:tc>
          <w:tcPr>
            <w:tcW w:w="1325" w:type="dxa"/>
          </w:tcPr>
          <w:p w14:paraId="6A80AF89" w14:textId="77777777" w:rsidR="00F14975" w:rsidRPr="00A06F1E" w:rsidRDefault="00F14975" w:rsidP="00DF5967">
            <w:pPr>
              <w:pStyle w:val="TableTextCentered"/>
              <w:rPr>
                <w:rFonts w:ascii="Calibri" w:eastAsia="Calibri" w:hAnsi="Calibri" w:cs="Times New Roman"/>
              </w:rPr>
            </w:pPr>
            <w:r w:rsidRPr="00A06F1E">
              <w:t>28.1</w:t>
            </w:r>
          </w:p>
        </w:tc>
        <w:tc>
          <w:tcPr>
            <w:tcW w:w="1336" w:type="dxa"/>
          </w:tcPr>
          <w:p w14:paraId="65DB0F6E" w14:textId="77777777" w:rsidR="00F14975" w:rsidRPr="00A06F1E" w:rsidRDefault="00F14975" w:rsidP="00DF5967">
            <w:pPr>
              <w:pStyle w:val="TableTextCentered"/>
              <w:rPr>
                <w:rFonts w:ascii="Calibri" w:eastAsia="Calibri" w:hAnsi="Calibri" w:cs="Times New Roman"/>
              </w:rPr>
            </w:pPr>
            <w:r w:rsidRPr="00A06F1E">
              <w:t>30.3</w:t>
            </w:r>
          </w:p>
        </w:tc>
      </w:tr>
      <w:tr w:rsidR="00F14975" w:rsidRPr="00A06F1E" w14:paraId="3E93E65C" w14:textId="77777777">
        <w:tc>
          <w:tcPr>
            <w:tcW w:w="2872" w:type="dxa"/>
          </w:tcPr>
          <w:p w14:paraId="3831DC37" w14:textId="77777777" w:rsidR="00F14975" w:rsidRPr="00A06F1E" w:rsidRDefault="00F14975" w:rsidP="00DF5967">
            <w:pPr>
              <w:pStyle w:val="TableText"/>
            </w:pPr>
            <w:r w:rsidRPr="00A06F1E">
              <w:t>Low income</w:t>
            </w:r>
          </w:p>
        </w:tc>
        <w:tc>
          <w:tcPr>
            <w:tcW w:w="1160" w:type="dxa"/>
          </w:tcPr>
          <w:p w14:paraId="6BDA0B3C" w14:textId="77777777" w:rsidR="00F14975" w:rsidRPr="00A06F1E" w:rsidRDefault="00F14975" w:rsidP="00DF5967">
            <w:pPr>
              <w:pStyle w:val="TableTextCentered"/>
              <w:rPr>
                <w:rFonts w:ascii="Calibri" w:eastAsia="Calibri" w:hAnsi="Calibri" w:cs="Times New Roman"/>
              </w:rPr>
            </w:pPr>
            <w:r w:rsidRPr="00A06F1E">
              <w:t>44</w:t>
            </w:r>
          </w:p>
        </w:tc>
        <w:tc>
          <w:tcPr>
            <w:tcW w:w="1325" w:type="dxa"/>
          </w:tcPr>
          <w:p w14:paraId="26EDF429" w14:textId="3BAC3017" w:rsidR="00F14975" w:rsidRPr="00A06F1E" w:rsidRDefault="007834A0" w:rsidP="00DF5967">
            <w:pPr>
              <w:pStyle w:val="TableTextCentered"/>
              <w:rPr>
                <w:rFonts w:ascii="Calibri" w:eastAsia="Calibri" w:hAnsi="Calibri" w:cs="Times New Roman"/>
              </w:rPr>
            </w:pPr>
            <w:r w:rsidRPr="00A06F1E">
              <w:t>—</w:t>
            </w:r>
          </w:p>
        </w:tc>
        <w:tc>
          <w:tcPr>
            <w:tcW w:w="1326" w:type="dxa"/>
          </w:tcPr>
          <w:p w14:paraId="11BC8A03" w14:textId="77777777" w:rsidR="00F14975" w:rsidRPr="00A06F1E" w:rsidRDefault="00F14975" w:rsidP="00DF5967">
            <w:pPr>
              <w:pStyle w:val="TableTextCentered"/>
              <w:rPr>
                <w:rFonts w:ascii="Calibri" w:eastAsia="Calibri" w:hAnsi="Calibri" w:cs="Times New Roman"/>
              </w:rPr>
            </w:pPr>
            <w:r w:rsidRPr="00A06F1E">
              <w:t>0.0</w:t>
            </w:r>
          </w:p>
        </w:tc>
        <w:tc>
          <w:tcPr>
            <w:tcW w:w="1325" w:type="dxa"/>
          </w:tcPr>
          <w:p w14:paraId="090742A6" w14:textId="77777777" w:rsidR="00F14975" w:rsidRPr="00A06F1E" w:rsidRDefault="00F14975" w:rsidP="00DF5967">
            <w:pPr>
              <w:pStyle w:val="TableTextCentered"/>
              <w:rPr>
                <w:rFonts w:ascii="Calibri" w:eastAsia="Calibri" w:hAnsi="Calibri" w:cs="Times New Roman"/>
              </w:rPr>
            </w:pPr>
            <w:r w:rsidRPr="00A06F1E">
              <w:t>36.4</w:t>
            </w:r>
          </w:p>
        </w:tc>
        <w:tc>
          <w:tcPr>
            <w:tcW w:w="1336" w:type="dxa"/>
          </w:tcPr>
          <w:p w14:paraId="76949E90" w14:textId="77777777" w:rsidR="00F14975" w:rsidRPr="00A06F1E" w:rsidRDefault="00F14975" w:rsidP="00DF5967">
            <w:pPr>
              <w:pStyle w:val="TableTextCentered"/>
              <w:rPr>
                <w:rFonts w:ascii="Calibri" w:eastAsia="Calibri" w:hAnsi="Calibri" w:cs="Times New Roman"/>
              </w:rPr>
            </w:pPr>
            <w:r w:rsidRPr="00A06F1E">
              <w:t>33.5</w:t>
            </w:r>
          </w:p>
        </w:tc>
      </w:tr>
      <w:tr w:rsidR="00F14975" w:rsidRPr="00A06F1E" w14:paraId="2313423B"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4AF92E90" w14:textId="571A073B" w:rsidR="00F14975" w:rsidRPr="00A06F1E" w:rsidRDefault="0066296E" w:rsidP="00DF5967">
            <w:pPr>
              <w:pStyle w:val="TableText"/>
            </w:pPr>
            <w:r w:rsidRPr="00A06F1E">
              <w:rPr>
                <w:spacing w:val="-4"/>
              </w:rPr>
              <w:t>E</w:t>
            </w:r>
            <w:r>
              <w:rPr>
                <w:spacing w:val="-4"/>
              </w:rPr>
              <w:t>nglish learners</w:t>
            </w:r>
          </w:p>
        </w:tc>
        <w:tc>
          <w:tcPr>
            <w:tcW w:w="1160" w:type="dxa"/>
          </w:tcPr>
          <w:p w14:paraId="547C2DAB" w14:textId="77777777" w:rsidR="00F14975" w:rsidRPr="00A06F1E" w:rsidRDefault="00F14975" w:rsidP="00DF5967">
            <w:pPr>
              <w:pStyle w:val="TableTextCentered"/>
              <w:rPr>
                <w:rFonts w:ascii="Calibri" w:eastAsia="Calibri" w:hAnsi="Calibri" w:cs="Times New Roman"/>
              </w:rPr>
            </w:pPr>
            <w:r w:rsidRPr="00A06F1E">
              <w:t>2</w:t>
            </w:r>
          </w:p>
        </w:tc>
        <w:tc>
          <w:tcPr>
            <w:tcW w:w="1325" w:type="dxa"/>
          </w:tcPr>
          <w:p w14:paraId="3AF0CD6B" w14:textId="26C6C65F" w:rsidR="00F14975" w:rsidRPr="00A06F1E" w:rsidRDefault="007834A0" w:rsidP="00DF5967">
            <w:pPr>
              <w:pStyle w:val="TableTextCentered"/>
              <w:rPr>
                <w:rFonts w:ascii="Calibri" w:eastAsia="Calibri" w:hAnsi="Calibri" w:cs="Times New Roman"/>
              </w:rPr>
            </w:pPr>
            <w:r w:rsidRPr="00A06F1E">
              <w:rPr>
                <w:rFonts w:ascii="Calibri" w:eastAsia="Calibri" w:hAnsi="Calibri" w:cs="Times New Roman"/>
              </w:rPr>
              <w:t>—</w:t>
            </w:r>
          </w:p>
        </w:tc>
        <w:tc>
          <w:tcPr>
            <w:tcW w:w="1326" w:type="dxa"/>
          </w:tcPr>
          <w:p w14:paraId="4305429C" w14:textId="32B4E3FC" w:rsidR="00F14975" w:rsidRPr="00A06F1E" w:rsidRDefault="007834A0" w:rsidP="00DF5967">
            <w:pPr>
              <w:pStyle w:val="TableTextCentered"/>
              <w:rPr>
                <w:rFonts w:ascii="Calibri" w:eastAsia="Calibri" w:hAnsi="Calibri" w:cs="Times New Roman"/>
              </w:rPr>
            </w:pPr>
            <w:r w:rsidRPr="00A06F1E">
              <w:rPr>
                <w:rFonts w:ascii="Calibri" w:eastAsia="Calibri" w:hAnsi="Calibri" w:cs="Times New Roman"/>
              </w:rPr>
              <w:t>—</w:t>
            </w:r>
          </w:p>
        </w:tc>
        <w:tc>
          <w:tcPr>
            <w:tcW w:w="1325" w:type="dxa"/>
          </w:tcPr>
          <w:p w14:paraId="3BD9321D" w14:textId="609AFA3C" w:rsidR="00F14975" w:rsidRPr="00A06F1E" w:rsidRDefault="007834A0" w:rsidP="00DF5967">
            <w:pPr>
              <w:pStyle w:val="TableTextCentered"/>
              <w:rPr>
                <w:rFonts w:ascii="Calibri" w:eastAsia="Calibri" w:hAnsi="Calibri" w:cs="Times New Roman"/>
              </w:rPr>
            </w:pPr>
            <w:r w:rsidRPr="00A06F1E">
              <w:rPr>
                <w:rFonts w:ascii="Calibri" w:eastAsia="Calibri" w:hAnsi="Calibri" w:cs="Times New Roman"/>
              </w:rPr>
              <w:t>—</w:t>
            </w:r>
          </w:p>
        </w:tc>
        <w:tc>
          <w:tcPr>
            <w:tcW w:w="1336" w:type="dxa"/>
          </w:tcPr>
          <w:p w14:paraId="16645B67" w14:textId="77777777" w:rsidR="00F14975" w:rsidRPr="00A06F1E" w:rsidRDefault="00F14975" w:rsidP="00DF5967">
            <w:pPr>
              <w:pStyle w:val="TableTextCentered"/>
              <w:rPr>
                <w:rFonts w:ascii="Calibri" w:eastAsia="Calibri" w:hAnsi="Calibri" w:cs="Times New Roman"/>
              </w:rPr>
            </w:pPr>
            <w:r w:rsidRPr="00A06F1E">
              <w:t>33.5</w:t>
            </w:r>
          </w:p>
        </w:tc>
      </w:tr>
      <w:tr w:rsidR="00F14975" w:rsidRPr="00A06F1E" w14:paraId="31C2316E" w14:textId="77777777">
        <w:tc>
          <w:tcPr>
            <w:tcW w:w="2872" w:type="dxa"/>
          </w:tcPr>
          <w:p w14:paraId="34E093AC" w14:textId="77777777" w:rsidR="00F14975" w:rsidRPr="00A06F1E" w:rsidRDefault="00F14975" w:rsidP="00DF5967">
            <w:pPr>
              <w:pStyle w:val="TableText"/>
            </w:pPr>
            <w:r w:rsidRPr="00A06F1E">
              <w:t>Students w/disabilities</w:t>
            </w:r>
          </w:p>
        </w:tc>
        <w:tc>
          <w:tcPr>
            <w:tcW w:w="1160" w:type="dxa"/>
          </w:tcPr>
          <w:p w14:paraId="268DF6D7" w14:textId="77777777" w:rsidR="00F14975" w:rsidRPr="00A06F1E" w:rsidRDefault="00F14975" w:rsidP="00DF5967">
            <w:pPr>
              <w:pStyle w:val="TableTextCentered"/>
              <w:rPr>
                <w:rFonts w:ascii="Calibri" w:eastAsia="Calibri" w:hAnsi="Calibri" w:cs="Times New Roman"/>
              </w:rPr>
            </w:pPr>
            <w:r w:rsidRPr="00A06F1E">
              <w:t>24</w:t>
            </w:r>
          </w:p>
        </w:tc>
        <w:tc>
          <w:tcPr>
            <w:tcW w:w="1325" w:type="dxa"/>
          </w:tcPr>
          <w:p w14:paraId="2F436947" w14:textId="77777777" w:rsidR="00F14975" w:rsidRPr="00A06F1E" w:rsidRDefault="00F14975" w:rsidP="00DF5967">
            <w:pPr>
              <w:pStyle w:val="TableTextCentered"/>
              <w:rPr>
                <w:rFonts w:ascii="Calibri" w:eastAsia="Calibri" w:hAnsi="Calibri" w:cs="Times New Roman"/>
              </w:rPr>
            </w:pPr>
            <w:r w:rsidRPr="00A06F1E">
              <w:t>0.0</w:t>
            </w:r>
          </w:p>
        </w:tc>
        <w:tc>
          <w:tcPr>
            <w:tcW w:w="1326" w:type="dxa"/>
          </w:tcPr>
          <w:p w14:paraId="482A9419" w14:textId="77777777" w:rsidR="00F14975" w:rsidRPr="00A06F1E" w:rsidRDefault="00F14975" w:rsidP="00DF5967">
            <w:pPr>
              <w:pStyle w:val="TableTextCentered"/>
              <w:rPr>
                <w:rFonts w:ascii="Calibri" w:eastAsia="Calibri" w:hAnsi="Calibri" w:cs="Times New Roman"/>
              </w:rPr>
            </w:pPr>
            <w:r w:rsidRPr="00A06F1E">
              <w:t>0.0</w:t>
            </w:r>
          </w:p>
        </w:tc>
        <w:tc>
          <w:tcPr>
            <w:tcW w:w="1325" w:type="dxa"/>
          </w:tcPr>
          <w:p w14:paraId="24804B9D" w14:textId="77777777" w:rsidR="00F14975" w:rsidRPr="00A06F1E" w:rsidRDefault="00F14975" w:rsidP="00DF5967">
            <w:pPr>
              <w:pStyle w:val="TableTextCentered"/>
              <w:rPr>
                <w:rFonts w:ascii="Calibri" w:eastAsia="Calibri" w:hAnsi="Calibri" w:cs="Times New Roman"/>
              </w:rPr>
            </w:pPr>
            <w:r w:rsidRPr="00A06F1E">
              <w:t>20.8</w:t>
            </w:r>
          </w:p>
        </w:tc>
        <w:tc>
          <w:tcPr>
            <w:tcW w:w="1336" w:type="dxa"/>
          </w:tcPr>
          <w:p w14:paraId="68E19947" w14:textId="77777777" w:rsidR="00F14975" w:rsidRPr="00A06F1E" w:rsidRDefault="00F14975" w:rsidP="00DF5967">
            <w:pPr>
              <w:pStyle w:val="TableTextCentered"/>
              <w:rPr>
                <w:rFonts w:ascii="Calibri" w:eastAsia="Calibri" w:hAnsi="Calibri" w:cs="Times New Roman"/>
              </w:rPr>
            </w:pPr>
            <w:r w:rsidRPr="00A06F1E">
              <w:t>30.4</w:t>
            </w:r>
          </w:p>
        </w:tc>
      </w:tr>
    </w:tbl>
    <w:p w14:paraId="01EF0D60" w14:textId="77777777" w:rsidR="00F14975" w:rsidRPr="00A06F1E" w:rsidRDefault="00F14975" w:rsidP="00F14975">
      <w:pPr>
        <w:pStyle w:val="TableNote"/>
      </w:pPr>
      <w:proofErr w:type="spellStart"/>
      <w:r w:rsidRPr="00A06F1E">
        <w:rPr>
          <w:vertAlign w:val="superscript"/>
        </w:rPr>
        <w:t>a</w:t>
      </w:r>
      <w:proofErr w:type="spellEnd"/>
      <w:r w:rsidRPr="00A06F1E" w:rsidDel="00305C73">
        <w:t xml:space="preserve"> </w:t>
      </w:r>
      <w:r w:rsidRPr="00A06F1E">
        <w:rPr>
          <w:shd w:val="clear" w:color="auto" w:fill="FFFFFF" w:themeFill="background1"/>
        </w:rPr>
        <w:t>The percentage of students absent 10 percent or more of their total number of student days of membership in a school</w:t>
      </w:r>
      <w:r w:rsidRPr="00A06F1E">
        <w:t>.</w:t>
      </w:r>
    </w:p>
    <w:p w14:paraId="4AE0C922" w14:textId="4AF63AAC" w:rsidR="00F14975" w:rsidRPr="00A06F1E" w:rsidRDefault="00F14975" w:rsidP="00F14975">
      <w:pPr>
        <w:pStyle w:val="TableTitle0"/>
        <w:rPr>
          <w:spacing w:val="-4"/>
        </w:rPr>
      </w:pPr>
      <w:bookmarkStart w:id="232" w:name="_Toc170701940"/>
      <w:r w:rsidRPr="00A06F1E">
        <w:t>Table D</w:t>
      </w:r>
      <w:r w:rsidR="00EF4710" w:rsidRPr="00A06F1E">
        <w:t>3</w:t>
      </w:r>
      <w:r w:rsidR="00875252">
        <w:t>c</w:t>
      </w:r>
      <w:r w:rsidRPr="00A06F1E">
        <w:t>. Ralph C</w:t>
      </w:r>
      <w:r w:rsidR="004F6E3D" w:rsidRPr="00A06F1E">
        <w:t>.</w:t>
      </w:r>
      <w:r w:rsidRPr="00A06F1E">
        <w:t xml:space="preserve"> Mahar Public Schools: Chronic Absence</w:t>
      </w:r>
      <w:r w:rsidRPr="00A06F1E">
        <w:rPr>
          <w:vertAlign w:val="superscript"/>
        </w:rPr>
        <w:t>a</w:t>
      </w:r>
      <w:r w:rsidRPr="00A06F1E">
        <w:t xml:space="preserve"> Rates by Student Group, 2021-2023</w:t>
      </w:r>
      <w:bookmarkEnd w:id="232"/>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F14975" w:rsidRPr="00A06F1E" w14:paraId="60318B56" w14:textId="77777777">
        <w:trPr>
          <w:cnfStyle w:val="100000000000" w:firstRow="1" w:lastRow="0" w:firstColumn="0" w:lastColumn="0" w:oddVBand="0" w:evenVBand="0" w:oddHBand="0" w:evenHBand="0" w:firstRowFirstColumn="0" w:firstRowLastColumn="0" w:lastRowFirstColumn="0" w:lastRowLastColumn="0"/>
        </w:trPr>
        <w:tc>
          <w:tcPr>
            <w:tcW w:w="2872" w:type="dxa"/>
          </w:tcPr>
          <w:p w14:paraId="2C90EC1B" w14:textId="77777777" w:rsidR="00F14975" w:rsidRPr="00A06F1E" w:rsidRDefault="00F14975" w:rsidP="00DF5967">
            <w:pPr>
              <w:pStyle w:val="TableColHeadingLeft"/>
            </w:pPr>
            <w:r w:rsidRPr="00A06F1E">
              <w:t>Group</w:t>
            </w:r>
          </w:p>
        </w:tc>
        <w:tc>
          <w:tcPr>
            <w:tcW w:w="1160" w:type="dxa"/>
          </w:tcPr>
          <w:p w14:paraId="4EBE8E9E" w14:textId="77777777" w:rsidR="00F14975" w:rsidRPr="00A06F1E" w:rsidRDefault="00F14975" w:rsidP="00DF5967">
            <w:pPr>
              <w:pStyle w:val="TableColHeadingCenter"/>
            </w:pPr>
            <w:r w:rsidRPr="00A06F1E">
              <w:rPr>
                <w:i/>
                <w:iCs/>
              </w:rPr>
              <w:t>N</w:t>
            </w:r>
            <w:r w:rsidRPr="00A06F1E">
              <w:t xml:space="preserve"> (2023)</w:t>
            </w:r>
          </w:p>
        </w:tc>
        <w:tc>
          <w:tcPr>
            <w:tcW w:w="1325" w:type="dxa"/>
          </w:tcPr>
          <w:p w14:paraId="7F720FD2" w14:textId="77777777" w:rsidR="00F14975" w:rsidRPr="00A06F1E" w:rsidRDefault="00F14975" w:rsidP="00DF5967">
            <w:pPr>
              <w:pStyle w:val="TableColHeadingCenter"/>
            </w:pPr>
            <w:r w:rsidRPr="00A06F1E">
              <w:t>2021</w:t>
            </w:r>
          </w:p>
        </w:tc>
        <w:tc>
          <w:tcPr>
            <w:tcW w:w="1326" w:type="dxa"/>
          </w:tcPr>
          <w:p w14:paraId="55D5F5FB" w14:textId="77777777" w:rsidR="00F14975" w:rsidRPr="00A06F1E" w:rsidRDefault="00F14975" w:rsidP="00DF5967">
            <w:pPr>
              <w:pStyle w:val="TableColHeadingCenter"/>
            </w:pPr>
            <w:r w:rsidRPr="00A06F1E">
              <w:t>2022</w:t>
            </w:r>
          </w:p>
        </w:tc>
        <w:tc>
          <w:tcPr>
            <w:tcW w:w="1325" w:type="dxa"/>
          </w:tcPr>
          <w:p w14:paraId="0C4A806B" w14:textId="77777777" w:rsidR="00F14975" w:rsidRPr="00A06F1E" w:rsidRDefault="00F14975" w:rsidP="00DF5967">
            <w:pPr>
              <w:pStyle w:val="TableColHeadingCenter"/>
            </w:pPr>
            <w:r w:rsidRPr="00A06F1E">
              <w:t>2023</w:t>
            </w:r>
          </w:p>
        </w:tc>
        <w:tc>
          <w:tcPr>
            <w:tcW w:w="1336" w:type="dxa"/>
          </w:tcPr>
          <w:p w14:paraId="212D415F" w14:textId="77777777" w:rsidR="00F14975" w:rsidRPr="00A06F1E" w:rsidRDefault="00F14975" w:rsidP="00DF5967">
            <w:pPr>
              <w:pStyle w:val="TableColHeadingCenter"/>
            </w:pPr>
            <w:r w:rsidRPr="00A06F1E">
              <w:t>State (2023)</w:t>
            </w:r>
          </w:p>
        </w:tc>
      </w:tr>
      <w:tr w:rsidR="00F14975" w:rsidRPr="00A06F1E" w14:paraId="18A9F4DB"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67BB5A6D" w14:textId="77777777" w:rsidR="00F14975" w:rsidRPr="00A06F1E" w:rsidRDefault="00F14975" w:rsidP="00DF5967">
            <w:pPr>
              <w:pStyle w:val="TableText"/>
            </w:pPr>
            <w:r w:rsidRPr="00A06F1E">
              <w:t>All students</w:t>
            </w:r>
          </w:p>
        </w:tc>
        <w:tc>
          <w:tcPr>
            <w:tcW w:w="1160" w:type="dxa"/>
          </w:tcPr>
          <w:p w14:paraId="1988EEED" w14:textId="77777777" w:rsidR="00F14975" w:rsidRPr="00A06F1E" w:rsidRDefault="00F14975" w:rsidP="00DF5967">
            <w:pPr>
              <w:pStyle w:val="TableTextCentered"/>
              <w:rPr>
                <w:rFonts w:ascii="Calibri" w:eastAsia="Calibri" w:hAnsi="Calibri" w:cs="Times New Roman"/>
              </w:rPr>
            </w:pPr>
            <w:r w:rsidRPr="00A06F1E">
              <w:t>564</w:t>
            </w:r>
          </w:p>
        </w:tc>
        <w:tc>
          <w:tcPr>
            <w:tcW w:w="1325" w:type="dxa"/>
          </w:tcPr>
          <w:p w14:paraId="3542C015" w14:textId="77777777" w:rsidR="00F14975" w:rsidRPr="00A06F1E" w:rsidRDefault="00F14975" w:rsidP="00DF5967">
            <w:pPr>
              <w:pStyle w:val="TableTextCentered"/>
              <w:rPr>
                <w:rFonts w:ascii="Calibri" w:eastAsia="Calibri" w:hAnsi="Calibri" w:cs="Times New Roman"/>
              </w:rPr>
            </w:pPr>
            <w:r w:rsidRPr="00A06F1E">
              <w:t>61.1</w:t>
            </w:r>
          </w:p>
        </w:tc>
        <w:tc>
          <w:tcPr>
            <w:tcW w:w="1326" w:type="dxa"/>
          </w:tcPr>
          <w:p w14:paraId="5CCFB221" w14:textId="77777777" w:rsidR="00F14975" w:rsidRPr="00A06F1E" w:rsidRDefault="00F14975" w:rsidP="00DF5967">
            <w:pPr>
              <w:pStyle w:val="TableTextCentered"/>
              <w:rPr>
                <w:rFonts w:ascii="Calibri" w:eastAsia="Calibri" w:hAnsi="Calibri" w:cs="Times New Roman"/>
              </w:rPr>
            </w:pPr>
            <w:r w:rsidRPr="00A06F1E">
              <w:t>26.9</w:t>
            </w:r>
          </w:p>
        </w:tc>
        <w:tc>
          <w:tcPr>
            <w:tcW w:w="1325" w:type="dxa"/>
          </w:tcPr>
          <w:p w14:paraId="26F1874A" w14:textId="77777777" w:rsidR="00F14975" w:rsidRPr="00A06F1E" w:rsidRDefault="00F14975" w:rsidP="00DF5967">
            <w:pPr>
              <w:pStyle w:val="TableTextCentered"/>
              <w:rPr>
                <w:rFonts w:ascii="Calibri" w:eastAsia="Calibri" w:hAnsi="Calibri" w:cs="Times New Roman"/>
              </w:rPr>
            </w:pPr>
            <w:r w:rsidRPr="00A06F1E">
              <w:t>21.1</w:t>
            </w:r>
          </w:p>
        </w:tc>
        <w:tc>
          <w:tcPr>
            <w:tcW w:w="1336" w:type="dxa"/>
          </w:tcPr>
          <w:p w14:paraId="1ADFD98F" w14:textId="77777777" w:rsidR="00F14975" w:rsidRPr="00A06F1E" w:rsidRDefault="00F14975" w:rsidP="00DF5967">
            <w:pPr>
              <w:pStyle w:val="TableTextCentered"/>
              <w:rPr>
                <w:rFonts w:ascii="Calibri" w:eastAsia="Calibri" w:hAnsi="Calibri" w:cs="Times New Roman"/>
              </w:rPr>
            </w:pPr>
            <w:r w:rsidRPr="00A06F1E">
              <w:t>22.2</w:t>
            </w:r>
          </w:p>
        </w:tc>
      </w:tr>
      <w:tr w:rsidR="00F14975" w:rsidRPr="00A06F1E" w14:paraId="5623D7F6" w14:textId="77777777">
        <w:tc>
          <w:tcPr>
            <w:tcW w:w="2872" w:type="dxa"/>
          </w:tcPr>
          <w:p w14:paraId="4B2327FC" w14:textId="77777777" w:rsidR="00F14975" w:rsidRPr="00A06F1E" w:rsidRDefault="00F14975" w:rsidP="00DF5967">
            <w:pPr>
              <w:pStyle w:val="TableText"/>
            </w:pPr>
            <w:r w:rsidRPr="00A06F1E">
              <w:t>African American/Black</w:t>
            </w:r>
          </w:p>
        </w:tc>
        <w:tc>
          <w:tcPr>
            <w:tcW w:w="1160" w:type="dxa"/>
          </w:tcPr>
          <w:p w14:paraId="1EC1D1C1" w14:textId="77777777" w:rsidR="00F14975" w:rsidRPr="00A06F1E" w:rsidRDefault="00F14975" w:rsidP="00DF5967">
            <w:pPr>
              <w:pStyle w:val="TableTextCentered"/>
              <w:rPr>
                <w:rFonts w:ascii="Calibri" w:eastAsia="Calibri" w:hAnsi="Calibri" w:cs="Times New Roman"/>
              </w:rPr>
            </w:pPr>
            <w:r w:rsidRPr="00A06F1E">
              <w:t>11</w:t>
            </w:r>
          </w:p>
        </w:tc>
        <w:tc>
          <w:tcPr>
            <w:tcW w:w="1325" w:type="dxa"/>
          </w:tcPr>
          <w:p w14:paraId="0C989F79" w14:textId="77777777" w:rsidR="00F14975" w:rsidRPr="00A06F1E" w:rsidRDefault="00F14975" w:rsidP="00DF5967">
            <w:pPr>
              <w:pStyle w:val="TableTextCentered"/>
              <w:rPr>
                <w:rFonts w:ascii="Calibri" w:eastAsia="Calibri" w:hAnsi="Calibri" w:cs="Times New Roman"/>
              </w:rPr>
            </w:pPr>
            <w:r w:rsidRPr="00A06F1E">
              <w:t>58.3</w:t>
            </w:r>
          </w:p>
        </w:tc>
        <w:tc>
          <w:tcPr>
            <w:tcW w:w="1326" w:type="dxa"/>
          </w:tcPr>
          <w:p w14:paraId="562AADF0" w14:textId="77777777" w:rsidR="00F14975" w:rsidRPr="00A06F1E" w:rsidRDefault="00F14975" w:rsidP="00DF5967">
            <w:pPr>
              <w:pStyle w:val="TableTextCentered"/>
              <w:rPr>
                <w:rFonts w:ascii="Calibri" w:eastAsia="Calibri" w:hAnsi="Calibri" w:cs="Times New Roman"/>
              </w:rPr>
            </w:pPr>
            <w:r w:rsidRPr="00A06F1E">
              <w:t>40.0</w:t>
            </w:r>
          </w:p>
        </w:tc>
        <w:tc>
          <w:tcPr>
            <w:tcW w:w="1325" w:type="dxa"/>
          </w:tcPr>
          <w:p w14:paraId="3E5FA6E1" w14:textId="77777777" w:rsidR="00F14975" w:rsidRPr="00A06F1E" w:rsidRDefault="00F14975" w:rsidP="00DF5967">
            <w:pPr>
              <w:pStyle w:val="TableTextCentered"/>
              <w:rPr>
                <w:rFonts w:ascii="Calibri" w:eastAsia="Calibri" w:hAnsi="Calibri" w:cs="Times New Roman"/>
              </w:rPr>
            </w:pPr>
            <w:r w:rsidRPr="00A06F1E">
              <w:t>9.1</w:t>
            </w:r>
          </w:p>
        </w:tc>
        <w:tc>
          <w:tcPr>
            <w:tcW w:w="1336" w:type="dxa"/>
          </w:tcPr>
          <w:p w14:paraId="7691E5A5" w14:textId="77777777" w:rsidR="00F14975" w:rsidRPr="00A06F1E" w:rsidRDefault="00F14975" w:rsidP="00DF5967">
            <w:pPr>
              <w:pStyle w:val="TableTextCentered"/>
              <w:rPr>
                <w:rFonts w:ascii="Calibri" w:eastAsia="Calibri" w:hAnsi="Calibri" w:cs="Times New Roman"/>
              </w:rPr>
            </w:pPr>
            <w:r w:rsidRPr="00A06F1E">
              <w:t>25.3</w:t>
            </w:r>
          </w:p>
        </w:tc>
      </w:tr>
      <w:tr w:rsidR="00F14975" w:rsidRPr="00A06F1E" w14:paraId="6B5AB647"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3820DD4C" w14:textId="77777777" w:rsidR="00F14975" w:rsidRPr="00A06F1E" w:rsidRDefault="00F14975" w:rsidP="00DF5967">
            <w:pPr>
              <w:pStyle w:val="TableText"/>
            </w:pPr>
            <w:r w:rsidRPr="00A06F1E">
              <w:t>Asian</w:t>
            </w:r>
          </w:p>
        </w:tc>
        <w:tc>
          <w:tcPr>
            <w:tcW w:w="1160" w:type="dxa"/>
          </w:tcPr>
          <w:p w14:paraId="5FD679C9" w14:textId="77777777" w:rsidR="00F14975" w:rsidRPr="00A06F1E" w:rsidRDefault="00F14975" w:rsidP="00DF5967">
            <w:pPr>
              <w:pStyle w:val="TableTextCentered"/>
              <w:rPr>
                <w:rFonts w:ascii="Calibri" w:eastAsia="Calibri" w:hAnsi="Calibri" w:cs="Times New Roman"/>
              </w:rPr>
            </w:pPr>
            <w:r w:rsidRPr="00A06F1E">
              <w:t>6</w:t>
            </w:r>
          </w:p>
        </w:tc>
        <w:tc>
          <w:tcPr>
            <w:tcW w:w="1325" w:type="dxa"/>
          </w:tcPr>
          <w:p w14:paraId="420AF14E" w14:textId="77777777" w:rsidR="00F14975" w:rsidRPr="00A06F1E" w:rsidRDefault="00F14975" w:rsidP="00DF5967">
            <w:pPr>
              <w:pStyle w:val="TableTextCentered"/>
              <w:rPr>
                <w:rFonts w:ascii="Calibri" w:eastAsia="Calibri" w:hAnsi="Calibri" w:cs="Times New Roman"/>
              </w:rPr>
            </w:pPr>
            <w:r w:rsidRPr="00A06F1E">
              <w:t>45.5</w:t>
            </w:r>
          </w:p>
        </w:tc>
        <w:tc>
          <w:tcPr>
            <w:tcW w:w="1326" w:type="dxa"/>
          </w:tcPr>
          <w:p w14:paraId="38D81CA5" w14:textId="77777777" w:rsidR="00F14975" w:rsidRPr="00A06F1E" w:rsidRDefault="00F14975" w:rsidP="00DF5967">
            <w:pPr>
              <w:pStyle w:val="TableTextCentered"/>
              <w:rPr>
                <w:rFonts w:ascii="Calibri" w:eastAsia="Calibri" w:hAnsi="Calibri" w:cs="Times New Roman"/>
              </w:rPr>
            </w:pPr>
            <w:r w:rsidRPr="00A06F1E">
              <w:t>28.6</w:t>
            </w:r>
          </w:p>
        </w:tc>
        <w:tc>
          <w:tcPr>
            <w:tcW w:w="1325" w:type="dxa"/>
          </w:tcPr>
          <w:p w14:paraId="55CFC194" w14:textId="77777777" w:rsidR="00F14975" w:rsidRPr="00A06F1E" w:rsidRDefault="00F14975" w:rsidP="00DF5967">
            <w:pPr>
              <w:pStyle w:val="TableTextCentered"/>
              <w:rPr>
                <w:rFonts w:ascii="Calibri" w:eastAsia="Calibri" w:hAnsi="Calibri" w:cs="Times New Roman"/>
              </w:rPr>
            </w:pPr>
            <w:r w:rsidRPr="00A06F1E">
              <w:t>0.0</w:t>
            </w:r>
          </w:p>
        </w:tc>
        <w:tc>
          <w:tcPr>
            <w:tcW w:w="1336" w:type="dxa"/>
          </w:tcPr>
          <w:p w14:paraId="1E422A3A" w14:textId="77777777" w:rsidR="00F14975" w:rsidRPr="00A06F1E" w:rsidRDefault="00F14975" w:rsidP="00DF5967">
            <w:pPr>
              <w:pStyle w:val="TableTextCentered"/>
              <w:rPr>
                <w:rFonts w:ascii="Calibri" w:eastAsia="Calibri" w:hAnsi="Calibri" w:cs="Times New Roman"/>
              </w:rPr>
            </w:pPr>
            <w:r w:rsidRPr="00A06F1E">
              <w:t>13.9</w:t>
            </w:r>
          </w:p>
        </w:tc>
      </w:tr>
      <w:tr w:rsidR="00F14975" w:rsidRPr="00A06F1E" w14:paraId="4EB62E03" w14:textId="77777777">
        <w:tc>
          <w:tcPr>
            <w:tcW w:w="2872" w:type="dxa"/>
          </w:tcPr>
          <w:p w14:paraId="120FBF60" w14:textId="77777777" w:rsidR="00F14975" w:rsidRPr="00A06F1E" w:rsidRDefault="00F14975" w:rsidP="00DF5967">
            <w:pPr>
              <w:pStyle w:val="TableText"/>
            </w:pPr>
            <w:r w:rsidRPr="00A06F1E">
              <w:t>Hispanic/Latino</w:t>
            </w:r>
          </w:p>
        </w:tc>
        <w:tc>
          <w:tcPr>
            <w:tcW w:w="1160" w:type="dxa"/>
          </w:tcPr>
          <w:p w14:paraId="012D89D7" w14:textId="77777777" w:rsidR="00F14975" w:rsidRPr="00A06F1E" w:rsidRDefault="00F14975" w:rsidP="00DF5967">
            <w:pPr>
              <w:pStyle w:val="TableTextCentered"/>
              <w:rPr>
                <w:rFonts w:ascii="Calibri" w:eastAsia="Calibri" w:hAnsi="Calibri" w:cs="Times New Roman"/>
              </w:rPr>
            </w:pPr>
            <w:r w:rsidRPr="00A06F1E">
              <w:t>53</w:t>
            </w:r>
          </w:p>
        </w:tc>
        <w:tc>
          <w:tcPr>
            <w:tcW w:w="1325" w:type="dxa"/>
          </w:tcPr>
          <w:p w14:paraId="4B0DA6EA" w14:textId="77777777" w:rsidR="00F14975" w:rsidRPr="00A06F1E" w:rsidRDefault="00F14975" w:rsidP="00DF5967">
            <w:pPr>
              <w:pStyle w:val="TableTextCentered"/>
              <w:rPr>
                <w:rFonts w:ascii="Calibri" w:eastAsia="Calibri" w:hAnsi="Calibri" w:cs="Times New Roman"/>
              </w:rPr>
            </w:pPr>
            <w:r w:rsidRPr="00A06F1E">
              <w:t>77.6</w:t>
            </w:r>
          </w:p>
        </w:tc>
        <w:tc>
          <w:tcPr>
            <w:tcW w:w="1326" w:type="dxa"/>
          </w:tcPr>
          <w:p w14:paraId="65C9467C" w14:textId="77777777" w:rsidR="00F14975" w:rsidRPr="00A06F1E" w:rsidRDefault="00F14975" w:rsidP="00DF5967">
            <w:pPr>
              <w:pStyle w:val="TableTextCentered"/>
              <w:rPr>
                <w:rFonts w:ascii="Calibri" w:eastAsia="Calibri" w:hAnsi="Calibri" w:cs="Times New Roman"/>
              </w:rPr>
            </w:pPr>
            <w:r w:rsidRPr="00A06F1E">
              <w:t>25.6</w:t>
            </w:r>
          </w:p>
        </w:tc>
        <w:tc>
          <w:tcPr>
            <w:tcW w:w="1325" w:type="dxa"/>
          </w:tcPr>
          <w:p w14:paraId="75A1E26D" w14:textId="77777777" w:rsidR="00F14975" w:rsidRPr="00A06F1E" w:rsidRDefault="00F14975" w:rsidP="00DF5967">
            <w:pPr>
              <w:pStyle w:val="TableTextCentered"/>
              <w:rPr>
                <w:rFonts w:ascii="Calibri" w:eastAsia="Calibri" w:hAnsi="Calibri" w:cs="Times New Roman"/>
              </w:rPr>
            </w:pPr>
            <w:r w:rsidRPr="00A06F1E">
              <w:t>30.2</w:t>
            </w:r>
          </w:p>
        </w:tc>
        <w:tc>
          <w:tcPr>
            <w:tcW w:w="1336" w:type="dxa"/>
          </w:tcPr>
          <w:p w14:paraId="5E787891" w14:textId="77777777" w:rsidR="00F14975" w:rsidRPr="00A06F1E" w:rsidRDefault="00F14975" w:rsidP="00DF5967">
            <w:pPr>
              <w:pStyle w:val="TableTextCentered"/>
              <w:rPr>
                <w:rFonts w:ascii="Calibri" w:eastAsia="Calibri" w:hAnsi="Calibri" w:cs="Times New Roman"/>
              </w:rPr>
            </w:pPr>
            <w:r w:rsidRPr="00A06F1E">
              <w:t>34.5</w:t>
            </w:r>
          </w:p>
        </w:tc>
      </w:tr>
      <w:tr w:rsidR="00F14975" w:rsidRPr="00A06F1E" w14:paraId="49D812C5"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3E10130A" w14:textId="77777777" w:rsidR="00F14975" w:rsidRPr="00A06F1E" w:rsidRDefault="00F14975" w:rsidP="00DF5967">
            <w:pPr>
              <w:pStyle w:val="TableText"/>
            </w:pPr>
            <w:r w:rsidRPr="00A06F1E">
              <w:t>Multi-Race, non-Hispanic/Latino</w:t>
            </w:r>
          </w:p>
        </w:tc>
        <w:tc>
          <w:tcPr>
            <w:tcW w:w="1160" w:type="dxa"/>
          </w:tcPr>
          <w:p w14:paraId="09B73A55" w14:textId="77777777" w:rsidR="00F14975" w:rsidRPr="00A06F1E" w:rsidRDefault="00F14975" w:rsidP="00DF5967">
            <w:pPr>
              <w:pStyle w:val="TableTextCentered"/>
              <w:rPr>
                <w:rFonts w:ascii="Calibri" w:eastAsia="Calibri" w:hAnsi="Calibri" w:cs="Times New Roman"/>
              </w:rPr>
            </w:pPr>
            <w:r w:rsidRPr="00A06F1E">
              <w:t>19</w:t>
            </w:r>
          </w:p>
        </w:tc>
        <w:tc>
          <w:tcPr>
            <w:tcW w:w="1325" w:type="dxa"/>
          </w:tcPr>
          <w:p w14:paraId="55457E3C" w14:textId="77777777" w:rsidR="00F14975" w:rsidRPr="00A06F1E" w:rsidRDefault="00F14975" w:rsidP="00DF5967">
            <w:pPr>
              <w:pStyle w:val="TableTextCentered"/>
              <w:rPr>
                <w:rFonts w:ascii="Calibri" w:eastAsia="Calibri" w:hAnsi="Calibri" w:cs="Times New Roman"/>
              </w:rPr>
            </w:pPr>
            <w:r w:rsidRPr="00A06F1E">
              <w:t>76.9</w:t>
            </w:r>
          </w:p>
        </w:tc>
        <w:tc>
          <w:tcPr>
            <w:tcW w:w="1326" w:type="dxa"/>
          </w:tcPr>
          <w:p w14:paraId="660895D7" w14:textId="77777777" w:rsidR="00F14975" w:rsidRPr="00A06F1E" w:rsidRDefault="00F14975" w:rsidP="00DF5967">
            <w:pPr>
              <w:pStyle w:val="TableTextCentered"/>
              <w:rPr>
                <w:rFonts w:ascii="Calibri" w:eastAsia="Calibri" w:hAnsi="Calibri" w:cs="Times New Roman"/>
              </w:rPr>
            </w:pPr>
            <w:r w:rsidRPr="00A06F1E">
              <w:t>31.8</w:t>
            </w:r>
          </w:p>
        </w:tc>
        <w:tc>
          <w:tcPr>
            <w:tcW w:w="1325" w:type="dxa"/>
          </w:tcPr>
          <w:p w14:paraId="72695555" w14:textId="77777777" w:rsidR="00F14975" w:rsidRPr="00A06F1E" w:rsidRDefault="00F14975" w:rsidP="00DF5967">
            <w:pPr>
              <w:pStyle w:val="TableTextCentered"/>
              <w:rPr>
                <w:rFonts w:ascii="Calibri" w:eastAsia="Calibri" w:hAnsi="Calibri" w:cs="Times New Roman"/>
              </w:rPr>
            </w:pPr>
            <w:r w:rsidRPr="00A06F1E">
              <w:t>15.8</w:t>
            </w:r>
          </w:p>
        </w:tc>
        <w:tc>
          <w:tcPr>
            <w:tcW w:w="1336" w:type="dxa"/>
          </w:tcPr>
          <w:p w14:paraId="4DFBA43A" w14:textId="77777777" w:rsidR="00F14975" w:rsidRPr="00A06F1E" w:rsidRDefault="00F14975" w:rsidP="00DF5967">
            <w:pPr>
              <w:pStyle w:val="TableTextCentered"/>
              <w:rPr>
                <w:rFonts w:ascii="Calibri" w:eastAsia="Calibri" w:hAnsi="Calibri" w:cs="Times New Roman"/>
              </w:rPr>
            </w:pPr>
            <w:r w:rsidRPr="00A06F1E">
              <w:t>23.3</w:t>
            </w:r>
          </w:p>
        </w:tc>
      </w:tr>
      <w:tr w:rsidR="00F14975" w:rsidRPr="00A06F1E" w14:paraId="3F74E5F0" w14:textId="77777777">
        <w:tc>
          <w:tcPr>
            <w:tcW w:w="2872" w:type="dxa"/>
          </w:tcPr>
          <w:p w14:paraId="0154F745" w14:textId="77777777" w:rsidR="00F14975" w:rsidRPr="00A06F1E" w:rsidRDefault="00F14975" w:rsidP="00DF5967">
            <w:pPr>
              <w:pStyle w:val="TableText"/>
            </w:pPr>
            <w:r w:rsidRPr="00A06F1E">
              <w:t>Native American</w:t>
            </w:r>
          </w:p>
        </w:tc>
        <w:tc>
          <w:tcPr>
            <w:tcW w:w="1160" w:type="dxa"/>
          </w:tcPr>
          <w:p w14:paraId="339ED487" w14:textId="60BE2CD1" w:rsidR="00F14975" w:rsidRPr="00A06F1E" w:rsidRDefault="007834A0" w:rsidP="00DF5967">
            <w:pPr>
              <w:pStyle w:val="TableTextCentered"/>
              <w:rPr>
                <w:rFonts w:ascii="Calibri" w:eastAsia="Calibri" w:hAnsi="Calibri" w:cs="Times New Roman"/>
              </w:rPr>
            </w:pPr>
            <w:r w:rsidRPr="00A06F1E">
              <w:t>—</w:t>
            </w:r>
          </w:p>
        </w:tc>
        <w:tc>
          <w:tcPr>
            <w:tcW w:w="1325" w:type="dxa"/>
          </w:tcPr>
          <w:p w14:paraId="6F4C1D4D" w14:textId="7ACA322D" w:rsidR="00F14975" w:rsidRPr="00A06F1E" w:rsidRDefault="007834A0" w:rsidP="00DF5967">
            <w:pPr>
              <w:pStyle w:val="TableTextCentered"/>
              <w:rPr>
                <w:rFonts w:ascii="Calibri" w:eastAsia="Calibri" w:hAnsi="Calibri" w:cs="Times New Roman"/>
              </w:rPr>
            </w:pPr>
            <w:r w:rsidRPr="00A06F1E">
              <w:rPr>
                <w:rFonts w:ascii="Calibri" w:eastAsia="Calibri" w:hAnsi="Calibri" w:cs="Times New Roman"/>
              </w:rPr>
              <w:t>—</w:t>
            </w:r>
          </w:p>
        </w:tc>
        <w:tc>
          <w:tcPr>
            <w:tcW w:w="1326" w:type="dxa"/>
          </w:tcPr>
          <w:p w14:paraId="560D0BA5" w14:textId="39F3E9E6" w:rsidR="00F14975" w:rsidRPr="00A06F1E" w:rsidRDefault="007834A0" w:rsidP="00DF5967">
            <w:pPr>
              <w:pStyle w:val="TableTextCentered"/>
              <w:rPr>
                <w:rFonts w:ascii="Calibri" w:eastAsia="Calibri" w:hAnsi="Calibri" w:cs="Times New Roman"/>
              </w:rPr>
            </w:pPr>
            <w:r w:rsidRPr="00A06F1E">
              <w:rPr>
                <w:rFonts w:ascii="Calibri" w:eastAsia="Calibri" w:hAnsi="Calibri" w:cs="Times New Roman"/>
              </w:rPr>
              <w:t>—</w:t>
            </w:r>
          </w:p>
        </w:tc>
        <w:tc>
          <w:tcPr>
            <w:tcW w:w="1325" w:type="dxa"/>
          </w:tcPr>
          <w:p w14:paraId="4D849421" w14:textId="5D60F8A4" w:rsidR="00F14975" w:rsidRPr="00A06F1E" w:rsidRDefault="007834A0" w:rsidP="00DF5967">
            <w:pPr>
              <w:pStyle w:val="TableTextCentered"/>
              <w:rPr>
                <w:rFonts w:ascii="Calibri" w:eastAsia="Calibri" w:hAnsi="Calibri" w:cs="Times New Roman"/>
              </w:rPr>
            </w:pPr>
            <w:r w:rsidRPr="00A06F1E">
              <w:t>—</w:t>
            </w:r>
          </w:p>
        </w:tc>
        <w:tc>
          <w:tcPr>
            <w:tcW w:w="1336" w:type="dxa"/>
          </w:tcPr>
          <w:p w14:paraId="723391FF" w14:textId="77777777" w:rsidR="00F14975" w:rsidRPr="00A06F1E" w:rsidRDefault="00F14975" w:rsidP="00DF5967">
            <w:pPr>
              <w:pStyle w:val="TableTextCentered"/>
              <w:rPr>
                <w:rFonts w:ascii="Calibri" w:eastAsia="Calibri" w:hAnsi="Calibri" w:cs="Times New Roman"/>
              </w:rPr>
            </w:pPr>
            <w:r w:rsidRPr="00A06F1E">
              <w:t>33.5</w:t>
            </w:r>
          </w:p>
        </w:tc>
      </w:tr>
      <w:tr w:rsidR="00F14975" w:rsidRPr="00A06F1E" w14:paraId="20A60F4C"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02A5FD3C" w14:textId="77777777" w:rsidR="00F14975" w:rsidRPr="00A06F1E" w:rsidRDefault="00F14975" w:rsidP="00DF5967">
            <w:pPr>
              <w:pStyle w:val="TableText"/>
              <w:rPr>
                <w:spacing w:val="-4"/>
              </w:rPr>
            </w:pPr>
            <w:r w:rsidRPr="00A06F1E">
              <w:rPr>
                <w:spacing w:val="-4"/>
              </w:rPr>
              <w:t>Native Hawaiian, Pacific Islander</w:t>
            </w:r>
          </w:p>
        </w:tc>
        <w:tc>
          <w:tcPr>
            <w:tcW w:w="1160" w:type="dxa"/>
          </w:tcPr>
          <w:p w14:paraId="34F0A07E" w14:textId="77777777" w:rsidR="00F14975" w:rsidRPr="00A06F1E" w:rsidRDefault="00F14975" w:rsidP="00DF5967">
            <w:pPr>
              <w:pStyle w:val="TableTextCentered"/>
              <w:rPr>
                <w:rFonts w:ascii="Calibri" w:eastAsia="Calibri" w:hAnsi="Calibri" w:cs="Times New Roman"/>
              </w:rPr>
            </w:pPr>
            <w:r w:rsidRPr="00A06F1E">
              <w:t>1</w:t>
            </w:r>
          </w:p>
        </w:tc>
        <w:tc>
          <w:tcPr>
            <w:tcW w:w="1325" w:type="dxa"/>
          </w:tcPr>
          <w:p w14:paraId="0E49D660" w14:textId="6C2F8E7B" w:rsidR="00F14975" w:rsidRPr="00A06F1E" w:rsidRDefault="007834A0" w:rsidP="00DF5967">
            <w:pPr>
              <w:pStyle w:val="TableTextCentered"/>
              <w:rPr>
                <w:rFonts w:ascii="Calibri" w:eastAsia="Calibri" w:hAnsi="Calibri" w:cs="Times New Roman"/>
              </w:rPr>
            </w:pPr>
            <w:r w:rsidRPr="00A06F1E">
              <w:rPr>
                <w:rFonts w:ascii="Calibri" w:eastAsia="Calibri" w:hAnsi="Calibri" w:cs="Times New Roman"/>
              </w:rPr>
              <w:t>—</w:t>
            </w:r>
          </w:p>
        </w:tc>
        <w:tc>
          <w:tcPr>
            <w:tcW w:w="1326" w:type="dxa"/>
          </w:tcPr>
          <w:p w14:paraId="41B1C7C3" w14:textId="7779FBE4" w:rsidR="00F14975" w:rsidRPr="00A06F1E" w:rsidRDefault="007834A0" w:rsidP="00DF5967">
            <w:pPr>
              <w:pStyle w:val="TableTextCentered"/>
              <w:rPr>
                <w:rFonts w:ascii="Calibri" w:eastAsia="Calibri" w:hAnsi="Calibri" w:cs="Times New Roman"/>
              </w:rPr>
            </w:pPr>
            <w:r w:rsidRPr="00A06F1E">
              <w:rPr>
                <w:rFonts w:ascii="Calibri" w:eastAsia="Calibri" w:hAnsi="Calibri" w:cs="Times New Roman"/>
              </w:rPr>
              <w:t>—</w:t>
            </w:r>
          </w:p>
        </w:tc>
        <w:tc>
          <w:tcPr>
            <w:tcW w:w="1325" w:type="dxa"/>
          </w:tcPr>
          <w:p w14:paraId="5C496818" w14:textId="1DC159BC" w:rsidR="00F14975" w:rsidRPr="00A06F1E" w:rsidRDefault="007834A0" w:rsidP="00DF5967">
            <w:pPr>
              <w:pStyle w:val="TableTextCentered"/>
              <w:rPr>
                <w:rFonts w:ascii="Calibri" w:eastAsia="Calibri" w:hAnsi="Calibri" w:cs="Times New Roman"/>
              </w:rPr>
            </w:pPr>
            <w:r w:rsidRPr="00A06F1E">
              <w:rPr>
                <w:rFonts w:ascii="Calibri" w:eastAsia="Calibri" w:hAnsi="Calibri" w:cs="Times New Roman"/>
              </w:rPr>
              <w:t>—</w:t>
            </w:r>
          </w:p>
        </w:tc>
        <w:tc>
          <w:tcPr>
            <w:tcW w:w="1336" w:type="dxa"/>
          </w:tcPr>
          <w:p w14:paraId="072B3BE9" w14:textId="77777777" w:rsidR="00F14975" w:rsidRPr="00A06F1E" w:rsidRDefault="00F14975" w:rsidP="00DF5967">
            <w:pPr>
              <w:pStyle w:val="TableTextCentered"/>
              <w:rPr>
                <w:rFonts w:ascii="Calibri" w:eastAsia="Calibri" w:hAnsi="Calibri" w:cs="Times New Roman"/>
              </w:rPr>
            </w:pPr>
            <w:r w:rsidRPr="00A06F1E">
              <w:t>28.3</w:t>
            </w:r>
          </w:p>
        </w:tc>
      </w:tr>
      <w:tr w:rsidR="00F14975" w:rsidRPr="00A06F1E" w14:paraId="502EB8EC" w14:textId="77777777">
        <w:tc>
          <w:tcPr>
            <w:tcW w:w="2872" w:type="dxa"/>
          </w:tcPr>
          <w:p w14:paraId="1DA58C2F" w14:textId="77777777" w:rsidR="00F14975" w:rsidRPr="00A06F1E" w:rsidRDefault="00F14975" w:rsidP="00DF5967">
            <w:pPr>
              <w:pStyle w:val="TableText"/>
            </w:pPr>
            <w:r w:rsidRPr="00A06F1E">
              <w:t>White</w:t>
            </w:r>
          </w:p>
        </w:tc>
        <w:tc>
          <w:tcPr>
            <w:tcW w:w="1160" w:type="dxa"/>
          </w:tcPr>
          <w:p w14:paraId="72FFBC0A" w14:textId="77777777" w:rsidR="00F14975" w:rsidRPr="00A06F1E" w:rsidRDefault="00F14975" w:rsidP="00DF5967">
            <w:pPr>
              <w:pStyle w:val="TableTextCentered"/>
              <w:rPr>
                <w:rFonts w:ascii="Calibri" w:eastAsia="Calibri" w:hAnsi="Calibri" w:cs="Times New Roman"/>
              </w:rPr>
            </w:pPr>
            <w:r w:rsidRPr="00A06F1E">
              <w:t>474</w:t>
            </w:r>
          </w:p>
        </w:tc>
        <w:tc>
          <w:tcPr>
            <w:tcW w:w="1325" w:type="dxa"/>
          </w:tcPr>
          <w:p w14:paraId="57DDCB16" w14:textId="77777777" w:rsidR="00F14975" w:rsidRPr="00A06F1E" w:rsidRDefault="00F14975" w:rsidP="00DF5967">
            <w:pPr>
              <w:pStyle w:val="TableTextCentered"/>
              <w:rPr>
                <w:rFonts w:ascii="Calibri" w:eastAsia="Calibri" w:hAnsi="Calibri" w:cs="Times New Roman"/>
              </w:rPr>
            </w:pPr>
            <w:r w:rsidRPr="00A06F1E">
              <w:t>59.1</w:t>
            </w:r>
          </w:p>
        </w:tc>
        <w:tc>
          <w:tcPr>
            <w:tcW w:w="1326" w:type="dxa"/>
          </w:tcPr>
          <w:p w14:paraId="72C4E3C8" w14:textId="77777777" w:rsidR="00F14975" w:rsidRPr="00A06F1E" w:rsidRDefault="00F14975" w:rsidP="00DF5967">
            <w:pPr>
              <w:pStyle w:val="TableTextCentered"/>
              <w:rPr>
                <w:rFonts w:ascii="Calibri" w:eastAsia="Calibri" w:hAnsi="Calibri" w:cs="Times New Roman"/>
              </w:rPr>
            </w:pPr>
            <w:r w:rsidRPr="00A06F1E">
              <w:t>26.3</w:t>
            </w:r>
          </w:p>
        </w:tc>
        <w:tc>
          <w:tcPr>
            <w:tcW w:w="1325" w:type="dxa"/>
          </w:tcPr>
          <w:p w14:paraId="066352DD" w14:textId="77777777" w:rsidR="00F14975" w:rsidRPr="00A06F1E" w:rsidRDefault="00F14975" w:rsidP="00DF5967">
            <w:pPr>
              <w:pStyle w:val="TableTextCentered"/>
              <w:rPr>
                <w:rFonts w:ascii="Calibri" w:eastAsia="Calibri" w:hAnsi="Calibri" w:cs="Times New Roman"/>
              </w:rPr>
            </w:pPr>
            <w:r w:rsidRPr="00A06F1E">
              <w:t>20.7</w:t>
            </w:r>
          </w:p>
        </w:tc>
        <w:tc>
          <w:tcPr>
            <w:tcW w:w="1336" w:type="dxa"/>
          </w:tcPr>
          <w:p w14:paraId="2B6EAEA5" w14:textId="77777777" w:rsidR="00F14975" w:rsidRPr="00A06F1E" w:rsidRDefault="00F14975" w:rsidP="00DF5967">
            <w:pPr>
              <w:pStyle w:val="TableTextCentered"/>
              <w:rPr>
                <w:rFonts w:ascii="Calibri" w:eastAsia="Calibri" w:hAnsi="Calibri" w:cs="Times New Roman"/>
              </w:rPr>
            </w:pPr>
            <w:r w:rsidRPr="00A06F1E">
              <w:t>17.0</w:t>
            </w:r>
          </w:p>
        </w:tc>
      </w:tr>
      <w:tr w:rsidR="00F14975" w:rsidRPr="00A06F1E" w14:paraId="514756FC"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2B790C6E" w14:textId="77777777" w:rsidR="00F14975" w:rsidRPr="00A06F1E" w:rsidRDefault="00F14975" w:rsidP="00DF5967">
            <w:pPr>
              <w:pStyle w:val="TableText"/>
            </w:pPr>
            <w:r w:rsidRPr="00A06F1E">
              <w:t>High needs</w:t>
            </w:r>
          </w:p>
        </w:tc>
        <w:tc>
          <w:tcPr>
            <w:tcW w:w="1160" w:type="dxa"/>
          </w:tcPr>
          <w:p w14:paraId="5DDE9181" w14:textId="77777777" w:rsidR="00F14975" w:rsidRPr="00A06F1E" w:rsidRDefault="00F14975" w:rsidP="00DF5967">
            <w:pPr>
              <w:pStyle w:val="TableTextCentered"/>
              <w:rPr>
                <w:rFonts w:ascii="Calibri" w:eastAsia="Calibri" w:hAnsi="Calibri" w:cs="Times New Roman"/>
              </w:rPr>
            </w:pPr>
            <w:r w:rsidRPr="00A06F1E">
              <w:t>382</w:t>
            </w:r>
          </w:p>
        </w:tc>
        <w:tc>
          <w:tcPr>
            <w:tcW w:w="1325" w:type="dxa"/>
          </w:tcPr>
          <w:p w14:paraId="3E80EEE2" w14:textId="77777777" w:rsidR="00F14975" w:rsidRPr="00A06F1E" w:rsidRDefault="00F14975" w:rsidP="00DF5967">
            <w:pPr>
              <w:pStyle w:val="TableTextCentered"/>
              <w:rPr>
                <w:rFonts w:ascii="Calibri" w:eastAsia="Calibri" w:hAnsi="Calibri" w:cs="Times New Roman"/>
              </w:rPr>
            </w:pPr>
            <w:r w:rsidRPr="00A06F1E">
              <w:t>69.7</w:t>
            </w:r>
          </w:p>
        </w:tc>
        <w:tc>
          <w:tcPr>
            <w:tcW w:w="1326" w:type="dxa"/>
          </w:tcPr>
          <w:p w14:paraId="735938F4" w14:textId="77777777" w:rsidR="00F14975" w:rsidRPr="00A06F1E" w:rsidRDefault="00F14975" w:rsidP="00DF5967">
            <w:pPr>
              <w:pStyle w:val="TableTextCentered"/>
              <w:rPr>
                <w:rFonts w:ascii="Calibri" w:eastAsia="Calibri" w:hAnsi="Calibri" w:cs="Times New Roman"/>
              </w:rPr>
            </w:pPr>
            <w:r w:rsidRPr="00A06F1E">
              <w:t>34.6</w:t>
            </w:r>
          </w:p>
        </w:tc>
        <w:tc>
          <w:tcPr>
            <w:tcW w:w="1325" w:type="dxa"/>
          </w:tcPr>
          <w:p w14:paraId="40EAD536" w14:textId="77777777" w:rsidR="00F14975" w:rsidRPr="00A06F1E" w:rsidRDefault="00F14975" w:rsidP="00DF5967">
            <w:pPr>
              <w:pStyle w:val="TableTextCentered"/>
              <w:rPr>
                <w:rFonts w:ascii="Calibri" w:eastAsia="Calibri" w:hAnsi="Calibri" w:cs="Times New Roman"/>
              </w:rPr>
            </w:pPr>
            <w:r w:rsidRPr="00A06F1E">
              <w:t>26.7</w:t>
            </w:r>
          </w:p>
        </w:tc>
        <w:tc>
          <w:tcPr>
            <w:tcW w:w="1336" w:type="dxa"/>
          </w:tcPr>
          <w:p w14:paraId="0C025A1A" w14:textId="77777777" w:rsidR="00F14975" w:rsidRPr="00A06F1E" w:rsidRDefault="00F14975" w:rsidP="00DF5967">
            <w:pPr>
              <w:pStyle w:val="TableTextCentered"/>
              <w:rPr>
                <w:rFonts w:ascii="Calibri" w:eastAsia="Calibri" w:hAnsi="Calibri" w:cs="Times New Roman"/>
              </w:rPr>
            </w:pPr>
            <w:r w:rsidRPr="00A06F1E">
              <w:t>30.3</w:t>
            </w:r>
          </w:p>
        </w:tc>
      </w:tr>
      <w:tr w:rsidR="00F14975" w:rsidRPr="00A06F1E" w14:paraId="7F365FAE" w14:textId="77777777">
        <w:tc>
          <w:tcPr>
            <w:tcW w:w="2872" w:type="dxa"/>
          </w:tcPr>
          <w:p w14:paraId="38E0DC96" w14:textId="77777777" w:rsidR="00F14975" w:rsidRPr="00A06F1E" w:rsidRDefault="00F14975" w:rsidP="00DF5967">
            <w:pPr>
              <w:pStyle w:val="TableText"/>
            </w:pPr>
            <w:r w:rsidRPr="00A06F1E">
              <w:t>Low income</w:t>
            </w:r>
          </w:p>
        </w:tc>
        <w:tc>
          <w:tcPr>
            <w:tcW w:w="1160" w:type="dxa"/>
          </w:tcPr>
          <w:p w14:paraId="257B3492" w14:textId="77777777" w:rsidR="00F14975" w:rsidRPr="00A06F1E" w:rsidRDefault="00F14975" w:rsidP="00DF5967">
            <w:pPr>
              <w:pStyle w:val="TableTextCentered"/>
              <w:rPr>
                <w:rFonts w:ascii="Calibri" w:eastAsia="Calibri" w:hAnsi="Calibri" w:cs="Times New Roman"/>
              </w:rPr>
            </w:pPr>
            <w:r w:rsidRPr="00A06F1E">
              <w:t>343</w:t>
            </w:r>
          </w:p>
        </w:tc>
        <w:tc>
          <w:tcPr>
            <w:tcW w:w="1325" w:type="dxa"/>
          </w:tcPr>
          <w:p w14:paraId="029C82DC" w14:textId="1D9C372C" w:rsidR="00F14975" w:rsidRPr="00A06F1E" w:rsidRDefault="007834A0" w:rsidP="00DF5967">
            <w:pPr>
              <w:pStyle w:val="TableTextCentered"/>
              <w:rPr>
                <w:rFonts w:ascii="Calibri" w:eastAsia="Calibri" w:hAnsi="Calibri" w:cs="Times New Roman"/>
              </w:rPr>
            </w:pPr>
            <w:r w:rsidRPr="00A06F1E">
              <w:t>—</w:t>
            </w:r>
          </w:p>
        </w:tc>
        <w:tc>
          <w:tcPr>
            <w:tcW w:w="1326" w:type="dxa"/>
          </w:tcPr>
          <w:p w14:paraId="4954DFC7" w14:textId="77777777" w:rsidR="00F14975" w:rsidRPr="00A06F1E" w:rsidRDefault="00F14975" w:rsidP="00DF5967">
            <w:pPr>
              <w:pStyle w:val="TableTextCentered"/>
              <w:rPr>
                <w:rFonts w:ascii="Calibri" w:eastAsia="Calibri" w:hAnsi="Calibri" w:cs="Times New Roman"/>
              </w:rPr>
            </w:pPr>
            <w:r w:rsidRPr="00A06F1E">
              <w:t>36.8</w:t>
            </w:r>
          </w:p>
        </w:tc>
        <w:tc>
          <w:tcPr>
            <w:tcW w:w="1325" w:type="dxa"/>
          </w:tcPr>
          <w:p w14:paraId="5819B56D" w14:textId="77777777" w:rsidR="00F14975" w:rsidRPr="00A06F1E" w:rsidRDefault="00F14975" w:rsidP="00DF5967">
            <w:pPr>
              <w:pStyle w:val="TableTextCentered"/>
              <w:rPr>
                <w:rFonts w:ascii="Calibri" w:eastAsia="Calibri" w:hAnsi="Calibri" w:cs="Times New Roman"/>
              </w:rPr>
            </w:pPr>
            <w:r w:rsidRPr="00A06F1E">
              <w:t>28.9</w:t>
            </w:r>
          </w:p>
        </w:tc>
        <w:tc>
          <w:tcPr>
            <w:tcW w:w="1336" w:type="dxa"/>
          </w:tcPr>
          <w:p w14:paraId="6D520929" w14:textId="77777777" w:rsidR="00F14975" w:rsidRPr="00A06F1E" w:rsidRDefault="00F14975" w:rsidP="00DF5967">
            <w:pPr>
              <w:pStyle w:val="TableTextCentered"/>
              <w:rPr>
                <w:rFonts w:ascii="Calibri" w:eastAsia="Calibri" w:hAnsi="Calibri" w:cs="Times New Roman"/>
              </w:rPr>
            </w:pPr>
            <w:r w:rsidRPr="00A06F1E">
              <w:t>33.5</w:t>
            </w:r>
          </w:p>
        </w:tc>
      </w:tr>
      <w:tr w:rsidR="00F14975" w:rsidRPr="00A06F1E" w14:paraId="2887F70E"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640184BA" w14:textId="36980A56" w:rsidR="00F14975" w:rsidRPr="00A06F1E" w:rsidRDefault="0066296E" w:rsidP="00DF5967">
            <w:pPr>
              <w:pStyle w:val="TableText"/>
            </w:pPr>
            <w:r w:rsidRPr="00A06F1E">
              <w:rPr>
                <w:spacing w:val="-4"/>
              </w:rPr>
              <w:t>E</w:t>
            </w:r>
            <w:r>
              <w:rPr>
                <w:spacing w:val="-4"/>
              </w:rPr>
              <w:t>nglish learners</w:t>
            </w:r>
          </w:p>
        </w:tc>
        <w:tc>
          <w:tcPr>
            <w:tcW w:w="1160" w:type="dxa"/>
          </w:tcPr>
          <w:p w14:paraId="294DD0C7" w14:textId="77777777" w:rsidR="00F14975" w:rsidRPr="00A06F1E" w:rsidRDefault="00F14975" w:rsidP="00DF5967">
            <w:pPr>
              <w:pStyle w:val="TableTextCentered"/>
              <w:rPr>
                <w:rFonts w:ascii="Calibri" w:eastAsia="Calibri" w:hAnsi="Calibri" w:cs="Times New Roman"/>
              </w:rPr>
            </w:pPr>
            <w:r w:rsidRPr="00A06F1E">
              <w:t>8</w:t>
            </w:r>
          </w:p>
        </w:tc>
        <w:tc>
          <w:tcPr>
            <w:tcW w:w="1325" w:type="dxa"/>
          </w:tcPr>
          <w:p w14:paraId="294F29C7" w14:textId="6EF766D5" w:rsidR="00F14975" w:rsidRPr="00A06F1E" w:rsidRDefault="007834A0" w:rsidP="00DF5967">
            <w:pPr>
              <w:pStyle w:val="TableTextCentered"/>
              <w:rPr>
                <w:rFonts w:ascii="Calibri" w:eastAsia="Calibri" w:hAnsi="Calibri" w:cs="Times New Roman"/>
              </w:rPr>
            </w:pPr>
            <w:r w:rsidRPr="00A06F1E">
              <w:rPr>
                <w:rFonts w:ascii="Calibri" w:eastAsia="Calibri" w:hAnsi="Calibri" w:cs="Times New Roman"/>
              </w:rPr>
              <w:t>—</w:t>
            </w:r>
          </w:p>
        </w:tc>
        <w:tc>
          <w:tcPr>
            <w:tcW w:w="1326" w:type="dxa"/>
          </w:tcPr>
          <w:p w14:paraId="5D0275B5" w14:textId="2430F9F5" w:rsidR="00F14975" w:rsidRPr="00A06F1E" w:rsidRDefault="007834A0" w:rsidP="00DF5967">
            <w:pPr>
              <w:pStyle w:val="TableTextCentered"/>
              <w:rPr>
                <w:rFonts w:ascii="Calibri" w:eastAsia="Calibri" w:hAnsi="Calibri" w:cs="Times New Roman"/>
              </w:rPr>
            </w:pPr>
            <w:r w:rsidRPr="00A06F1E">
              <w:rPr>
                <w:rFonts w:ascii="Calibri" w:eastAsia="Calibri" w:hAnsi="Calibri" w:cs="Times New Roman"/>
              </w:rPr>
              <w:t>—</w:t>
            </w:r>
          </w:p>
        </w:tc>
        <w:tc>
          <w:tcPr>
            <w:tcW w:w="1325" w:type="dxa"/>
          </w:tcPr>
          <w:p w14:paraId="426A865B" w14:textId="77777777" w:rsidR="00F14975" w:rsidRPr="00A06F1E" w:rsidRDefault="00F14975" w:rsidP="00DF5967">
            <w:pPr>
              <w:pStyle w:val="TableTextCentered"/>
              <w:rPr>
                <w:rFonts w:ascii="Calibri" w:eastAsia="Calibri" w:hAnsi="Calibri" w:cs="Times New Roman"/>
              </w:rPr>
            </w:pPr>
            <w:r w:rsidRPr="00A06F1E">
              <w:t>0.0</w:t>
            </w:r>
          </w:p>
        </w:tc>
        <w:tc>
          <w:tcPr>
            <w:tcW w:w="1336" w:type="dxa"/>
          </w:tcPr>
          <w:p w14:paraId="0BB13697" w14:textId="77777777" w:rsidR="00F14975" w:rsidRPr="00A06F1E" w:rsidRDefault="00F14975" w:rsidP="00DF5967">
            <w:pPr>
              <w:pStyle w:val="TableTextCentered"/>
              <w:rPr>
                <w:rFonts w:ascii="Calibri" w:eastAsia="Calibri" w:hAnsi="Calibri" w:cs="Times New Roman"/>
              </w:rPr>
            </w:pPr>
            <w:r w:rsidRPr="00A06F1E">
              <w:t>33.5</w:t>
            </w:r>
          </w:p>
        </w:tc>
      </w:tr>
      <w:tr w:rsidR="00F14975" w:rsidRPr="00A06F1E" w14:paraId="55BF05C8" w14:textId="77777777">
        <w:tc>
          <w:tcPr>
            <w:tcW w:w="2872" w:type="dxa"/>
          </w:tcPr>
          <w:p w14:paraId="031D9068" w14:textId="77777777" w:rsidR="00F14975" w:rsidRPr="00A06F1E" w:rsidRDefault="00F14975" w:rsidP="00DF5967">
            <w:pPr>
              <w:pStyle w:val="TableText"/>
            </w:pPr>
            <w:r w:rsidRPr="00A06F1E">
              <w:t>Students w/disabilities</w:t>
            </w:r>
          </w:p>
        </w:tc>
        <w:tc>
          <w:tcPr>
            <w:tcW w:w="1160" w:type="dxa"/>
          </w:tcPr>
          <w:p w14:paraId="2039A1BA" w14:textId="77777777" w:rsidR="00F14975" w:rsidRPr="00A06F1E" w:rsidRDefault="00F14975" w:rsidP="00DF5967">
            <w:pPr>
              <w:pStyle w:val="TableTextCentered"/>
              <w:rPr>
                <w:rFonts w:ascii="Calibri" w:eastAsia="Calibri" w:hAnsi="Calibri" w:cs="Times New Roman"/>
              </w:rPr>
            </w:pPr>
            <w:r w:rsidRPr="00A06F1E">
              <w:t>157</w:t>
            </w:r>
          </w:p>
        </w:tc>
        <w:tc>
          <w:tcPr>
            <w:tcW w:w="1325" w:type="dxa"/>
          </w:tcPr>
          <w:p w14:paraId="5DFE1C09" w14:textId="77777777" w:rsidR="00F14975" w:rsidRPr="00A06F1E" w:rsidRDefault="00F14975" w:rsidP="00DF5967">
            <w:pPr>
              <w:pStyle w:val="TableTextCentered"/>
              <w:rPr>
                <w:rFonts w:ascii="Calibri" w:eastAsia="Calibri" w:hAnsi="Calibri" w:cs="Times New Roman"/>
              </w:rPr>
            </w:pPr>
            <w:r w:rsidRPr="00A06F1E">
              <w:t>67.5</w:t>
            </w:r>
          </w:p>
        </w:tc>
        <w:tc>
          <w:tcPr>
            <w:tcW w:w="1326" w:type="dxa"/>
          </w:tcPr>
          <w:p w14:paraId="78867057" w14:textId="77777777" w:rsidR="00F14975" w:rsidRPr="00A06F1E" w:rsidRDefault="00F14975" w:rsidP="00DF5967">
            <w:pPr>
              <w:pStyle w:val="TableTextCentered"/>
              <w:rPr>
                <w:rFonts w:ascii="Calibri" w:eastAsia="Calibri" w:hAnsi="Calibri" w:cs="Times New Roman"/>
              </w:rPr>
            </w:pPr>
            <w:r w:rsidRPr="00A06F1E">
              <w:t>34.8</w:t>
            </w:r>
          </w:p>
        </w:tc>
        <w:tc>
          <w:tcPr>
            <w:tcW w:w="1325" w:type="dxa"/>
          </w:tcPr>
          <w:p w14:paraId="5890A919" w14:textId="77777777" w:rsidR="00F14975" w:rsidRPr="00A06F1E" w:rsidRDefault="00F14975" w:rsidP="00DF5967">
            <w:pPr>
              <w:pStyle w:val="TableTextCentered"/>
              <w:rPr>
                <w:rFonts w:ascii="Calibri" w:eastAsia="Calibri" w:hAnsi="Calibri" w:cs="Times New Roman"/>
              </w:rPr>
            </w:pPr>
            <w:r w:rsidRPr="00A06F1E">
              <w:t>24.8</w:t>
            </w:r>
          </w:p>
        </w:tc>
        <w:tc>
          <w:tcPr>
            <w:tcW w:w="1336" w:type="dxa"/>
          </w:tcPr>
          <w:p w14:paraId="40B408B6" w14:textId="77777777" w:rsidR="00F14975" w:rsidRPr="00A06F1E" w:rsidRDefault="00F14975" w:rsidP="00DF5967">
            <w:pPr>
              <w:pStyle w:val="TableTextCentered"/>
              <w:rPr>
                <w:rFonts w:ascii="Calibri" w:eastAsia="Calibri" w:hAnsi="Calibri" w:cs="Times New Roman"/>
              </w:rPr>
            </w:pPr>
            <w:r w:rsidRPr="00A06F1E">
              <w:t>30.4</w:t>
            </w:r>
          </w:p>
        </w:tc>
      </w:tr>
    </w:tbl>
    <w:p w14:paraId="1C4DB76E" w14:textId="77777777" w:rsidR="00F14975" w:rsidRPr="00A06F1E" w:rsidRDefault="00F14975" w:rsidP="00F14975">
      <w:pPr>
        <w:pStyle w:val="TableNote"/>
      </w:pPr>
      <w:proofErr w:type="spellStart"/>
      <w:r w:rsidRPr="00A06F1E">
        <w:rPr>
          <w:vertAlign w:val="superscript"/>
        </w:rPr>
        <w:t>a</w:t>
      </w:r>
      <w:proofErr w:type="spellEnd"/>
      <w:r w:rsidRPr="00A06F1E" w:rsidDel="00305C73">
        <w:t xml:space="preserve"> </w:t>
      </w:r>
      <w:r w:rsidRPr="00A06F1E">
        <w:rPr>
          <w:shd w:val="clear" w:color="auto" w:fill="FFFFFF" w:themeFill="background1"/>
        </w:rPr>
        <w:t>The percentage of students absent 10 percent or more of their total number of student days of membership in a school</w:t>
      </w:r>
      <w:r w:rsidRPr="00A06F1E">
        <w:t>.</w:t>
      </w:r>
    </w:p>
    <w:p w14:paraId="6C82AE68" w14:textId="77777777" w:rsidR="00F14975" w:rsidRPr="00A06F1E" w:rsidRDefault="00F14975" w:rsidP="00F14975">
      <w:pPr>
        <w:pStyle w:val="TableNote"/>
      </w:pPr>
    </w:p>
    <w:p w14:paraId="6C69B581" w14:textId="77777777" w:rsidR="00F14975" w:rsidRPr="00A06F1E" w:rsidRDefault="00F14975" w:rsidP="00F14975">
      <w:pPr>
        <w:pStyle w:val="TableNote"/>
        <w:rPr>
          <w:rFonts w:ascii="Calibri" w:eastAsia="Calibri" w:hAnsi="Calibri"/>
          <w:szCs w:val="20"/>
        </w:rPr>
      </w:pPr>
    </w:p>
    <w:p w14:paraId="2E64FB18" w14:textId="77777777" w:rsidR="00F14975" w:rsidRPr="00A06F1E" w:rsidRDefault="00F14975" w:rsidP="00F14975">
      <w:pPr>
        <w:pStyle w:val="TableTitle0"/>
        <w:sectPr w:rsidR="00F14975" w:rsidRPr="00A06F1E" w:rsidSect="00F14975">
          <w:footerReference w:type="default" r:id="rId105"/>
          <w:pgSz w:w="12240" w:h="15840" w:code="1"/>
          <w:pgMar w:top="1440" w:right="1440" w:bottom="1440" w:left="1440" w:header="720" w:footer="720" w:gutter="0"/>
          <w:pgNumType w:start="1"/>
          <w:cols w:space="720"/>
          <w:docGrid w:linePitch="360"/>
        </w:sectPr>
      </w:pPr>
    </w:p>
    <w:p w14:paraId="73018A7A" w14:textId="2FEBE753" w:rsidR="00F14975" w:rsidRPr="00A06F1E" w:rsidRDefault="00F14975" w:rsidP="00F14975">
      <w:pPr>
        <w:pStyle w:val="TableTitle0"/>
        <w:spacing w:before="0"/>
        <w:rPr>
          <w:szCs w:val="20"/>
        </w:rPr>
      </w:pPr>
      <w:bookmarkStart w:id="233" w:name="_Toc170701941"/>
      <w:r w:rsidRPr="00A06F1E">
        <w:lastRenderedPageBreak/>
        <w:t>Table D</w:t>
      </w:r>
      <w:r w:rsidR="00EF4710" w:rsidRPr="00A06F1E">
        <w:t>4</w:t>
      </w:r>
      <w:r w:rsidR="00875252">
        <w:t>a</w:t>
      </w:r>
      <w:r w:rsidRPr="00A06F1E">
        <w:t>. Orange</w:t>
      </w:r>
      <w:r w:rsidRPr="00A06F1E">
        <w:rPr>
          <w:rFonts w:eastAsia="Times New Roman" w:cs="Calibri"/>
          <w:bCs/>
          <w:szCs w:val="20"/>
        </w:rPr>
        <w:t xml:space="preserve"> </w:t>
      </w:r>
      <w:r w:rsidRPr="00A06F1E">
        <w:t>Public Schools: Expenditures, Chapter 70 State Aid, and Net School Spending</w:t>
      </w:r>
      <w:r w:rsidR="00584ECC" w:rsidRPr="00A06F1E">
        <w:t>,</w:t>
      </w:r>
      <w:r w:rsidRPr="00A06F1E">
        <w:t xml:space="preserve"> Fiscal Years 2020-2022</w:t>
      </w:r>
      <w:bookmarkEnd w:id="233"/>
      <w:r w:rsidRPr="00A06F1E">
        <w:rPr>
          <w:szCs w:val="20"/>
        </w:rPr>
        <w:t xml:space="preserve"> </w:t>
      </w:r>
    </w:p>
    <w:tbl>
      <w:tblPr>
        <w:tblStyle w:val="MSVTable11"/>
        <w:tblW w:w="5000" w:type="pct"/>
        <w:tblLayout w:type="fixed"/>
        <w:tblLook w:val="0660" w:firstRow="1" w:lastRow="1" w:firstColumn="0" w:lastColumn="0" w:noHBand="1" w:noVBand="1"/>
      </w:tblPr>
      <w:tblGrid>
        <w:gridCol w:w="3682"/>
        <w:gridCol w:w="1612"/>
        <w:gridCol w:w="1718"/>
        <w:gridCol w:w="1350"/>
        <w:gridCol w:w="1522"/>
        <w:gridCol w:w="1538"/>
        <w:gridCol w:w="1522"/>
      </w:tblGrid>
      <w:tr w:rsidR="00F14975" w:rsidRPr="00A06F1E" w14:paraId="124B6B5C"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bottom w:val="nil"/>
            </w:tcBorders>
            <w:noWrap/>
            <w:hideMark/>
          </w:tcPr>
          <w:p w14:paraId="1D2A6475" w14:textId="77777777" w:rsidR="00F14975" w:rsidRPr="00A06F1E" w:rsidRDefault="00F14975">
            <w:pPr>
              <w:widowControl w:val="0"/>
              <w:overflowPunct w:val="0"/>
              <w:adjustRightInd w:val="0"/>
              <w:spacing w:line="240" w:lineRule="auto"/>
              <w:rPr>
                <w:rFonts w:eastAsia="Times New Roman" w:cs="Times New Roman"/>
                <w:kern w:val="28"/>
                <w:szCs w:val="20"/>
              </w:rPr>
            </w:pPr>
            <w:r w:rsidRPr="00A06F1E">
              <w:rPr>
                <w:rFonts w:eastAsia="Times New Roman" w:cs="Times New Roman"/>
                <w:kern w:val="28"/>
                <w:szCs w:val="20"/>
              </w:rPr>
              <w:t> </w:t>
            </w:r>
          </w:p>
        </w:tc>
        <w:tc>
          <w:tcPr>
            <w:tcW w:w="3330" w:type="dxa"/>
            <w:gridSpan w:val="2"/>
            <w:noWrap/>
            <w:hideMark/>
          </w:tcPr>
          <w:p w14:paraId="7E5C92F9" w14:textId="77777777" w:rsidR="00F14975" w:rsidRPr="00A06F1E" w:rsidRDefault="00F14975">
            <w:pPr>
              <w:pStyle w:val="TableColHeadingCenter"/>
            </w:pPr>
            <w:r w:rsidRPr="00A06F1E">
              <w:t>Fiscal year 2020</w:t>
            </w:r>
          </w:p>
        </w:tc>
        <w:tc>
          <w:tcPr>
            <w:tcW w:w="2872" w:type="dxa"/>
            <w:gridSpan w:val="2"/>
            <w:noWrap/>
            <w:hideMark/>
          </w:tcPr>
          <w:p w14:paraId="407F5CAF" w14:textId="77777777" w:rsidR="00F14975" w:rsidRPr="00A06F1E" w:rsidRDefault="00F14975">
            <w:pPr>
              <w:pStyle w:val="TableColHeadingCenter"/>
            </w:pPr>
            <w:r w:rsidRPr="00A06F1E">
              <w:t>Fiscal year 2021</w:t>
            </w:r>
          </w:p>
        </w:tc>
        <w:tc>
          <w:tcPr>
            <w:tcW w:w="3060" w:type="dxa"/>
            <w:gridSpan w:val="2"/>
            <w:noWrap/>
            <w:hideMark/>
          </w:tcPr>
          <w:p w14:paraId="711373B9" w14:textId="77777777" w:rsidR="00F14975" w:rsidRPr="00A06F1E" w:rsidRDefault="00F14975">
            <w:pPr>
              <w:pStyle w:val="TableColHeadingCenter"/>
            </w:pPr>
            <w:r w:rsidRPr="00A06F1E">
              <w:t>Fiscal year 2022</w:t>
            </w:r>
          </w:p>
        </w:tc>
      </w:tr>
      <w:tr w:rsidR="00F14975" w:rsidRPr="00A06F1E" w14:paraId="6853C0ED"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top w:val="nil"/>
            </w:tcBorders>
            <w:noWrap/>
            <w:hideMark/>
          </w:tcPr>
          <w:p w14:paraId="7262524E" w14:textId="77777777" w:rsidR="00F14975" w:rsidRPr="00A06F1E" w:rsidRDefault="00F14975">
            <w:pPr>
              <w:widowControl w:val="0"/>
              <w:overflowPunct w:val="0"/>
              <w:adjustRightInd w:val="0"/>
              <w:spacing w:line="240" w:lineRule="auto"/>
              <w:rPr>
                <w:rFonts w:eastAsia="Times New Roman" w:cs="Times New Roman"/>
                <w:kern w:val="28"/>
                <w:szCs w:val="20"/>
              </w:rPr>
            </w:pPr>
            <w:r w:rsidRPr="00A06F1E">
              <w:rPr>
                <w:rFonts w:eastAsia="Times New Roman" w:cs="Times New Roman"/>
                <w:kern w:val="28"/>
                <w:szCs w:val="20"/>
              </w:rPr>
              <w:t> </w:t>
            </w:r>
          </w:p>
        </w:tc>
        <w:tc>
          <w:tcPr>
            <w:tcW w:w="1612" w:type="dxa"/>
            <w:noWrap/>
            <w:hideMark/>
          </w:tcPr>
          <w:p w14:paraId="40FC68C8" w14:textId="77777777" w:rsidR="00F14975" w:rsidRPr="00A06F1E" w:rsidRDefault="00F14975">
            <w:pPr>
              <w:pStyle w:val="TableColHeadingCenter"/>
            </w:pPr>
            <w:r w:rsidRPr="00A06F1E">
              <w:t>Estimated</w:t>
            </w:r>
          </w:p>
        </w:tc>
        <w:tc>
          <w:tcPr>
            <w:tcW w:w="1718" w:type="dxa"/>
            <w:noWrap/>
            <w:hideMark/>
          </w:tcPr>
          <w:p w14:paraId="2E4C909B" w14:textId="77777777" w:rsidR="00F14975" w:rsidRPr="00A06F1E" w:rsidRDefault="00F14975">
            <w:pPr>
              <w:pStyle w:val="TableColHeadingCenter"/>
            </w:pPr>
            <w:r w:rsidRPr="00A06F1E">
              <w:t>Actual</w:t>
            </w:r>
          </w:p>
        </w:tc>
        <w:tc>
          <w:tcPr>
            <w:tcW w:w="1350" w:type="dxa"/>
            <w:noWrap/>
            <w:hideMark/>
          </w:tcPr>
          <w:p w14:paraId="4A545CE1" w14:textId="77777777" w:rsidR="00F14975" w:rsidRPr="00A06F1E" w:rsidRDefault="00F14975">
            <w:pPr>
              <w:pStyle w:val="TableColHeadingCenter"/>
            </w:pPr>
            <w:r w:rsidRPr="00A06F1E">
              <w:t>Estimated</w:t>
            </w:r>
          </w:p>
        </w:tc>
        <w:tc>
          <w:tcPr>
            <w:tcW w:w="1522" w:type="dxa"/>
            <w:noWrap/>
            <w:hideMark/>
          </w:tcPr>
          <w:p w14:paraId="217C0406" w14:textId="77777777" w:rsidR="00F14975" w:rsidRPr="00A06F1E" w:rsidRDefault="00F14975">
            <w:pPr>
              <w:pStyle w:val="TableColHeadingCenter"/>
            </w:pPr>
            <w:r w:rsidRPr="00A06F1E">
              <w:t>Actual</w:t>
            </w:r>
          </w:p>
        </w:tc>
        <w:tc>
          <w:tcPr>
            <w:tcW w:w="1538" w:type="dxa"/>
            <w:noWrap/>
            <w:hideMark/>
          </w:tcPr>
          <w:p w14:paraId="2DB31D51" w14:textId="77777777" w:rsidR="00F14975" w:rsidRPr="00A06F1E" w:rsidRDefault="00F14975">
            <w:pPr>
              <w:pStyle w:val="TableColHeadingCenter"/>
            </w:pPr>
            <w:r w:rsidRPr="00A06F1E">
              <w:t>Estimated</w:t>
            </w:r>
          </w:p>
        </w:tc>
        <w:tc>
          <w:tcPr>
            <w:tcW w:w="1522" w:type="dxa"/>
            <w:hideMark/>
          </w:tcPr>
          <w:p w14:paraId="4B787CAC" w14:textId="77777777" w:rsidR="00F14975" w:rsidRPr="00A06F1E" w:rsidRDefault="00F14975">
            <w:pPr>
              <w:pStyle w:val="TableColHeadingCenter"/>
            </w:pPr>
            <w:r w:rsidRPr="00A06F1E">
              <w:t>Actual</w:t>
            </w:r>
          </w:p>
        </w:tc>
      </w:tr>
      <w:tr w:rsidR="00F14975" w:rsidRPr="00A06F1E" w14:paraId="2C50E0FA" w14:textId="77777777">
        <w:tc>
          <w:tcPr>
            <w:tcW w:w="12944" w:type="dxa"/>
            <w:gridSpan w:val="7"/>
            <w:shd w:val="clear" w:color="auto" w:fill="D9E2F3"/>
            <w:hideMark/>
          </w:tcPr>
          <w:p w14:paraId="701D3A42" w14:textId="77777777" w:rsidR="00F14975" w:rsidRPr="00A06F1E" w:rsidRDefault="00F14975" w:rsidP="00DF5967">
            <w:pPr>
              <w:pStyle w:val="TableSubheading"/>
              <w:rPr>
                <w:rFonts w:eastAsia="Times New Roman" w:cs="Times New Roman"/>
                <w:kern w:val="28"/>
                <w:szCs w:val="20"/>
              </w:rPr>
            </w:pPr>
            <w:r w:rsidRPr="00A06F1E">
              <w:t>Expenditures</w:t>
            </w:r>
          </w:p>
        </w:tc>
      </w:tr>
      <w:tr w:rsidR="00F14975" w:rsidRPr="00A06F1E" w14:paraId="5EA3511D" w14:textId="77777777">
        <w:tc>
          <w:tcPr>
            <w:tcW w:w="3682" w:type="dxa"/>
            <w:hideMark/>
          </w:tcPr>
          <w:p w14:paraId="35D398FC" w14:textId="77777777" w:rsidR="00F14975" w:rsidRPr="00A06F1E" w:rsidRDefault="00F14975">
            <w:pPr>
              <w:pStyle w:val="TableText"/>
            </w:pPr>
            <w:r w:rsidRPr="00A06F1E">
              <w:t>From local appropriations for schools</w:t>
            </w:r>
          </w:p>
        </w:tc>
        <w:tc>
          <w:tcPr>
            <w:tcW w:w="9262" w:type="dxa"/>
            <w:gridSpan w:val="6"/>
            <w:shd w:val="clear" w:color="auto" w:fill="D9E2F3" w:themeFill="accent5" w:themeFillTint="33"/>
          </w:tcPr>
          <w:p w14:paraId="11A0BDF0" w14:textId="77777777" w:rsidR="00F14975" w:rsidRPr="00A06F1E" w:rsidRDefault="00F14975">
            <w:pPr>
              <w:widowControl w:val="0"/>
              <w:overflowPunct w:val="0"/>
              <w:adjustRightInd w:val="0"/>
              <w:spacing w:line="240" w:lineRule="auto"/>
              <w:jc w:val="right"/>
              <w:rPr>
                <w:rFonts w:eastAsia="Times New Roman" w:cs="Times New Roman"/>
                <w:kern w:val="28"/>
                <w:szCs w:val="20"/>
              </w:rPr>
            </w:pPr>
          </w:p>
        </w:tc>
      </w:tr>
      <w:tr w:rsidR="00F14975" w:rsidRPr="00A06F1E" w14:paraId="311D4D37" w14:textId="77777777">
        <w:tc>
          <w:tcPr>
            <w:tcW w:w="3682" w:type="dxa"/>
            <w:noWrap/>
            <w:hideMark/>
          </w:tcPr>
          <w:p w14:paraId="3A6BB6D4" w14:textId="77777777" w:rsidR="00F14975" w:rsidRPr="00A06F1E" w:rsidRDefault="00F14975">
            <w:pPr>
              <w:pStyle w:val="TableText"/>
            </w:pPr>
            <w:r w:rsidRPr="00A06F1E">
              <w:t>By school committee</w:t>
            </w:r>
          </w:p>
        </w:tc>
        <w:tc>
          <w:tcPr>
            <w:tcW w:w="1612" w:type="dxa"/>
            <w:noWrap/>
          </w:tcPr>
          <w:p w14:paraId="5151AF11" w14:textId="77777777" w:rsidR="00F14975" w:rsidRPr="00A06F1E" w:rsidRDefault="00F14975">
            <w:pPr>
              <w:pStyle w:val="TableTextCentered"/>
              <w:rPr>
                <w:rFonts w:eastAsia="HGGothicE" w:cs="Franklin Gothic Book"/>
              </w:rPr>
            </w:pPr>
            <w:r w:rsidRPr="00A06F1E">
              <w:t>$6,625,072</w:t>
            </w:r>
          </w:p>
        </w:tc>
        <w:tc>
          <w:tcPr>
            <w:tcW w:w="1718" w:type="dxa"/>
            <w:noWrap/>
          </w:tcPr>
          <w:p w14:paraId="45B60707" w14:textId="77777777" w:rsidR="00F14975" w:rsidRPr="00A06F1E" w:rsidRDefault="00F14975">
            <w:pPr>
              <w:pStyle w:val="TableTextCentered"/>
              <w:rPr>
                <w:rFonts w:eastAsia="HGGothicE" w:cs="Franklin Gothic Book"/>
              </w:rPr>
            </w:pPr>
            <w:r w:rsidRPr="00A06F1E">
              <w:t>$6,268,198</w:t>
            </w:r>
          </w:p>
        </w:tc>
        <w:tc>
          <w:tcPr>
            <w:tcW w:w="1350" w:type="dxa"/>
            <w:noWrap/>
          </w:tcPr>
          <w:p w14:paraId="733867F0" w14:textId="77777777" w:rsidR="00F14975" w:rsidRPr="00A06F1E" w:rsidRDefault="00F14975">
            <w:pPr>
              <w:pStyle w:val="TableTextCentered"/>
              <w:rPr>
                <w:rFonts w:eastAsia="HGGothicE" w:cs="Franklin Gothic Book"/>
              </w:rPr>
            </w:pPr>
            <w:r w:rsidRPr="00A06F1E">
              <w:t>$6,625,072</w:t>
            </w:r>
          </w:p>
        </w:tc>
        <w:tc>
          <w:tcPr>
            <w:tcW w:w="1522" w:type="dxa"/>
            <w:noWrap/>
          </w:tcPr>
          <w:p w14:paraId="55F85E91" w14:textId="77777777" w:rsidR="00F14975" w:rsidRPr="00A06F1E" w:rsidRDefault="00F14975">
            <w:pPr>
              <w:pStyle w:val="TableTextCentered"/>
              <w:rPr>
                <w:rFonts w:eastAsia="HGGothicE" w:cs="Franklin Gothic Book"/>
              </w:rPr>
            </w:pPr>
            <w:r w:rsidRPr="00A06F1E">
              <w:t>$6,078,333</w:t>
            </w:r>
          </w:p>
        </w:tc>
        <w:tc>
          <w:tcPr>
            <w:tcW w:w="1538" w:type="dxa"/>
            <w:noWrap/>
          </w:tcPr>
          <w:p w14:paraId="3450CE99" w14:textId="77777777" w:rsidR="00F14975" w:rsidRPr="00A06F1E" w:rsidRDefault="00F14975">
            <w:pPr>
              <w:pStyle w:val="TableTextCentered"/>
              <w:rPr>
                <w:rFonts w:eastAsia="HGGothicE" w:cs="Franklin Gothic Book"/>
              </w:rPr>
            </w:pPr>
            <w:r w:rsidRPr="00A06F1E">
              <w:t>$6,817,094</w:t>
            </w:r>
          </w:p>
        </w:tc>
        <w:tc>
          <w:tcPr>
            <w:tcW w:w="1522" w:type="dxa"/>
          </w:tcPr>
          <w:p w14:paraId="1B1288F8" w14:textId="77777777" w:rsidR="00F14975" w:rsidRPr="00A06F1E" w:rsidRDefault="00F14975">
            <w:pPr>
              <w:pStyle w:val="TableTextCentered"/>
              <w:rPr>
                <w:rFonts w:eastAsia="HGGothicE" w:cs="Franklin Gothic Book"/>
              </w:rPr>
            </w:pPr>
            <w:r w:rsidRPr="00A06F1E">
              <w:t>$6,883,119</w:t>
            </w:r>
          </w:p>
        </w:tc>
      </w:tr>
      <w:tr w:rsidR="00F14975" w:rsidRPr="00A06F1E" w14:paraId="16EC44A0" w14:textId="77777777">
        <w:tc>
          <w:tcPr>
            <w:tcW w:w="3682" w:type="dxa"/>
            <w:noWrap/>
            <w:hideMark/>
          </w:tcPr>
          <w:p w14:paraId="4C27F685" w14:textId="77777777" w:rsidR="00F14975" w:rsidRPr="00A06F1E" w:rsidRDefault="00F14975">
            <w:pPr>
              <w:pStyle w:val="TableText"/>
            </w:pPr>
            <w:r w:rsidRPr="00A06F1E">
              <w:t>By municipality</w:t>
            </w:r>
          </w:p>
        </w:tc>
        <w:tc>
          <w:tcPr>
            <w:tcW w:w="1612" w:type="dxa"/>
            <w:noWrap/>
          </w:tcPr>
          <w:p w14:paraId="3429275B" w14:textId="77777777" w:rsidR="00F14975" w:rsidRPr="00A06F1E" w:rsidRDefault="00F14975">
            <w:pPr>
              <w:pStyle w:val="TableTextCentered"/>
              <w:rPr>
                <w:rFonts w:eastAsia="HGGothicE" w:cs="Franklin Gothic Book"/>
              </w:rPr>
            </w:pPr>
            <w:r w:rsidRPr="00A06F1E">
              <w:t>$6,327,374</w:t>
            </w:r>
          </w:p>
        </w:tc>
        <w:tc>
          <w:tcPr>
            <w:tcW w:w="1718" w:type="dxa"/>
            <w:noWrap/>
          </w:tcPr>
          <w:p w14:paraId="29D79C23" w14:textId="77777777" w:rsidR="00F14975" w:rsidRPr="00A06F1E" w:rsidRDefault="00F14975">
            <w:pPr>
              <w:pStyle w:val="TableTextCentered"/>
              <w:rPr>
                <w:rFonts w:eastAsia="HGGothicE" w:cs="Franklin Gothic Book"/>
              </w:rPr>
            </w:pPr>
            <w:r w:rsidRPr="00A06F1E">
              <w:t>$6,997,973</w:t>
            </w:r>
          </w:p>
        </w:tc>
        <w:tc>
          <w:tcPr>
            <w:tcW w:w="1350" w:type="dxa"/>
            <w:noWrap/>
          </w:tcPr>
          <w:p w14:paraId="4F8DA888" w14:textId="77777777" w:rsidR="00F14975" w:rsidRPr="00A06F1E" w:rsidRDefault="00F14975">
            <w:pPr>
              <w:pStyle w:val="TableTextCentered"/>
              <w:rPr>
                <w:rFonts w:eastAsia="HGGothicE" w:cs="Franklin Gothic Book"/>
              </w:rPr>
            </w:pPr>
            <w:r w:rsidRPr="00A06F1E">
              <w:t>$6,381,556</w:t>
            </w:r>
          </w:p>
        </w:tc>
        <w:tc>
          <w:tcPr>
            <w:tcW w:w="1522" w:type="dxa"/>
            <w:noWrap/>
          </w:tcPr>
          <w:p w14:paraId="08873DA1" w14:textId="77777777" w:rsidR="00F14975" w:rsidRPr="00A06F1E" w:rsidRDefault="00F14975">
            <w:pPr>
              <w:pStyle w:val="TableTextCentered"/>
              <w:rPr>
                <w:rFonts w:eastAsia="HGGothicE" w:cs="Franklin Gothic Book"/>
              </w:rPr>
            </w:pPr>
            <w:r w:rsidRPr="00A06F1E">
              <w:t>$7,320,248</w:t>
            </w:r>
          </w:p>
        </w:tc>
        <w:tc>
          <w:tcPr>
            <w:tcW w:w="1538" w:type="dxa"/>
            <w:noWrap/>
          </w:tcPr>
          <w:p w14:paraId="47540342" w14:textId="77777777" w:rsidR="00F14975" w:rsidRPr="00A06F1E" w:rsidRDefault="00F14975">
            <w:pPr>
              <w:pStyle w:val="TableTextCentered"/>
              <w:rPr>
                <w:rFonts w:eastAsia="HGGothicE" w:cs="Franklin Gothic Book"/>
              </w:rPr>
            </w:pPr>
            <w:r w:rsidRPr="00A06F1E">
              <w:t>$6,674,919</w:t>
            </w:r>
          </w:p>
        </w:tc>
        <w:tc>
          <w:tcPr>
            <w:tcW w:w="1522" w:type="dxa"/>
          </w:tcPr>
          <w:p w14:paraId="7D0DD689" w14:textId="77777777" w:rsidR="00F14975" w:rsidRPr="00A06F1E" w:rsidRDefault="00F14975">
            <w:pPr>
              <w:pStyle w:val="TableTextCentered"/>
              <w:rPr>
                <w:rFonts w:eastAsia="HGGothicE" w:cs="Franklin Gothic Book"/>
              </w:rPr>
            </w:pPr>
            <w:r w:rsidRPr="00A06F1E">
              <w:t>$6,911,299</w:t>
            </w:r>
          </w:p>
        </w:tc>
      </w:tr>
      <w:tr w:rsidR="00F14975" w:rsidRPr="00A06F1E" w14:paraId="7A905D9F" w14:textId="77777777">
        <w:tc>
          <w:tcPr>
            <w:tcW w:w="3682" w:type="dxa"/>
            <w:noWrap/>
            <w:hideMark/>
          </w:tcPr>
          <w:p w14:paraId="01117589" w14:textId="77777777" w:rsidR="00F14975" w:rsidRPr="00A06F1E" w:rsidRDefault="00F14975">
            <w:pPr>
              <w:pStyle w:val="TableText"/>
            </w:pPr>
            <w:r w:rsidRPr="00A06F1E">
              <w:t>Total from local appropriations</w:t>
            </w:r>
          </w:p>
        </w:tc>
        <w:tc>
          <w:tcPr>
            <w:tcW w:w="1612" w:type="dxa"/>
            <w:noWrap/>
          </w:tcPr>
          <w:p w14:paraId="15D6C038" w14:textId="77777777" w:rsidR="00F14975" w:rsidRPr="00A06F1E" w:rsidRDefault="00F14975">
            <w:pPr>
              <w:pStyle w:val="TableTextCentered"/>
              <w:rPr>
                <w:rFonts w:eastAsia="HGGothicE" w:cs="Franklin Gothic Book"/>
              </w:rPr>
            </w:pPr>
            <w:r w:rsidRPr="00A06F1E">
              <w:t>$12,952,446</w:t>
            </w:r>
          </w:p>
        </w:tc>
        <w:tc>
          <w:tcPr>
            <w:tcW w:w="1718" w:type="dxa"/>
            <w:noWrap/>
          </w:tcPr>
          <w:p w14:paraId="6A98E7B4" w14:textId="77777777" w:rsidR="00F14975" w:rsidRPr="00A06F1E" w:rsidRDefault="00F14975">
            <w:pPr>
              <w:pStyle w:val="TableTextCentered"/>
              <w:rPr>
                <w:rFonts w:eastAsia="HGGothicE" w:cs="Franklin Gothic Book"/>
              </w:rPr>
            </w:pPr>
            <w:r w:rsidRPr="00A06F1E">
              <w:t>$13,266,171</w:t>
            </w:r>
          </w:p>
        </w:tc>
        <w:tc>
          <w:tcPr>
            <w:tcW w:w="1350" w:type="dxa"/>
            <w:noWrap/>
          </w:tcPr>
          <w:p w14:paraId="06FDD50D" w14:textId="77777777" w:rsidR="00F14975" w:rsidRPr="00A06F1E" w:rsidRDefault="00F14975">
            <w:pPr>
              <w:pStyle w:val="TableTextCentered"/>
              <w:rPr>
                <w:rFonts w:eastAsia="HGGothicE" w:cs="Franklin Gothic Book"/>
              </w:rPr>
            </w:pPr>
            <w:r w:rsidRPr="00A06F1E">
              <w:t>$13,006,628</w:t>
            </w:r>
          </w:p>
        </w:tc>
        <w:tc>
          <w:tcPr>
            <w:tcW w:w="1522" w:type="dxa"/>
            <w:noWrap/>
          </w:tcPr>
          <w:p w14:paraId="52E2F7B0" w14:textId="77777777" w:rsidR="00F14975" w:rsidRPr="00A06F1E" w:rsidRDefault="00F14975">
            <w:pPr>
              <w:pStyle w:val="TableTextCentered"/>
              <w:rPr>
                <w:rFonts w:eastAsia="HGGothicE" w:cs="Franklin Gothic Book"/>
              </w:rPr>
            </w:pPr>
            <w:r w:rsidRPr="00A06F1E">
              <w:t>$13,398,581</w:t>
            </w:r>
          </w:p>
        </w:tc>
        <w:tc>
          <w:tcPr>
            <w:tcW w:w="1538" w:type="dxa"/>
            <w:noWrap/>
          </w:tcPr>
          <w:p w14:paraId="6844FBF8" w14:textId="77777777" w:rsidR="00F14975" w:rsidRPr="00A06F1E" w:rsidRDefault="00F14975">
            <w:pPr>
              <w:pStyle w:val="TableTextCentered"/>
              <w:rPr>
                <w:rFonts w:eastAsia="HGGothicE" w:cs="Franklin Gothic Book"/>
              </w:rPr>
            </w:pPr>
            <w:r w:rsidRPr="00A06F1E">
              <w:t>$13,492,013</w:t>
            </w:r>
          </w:p>
        </w:tc>
        <w:tc>
          <w:tcPr>
            <w:tcW w:w="1522" w:type="dxa"/>
          </w:tcPr>
          <w:p w14:paraId="39833B8D" w14:textId="77777777" w:rsidR="00F14975" w:rsidRPr="00A06F1E" w:rsidRDefault="00F14975">
            <w:pPr>
              <w:pStyle w:val="TableTextCentered"/>
              <w:rPr>
                <w:rFonts w:eastAsia="HGGothicE" w:cs="Franklin Gothic Book"/>
              </w:rPr>
            </w:pPr>
            <w:r w:rsidRPr="00A06F1E">
              <w:t>$13,794,418</w:t>
            </w:r>
          </w:p>
        </w:tc>
      </w:tr>
      <w:tr w:rsidR="00F14975" w:rsidRPr="00A06F1E" w14:paraId="5FADF60C" w14:textId="77777777">
        <w:tc>
          <w:tcPr>
            <w:tcW w:w="3682" w:type="dxa"/>
            <w:hideMark/>
          </w:tcPr>
          <w:p w14:paraId="0F648EF5" w14:textId="77777777" w:rsidR="00F14975" w:rsidRPr="00A06F1E" w:rsidRDefault="00F14975">
            <w:pPr>
              <w:pStyle w:val="TableText"/>
            </w:pPr>
            <w:r w:rsidRPr="00A06F1E">
              <w:t>From revolving funds and grants</w:t>
            </w:r>
          </w:p>
        </w:tc>
        <w:tc>
          <w:tcPr>
            <w:tcW w:w="1612" w:type="dxa"/>
            <w:noWrap/>
          </w:tcPr>
          <w:p w14:paraId="1FCCF997" w14:textId="2F169551" w:rsidR="00F14975" w:rsidRPr="00A06F1E" w:rsidRDefault="007834A0">
            <w:pPr>
              <w:pStyle w:val="TableTextCentered"/>
              <w:rPr>
                <w:rFonts w:eastAsia="HGGothicE" w:cs="Franklin Gothic Book"/>
              </w:rPr>
            </w:pPr>
            <w:r w:rsidRPr="00A06F1E">
              <w:t>—</w:t>
            </w:r>
          </w:p>
        </w:tc>
        <w:tc>
          <w:tcPr>
            <w:tcW w:w="1718" w:type="dxa"/>
            <w:noWrap/>
          </w:tcPr>
          <w:p w14:paraId="158FCC42" w14:textId="77777777" w:rsidR="00F14975" w:rsidRPr="00A06F1E" w:rsidRDefault="00F14975">
            <w:pPr>
              <w:pStyle w:val="TableTextCentered"/>
              <w:rPr>
                <w:rFonts w:eastAsia="HGGothicE" w:cs="Franklin Gothic Book"/>
              </w:rPr>
            </w:pPr>
            <w:r w:rsidRPr="00A06F1E">
              <w:t>$1,171,166</w:t>
            </w:r>
          </w:p>
        </w:tc>
        <w:tc>
          <w:tcPr>
            <w:tcW w:w="1350" w:type="dxa"/>
            <w:noWrap/>
          </w:tcPr>
          <w:p w14:paraId="489BAE82" w14:textId="106B1487" w:rsidR="00F14975" w:rsidRPr="00A06F1E" w:rsidRDefault="007834A0">
            <w:pPr>
              <w:pStyle w:val="TableTextCentered"/>
              <w:rPr>
                <w:rFonts w:eastAsia="HGGothicE" w:cs="Franklin Gothic Book"/>
              </w:rPr>
            </w:pPr>
            <w:r w:rsidRPr="00A06F1E">
              <w:t>—</w:t>
            </w:r>
          </w:p>
        </w:tc>
        <w:tc>
          <w:tcPr>
            <w:tcW w:w="1522" w:type="dxa"/>
            <w:noWrap/>
          </w:tcPr>
          <w:p w14:paraId="1782835A" w14:textId="77777777" w:rsidR="00F14975" w:rsidRPr="00A06F1E" w:rsidRDefault="00F14975">
            <w:pPr>
              <w:pStyle w:val="TableTextCentered"/>
              <w:rPr>
                <w:rFonts w:eastAsia="HGGothicE" w:cs="Franklin Gothic Book"/>
              </w:rPr>
            </w:pPr>
            <w:r w:rsidRPr="00A06F1E">
              <w:t>$1,470,956</w:t>
            </w:r>
          </w:p>
        </w:tc>
        <w:tc>
          <w:tcPr>
            <w:tcW w:w="1538" w:type="dxa"/>
            <w:noWrap/>
          </w:tcPr>
          <w:p w14:paraId="04F5CA2C" w14:textId="76FF392F" w:rsidR="00F14975" w:rsidRPr="00A06F1E" w:rsidRDefault="007834A0">
            <w:pPr>
              <w:pStyle w:val="TableTextCentered"/>
              <w:rPr>
                <w:rFonts w:eastAsia="HGGothicE" w:cs="Franklin Gothic Book"/>
              </w:rPr>
            </w:pPr>
            <w:r w:rsidRPr="00A06F1E">
              <w:t>—</w:t>
            </w:r>
          </w:p>
        </w:tc>
        <w:tc>
          <w:tcPr>
            <w:tcW w:w="1522" w:type="dxa"/>
          </w:tcPr>
          <w:p w14:paraId="6459AF7B" w14:textId="77777777" w:rsidR="00F14975" w:rsidRPr="00A06F1E" w:rsidRDefault="00F14975">
            <w:pPr>
              <w:pStyle w:val="TableTextCentered"/>
            </w:pPr>
            <w:r w:rsidRPr="00A06F1E">
              <w:t>$1,452,361</w:t>
            </w:r>
          </w:p>
        </w:tc>
      </w:tr>
      <w:tr w:rsidR="00F14975" w:rsidRPr="00A06F1E" w14:paraId="07A98801" w14:textId="77777777">
        <w:tc>
          <w:tcPr>
            <w:tcW w:w="3682" w:type="dxa"/>
            <w:hideMark/>
          </w:tcPr>
          <w:p w14:paraId="2FC50792" w14:textId="77777777" w:rsidR="00F14975" w:rsidRPr="00A06F1E" w:rsidRDefault="00F14975">
            <w:pPr>
              <w:pStyle w:val="TableText"/>
            </w:pPr>
            <w:r w:rsidRPr="00A06F1E">
              <w:t>Total expenditures</w:t>
            </w:r>
          </w:p>
        </w:tc>
        <w:tc>
          <w:tcPr>
            <w:tcW w:w="1612" w:type="dxa"/>
            <w:noWrap/>
          </w:tcPr>
          <w:p w14:paraId="34C04461" w14:textId="3841BE7B" w:rsidR="00F14975" w:rsidRPr="00A06F1E" w:rsidRDefault="007834A0">
            <w:pPr>
              <w:pStyle w:val="TableTextCentered"/>
              <w:rPr>
                <w:rFonts w:eastAsia="HGGothicE" w:cs="Franklin Gothic Book"/>
              </w:rPr>
            </w:pPr>
            <w:r w:rsidRPr="00A06F1E">
              <w:t>—</w:t>
            </w:r>
          </w:p>
        </w:tc>
        <w:tc>
          <w:tcPr>
            <w:tcW w:w="1718" w:type="dxa"/>
            <w:noWrap/>
          </w:tcPr>
          <w:p w14:paraId="4F0C1CFF" w14:textId="77777777" w:rsidR="00F14975" w:rsidRPr="00A06F1E" w:rsidRDefault="00F14975">
            <w:pPr>
              <w:pStyle w:val="TableTextCentered"/>
              <w:rPr>
                <w:rFonts w:eastAsia="HGGothicE" w:cs="Franklin Gothic Book"/>
              </w:rPr>
            </w:pPr>
            <w:r w:rsidRPr="00A06F1E">
              <w:t>$14,437,337</w:t>
            </w:r>
          </w:p>
        </w:tc>
        <w:tc>
          <w:tcPr>
            <w:tcW w:w="1350" w:type="dxa"/>
            <w:noWrap/>
          </w:tcPr>
          <w:p w14:paraId="1EC141B9" w14:textId="4D3538A5" w:rsidR="00F14975" w:rsidRPr="00A06F1E" w:rsidRDefault="007834A0">
            <w:pPr>
              <w:pStyle w:val="TableTextCentered"/>
              <w:rPr>
                <w:rFonts w:eastAsia="HGGothicE" w:cs="Franklin Gothic Book"/>
              </w:rPr>
            </w:pPr>
            <w:r w:rsidRPr="00A06F1E">
              <w:t>—</w:t>
            </w:r>
          </w:p>
        </w:tc>
        <w:tc>
          <w:tcPr>
            <w:tcW w:w="1522" w:type="dxa"/>
            <w:noWrap/>
          </w:tcPr>
          <w:p w14:paraId="77031CF0" w14:textId="77777777" w:rsidR="00F14975" w:rsidRPr="00A06F1E" w:rsidRDefault="00F14975">
            <w:pPr>
              <w:pStyle w:val="TableTextCentered"/>
              <w:rPr>
                <w:rFonts w:eastAsia="HGGothicE" w:cs="Franklin Gothic Book"/>
              </w:rPr>
            </w:pPr>
            <w:r w:rsidRPr="00A06F1E">
              <w:t>$14,869,537</w:t>
            </w:r>
          </w:p>
        </w:tc>
        <w:tc>
          <w:tcPr>
            <w:tcW w:w="1538" w:type="dxa"/>
            <w:noWrap/>
          </w:tcPr>
          <w:p w14:paraId="4D7A0F02" w14:textId="0DCAE21E" w:rsidR="00F14975" w:rsidRPr="00A06F1E" w:rsidRDefault="007834A0">
            <w:pPr>
              <w:pStyle w:val="TableTextCentered"/>
              <w:rPr>
                <w:rFonts w:eastAsia="HGGothicE" w:cs="Franklin Gothic Book"/>
              </w:rPr>
            </w:pPr>
            <w:r w:rsidRPr="00A06F1E">
              <w:t>—</w:t>
            </w:r>
          </w:p>
        </w:tc>
        <w:tc>
          <w:tcPr>
            <w:tcW w:w="1522" w:type="dxa"/>
          </w:tcPr>
          <w:p w14:paraId="5E9EA840" w14:textId="77777777" w:rsidR="00F14975" w:rsidRPr="00A06F1E" w:rsidRDefault="00F14975">
            <w:pPr>
              <w:pStyle w:val="TableTextCentered"/>
              <w:rPr>
                <w:rFonts w:eastAsia="HGGothicE" w:cs="Franklin Gothic Book"/>
              </w:rPr>
            </w:pPr>
            <w:r w:rsidRPr="00A06F1E">
              <w:t>$15,246,779</w:t>
            </w:r>
          </w:p>
        </w:tc>
      </w:tr>
      <w:tr w:rsidR="00F14975" w:rsidRPr="00A06F1E" w14:paraId="7C2FEB2C" w14:textId="77777777">
        <w:tc>
          <w:tcPr>
            <w:tcW w:w="12944" w:type="dxa"/>
            <w:gridSpan w:val="7"/>
            <w:shd w:val="clear" w:color="auto" w:fill="D9E2F3"/>
          </w:tcPr>
          <w:p w14:paraId="0DD33F4B" w14:textId="77777777" w:rsidR="00F14975" w:rsidRPr="00A06F1E" w:rsidRDefault="00F14975" w:rsidP="00DF5967">
            <w:pPr>
              <w:pStyle w:val="TableSubheading"/>
            </w:pPr>
            <w:r w:rsidRPr="00A06F1E">
              <w:t>Chapter 70 aid to education program</w:t>
            </w:r>
          </w:p>
        </w:tc>
      </w:tr>
      <w:tr w:rsidR="00F14975" w:rsidRPr="00A06F1E" w14:paraId="29BDBAA6" w14:textId="77777777">
        <w:tc>
          <w:tcPr>
            <w:tcW w:w="3682" w:type="dxa"/>
            <w:noWrap/>
            <w:hideMark/>
          </w:tcPr>
          <w:p w14:paraId="555DE966" w14:textId="77777777" w:rsidR="00F14975" w:rsidRPr="00A06F1E" w:rsidRDefault="00F14975">
            <w:pPr>
              <w:pStyle w:val="TableText"/>
              <w:rPr>
                <w:rFonts w:ascii="Franklin Gothic Book" w:hAnsi="Franklin Gothic Book"/>
              </w:rPr>
            </w:pPr>
            <w:r w:rsidRPr="00A06F1E">
              <w:rPr>
                <w:rFonts w:ascii="Franklin Gothic Book" w:hAnsi="Franklin Gothic Book"/>
              </w:rPr>
              <w:t>Chapter 70 state aid</w:t>
            </w:r>
            <w:r w:rsidRPr="00A06F1E">
              <w:rPr>
                <w:rFonts w:ascii="Franklin Gothic Book" w:hAnsi="Franklin Gothic Book"/>
                <w:vertAlign w:val="superscript"/>
              </w:rPr>
              <w:t>a</w:t>
            </w:r>
          </w:p>
        </w:tc>
        <w:tc>
          <w:tcPr>
            <w:tcW w:w="1612" w:type="dxa"/>
            <w:noWrap/>
          </w:tcPr>
          <w:p w14:paraId="0ECFD5FC" w14:textId="3B515A03" w:rsidR="00F14975" w:rsidRPr="00A06F1E" w:rsidRDefault="007834A0">
            <w:pPr>
              <w:pStyle w:val="TableTextCentered"/>
              <w:rPr>
                <w:rFonts w:ascii="Franklin Gothic Book" w:hAnsi="Franklin Gothic Book"/>
              </w:rPr>
            </w:pPr>
            <w:r w:rsidRPr="00A06F1E">
              <w:t>—</w:t>
            </w:r>
          </w:p>
        </w:tc>
        <w:tc>
          <w:tcPr>
            <w:tcW w:w="1718" w:type="dxa"/>
            <w:noWrap/>
          </w:tcPr>
          <w:p w14:paraId="5650D58D" w14:textId="77777777" w:rsidR="00F14975" w:rsidRPr="00A06F1E" w:rsidRDefault="00F14975">
            <w:pPr>
              <w:pStyle w:val="TableTextCentered"/>
              <w:rPr>
                <w:rFonts w:ascii="Franklin Gothic Book" w:hAnsi="Franklin Gothic Book" w:cs="Calibri"/>
              </w:rPr>
            </w:pPr>
            <w:r w:rsidRPr="00A06F1E">
              <w:t>$5,432,046</w:t>
            </w:r>
          </w:p>
        </w:tc>
        <w:tc>
          <w:tcPr>
            <w:tcW w:w="1350" w:type="dxa"/>
            <w:noWrap/>
          </w:tcPr>
          <w:p w14:paraId="761D541E" w14:textId="3AF6F903" w:rsidR="00F14975" w:rsidRPr="00A06F1E" w:rsidRDefault="007834A0">
            <w:pPr>
              <w:pStyle w:val="TableTextCentered"/>
              <w:rPr>
                <w:rFonts w:ascii="Franklin Gothic Book" w:hAnsi="Franklin Gothic Book"/>
              </w:rPr>
            </w:pPr>
            <w:r w:rsidRPr="00A06F1E">
              <w:t>—</w:t>
            </w:r>
          </w:p>
        </w:tc>
        <w:tc>
          <w:tcPr>
            <w:tcW w:w="1522" w:type="dxa"/>
            <w:noWrap/>
          </w:tcPr>
          <w:p w14:paraId="5E30F131" w14:textId="77777777" w:rsidR="00F14975" w:rsidRPr="00A06F1E" w:rsidRDefault="00F14975">
            <w:pPr>
              <w:pStyle w:val="TableTextCentered"/>
              <w:rPr>
                <w:rFonts w:ascii="Franklin Gothic Book" w:hAnsi="Franklin Gothic Book" w:cs="Calibri"/>
              </w:rPr>
            </w:pPr>
            <w:r w:rsidRPr="00A06F1E">
              <w:t>$5,432,046</w:t>
            </w:r>
          </w:p>
        </w:tc>
        <w:tc>
          <w:tcPr>
            <w:tcW w:w="1538" w:type="dxa"/>
            <w:noWrap/>
          </w:tcPr>
          <w:p w14:paraId="16A1CD07" w14:textId="2FBBAC5A" w:rsidR="00F14975" w:rsidRPr="00A06F1E" w:rsidRDefault="007834A0">
            <w:pPr>
              <w:pStyle w:val="TableTextCentered"/>
              <w:rPr>
                <w:rFonts w:ascii="Franklin Gothic Book" w:hAnsi="Franklin Gothic Book"/>
              </w:rPr>
            </w:pPr>
            <w:r w:rsidRPr="00A06F1E">
              <w:t>—</w:t>
            </w:r>
          </w:p>
        </w:tc>
        <w:tc>
          <w:tcPr>
            <w:tcW w:w="1522" w:type="dxa"/>
          </w:tcPr>
          <w:p w14:paraId="5843526B" w14:textId="77777777" w:rsidR="00F14975" w:rsidRPr="00A06F1E" w:rsidRDefault="00F14975">
            <w:pPr>
              <w:pStyle w:val="TableTextCentered"/>
              <w:rPr>
                <w:rFonts w:ascii="Franklin Gothic Book" w:hAnsi="Franklin Gothic Book" w:cs="Calibri"/>
              </w:rPr>
            </w:pPr>
            <w:r w:rsidRPr="00A06F1E">
              <w:t>$5,448,006</w:t>
            </w:r>
          </w:p>
        </w:tc>
      </w:tr>
      <w:tr w:rsidR="00F14975" w:rsidRPr="00A06F1E" w14:paraId="49392C30" w14:textId="77777777">
        <w:tc>
          <w:tcPr>
            <w:tcW w:w="3682" w:type="dxa"/>
            <w:noWrap/>
            <w:hideMark/>
          </w:tcPr>
          <w:p w14:paraId="6EAE3BBB" w14:textId="77777777" w:rsidR="00F14975" w:rsidRPr="00A06F1E" w:rsidRDefault="00F14975">
            <w:pPr>
              <w:pStyle w:val="TableText"/>
              <w:rPr>
                <w:rFonts w:ascii="Franklin Gothic Book" w:hAnsi="Franklin Gothic Book"/>
              </w:rPr>
            </w:pPr>
            <w:r w:rsidRPr="00A06F1E">
              <w:rPr>
                <w:rFonts w:ascii="Franklin Gothic Book" w:hAnsi="Franklin Gothic Book"/>
              </w:rPr>
              <w:t>Required local contribution</w:t>
            </w:r>
          </w:p>
        </w:tc>
        <w:tc>
          <w:tcPr>
            <w:tcW w:w="1612" w:type="dxa"/>
            <w:noWrap/>
          </w:tcPr>
          <w:p w14:paraId="2D367570" w14:textId="4DCFBE61" w:rsidR="00F14975" w:rsidRPr="00A06F1E" w:rsidRDefault="007834A0">
            <w:pPr>
              <w:pStyle w:val="TableTextCentered"/>
              <w:rPr>
                <w:rFonts w:ascii="Franklin Gothic Book" w:hAnsi="Franklin Gothic Book"/>
              </w:rPr>
            </w:pPr>
            <w:r w:rsidRPr="00A06F1E">
              <w:t>—</w:t>
            </w:r>
          </w:p>
        </w:tc>
        <w:tc>
          <w:tcPr>
            <w:tcW w:w="1718" w:type="dxa"/>
            <w:noWrap/>
          </w:tcPr>
          <w:p w14:paraId="1D4410F2" w14:textId="77777777" w:rsidR="00F14975" w:rsidRPr="00A06F1E" w:rsidRDefault="00F14975">
            <w:pPr>
              <w:pStyle w:val="TableTextCentered"/>
              <w:rPr>
                <w:rFonts w:ascii="Franklin Gothic Book" w:hAnsi="Franklin Gothic Book" w:cs="Calibri"/>
              </w:rPr>
            </w:pPr>
            <w:r w:rsidRPr="00A06F1E">
              <w:t>$1,989,628</w:t>
            </w:r>
          </w:p>
        </w:tc>
        <w:tc>
          <w:tcPr>
            <w:tcW w:w="1350" w:type="dxa"/>
            <w:noWrap/>
          </w:tcPr>
          <w:p w14:paraId="574AE3C9" w14:textId="35C7663B" w:rsidR="00F14975" w:rsidRPr="00A06F1E" w:rsidRDefault="007834A0">
            <w:pPr>
              <w:pStyle w:val="TableTextCentered"/>
              <w:rPr>
                <w:rFonts w:ascii="Franklin Gothic Book" w:hAnsi="Franklin Gothic Book"/>
              </w:rPr>
            </w:pPr>
            <w:r w:rsidRPr="00A06F1E">
              <w:t>—</w:t>
            </w:r>
          </w:p>
        </w:tc>
        <w:tc>
          <w:tcPr>
            <w:tcW w:w="1522" w:type="dxa"/>
            <w:noWrap/>
          </w:tcPr>
          <w:p w14:paraId="6F1187FC" w14:textId="77777777" w:rsidR="00F14975" w:rsidRPr="00A06F1E" w:rsidRDefault="00F14975">
            <w:pPr>
              <w:pStyle w:val="TableTextCentered"/>
              <w:rPr>
                <w:rFonts w:ascii="Franklin Gothic Book" w:hAnsi="Franklin Gothic Book" w:cs="Calibri"/>
              </w:rPr>
            </w:pPr>
            <w:r w:rsidRPr="00A06F1E">
              <w:t>$2,020,501</w:t>
            </w:r>
          </w:p>
        </w:tc>
        <w:tc>
          <w:tcPr>
            <w:tcW w:w="1538" w:type="dxa"/>
            <w:noWrap/>
          </w:tcPr>
          <w:p w14:paraId="0E9AB2F4" w14:textId="3DA9BADA" w:rsidR="00F14975" w:rsidRPr="00A06F1E" w:rsidRDefault="007834A0">
            <w:pPr>
              <w:pStyle w:val="TableTextCentered"/>
              <w:rPr>
                <w:rFonts w:ascii="Franklin Gothic Book" w:hAnsi="Franklin Gothic Book"/>
              </w:rPr>
            </w:pPr>
            <w:r w:rsidRPr="00A06F1E">
              <w:t>—</w:t>
            </w:r>
          </w:p>
        </w:tc>
        <w:tc>
          <w:tcPr>
            <w:tcW w:w="1522" w:type="dxa"/>
          </w:tcPr>
          <w:p w14:paraId="5FCFFD66" w14:textId="77777777" w:rsidR="00F14975" w:rsidRPr="00A06F1E" w:rsidRDefault="00F14975">
            <w:pPr>
              <w:pStyle w:val="TableTextCentered"/>
              <w:rPr>
                <w:rFonts w:ascii="Franklin Gothic Book" w:hAnsi="Franklin Gothic Book" w:cs="Calibri"/>
              </w:rPr>
            </w:pPr>
            <w:r w:rsidRPr="00A06F1E">
              <w:t>$1,964,703</w:t>
            </w:r>
          </w:p>
        </w:tc>
      </w:tr>
      <w:tr w:rsidR="00F14975" w:rsidRPr="00A06F1E" w14:paraId="772BEBEB" w14:textId="77777777">
        <w:tc>
          <w:tcPr>
            <w:tcW w:w="3682" w:type="dxa"/>
            <w:noWrap/>
            <w:hideMark/>
          </w:tcPr>
          <w:p w14:paraId="31610A20" w14:textId="77777777" w:rsidR="00F14975" w:rsidRPr="00A06F1E" w:rsidRDefault="00F14975">
            <w:pPr>
              <w:pStyle w:val="TableText"/>
              <w:rPr>
                <w:rFonts w:ascii="Franklin Gothic Book" w:hAnsi="Franklin Gothic Book"/>
              </w:rPr>
            </w:pPr>
            <w:r w:rsidRPr="00A06F1E">
              <w:rPr>
                <w:rFonts w:ascii="Franklin Gothic Book" w:hAnsi="Franklin Gothic Book"/>
              </w:rPr>
              <w:t>Required net school spending</w:t>
            </w:r>
            <w:r w:rsidRPr="00A06F1E">
              <w:rPr>
                <w:rFonts w:ascii="Franklin Gothic Book" w:hAnsi="Franklin Gothic Book"/>
                <w:vertAlign w:val="superscript"/>
              </w:rPr>
              <w:t>b</w:t>
            </w:r>
          </w:p>
        </w:tc>
        <w:tc>
          <w:tcPr>
            <w:tcW w:w="1612" w:type="dxa"/>
            <w:noWrap/>
          </w:tcPr>
          <w:p w14:paraId="72CE3B8C" w14:textId="337219BC" w:rsidR="00F14975" w:rsidRPr="00A06F1E" w:rsidRDefault="007834A0">
            <w:pPr>
              <w:pStyle w:val="TableTextCentered"/>
              <w:rPr>
                <w:rFonts w:ascii="Franklin Gothic Book" w:hAnsi="Franklin Gothic Book"/>
              </w:rPr>
            </w:pPr>
            <w:r w:rsidRPr="00A06F1E">
              <w:t>—</w:t>
            </w:r>
          </w:p>
        </w:tc>
        <w:tc>
          <w:tcPr>
            <w:tcW w:w="1718" w:type="dxa"/>
            <w:noWrap/>
          </w:tcPr>
          <w:p w14:paraId="6CCF6676" w14:textId="77777777" w:rsidR="00F14975" w:rsidRPr="00A06F1E" w:rsidRDefault="00F14975">
            <w:pPr>
              <w:pStyle w:val="TableTextCentered"/>
              <w:rPr>
                <w:rFonts w:ascii="Franklin Gothic Book" w:hAnsi="Franklin Gothic Book" w:cs="Calibri"/>
              </w:rPr>
            </w:pPr>
            <w:r w:rsidRPr="00A06F1E">
              <w:t>$7,421,674</w:t>
            </w:r>
          </w:p>
        </w:tc>
        <w:tc>
          <w:tcPr>
            <w:tcW w:w="1350" w:type="dxa"/>
            <w:noWrap/>
          </w:tcPr>
          <w:p w14:paraId="6B9ABFC4" w14:textId="3B520149" w:rsidR="00F14975" w:rsidRPr="00A06F1E" w:rsidRDefault="007834A0">
            <w:pPr>
              <w:pStyle w:val="TableTextCentered"/>
              <w:rPr>
                <w:rFonts w:ascii="Franklin Gothic Book" w:hAnsi="Franklin Gothic Book"/>
              </w:rPr>
            </w:pPr>
            <w:r w:rsidRPr="00A06F1E">
              <w:t>—</w:t>
            </w:r>
          </w:p>
        </w:tc>
        <w:tc>
          <w:tcPr>
            <w:tcW w:w="1522" w:type="dxa"/>
            <w:noWrap/>
          </w:tcPr>
          <w:p w14:paraId="2ABBA8A2" w14:textId="77777777" w:rsidR="00F14975" w:rsidRPr="00A06F1E" w:rsidRDefault="00F14975">
            <w:pPr>
              <w:pStyle w:val="TableTextCentered"/>
              <w:rPr>
                <w:rFonts w:ascii="Franklin Gothic Book" w:hAnsi="Franklin Gothic Book" w:cs="Calibri"/>
              </w:rPr>
            </w:pPr>
            <w:r w:rsidRPr="00A06F1E">
              <w:t>$7,452,547</w:t>
            </w:r>
          </w:p>
        </w:tc>
        <w:tc>
          <w:tcPr>
            <w:tcW w:w="1538" w:type="dxa"/>
            <w:noWrap/>
          </w:tcPr>
          <w:p w14:paraId="7C410E03" w14:textId="54082C01" w:rsidR="00F14975" w:rsidRPr="00A06F1E" w:rsidRDefault="007834A0">
            <w:pPr>
              <w:pStyle w:val="TableTextCentered"/>
              <w:rPr>
                <w:rFonts w:ascii="Franklin Gothic Book" w:hAnsi="Franklin Gothic Book"/>
              </w:rPr>
            </w:pPr>
            <w:r w:rsidRPr="00A06F1E">
              <w:t>—</w:t>
            </w:r>
          </w:p>
        </w:tc>
        <w:tc>
          <w:tcPr>
            <w:tcW w:w="1522" w:type="dxa"/>
          </w:tcPr>
          <w:p w14:paraId="66C38E03" w14:textId="77777777" w:rsidR="00F14975" w:rsidRPr="00A06F1E" w:rsidRDefault="00F14975">
            <w:pPr>
              <w:pStyle w:val="TableTextCentered"/>
              <w:rPr>
                <w:rFonts w:ascii="Franklin Gothic Book" w:hAnsi="Franklin Gothic Book" w:cs="Calibri"/>
              </w:rPr>
            </w:pPr>
            <w:r w:rsidRPr="00A06F1E">
              <w:rPr>
                <w:color w:val="000000"/>
                <w:szCs w:val="20"/>
                <w:shd w:val="clear" w:color="auto" w:fill="FFFFFF"/>
              </w:rPr>
              <w:t>$7,528,322</w:t>
            </w:r>
          </w:p>
        </w:tc>
      </w:tr>
      <w:tr w:rsidR="00F14975" w:rsidRPr="00A06F1E" w14:paraId="4F9A7E4C" w14:textId="77777777">
        <w:tc>
          <w:tcPr>
            <w:tcW w:w="3682" w:type="dxa"/>
            <w:noWrap/>
            <w:hideMark/>
          </w:tcPr>
          <w:p w14:paraId="6B06869D" w14:textId="77777777" w:rsidR="00F14975" w:rsidRPr="00A06F1E" w:rsidRDefault="00F14975">
            <w:pPr>
              <w:pStyle w:val="TableText"/>
              <w:rPr>
                <w:rFonts w:ascii="Franklin Gothic Book" w:hAnsi="Franklin Gothic Book"/>
              </w:rPr>
            </w:pPr>
            <w:r w:rsidRPr="00A06F1E">
              <w:rPr>
                <w:rFonts w:ascii="Franklin Gothic Book" w:hAnsi="Franklin Gothic Book"/>
              </w:rPr>
              <w:t>Actual net school spending</w:t>
            </w:r>
          </w:p>
        </w:tc>
        <w:tc>
          <w:tcPr>
            <w:tcW w:w="1612" w:type="dxa"/>
            <w:noWrap/>
          </w:tcPr>
          <w:p w14:paraId="746712C5" w14:textId="588CFE13" w:rsidR="00F14975" w:rsidRPr="00A06F1E" w:rsidRDefault="007834A0">
            <w:pPr>
              <w:pStyle w:val="TableTextCentered"/>
              <w:rPr>
                <w:rFonts w:ascii="Franklin Gothic Book" w:hAnsi="Franklin Gothic Book"/>
              </w:rPr>
            </w:pPr>
            <w:r w:rsidRPr="00A06F1E">
              <w:t>—</w:t>
            </w:r>
          </w:p>
        </w:tc>
        <w:tc>
          <w:tcPr>
            <w:tcW w:w="1718" w:type="dxa"/>
            <w:noWrap/>
          </w:tcPr>
          <w:p w14:paraId="3147F266" w14:textId="77777777" w:rsidR="00F14975" w:rsidRPr="00A06F1E" w:rsidRDefault="00F14975">
            <w:pPr>
              <w:pStyle w:val="TableTextCentered"/>
              <w:rPr>
                <w:rFonts w:ascii="Franklin Gothic Book" w:hAnsi="Franklin Gothic Book" w:cs="Calibri"/>
              </w:rPr>
            </w:pPr>
            <w:r w:rsidRPr="00A06F1E">
              <w:t>$7,481,984</w:t>
            </w:r>
          </w:p>
        </w:tc>
        <w:tc>
          <w:tcPr>
            <w:tcW w:w="1350" w:type="dxa"/>
            <w:noWrap/>
          </w:tcPr>
          <w:p w14:paraId="302AFD03" w14:textId="33FC0555" w:rsidR="00F14975" w:rsidRPr="00A06F1E" w:rsidRDefault="007834A0">
            <w:pPr>
              <w:pStyle w:val="TableTextCentered"/>
              <w:rPr>
                <w:rFonts w:ascii="Franklin Gothic Book" w:hAnsi="Franklin Gothic Book"/>
              </w:rPr>
            </w:pPr>
            <w:r w:rsidRPr="00A06F1E">
              <w:t>—</w:t>
            </w:r>
          </w:p>
        </w:tc>
        <w:tc>
          <w:tcPr>
            <w:tcW w:w="1522" w:type="dxa"/>
            <w:noWrap/>
          </w:tcPr>
          <w:p w14:paraId="7C391A47" w14:textId="77777777" w:rsidR="00F14975" w:rsidRPr="00A06F1E" w:rsidRDefault="00F14975">
            <w:pPr>
              <w:pStyle w:val="TableTextCentered"/>
              <w:rPr>
                <w:rFonts w:ascii="Franklin Gothic Book" w:hAnsi="Franklin Gothic Book" w:cs="Calibri"/>
              </w:rPr>
            </w:pPr>
            <w:r w:rsidRPr="00A06F1E">
              <w:t>$7,336,934</w:t>
            </w:r>
          </w:p>
        </w:tc>
        <w:tc>
          <w:tcPr>
            <w:tcW w:w="1538" w:type="dxa"/>
            <w:noWrap/>
          </w:tcPr>
          <w:p w14:paraId="35B20CDB" w14:textId="66654CF7" w:rsidR="00F14975" w:rsidRPr="00A06F1E" w:rsidRDefault="007834A0">
            <w:pPr>
              <w:pStyle w:val="TableTextCentered"/>
              <w:rPr>
                <w:rFonts w:ascii="Franklin Gothic Book" w:hAnsi="Franklin Gothic Book"/>
              </w:rPr>
            </w:pPr>
            <w:r w:rsidRPr="00A06F1E">
              <w:t>—</w:t>
            </w:r>
          </w:p>
        </w:tc>
        <w:tc>
          <w:tcPr>
            <w:tcW w:w="1522" w:type="dxa"/>
          </w:tcPr>
          <w:p w14:paraId="0AA3F92A" w14:textId="77777777" w:rsidR="00F14975" w:rsidRPr="00A06F1E" w:rsidRDefault="00F14975">
            <w:pPr>
              <w:pStyle w:val="TableTextCentered"/>
              <w:rPr>
                <w:rFonts w:ascii="Franklin Gothic Book" w:hAnsi="Franklin Gothic Book" w:cs="Calibri"/>
              </w:rPr>
            </w:pPr>
            <w:r w:rsidRPr="00A06F1E">
              <w:t>$8,078,895</w:t>
            </w:r>
          </w:p>
        </w:tc>
      </w:tr>
      <w:tr w:rsidR="00F14975" w:rsidRPr="00A06F1E" w14:paraId="4C2744F7" w14:textId="77777777">
        <w:tc>
          <w:tcPr>
            <w:tcW w:w="3682" w:type="dxa"/>
            <w:noWrap/>
            <w:hideMark/>
          </w:tcPr>
          <w:p w14:paraId="74EC12BB" w14:textId="77777777" w:rsidR="00F14975" w:rsidRPr="00A06F1E" w:rsidRDefault="00F14975">
            <w:pPr>
              <w:pStyle w:val="TableText"/>
              <w:rPr>
                <w:rFonts w:ascii="Franklin Gothic Book" w:hAnsi="Franklin Gothic Book"/>
              </w:rPr>
            </w:pPr>
            <w:r w:rsidRPr="00A06F1E">
              <w:rPr>
                <w:rFonts w:ascii="Franklin Gothic Book" w:hAnsi="Franklin Gothic Book"/>
              </w:rPr>
              <w:t>Over/under required ($)</w:t>
            </w:r>
          </w:p>
        </w:tc>
        <w:tc>
          <w:tcPr>
            <w:tcW w:w="1612" w:type="dxa"/>
            <w:noWrap/>
          </w:tcPr>
          <w:p w14:paraId="1F978A12" w14:textId="57469DAF" w:rsidR="00F14975" w:rsidRPr="00A06F1E" w:rsidRDefault="007834A0">
            <w:pPr>
              <w:pStyle w:val="TableTextCentered"/>
              <w:rPr>
                <w:rFonts w:ascii="Franklin Gothic Book" w:hAnsi="Franklin Gothic Book"/>
              </w:rPr>
            </w:pPr>
            <w:r w:rsidRPr="00A06F1E">
              <w:t>—</w:t>
            </w:r>
          </w:p>
        </w:tc>
        <w:tc>
          <w:tcPr>
            <w:tcW w:w="1718" w:type="dxa"/>
            <w:noWrap/>
          </w:tcPr>
          <w:p w14:paraId="13988B04" w14:textId="77777777" w:rsidR="00F14975" w:rsidRPr="00A06F1E" w:rsidRDefault="00F14975">
            <w:pPr>
              <w:pStyle w:val="TableTextCentered"/>
              <w:rPr>
                <w:rFonts w:ascii="Franklin Gothic Book" w:hAnsi="Franklin Gothic Book" w:cs="Calibri"/>
              </w:rPr>
            </w:pPr>
            <w:r w:rsidRPr="00A06F1E">
              <w:t>$60,310</w:t>
            </w:r>
          </w:p>
        </w:tc>
        <w:tc>
          <w:tcPr>
            <w:tcW w:w="1350" w:type="dxa"/>
            <w:noWrap/>
          </w:tcPr>
          <w:p w14:paraId="5E19CDF3" w14:textId="4B1C2960" w:rsidR="00F14975" w:rsidRPr="00A06F1E" w:rsidRDefault="007834A0">
            <w:pPr>
              <w:pStyle w:val="TableTextCentered"/>
              <w:rPr>
                <w:rFonts w:ascii="Franklin Gothic Book" w:hAnsi="Franklin Gothic Book"/>
              </w:rPr>
            </w:pPr>
            <w:r w:rsidRPr="00A06F1E">
              <w:t>—</w:t>
            </w:r>
          </w:p>
        </w:tc>
        <w:tc>
          <w:tcPr>
            <w:tcW w:w="1522" w:type="dxa"/>
            <w:noWrap/>
          </w:tcPr>
          <w:p w14:paraId="1EFED7A5" w14:textId="77777777" w:rsidR="00F14975" w:rsidRPr="00A06F1E" w:rsidRDefault="00F14975">
            <w:pPr>
              <w:pStyle w:val="TableTextCentered"/>
              <w:rPr>
                <w:rFonts w:ascii="Franklin Gothic Book" w:hAnsi="Franklin Gothic Book" w:cs="Calibri"/>
              </w:rPr>
            </w:pPr>
            <w:r w:rsidRPr="00A06F1E">
              <w:t>-$115,613</w:t>
            </w:r>
          </w:p>
        </w:tc>
        <w:tc>
          <w:tcPr>
            <w:tcW w:w="1538" w:type="dxa"/>
            <w:noWrap/>
          </w:tcPr>
          <w:p w14:paraId="31A38BCA" w14:textId="126C29CF" w:rsidR="00F14975" w:rsidRPr="00A06F1E" w:rsidRDefault="007834A0">
            <w:pPr>
              <w:pStyle w:val="TableTextCentered"/>
              <w:rPr>
                <w:rFonts w:ascii="Franklin Gothic Book" w:hAnsi="Franklin Gothic Book"/>
              </w:rPr>
            </w:pPr>
            <w:r w:rsidRPr="00A06F1E">
              <w:t>—</w:t>
            </w:r>
          </w:p>
        </w:tc>
        <w:tc>
          <w:tcPr>
            <w:tcW w:w="1522" w:type="dxa"/>
          </w:tcPr>
          <w:p w14:paraId="6A369CB9" w14:textId="77777777" w:rsidR="00F14975" w:rsidRPr="00A06F1E" w:rsidRDefault="00F14975">
            <w:pPr>
              <w:pStyle w:val="TableTextCentered"/>
              <w:rPr>
                <w:rFonts w:ascii="Franklin Gothic Book" w:hAnsi="Franklin Gothic Book" w:cs="Calibri"/>
              </w:rPr>
            </w:pPr>
            <w:r w:rsidRPr="00A06F1E">
              <w:rPr>
                <w:color w:val="000000"/>
                <w:szCs w:val="20"/>
                <w:shd w:val="clear" w:color="auto" w:fill="FFFFFF"/>
              </w:rPr>
              <w:t>$550,573</w:t>
            </w:r>
          </w:p>
        </w:tc>
      </w:tr>
      <w:tr w:rsidR="00F14975" w:rsidRPr="00A06F1E" w14:paraId="53C27500" w14:textId="77777777">
        <w:tc>
          <w:tcPr>
            <w:tcW w:w="3682" w:type="dxa"/>
            <w:noWrap/>
            <w:hideMark/>
          </w:tcPr>
          <w:p w14:paraId="198D96D1" w14:textId="77777777" w:rsidR="00F14975" w:rsidRPr="00A06F1E" w:rsidRDefault="00F14975">
            <w:pPr>
              <w:pStyle w:val="TableText"/>
            </w:pPr>
            <w:r w:rsidRPr="00A06F1E">
              <w:t>Over/under required (%)</w:t>
            </w:r>
          </w:p>
        </w:tc>
        <w:tc>
          <w:tcPr>
            <w:tcW w:w="1612" w:type="dxa"/>
            <w:noWrap/>
          </w:tcPr>
          <w:p w14:paraId="67DF96A8" w14:textId="5A8CAD2F" w:rsidR="00F14975" w:rsidRPr="00A06F1E" w:rsidRDefault="007834A0">
            <w:pPr>
              <w:pStyle w:val="TableTextCentered"/>
            </w:pPr>
            <w:r w:rsidRPr="00A06F1E">
              <w:t>—</w:t>
            </w:r>
          </w:p>
        </w:tc>
        <w:tc>
          <w:tcPr>
            <w:tcW w:w="1718" w:type="dxa"/>
            <w:noWrap/>
          </w:tcPr>
          <w:p w14:paraId="07A396DB" w14:textId="77777777" w:rsidR="00F14975" w:rsidRPr="00A06F1E" w:rsidRDefault="00F14975">
            <w:pPr>
              <w:pStyle w:val="TableTextCentered"/>
            </w:pPr>
            <w:r w:rsidRPr="00A06F1E">
              <w:t>0.8%</w:t>
            </w:r>
          </w:p>
        </w:tc>
        <w:tc>
          <w:tcPr>
            <w:tcW w:w="1350" w:type="dxa"/>
            <w:noWrap/>
          </w:tcPr>
          <w:p w14:paraId="29DF11A6" w14:textId="61DCCCBF" w:rsidR="00F14975" w:rsidRPr="00A06F1E" w:rsidRDefault="007834A0">
            <w:pPr>
              <w:pStyle w:val="TableTextCentered"/>
            </w:pPr>
            <w:r w:rsidRPr="00A06F1E">
              <w:t>—</w:t>
            </w:r>
          </w:p>
        </w:tc>
        <w:tc>
          <w:tcPr>
            <w:tcW w:w="1522" w:type="dxa"/>
            <w:noWrap/>
          </w:tcPr>
          <w:p w14:paraId="6DB4C8B8" w14:textId="77777777" w:rsidR="00F14975" w:rsidRPr="00A06F1E" w:rsidRDefault="00F14975">
            <w:pPr>
              <w:pStyle w:val="TableTextCentered"/>
            </w:pPr>
            <w:r w:rsidRPr="00A06F1E">
              <w:t>-1.6%</w:t>
            </w:r>
          </w:p>
        </w:tc>
        <w:tc>
          <w:tcPr>
            <w:tcW w:w="1538" w:type="dxa"/>
            <w:noWrap/>
          </w:tcPr>
          <w:p w14:paraId="4B853C9F" w14:textId="6EA7B212" w:rsidR="00F14975" w:rsidRPr="00A06F1E" w:rsidRDefault="007834A0">
            <w:pPr>
              <w:pStyle w:val="TableTextCentered"/>
            </w:pPr>
            <w:r w:rsidRPr="00A06F1E">
              <w:t>—</w:t>
            </w:r>
          </w:p>
        </w:tc>
        <w:tc>
          <w:tcPr>
            <w:tcW w:w="1522" w:type="dxa"/>
          </w:tcPr>
          <w:p w14:paraId="51736A51" w14:textId="77777777" w:rsidR="00F14975" w:rsidRPr="00A06F1E" w:rsidRDefault="00F14975">
            <w:pPr>
              <w:pStyle w:val="TableTextCentered"/>
            </w:pPr>
            <w:r w:rsidRPr="00A06F1E">
              <w:t>7.3%</w:t>
            </w:r>
          </w:p>
        </w:tc>
      </w:tr>
    </w:tbl>
    <w:p w14:paraId="660F5717" w14:textId="326751F4" w:rsidR="00F14975" w:rsidRPr="00A06F1E" w:rsidRDefault="00F14975" w:rsidP="00F14975">
      <w:pPr>
        <w:pStyle w:val="TableNote"/>
      </w:pPr>
      <w:r w:rsidRPr="00A06F1E">
        <w:rPr>
          <w:i/>
          <w:iCs/>
        </w:rPr>
        <w:t>Note</w:t>
      </w:r>
      <w:r w:rsidRPr="00A06F1E">
        <w:t>. Data as of July 25, 2023</w:t>
      </w:r>
      <w:r w:rsidR="00CE343B" w:rsidRPr="00A06F1E">
        <w:t>,</w:t>
      </w:r>
      <w:r w:rsidRPr="00A06F1E">
        <w:t xml:space="preserve"> and sourced from </w:t>
      </w:r>
      <w:r w:rsidR="007A3C9E" w:rsidRPr="00A06F1E">
        <w:t xml:space="preserve">fiscal year </w:t>
      </w:r>
      <w:r w:rsidRPr="00A06F1E">
        <w:t>2022 district end-of-year reports and Chapter 70 program information on DESE website.</w:t>
      </w:r>
    </w:p>
    <w:p w14:paraId="758D023E" w14:textId="77777777" w:rsidR="00F14975" w:rsidRPr="00A06F1E" w:rsidRDefault="00F14975" w:rsidP="00F14975">
      <w:pPr>
        <w:pStyle w:val="TableNote"/>
      </w:pPr>
      <w:r w:rsidRPr="00A06F1E">
        <w:rPr>
          <w:vertAlign w:val="superscript"/>
        </w:rPr>
        <w:t xml:space="preserve">a </w:t>
      </w:r>
      <w:r w:rsidRPr="00A06F1E">
        <w:t xml:space="preserve">Chapter 70 state aid funds are deposited in the local general fund and spent as local appropriations. </w:t>
      </w:r>
      <w:r w:rsidRPr="00A06F1E">
        <w:rPr>
          <w:vertAlign w:val="superscript"/>
        </w:rPr>
        <w:t xml:space="preserve">b </w:t>
      </w:r>
      <w:r w:rsidRPr="00A06F1E">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3D9BEC26" w14:textId="77777777" w:rsidR="00F14975" w:rsidRPr="00A06F1E" w:rsidRDefault="00F14975" w:rsidP="00F14975">
      <w:pPr>
        <w:pStyle w:val="TableNote"/>
      </w:pPr>
    </w:p>
    <w:p w14:paraId="21BF4FBD" w14:textId="77777777" w:rsidR="00F14975" w:rsidRPr="00A06F1E" w:rsidRDefault="00F14975" w:rsidP="00F14975">
      <w:pPr>
        <w:pStyle w:val="TableNote"/>
      </w:pPr>
    </w:p>
    <w:p w14:paraId="4362C8A5" w14:textId="0816361E" w:rsidR="00F14975" w:rsidRPr="00A06F1E" w:rsidRDefault="00F14975" w:rsidP="00DF5967">
      <w:pPr>
        <w:pStyle w:val="TableTitle0"/>
        <w:rPr>
          <w:szCs w:val="20"/>
        </w:rPr>
      </w:pPr>
      <w:bookmarkStart w:id="234" w:name="_Toc170701942"/>
      <w:r w:rsidRPr="00A06F1E">
        <w:lastRenderedPageBreak/>
        <w:t>Table D</w:t>
      </w:r>
      <w:r w:rsidR="00EF4710" w:rsidRPr="00A06F1E">
        <w:t>4</w:t>
      </w:r>
      <w:r w:rsidR="00875252">
        <w:t>b</w:t>
      </w:r>
      <w:r w:rsidRPr="00A06F1E">
        <w:t xml:space="preserve">. </w:t>
      </w:r>
      <w:proofErr w:type="spellStart"/>
      <w:r w:rsidRPr="00A06F1E">
        <w:rPr>
          <w:rFonts w:eastAsia="Times New Roman" w:cs="Calibri"/>
          <w:bCs/>
          <w:szCs w:val="20"/>
        </w:rPr>
        <w:t>Petersham</w:t>
      </w:r>
      <w:proofErr w:type="spellEnd"/>
      <w:r w:rsidRPr="00A06F1E">
        <w:rPr>
          <w:rFonts w:eastAsia="Times New Roman" w:cs="Calibri"/>
          <w:bCs/>
          <w:szCs w:val="20"/>
        </w:rPr>
        <w:t xml:space="preserve"> </w:t>
      </w:r>
      <w:r w:rsidRPr="00A06F1E">
        <w:t>Public Schools: Expenditures, Chapter 70 State Aid, and Net School Spending</w:t>
      </w:r>
      <w:r w:rsidR="00584ECC" w:rsidRPr="00A06F1E">
        <w:t>,</w:t>
      </w:r>
      <w:r w:rsidRPr="00A06F1E">
        <w:t xml:space="preserve"> Fiscal Years 2020-2022</w:t>
      </w:r>
      <w:bookmarkEnd w:id="234"/>
      <w:r w:rsidRPr="00A06F1E">
        <w:rPr>
          <w:szCs w:val="20"/>
        </w:rPr>
        <w:t xml:space="preserve"> </w:t>
      </w:r>
    </w:p>
    <w:tbl>
      <w:tblPr>
        <w:tblStyle w:val="MSVTable11"/>
        <w:tblW w:w="5000" w:type="pct"/>
        <w:tblLayout w:type="fixed"/>
        <w:tblLook w:val="0660" w:firstRow="1" w:lastRow="1" w:firstColumn="0" w:lastColumn="0" w:noHBand="1" w:noVBand="1"/>
      </w:tblPr>
      <w:tblGrid>
        <w:gridCol w:w="3682"/>
        <w:gridCol w:w="1612"/>
        <w:gridCol w:w="1718"/>
        <w:gridCol w:w="1350"/>
        <w:gridCol w:w="1522"/>
        <w:gridCol w:w="1538"/>
        <w:gridCol w:w="1522"/>
      </w:tblGrid>
      <w:tr w:rsidR="00F14975" w:rsidRPr="00A06F1E" w14:paraId="0331280B"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bottom w:val="nil"/>
            </w:tcBorders>
            <w:noWrap/>
            <w:hideMark/>
          </w:tcPr>
          <w:p w14:paraId="3FB84A9E" w14:textId="77777777" w:rsidR="00F14975" w:rsidRPr="00A06F1E" w:rsidRDefault="00F14975">
            <w:pPr>
              <w:widowControl w:val="0"/>
              <w:overflowPunct w:val="0"/>
              <w:adjustRightInd w:val="0"/>
              <w:spacing w:line="240" w:lineRule="auto"/>
              <w:rPr>
                <w:rFonts w:eastAsia="Times New Roman" w:cs="Times New Roman"/>
                <w:kern w:val="28"/>
                <w:szCs w:val="20"/>
              </w:rPr>
            </w:pPr>
            <w:r w:rsidRPr="00A06F1E">
              <w:rPr>
                <w:rFonts w:eastAsia="Times New Roman" w:cs="Times New Roman"/>
                <w:kern w:val="28"/>
                <w:szCs w:val="20"/>
              </w:rPr>
              <w:t> </w:t>
            </w:r>
          </w:p>
        </w:tc>
        <w:tc>
          <w:tcPr>
            <w:tcW w:w="3330" w:type="dxa"/>
            <w:gridSpan w:val="2"/>
            <w:noWrap/>
            <w:hideMark/>
          </w:tcPr>
          <w:p w14:paraId="1C135FB9" w14:textId="77777777" w:rsidR="00F14975" w:rsidRPr="00A06F1E" w:rsidRDefault="00F14975">
            <w:pPr>
              <w:pStyle w:val="TableColHeadingCenter"/>
            </w:pPr>
            <w:r w:rsidRPr="00A06F1E">
              <w:t>Fiscal year 2020</w:t>
            </w:r>
          </w:p>
        </w:tc>
        <w:tc>
          <w:tcPr>
            <w:tcW w:w="2872" w:type="dxa"/>
            <w:gridSpan w:val="2"/>
            <w:noWrap/>
            <w:hideMark/>
          </w:tcPr>
          <w:p w14:paraId="2E4C0B42" w14:textId="77777777" w:rsidR="00F14975" w:rsidRPr="00A06F1E" w:rsidRDefault="00F14975">
            <w:pPr>
              <w:pStyle w:val="TableColHeadingCenter"/>
            </w:pPr>
            <w:r w:rsidRPr="00A06F1E">
              <w:t>Fiscal year 2021</w:t>
            </w:r>
          </w:p>
        </w:tc>
        <w:tc>
          <w:tcPr>
            <w:tcW w:w="3060" w:type="dxa"/>
            <w:gridSpan w:val="2"/>
            <w:noWrap/>
            <w:hideMark/>
          </w:tcPr>
          <w:p w14:paraId="3658AEA8" w14:textId="77777777" w:rsidR="00F14975" w:rsidRPr="00A06F1E" w:rsidRDefault="00F14975">
            <w:pPr>
              <w:pStyle w:val="TableColHeadingCenter"/>
            </w:pPr>
            <w:r w:rsidRPr="00A06F1E">
              <w:t>Fiscal year 2022</w:t>
            </w:r>
          </w:p>
        </w:tc>
      </w:tr>
      <w:tr w:rsidR="00F14975" w:rsidRPr="00A06F1E" w14:paraId="03A5E528"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top w:val="nil"/>
            </w:tcBorders>
            <w:noWrap/>
            <w:hideMark/>
          </w:tcPr>
          <w:p w14:paraId="0FD9ECA4" w14:textId="77777777" w:rsidR="00F14975" w:rsidRPr="00A06F1E" w:rsidRDefault="00F14975">
            <w:pPr>
              <w:widowControl w:val="0"/>
              <w:overflowPunct w:val="0"/>
              <w:adjustRightInd w:val="0"/>
              <w:spacing w:line="240" w:lineRule="auto"/>
              <w:rPr>
                <w:rFonts w:eastAsia="Times New Roman" w:cs="Times New Roman"/>
                <w:kern w:val="28"/>
                <w:szCs w:val="20"/>
              </w:rPr>
            </w:pPr>
            <w:r w:rsidRPr="00A06F1E">
              <w:rPr>
                <w:rFonts w:eastAsia="Times New Roman" w:cs="Times New Roman"/>
                <w:kern w:val="28"/>
                <w:szCs w:val="20"/>
              </w:rPr>
              <w:t> </w:t>
            </w:r>
          </w:p>
        </w:tc>
        <w:tc>
          <w:tcPr>
            <w:tcW w:w="1612" w:type="dxa"/>
            <w:noWrap/>
            <w:hideMark/>
          </w:tcPr>
          <w:p w14:paraId="3657FD5D" w14:textId="77777777" w:rsidR="00F14975" w:rsidRPr="00A06F1E" w:rsidRDefault="00F14975">
            <w:pPr>
              <w:pStyle w:val="TableColHeadingCenter"/>
            </w:pPr>
            <w:r w:rsidRPr="00A06F1E">
              <w:t>Estimated</w:t>
            </w:r>
          </w:p>
        </w:tc>
        <w:tc>
          <w:tcPr>
            <w:tcW w:w="1718" w:type="dxa"/>
            <w:noWrap/>
            <w:hideMark/>
          </w:tcPr>
          <w:p w14:paraId="689FA296" w14:textId="77777777" w:rsidR="00F14975" w:rsidRPr="00A06F1E" w:rsidRDefault="00F14975">
            <w:pPr>
              <w:pStyle w:val="TableColHeadingCenter"/>
            </w:pPr>
            <w:r w:rsidRPr="00A06F1E">
              <w:t>Actual</w:t>
            </w:r>
          </w:p>
        </w:tc>
        <w:tc>
          <w:tcPr>
            <w:tcW w:w="1350" w:type="dxa"/>
            <w:noWrap/>
            <w:hideMark/>
          </w:tcPr>
          <w:p w14:paraId="4F2D5179" w14:textId="77777777" w:rsidR="00F14975" w:rsidRPr="00A06F1E" w:rsidRDefault="00F14975">
            <w:pPr>
              <w:pStyle w:val="TableColHeadingCenter"/>
            </w:pPr>
            <w:r w:rsidRPr="00A06F1E">
              <w:t>Estimated</w:t>
            </w:r>
          </w:p>
        </w:tc>
        <w:tc>
          <w:tcPr>
            <w:tcW w:w="1522" w:type="dxa"/>
            <w:noWrap/>
            <w:hideMark/>
          </w:tcPr>
          <w:p w14:paraId="189B67E6" w14:textId="77777777" w:rsidR="00F14975" w:rsidRPr="00A06F1E" w:rsidRDefault="00F14975">
            <w:pPr>
              <w:pStyle w:val="TableColHeadingCenter"/>
            </w:pPr>
            <w:r w:rsidRPr="00A06F1E">
              <w:t>Actual</w:t>
            </w:r>
          </w:p>
        </w:tc>
        <w:tc>
          <w:tcPr>
            <w:tcW w:w="1538" w:type="dxa"/>
            <w:noWrap/>
            <w:hideMark/>
          </w:tcPr>
          <w:p w14:paraId="1CEDAD56" w14:textId="77777777" w:rsidR="00F14975" w:rsidRPr="00A06F1E" w:rsidRDefault="00F14975">
            <w:pPr>
              <w:pStyle w:val="TableColHeadingCenter"/>
            </w:pPr>
            <w:r w:rsidRPr="00A06F1E">
              <w:t>Estimated</w:t>
            </w:r>
          </w:p>
        </w:tc>
        <w:tc>
          <w:tcPr>
            <w:tcW w:w="1522" w:type="dxa"/>
            <w:hideMark/>
          </w:tcPr>
          <w:p w14:paraId="651F7A5B" w14:textId="77777777" w:rsidR="00F14975" w:rsidRPr="00A06F1E" w:rsidRDefault="00F14975">
            <w:pPr>
              <w:pStyle w:val="TableColHeadingCenter"/>
            </w:pPr>
            <w:r w:rsidRPr="00A06F1E">
              <w:t>Actual</w:t>
            </w:r>
          </w:p>
        </w:tc>
      </w:tr>
      <w:tr w:rsidR="00F14975" w:rsidRPr="00A06F1E" w14:paraId="680EA6FC" w14:textId="77777777">
        <w:tc>
          <w:tcPr>
            <w:tcW w:w="12944" w:type="dxa"/>
            <w:gridSpan w:val="7"/>
            <w:shd w:val="clear" w:color="auto" w:fill="D9E2F3"/>
            <w:hideMark/>
          </w:tcPr>
          <w:p w14:paraId="0E54D8D2" w14:textId="77777777" w:rsidR="00F14975" w:rsidRPr="00A06F1E" w:rsidRDefault="00F14975">
            <w:pPr>
              <w:pStyle w:val="TableSubheading"/>
              <w:rPr>
                <w:rFonts w:eastAsia="Times New Roman" w:cs="Times New Roman"/>
                <w:kern w:val="28"/>
                <w:szCs w:val="20"/>
              </w:rPr>
            </w:pPr>
            <w:r w:rsidRPr="00A06F1E">
              <w:t>Expenditures</w:t>
            </w:r>
          </w:p>
        </w:tc>
      </w:tr>
      <w:tr w:rsidR="00F14975" w:rsidRPr="00A06F1E" w14:paraId="06C50727" w14:textId="77777777">
        <w:tc>
          <w:tcPr>
            <w:tcW w:w="3682" w:type="dxa"/>
            <w:hideMark/>
          </w:tcPr>
          <w:p w14:paraId="15290251" w14:textId="77777777" w:rsidR="00F14975" w:rsidRPr="00A06F1E" w:rsidRDefault="00F14975">
            <w:pPr>
              <w:pStyle w:val="TableText"/>
            </w:pPr>
            <w:r w:rsidRPr="00A06F1E">
              <w:t>From local appropriations for schools</w:t>
            </w:r>
          </w:p>
        </w:tc>
        <w:tc>
          <w:tcPr>
            <w:tcW w:w="9262" w:type="dxa"/>
            <w:gridSpan w:val="6"/>
            <w:shd w:val="clear" w:color="auto" w:fill="D9E2F3" w:themeFill="accent5" w:themeFillTint="33"/>
          </w:tcPr>
          <w:p w14:paraId="614A9F10" w14:textId="77777777" w:rsidR="00F14975" w:rsidRPr="00A06F1E" w:rsidRDefault="00F14975">
            <w:pPr>
              <w:widowControl w:val="0"/>
              <w:overflowPunct w:val="0"/>
              <w:adjustRightInd w:val="0"/>
              <w:spacing w:line="240" w:lineRule="auto"/>
              <w:jc w:val="right"/>
              <w:rPr>
                <w:rFonts w:eastAsia="Times New Roman" w:cs="Times New Roman"/>
                <w:kern w:val="28"/>
                <w:szCs w:val="20"/>
              </w:rPr>
            </w:pPr>
          </w:p>
        </w:tc>
      </w:tr>
      <w:tr w:rsidR="00F14975" w:rsidRPr="00A06F1E" w14:paraId="45061331" w14:textId="77777777">
        <w:tc>
          <w:tcPr>
            <w:tcW w:w="3682" w:type="dxa"/>
            <w:noWrap/>
            <w:hideMark/>
          </w:tcPr>
          <w:p w14:paraId="4FB00A94" w14:textId="77777777" w:rsidR="00F14975" w:rsidRPr="00A06F1E" w:rsidRDefault="00F14975">
            <w:pPr>
              <w:pStyle w:val="TableText"/>
            </w:pPr>
            <w:r w:rsidRPr="00A06F1E">
              <w:t>By school committee</w:t>
            </w:r>
          </w:p>
        </w:tc>
        <w:tc>
          <w:tcPr>
            <w:tcW w:w="1612" w:type="dxa"/>
            <w:noWrap/>
          </w:tcPr>
          <w:p w14:paraId="2F92BE70" w14:textId="77777777" w:rsidR="00F14975" w:rsidRPr="00A06F1E" w:rsidRDefault="00F14975">
            <w:pPr>
              <w:pStyle w:val="TableTextCentered"/>
              <w:rPr>
                <w:rFonts w:eastAsia="HGGothicE" w:cs="Franklin Gothic Book"/>
              </w:rPr>
            </w:pPr>
            <w:r w:rsidRPr="00A06F1E">
              <w:t>$1,647,575</w:t>
            </w:r>
          </w:p>
        </w:tc>
        <w:tc>
          <w:tcPr>
            <w:tcW w:w="1718" w:type="dxa"/>
            <w:noWrap/>
          </w:tcPr>
          <w:p w14:paraId="2BA08D08" w14:textId="77777777" w:rsidR="00F14975" w:rsidRPr="00A06F1E" w:rsidRDefault="00F14975">
            <w:pPr>
              <w:pStyle w:val="TableTextCentered"/>
              <w:rPr>
                <w:rFonts w:eastAsia="HGGothicE" w:cs="Franklin Gothic Book"/>
              </w:rPr>
            </w:pPr>
            <w:r w:rsidRPr="00A06F1E">
              <w:t>$1,308,688</w:t>
            </w:r>
          </w:p>
        </w:tc>
        <w:tc>
          <w:tcPr>
            <w:tcW w:w="1350" w:type="dxa"/>
            <w:noWrap/>
          </w:tcPr>
          <w:p w14:paraId="494F242D" w14:textId="77777777" w:rsidR="00F14975" w:rsidRPr="00A06F1E" w:rsidRDefault="00F14975">
            <w:pPr>
              <w:pStyle w:val="TableTextCentered"/>
              <w:rPr>
                <w:rFonts w:eastAsia="HGGothicE" w:cs="Franklin Gothic Book"/>
              </w:rPr>
            </w:pPr>
            <w:r w:rsidRPr="00A06F1E">
              <w:t>$1,556,278</w:t>
            </w:r>
          </w:p>
        </w:tc>
        <w:tc>
          <w:tcPr>
            <w:tcW w:w="1522" w:type="dxa"/>
            <w:noWrap/>
          </w:tcPr>
          <w:p w14:paraId="7C2BBBFE" w14:textId="77777777" w:rsidR="00F14975" w:rsidRPr="00A06F1E" w:rsidRDefault="00F14975">
            <w:pPr>
              <w:pStyle w:val="TableTextCentered"/>
              <w:rPr>
                <w:rFonts w:eastAsia="HGGothicE" w:cs="Franklin Gothic Book"/>
              </w:rPr>
            </w:pPr>
            <w:r w:rsidRPr="00A06F1E">
              <w:t>$1,480,936</w:t>
            </w:r>
          </w:p>
        </w:tc>
        <w:tc>
          <w:tcPr>
            <w:tcW w:w="1538" w:type="dxa"/>
            <w:noWrap/>
          </w:tcPr>
          <w:p w14:paraId="34D803D3" w14:textId="77777777" w:rsidR="00F14975" w:rsidRPr="00A06F1E" w:rsidRDefault="00F14975">
            <w:pPr>
              <w:pStyle w:val="TableTextCentered"/>
              <w:rPr>
                <w:rFonts w:eastAsia="HGGothicE" w:cs="Franklin Gothic Book"/>
              </w:rPr>
            </w:pPr>
            <w:r w:rsidRPr="00A06F1E">
              <w:t>$2,038,350</w:t>
            </w:r>
          </w:p>
        </w:tc>
        <w:tc>
          <w:tcPr>
            <w:tcW w:w="1522" w:type="dxa"/>
          </w:tcPr>
          <w:p w14:paraId="5E177591" w14:textId="77777777" w:rsidR="00F14975" w:rsidRPr="00A06F1E" w:rsidRDefault="00F14975">
            <w:pPr>
              <w:pStyle w:val="TableTextCentered"/>
              <w:rPr>
                <w:rFonts w:eastAsia="HGGothicE" w:cs="Franklin Gothic Book"/>
              </w:rPr>
            </w:pPr>
            <w:r w:rsidRPr="00A06F1E">
              <w:t>$1,744,226</w:t>
            </w:r>
          </w:p>
        </w:tc>
      </w:tr>
      <w:tr w:rsidR="00F14975" w:rsidRPr="00A06F1E" w14:paraId="6AF04298" w14:textId="77777777">
        <w:tc>
          <w:tcPr>
            <w:tcW w:w="3682" w:type="dxa"/>
            <w:noWrap/>
            <w:hideMark/>
          </w:tcPr>
          <w:p w14:paraId="151B1EA3" w14:textId="77777777" w:rsidR="00F14975" w:rsidRPr="00A06F1E" w:rsidRDefault="00F14975">
            <w:pPr>
              <w:pStyle w:val="TableText"/>
            </w:pPr>
            <w:r w:rsidRPr="00A06F1E">
              <w:t>By municipality</w:t>
            </w:r>
          </w:p>
        </w:tc>
        <w:tc>
          <w:tcPr>
            <w:tcW w:w="1612" w:type="dxa"/>
            <w:noWrap/>
          </w:tcPr>
          <w:p w14:paraId="4C7312E7" w14:textId="77777777" w:rsidR="00F14975" w:rsidRPr="00A06F1E" w:rsidRDefault="00F14975">
            <w:pPr>
              <w:pStyle w:val="TableTextCentered"/>
              <w:rPr>
                <w:rFonts w:eastAsia="HGGothicE" w:cs="Franklin Gothic Book"/>
              </w:rPr>
            </w:pPr>
            <w:r w:rsidRPr="00A06F1E">
              <w:t>$967,606</w:t>
            </w:r>
          </w:p>
        </w:tc>
        <w:tc>
          <w:tcPr>
            <w:tcW w:w="1718" w:type="dxa"/>
            <w:noWrap/>
          </w:tcPr>
          <w:p w14:paraId="75A910E4" w14:textId="77777777" w:rsidR="00F14975" w:rsidRPr="00A06F1E" w:rsidRDefault="00F14975">
            <w:pPr>
              <w:pStyle w:val="TableTextCentered"/>
              <w:rPr>
                <w:rFonts w:eastAsia="HGGothicE" w:cs="Franklin Gothic Book"/>
              </w:rPr>
            </w:pPr>
            <w:r w:rsidRPr="00A06F1E">
              <w:t>$1,213,827</w:t>
            </w:r>
          </w:p>
        </w:tc>
        <w:tc>
          <w:tcPr>
            <w:tcW w:w="1350" w:type="dxa"/>
            <w:noWrap/>
          </w:tcPr>
          <w:p w14:paraId="71F9E706" w14:textId="77777777" w:rsidR="00F14975" w:rsidRPr="00A06F1E" w:rsidRDefault="00F14975">
            <w:pPr>
              <w:pStyle w:val="TableTextCentered"/>
              <w:rPr>
                <w:rFonts w:eastAsia="HGGothicE" w:cs="Franklin Gothic Book"/>
              </w:rPr>
            </w:pPr>
            <w:r w:rsidRPr="00A06F1E">
              <w:t>$1,204,102</w:t>
            </w:r>
          </w:p>
        </w:tc>
        <w:tc>
          <w:tcPr>
            <w:tcW w:w="1522" w:type="dxa"/>
            <w:noWrap/>
          </w:tcPr>
          <w:p w14:paraId="1B20B61C" w14:textId="77777777" w:rsidR="00F14975" w:rsidRPr="00A06F1E" w:rsidRDefault="00F14975">
            <w:pPr>
              <w:pStyle w:val="TableTextCentered"/>
              <w:rPr>
                <w:rFonts w:eastAsia="HGGothicE" w:cs="Franklin Gothic Book"/>
              </w:rPr>
            </w:pPr>
            <w:r w:rsidRPr="00A06F1E">
              <w:t>$1,178,754</w:t>
            </w:r>
          </w:p>
        </w:tc>
        <w:tc>
          <w:tcPr>
            <w:tcW w:w="1538" w:type="dxa"/>
            <w:noWrap/>
          </w:tcPr>
          <w:p w14:paraId="50F71D6C" w14:textId="77777777" w:rsidR="00F14975" w:rsidRPr="00A06F1E" w:rsidRDefault="00F14975">
            <w:pPr>
              <w:pStyle w:val="TableTextCentered"/>
              <w:rPr>
                <w:rFonts w:eastAsia="HGGothicE" w:cs="Franklin Gothic Book"/>
              </w:rPr>
            </w:pPr>
            <w:r w:rsidRPr="00A06F1E">
              <w:t>$1,183,143</w:t>
            </w:r>
          </w:p>
        </w:tc>
        <w:tc>
          <w:tcPr>
            <w:tcW w:w="1522" w:type="dxa"/>
          </w:tcPr>
          <w:p w14:paraId="33309C7D" w14:textId="77777777" w:rsidR="00F14975" w:rsidRPr="00A06F1E" w:rsidRDefault="00F14975">
            <w:pPr>
              <w:pStyle w:val="TableTextCentered"/>
              <w:rPr>
                <w:rFonts w:eastAsia="HGGothicE" w:cs="Franklin Gothic Book"/>
              </w:rPr>
            </w:pPr>
            <w:r w:rsidRPr="00A06F1E">
              <w:t>$1,438,622</w:t>
            </w:r>
          </w:p>
        </w:tc>
      </w:tr>
      <w:tr w:rsidR="00F14975" w:rsidRPr="00A06F1E" w14:paraId="0BFCD5E9" w14:textId="77777777">
        <w:tc>
          <w:tcPr>
            <w:tcW w:w="3682" w:type="dxa"/>
            <w:noWrap/>
            <w:hideMark/>
          </w:tcPr>
          <w:p w14:paraId="1E37C399" w14:textId="77777777" w:rsidR="00F14975" w:rsidRPr="00A06F1E" w:rsidRDefault="00F14975">
            <w:pPr>
              <w:pStyle w:val="TableText"/>
            </w:pPr>
            <w:r w:rsidRPr="00A06F1E">
              <w:t>Total from local appropriations</w:t>
            </w:r>
          </w:p>
        </w:tc>
        <w:tc>
          <w:tcPr>
            <w:tcW w:w="1612" w:type="dxa"/>
            <w:noWrap/>
          </w:tcPr>
          <w:p w14:paraId="5C577A28" w14:textId="77777777" w:rsidR="00F14975" w:rsidRPr="00A06F1E" w:rsidRDefault="00F14975">
            <w:pPr>
              <w:pStyle w:val="TableTextCentered"/>
              <w:rPr>
                <w:rFonts w:eastAsia="HGGothicE" w:cs="Franklin Gothic Book"/>
              </w:rPr>
            </w:pPr>
            <w:r w:rsidRPr="00A06F1E">
              <w:t>$2,615,181</w:t>
            </w:r>
          </w:p>
        </w:tc>
        <w:tc>
          <w:tcPr>
            <w:tcW w:w="1718" w:type="dxa"/>
            <w:noWrap/>
          </w:tcPr>
          <w:p w14:paraId="22F62581" w14:textId="77777777" w:rsidR="00F14975" w:rsidRPr="00A06F1E" w:rsidRDefault="00F14975">
            <w:pPr>
              <w:pStyle w:val="TableTextCentered"/>
              <w:rPr>
                <w:rFonts w:eastAsia="HGGothicE" w:cs="Franklin Gothic Book"/>
              </w:rPr>
            </w:pPr>
            <w:r w:rsidRPr="00A06F1E">
              <w:t>$2,522,515</w:t>
            </w:r>
          </w:p>
        </w:tc>
        <w:tc>
          <w:tcPr>
            <w:tcW w:w="1350" w:type="dxa"/>
            <w:noWrap/>
          </w:tcPr>
          <w:p w14:paraId="58097897" w14:textId="77777777" w:rsidR="00F14975" w:rsidRPr="00A06F1E" w:rsidRDefault="00F14975">
            <w:pPr>
              <w:pStyle w:val="TableTextCentered"/>
              <w:rPr>
                <w:rFonts w:eastAsia="HGGothicE" w:cs="Franklin Gothic Book"/>
              </w:rPr>
            </w:pPr>
            <w:r w:rsidRPr="00A06F1E">
              <w:t>$2,760,380</w:t>
            </w:r>
          </w:p>
        </w:tc>
        <w:tc>
          <w:tcPr>
            <w:tcW w:w="1522" w:type="dxa"/>
            <w:noWrap/>
          </w:tcPr>
          <w:p w14:paraId="7E641191" w14:textId="77777777" w:rsidR="00F14975" w:rsidRPr="00A06F1E" w:rsidRDefault="00F14975">
            <w:pPr>
              <w:pStyle w:val="TableTextCentered"/>
              <w:rPr>
                <w:rFonts w:eastAsia="HGGothicE" w:cs="Franklin Gothic Book"/>
              </w:rPr>
            </w:pPr>
            <w:r w:rsidRPr="00A06F1E">
              <w:t>$2,659,690</w:t>
            </w:r>
          </w:p>
        </w:tc>
        <w:tc>
          <w:tcPr>
            <w:tcW w:w="1538" w:type="dxa"/>
            <w:noWrap/>
          </w:tcPr>
          <w:p w14:paraId="6002EA46" w14:textId="77777777" w:rsidR="00F14975" w:rsidRPr="00A06F1E" w:rsidRDefault="00F14975">
            <w:pPr>
              <w:pStyle w:val="TableTextCentered"/>
              <w:rPr>
                <w:rFonts w:eastAsia="HGGothicE" w:cs="Franklin Gothic Book"/>
              </w:rPr>
            </w:pPr>
            <w:r w:rsidRPr="00A06F1E">
              <w:t>$3,221,493</w:t>
            </w:r>
          </w:p>
        </w:tc>
        <w:tc>
          <w:tcPr>
            <w:tcW w:w="1522" w:type="dxa"/>
          </w:tcPr>
          <w:p w14:paraId="6AE27058" w14:textId="77777777" w:rsidR="00F14975" w:rsidRPr="00A06F1E" w:rsidRDefault="00F14975">
            <w:pPr>
              <w:pStyle w:val="TableTextCentered"/>
              <w:rPr>
                <w:rFonts w:eastAsia="HGGothicE" w:cs="Franklin Gothic Book"/>
              </w:rPr>
            </w:pPr>
            <w:r w:rsidRPr="00A06F1E">
              <w:t>$3,182,848</w:t>
            </w:r>
          </w:p>
        </w:tc>
      </w:tr>
      <w:tr w:rsidR="00F14975" w:rsidRPr="00A06F1E" w14:paraId="35B9C574" w14:textId="77777777">
        <w:tc>
          <w:tcPr>
            <w:tcW w:w="3682" w:type="dxa"/>
            <w:hideMark/>
          </w:tcPr>
          <w:p w14:paraId="7DA6FB85" w14:textId="77777777" w:rsidR="00F14975" w:rsidRPr="00A06F1E" w:rsidRDefault="00F14975">
            <w:pPr>
              <w:pStyle w:val="TableText"/>
            </w:pPr>
            <w:r w:rsidRPr="00A06F1E">
              <w:t>From revolving funds and grants</w:t>
            </w:r>
          </w:p>
        </w:tc>
        <w:tc>
          <w:tcPr>
            <w:tcW w:w="1612" w:type="dxa"/>
            <w:noWrap/>
          </w:tcPr>
          <w:p w14:paraId="0A0C2025" w14:textId="189DF3AC" w:rsidR="00F14975" w:rsidRPr="00A06F1E" w:rsidRDefault="007834A0">
            <w:pPr>
              <w:pStyle w:val="TableTextCentered"/>
              <w:rPr>
                <w:rFonts w:eastAsia="HGGothicE" w:cs="Franklin Gothic Book"/>
              </w:rPr>
            </w:pPr>
            <w:r w:rsidRPr="00A06F1E">
              <w:t>—</w:t>
            </w:r>
          </w:p>
        </w:tc>
        <w:tc>
          <w:tcPr>
            <w:tcW w:w="1718" w:type="dxa"/>
            <w:noWrap/>
          </w:tcPr>
          <w:p w14:paraId="0E39E49D" w14:textId="77777777" w:rsidR="00F14975" w:rsidRPr="00A06F1E" w:rsidRDefault="00F14975">
            <w:pPr>
              <w:pStyle w:val="TableTextCentered"/>
              <w:rPr>
                <w:rFonts w:eastAsia="HGGothicE" w:cs="Franklin Gothic Book"/>
              </w:rPr>
            </w:pPr>
            <w:r w:rsidRPr="00A06F1E">
              <w:t>$352,791</w:t>
            </w:r>
          </w:p>
        </w:tc>
        <w:tc>
          <w:tcPr>
            <w:tcW w:w="1350" w:type="dxa"/>
            <w:noWrap/>
          </w:tcPr>
          <w:p w14:paraId="5E042536" w14:textId="7E99C800" w:rsidR="00F14975" w:rsidRPr="00A06F1E" w:rsidRDefault="007834A0">
            <w:pPr>
              <w:pStyle w:val="TableTextCentered"/>
              <w:rPr>
                <w:rFonts w:eastAsia="HGGothicE" w:cs="Franklin Gothic Book"/>
              </w:rPr>
            </w:pPr>
            <w:r w:rsidRPr="00A06F1E">
              <w:t>—</w:t>
            </w:r>
          </w:p>
        </w:tc>
        <w:tc>
          <w:tcPr>
            <w:tcW w:w="1522" w:type="dxa"/>
            <w:noWrap/>
          </w:tcPr>
          <w:p w14:paraId="60148213" w14:textId="77777777" w:rsidR="00F14975" w:rsidRPr="00A06F1E" w:rsidRDefault="00F14975">
            <w:pPr>
              <w:pStyle w:val="TableTextCentered"/>
              <w:rPr>
                <w:rFonts w:eastAsia="HGGothicE" w:cs="Franklin Gothic Book"/>
              </w:rPr>
            </w:pPr>
            <w:r w:rsidRPr="00A06F1E">
              <w:t>$625,892</w:t>
            </w:r>
          </w:p>
        </w:tc>
        <w:tc>
          <w:tcPr>
            <w:tcW w:w="1538" w:type="dxa"/>
            <w:noWrap/>
          </w:tcPr>
          <w:p w14:paraId="0DCEFD9B" w14:textId="6C9AA2E1" w:rsidR="00F14975" w:rsidRPr="00A06F1E" w:rsidRDefault="007834A0">
            <w:pPr>
              <w:pStyle w:val="TableTextCentered"/>
              <w:rPr>
                <w:rFonts w:eastAsia="HGGothicE" w:cs="Franklin Gothic Book"/>
              </w:rPr>
            </w:pPr>
            <w:r w:rsidRPr="00A06F1E">
              <w:t>—</w:t>
            </w:r>
          </w:p>
        </w:tc>
        <w:tc>
          <w:tcPr>
            <w:tcW w:w="1522" w:type="dxa"/>
          </w:tcPr>
          <w:p w14:paraId="58E3C999" w14:textId="77777777" w:rsidR="00F14975" w:rsidRPr="00A06F1E" w:rsidRDefault="00F14975">
            <w:pPr>
              <w:pStyle w:val="TableTextCentered"/>
            </w:pPr>
            <w:r w:rsidRPr="00A06F1E">
              <w:t>$518,576</w:t>
            </w:r>
          </w:p>
        </w:tc>
      </w:tr>
      <w:tr w:rsidR="00F14975" w:rsidRPr="00A06F1E" w14:paraId="482BF939" w14:textId="77777777">
        <w:tc>
          <w:tcPr>
            <w:tcW w:w="3682" w:type="dxa"/>
            <w:hideMark/>
          </w:tcPr>
          <w:p w14:paraId="32D8C8EF" w14:textId="77777777" w:rsidR="00F14975" w:rsidRPr="00A06F1E" w:rsidRDefault="00F14975">
            <w:pPr>
              <w:pStyle w:val="TableText"/>
            </w:pPr>
            <w:r w:rsidRPr="00A06F1E">
              <w:t>Total expenditures</w:t>
            </w:r>
          </w:p>
        </w:tc>
        <w:tc>
          <w:tcPr>
            <w:tcW w:w="1612" w:type="dxa"/>
            <w:noWrap/>
          </w:tcPr>
          <w:p w14:paraId="41A151D7" w14:textId="03678DC0" w:rsidR="00F14975" w:rsidRPr="00A06F1E" w:rsidRDefault="007834A0">
            <w:pPr>
              <w:pStyle w:val="TableTextCentered"/>
              <w:rPr>
                <w:rFonts w:eastAsia="HGGothicE" w:cs="Franklin Gothic Book"/>
              </w:rPr>
            </w:pPr>
            <w:r w:rsidRPr="00A06F1E">
              <w:t>—</w:t>
            </w:r>
          </w:p>
        </w:tc>
        <w:tc>
          <w:tcPr>
            <w:tcW w:w="1718" w:type="dxa"/>
            <w:noWrap/>
          </w:tcPr>
          <w:p w14:paraId="64CD76DA" w14:textId="77777777" w:rsidR="00F14975" w:rsidRPr="00A06F1E" w:rsidRDefault="00F14975">
            <w:pPr>
              <w:pStyle w:val="TableTextCentered"/>
              <w:rPr>
                <w:rFonts w:eastAsia="HGGothicE" w:cs="Franklin Gothic Book"/>
              </w:rPr>
            </w:pPr>
            <w:r w:rsidRPr="00A06F1E">
              <w:t>$2,875,306</w:t>
            </w:r>
          </w:p>
        </w:tc>
        <w:tc>
          <w:tcPr>
            <w:tcW w:w="1350" w:type="dxa"/>
            <w:noWrap/>
          </w:tcPr>
          <w:p w14:paraId="3955698E" w14:textId="36B5A38A" w:rsidR="00F14975" w:rsidRPr="00A06F1E" w:rsidRDefault="007834A0">
            <w:pPr>
              <w:pStyle w:val="TableTextCentered"/>
              <w:rPr>
                <w:rFonts w:eastAsia="HGGothicE" w:cs="Franklin Gothic Book"/>
              </w:rPr>
            </w:pPr>
            <w:r w:rsidRPr="00A06F1E">
              <w:t>—</w:t>
            </w:r>
          </w:p>
        </w:tc>
        <w:tc>
          <w:tcPr>
            <w:tcW w:w="1522" w:type="dxa"/>
            <w:noWrap/>
          </w:tcPr>
          <w:p w14:paraId="1CBF36B1" w14:textId="77777777" w:rsidR="00F14975" w:rsidRPr="00A06F1E" w:rsidRDefault="00F14975">
            <w:pPr>
              <w:pStyle w:val="TableTextCentered"/>
              <w:rPr>
                <w:rFonts w:eastAsia="HGGothicE" w:cs="Franklin Gothic Book"/>
              </w:rPr>
            </w:pPr>
            <w:r w:rsidRPr="00A06F1E">
              <w:t>$3,285,582</w:t>
            </w:r>
          </w:p>
        </w:tc>
        <w:tc>
          <w:tcPr>
            <w:tcW w:w="1538" w:type="dxa"/>
            <w:noWrap/>
          </w:tcPr>
          <w:p w14:paraId="6EA1F06D" w14:textId="714FC616" w:rsidR="00F14975" w:rsidRPr="00A06F1E" w:rsidRDefault="007834A0">
            <w:pPr>
              <w:pStyle w:val="TableTextCentered"/>
              <w:rPr>
                <w:rFonts w:eastAsia="HGGothicE" w:cs="Franklin Gothic Book"/>
              </w:rPr>
            </w:pPr>
            <w:r w:rsidRPr="00A06F1E">
              <w:t>—</w:t>
            </w:r>
          </w:p>
        </w:tc>
        <w:tc>
          <w:tcPr>
            <w:tcW w:w="1522" w:type="dxa"/>
          </w:tcPr>
          <w:p w14:paraId="5591746A" w14:textId="77777777" w:rsidR="00F14975" w:rsidRPr="00A06F1E" w:rsidRDefault="00F14975">
            <w:pPr>
              <w:pStyle w:val="TableTextCentered"/>
              <w:rPr>
                <w:rFonts w:eastAsia="HGGothicE" w:cs="Franklin Gothic Book"/>
              </w:rPr>
            </w:pPr>
            <w:r w:rsidRPr="00A06F1E">
              <w:t>$3,701,424</w:t>
            </w:r>
          </w:p>
        </w:tc>
      </w:tr>
      <w:tr w:rsidR="00F14975" w:rsidRPr="00A06F1E" w14:paraId="07A1BB75" w14:textId="77777777">
        <w:tc>
          <w:tcPr>
            <w:tcW w:w="12944" w:type="dxa"/>
            <w:gridSpan w:val="7"/>
            <w:shd w:val="clear" w:color="auto" w:fill="D9E2F3"/>
          </w:tcPr>
          <w:p w14:paraId="5A04DD11" w14:textId="77777777" w:rsidR="00F14975" w:rsidRPr="00A06F1E" w:rsidRDefault="00F14975" w:rsidP="00DF5967">
            <w:pPr>
              <w:pStyle w:val="TableSubheading"/>
            </w:pPr>
            <w:r w:rsidRPr="00A06F1E">
              <w:t>Chapter 70 aid to education program</w:t>
            </w:r>
          </w:p>
        </w:tc>
      </w:tr>
      <w:tr w:rsidR="00F14975" w:rsidRPr="00A06F1E" w14:paraId="47063861" w14:textId="77777777">
        <w:tc>
          <w:tcPr>
            <w:tcW w:w="3682" w:type="dxa"/>
            <w:noWrap/>
            <w:hideMark/>
          </w:tcPr>
          <w:p w14:paraId="62A128A8" w14:textId="77777777" w:rsidR="00F14975" w:rsidRPr="00A06F1E" w:rsidRDefault="00F14975">
            <w:pPr>
              <w:pStyle w:val="TableText"/>
              <w:rPr>
                <w:rFonts w:ascii="Franklin Gothic Book" w:hAnsi="Franklin Gothic Book"/>
              </w:rPr>
            </w:pPr>
            <w:r w:rsidRPr="00A06F1E">
              <w:rPr>
                <w:rFonts w:ascii="Franklin Gothic Book" w:hAnsi="Franklin Gothic Book"/>
              </w:rPr>
              <w:t>Chapter 70 state aid</w:t>
            </w:r>
            <w:r w:rsidRPr="00A06F1E">
              <w:rPr>
                <w:rFonts w:ascii="Franklin Gothic Book" w:hAnsi="Franklin Gothic Book"/>
                <w:vertAlign w:val="superscript"/>
              </w:rPr>
              <w:t>a</w:t>
            </w:r>
          </w:p>
        </w:tc>
        <w:tc>
          <w:tcPr>
            <w:tcW w:w="1612" w:type="dxa"/>
            <w:noWrap/>
          </w:tcPr>
          <w:p w14:paraId="5BA194DD" w14:textId="1C6F3BD8" w:rsidR="00F14975" w:rsidRPr="00A06F1E" w:rsidRDefault="007834A0">
            <w:pPr>
              <w:pStyle w:val="TableTextCentered"/>
              <w:rPr>
                <w:rFonts w:ascii="Franklin Gothic Book" w:hAnsi="Franklin Gothic Book"/>
              </w:rPr>
            </w:pPr>
            <w:r w:rsidRPr="00A06F1E">
              <w:t>—</w:t>
            </w:r>
          </w:p>
        </w:tc>
        <w:tc>
          <w:tcPr>
            <w:tcW w:w="1718" w:type="dxa"/>
            <w:noWrap/>
          </w:tcPr>
          <w:p w14:paraId="60D8C856" w14:textId="77777777" w:rsidR="00F14975" w:rsidRPr="00A06F1E" w:rsidRDefault="00F14975">
            <w:pPr>
              <w:pStyle w:val="TableTextCentered"/>
              <w:rPr>
                <w:rFonts w:ascii="Franklin Gothic Book" w:hAnsi="Franklin Gothic Book" w:cs="Calibri"/>
              </w:rPr>
            </w:pPr>
            <w:r w:rsidRPr="00A06F1E">
              <w:t>$435,523</w:t>
            </w:r>
          </w:p>
        </w:tc>
        <w:tc>
          <w:tcPr>
            <w:tcW w:w="1350" w:type="dxa"/>
            <w:noWrap/>
          </w:tcPr>
          <w:p w14:paraId="778A7437" w14:textId="72579F10" w:rsidR="00F14975" w:rsidRPr="00A06F1E" w:rsidRDefault="007834A0">
            <w:pPr>
              <w:pStyle w:val="TableTextCentered"/>
              <w:rPr>
                <w:rFonts w:ascii="Franklin Gothic Book" w:hAnsi="Franklin Gothic Book"/>
              </w:rPr>
            </w:pPr>
            <w:r w:rsidRPr="00A06F1E">
              <w:t>—</w:t>
            </w:r>
          </w:p>
        </w:tc>
        <w:tc>
          <w:tcPr>
            <w:tcW w:w="1522" w:type="dxa"/>
            <w:noWrap/>
          </w:tcPr>
          <w:p w14:paraId="15994E2E" w14:textId="77777777" w:rsidR="00F14975" w:rsidRPr="00A06F1E" w:rsidRDefault="00F14975">
            <w:pPr>
              <w:pStyle w:val="TableTextCentered"/>
              <w:rPr>
                <w:rFonts w:ascii="Franklin Gothic Book" w:hAnsi="Franklin Gothic Book" w:cs="Calibri"/>
              </w:rPr>
            </w:pPr>
            <w:r w:rsidRPr="00A06F1E">
              <w:t>$435,523</w:t>
            </w:r>
          </w:p>
        </w:tc>
        <w:tc>
          <w:tcPr>
            <w:tcW w:w="1538" w:type="dxa"/>
            <w:noWrap/>
          </w:tcPr>
          <w:p w14:paraId="3558F947" w14:textId="267E2199" w:rsidR="00F14975" w:rsidRPr="00A06F1E" w:rsidRDefault="007834A0">
            <w:pPr>
              <w:pStyle w:val="TableTextCentered"/>
              <w:rPr>
                <w:rFonts w:ascii="Franklin Gothic Book" w:hAnsi="Franklin Gothic Book"/>
              </w:rPr>
            </w:pPr>
            <w:r w:rsidRPr="00A06F1E">
              <w:t>—</w:t>
            </w:r>
          </w:p>
        </w:tc>
        <w:tc>
          <w:tcPr>
            <w:tcW w:w="1522" w:type="dxa"/>
          </w:tcPr>
          <w:p w14:paraId="315FE5F8" w14:textId="77777777" w:rsidR="00F14975" w:rsidRPr="00A06F1E" w:rsidRDefault="00F14975">
            <w:pPr>
              <w:pStyle w:val="TableTextCentered"/>
              <w:rPr>
                <w:rFonts w:ascii="Franklin Gothic Book" w:hAnsi="Franklin Gothic Book" w:cs="Calibri"/>
              </w:rPr>
            </w:pPr>
            <w:r w:rsidRPr="00A06F1E">
              <w:t>$437,533</w:t>
            </w:r>
          </w:p>
        </w:tc>
      </w:tr>
      <w:tr w:rsidR="00F14975" w:rsidRPr="00A06F1E" w14:paraId="11B051A4" w14:textId="77777777">
        <w:tc>
          <w:tcPr>
            <w:tcW w:w="3682" w:type="dxa"/>
            <w:noWrap/>
            <w:hideMark/>
          </w:tcPr>
          <w:p w14:paraId="54ADC08C" w14:textId="77777777" w:rsidR="00F14975" w:rsidRPr="00A06F1E" w:rsidRDefault="00F14975">
            <w:pPr>
              <w:pStyle w:val="TableText"/>
              <w:rPr>
                <w:rFonts w:ascii="Franklin Gothic Book" w:hAnsi="Franklin Gothic Book"/>
              </w:rPr>
            </w:pPr>
            <w:r w:rsidRPr="00A06F1E">
              <w:rPr>
                <w:rFonts w:ascii="Franklin Gothic Book" w:hAnsi="Franklin Gothic Book"/>
              </w:rPr>
              <w:t>Required local contribution</w:t>
            </w:r>
          </w:p>
        </w:tc>
        <w:tc>
          <w:tcPr>
            <w:tcW w:w="1612" w:type="dxa"/>
            <w:noWrap/>
          </w:tcPr>
          <w:p w14:paraId="28C09680" w14:textId="4FDBBCED" w:rsidR="00F14975" w:rsidRPr="00A06F1E" w:rsidRDefault="007834A0">
            <w:pPr>
              <w:pStyle w:val="TableTextCentered"/>
              <w:rPr>
                <w:rFonts w:ascii="Franklin Gothic Book" w:hAnsi="Franklin Gothic Book"/>
              </w:rPr>
            </w:pPr>
            <w:r w:rsidRPr="00A06F1E">
              <w:t>—</w:t>
            </w:r>
          </w:p>
        </w:tc>
        <w:tc>
          <w:tcPr>
            <w:tcW w:w="1718" w:type="dxa"/>
            <w:noWrap/>
          </w:tcPr>
          <w:p w14:paraId="7F5A6598" w14:textId="77777777" w:rsidR="00F14975" w:rsidRPr="00A06F1E" w:rsidRDefault="00F14975">
            <w:pPr>
              <w:pStyle w:val="TableTextCentered"/>
              <w:rPr>
                <w:rFonts w:ascii="Franklin Gothic Book" w:hAnsi="Franklin Gothic Book" w:cs="Calibri"/>
              </w:rPr>
            </w:pPr>
            <w:r w:rsidRPr="00A06F1E">
              <w:t>$571,360</w:t>
            </w:r>
          </w:p>
        </w:tc>
        <w:tc>
          <w:tcPr>
            <w:tcW w:w="1350" w:type="dxa"/>
            <w:noWrap/>
          </w:tcPr>
          <w:p w14:paraId="49F861CB" w14:textId="3BEBC1D7" w:rsidR="00F14975" w:rsidRPr="00A06F1E" w:rsidRDefault="007834A0">
            <w:pPr>
              <w:pStyle w:val="TableTextCentered"/>
              <w:rPr>
                <w:rFonts w:ascii="Franklin Gothic Book" w:hAnsi="Franklin Gothic Book"/>
              </w:rPr>
            </w:pPr>
            <w:r w:rsidRPr="00A06F1E">
              <w:t>—</w:t>
            </w:r>
          </w:p>
        </w:tc>
        <w:tc>
          <w:tcPr>
            <w:tcW w:w="1522" w:type="dxa"/>
            <w:noWrap/>
          </w:tcPr>
          <w:p w14:paraId="58CC8009" w14:textId="77777777" w:rsidR="00F14975" w:rsidRPr="00A06F1E" w:rsidRDefault="00F14975">
            <w:pPr>
              <w:pStyle w:val="TableTextCentered"/>
              <w:rPr>
                <w:rFonts w:ascii="Franklin Gothic Book" w:hAnsi="Franklin Gothic Book" w:cs="Calibri"/>
              </w:rPr>
            </w:pPr>
            <w:r w:rsidRPr="00A06F1E">
              <w:t>$640,821</w:t>
            </w:r>
          </w:p>
        </w:tc>
        <w:tc>
          <w:tcPr>
            <w:tcW w:w="1538" w:type="dxa"/>
            <w:noWrap/>
          </w:tcPr>
          <w:p w14:paraId="3858CA90" w14:textId="5E78249A" w:rsidR="00F14975" w:rsidRPr="00A06F1E" w:rsidRDefault="007834A0">
            <w:pPr>
              <w:pStyle w:val="TableTextCentered"/>
              <w:rPr>
                <w:rFonts w:ascii="Franklin Gothic Book" w:hAnsi="Franklin Gothic Book"/>
              </w:rPr>
            </w:pPr>
            <w:r w:rsidRPr="00A06F1E">
              <w:t>—</w:t>
            </w:r>
          </w:p>
        </w:tc>
        <w:tc>
          <w:tcPr>
            <w:tcW w:w="1522" w:type="dxa"/>
          </w:tcPr>
          <w:p w14:paraId="415FC25D" w14:textId="77777777" w:rsidR="00F14975" w:rsidRPr="00A06F1E" w:rsidRDefault="00F14975">
            <w:pPr>
              <w:pStyle w:val="TableTextCentered"/>
              <w:rPr>
                <w:rFonts w:ascii="Franklin Gothic Book" w:hAnsi="Franklin Gothic Book" w:cs="Calibri"/>
              </w:rPr>
            </w:pPr>
            <w:r w:rsidRPr="00A06F1E">
              <w:t>$588,398</w:t>
            </w:r>
          </w:p>
        </w:tc>
      </w:tr>
      <w:tr w:rsidR="00F14975" w:rsidRPr="00A06F1E" w14:paraId="7C10FF9C" w14:textId="77777777">
        <w:tc>
          <w:tcPr>
            <w:tcW w:w="3682" w:type="dxa"/>
            <w:noWrap/>
            <w:hideMark/>
          </w:tcPr>
          <w:p w14:paraId="3438AA9D" w14:textId="77777777" w:rsidR="00F14975" w:rsidRPr="00A06F1E" w:rsidRDefault="00F14975">
            <w:pPr>
              <w:pStyle w:val="TableText"/>
              <w:rPr>
                <w:rFonts w:ascii="Franklin Gothic Book" w:hAnsi="Franklin Gothic Book"/>
              </w:rPr>
            </w:pPr>
            <w:r w:rsidRPr="00A06F1E">
              <w:rPr>
                <w:rFonts w:ascii="Franklin Gothic Book" w:hAnsi="Franklin Gothic Book"/>
              </w:rPr>
              <w:t>Required net school spending</w:t>
            </w:r>
            <w:r w:rsidRPr="00A06F1E">
              <w:rPr>
                <w:rFonts w:ascii="Franklin Gothic Book" w:hAnsi="Franklin Gothic Book"/>
                <w:vertAlign w:val="superscript"/>
              </w:rPr>
              <w:t>b</w:t>
            </w:r>
          </w:p>
        </w:tc>
        <w:tc>
          <w:tcPr>
            <w:tcW w:w="1612" w:type="dxa"/>
            <w:noWrap/>
          </w:tcPr>
          <w:p w14:paraId="7CF61F0D" w14:textId="42211D6F" w:rsidR="00F14975" w:rsidRPr="00A06F1E" w:rsidRDefault="007834A0">
            <w:pPr>
              <w:pStyle w:val="TableTextCentered"/>
              <w:rPr>
                <w:rFonts w:ascii="Franklin Gothic Book" w:hAnsi="Franklin Gothic Book"/>
              </w:rPr>
            </w:pPr>
            <w:r w:rsidRPr="00A06F1E">
              <w:t>—</w:t>
            </w:r>
          </w:p>
        </w:tc>
        <w:tc>
          <w:tcPr>
            <w:tcW w:w="1718" w:type="dxa"/>
            <w:noWrap/>
          </w:tcPr>
          <w:p w14:paraId="091223A5" w14:textId="77777777" w:rsidR="00F14975" w:rsidRPr="00A06F1E" w:rsidRDefault="00F14975">
            <w:pPr>
              <w:pStyle w:val="TableTextCentered"/>
              <w:rPr>
                <w:rFonts w:ascii="Franklin Gothic Book" w:hAnsi="Franklin Gothic Book" w:cs="Calibri"/>
              </w:rPr>
            </w:pPr>
            <w:r w:rsidRPr="00A06F1E">
              <w:t>$1,006,883</w:t>
            </w:r>
          </w:p>
        </w:tc>
        <w:tc>
          <w:tcPr>
            <w:tcW w:w="1350" w:type="dxa"/>
            <w:noWrap/>
          </w:tcPr>
          <w:p w14:paraId="17EE3667" w14:textId="0B72FDF9" w:rsidR="00F14975" w:rsidRPr="00A06F1E" w:rsidRDefault="007834A0">
            <w:pPr>
              <w:pStyle w:val="TableTextCentered"/>
              <w:rPr>
                <w:rFonts w:ascii="Franklin Gothic Book" w:hAnsi="Franklin Gothic Book"/>
              </w:rPr>
            </w:pPr>
            <w:r w:rsidRPr="00A06F1E">
              <w:t>—</w:t>
            </w:r>
          </w:p>
        </w:tc>
        <w:tc>
          <w:tcPr>
            <w:tcW w:w="1522" w:type="dxa"/>
            <w:noWrap/>
          </w:tcPr>
          <w:p w14:paraId="28A9CF82" w14:textId="77777777" w:rsidR="00F14975" w:rsidRPr="00A06F1E" w:rsidRDefault="00F14975">
            <w:pPr>
              <w:pStyle w:val="TableTextCentered"/>
              <w:rPr>
                <w:rFonts w:ascii="Franklin Gothic Book" w:hAnsi="Franklin Gothic Book" w:cs="Calibri"/>
              </w:rPr>
            </w:pPr>
            <w:r w:rsidRPr="00A06F1E">
              <w:t>$1,076,344</w:t>
            </w:r>
          </w:p>
        </w:tc>
        <w:tc>
          <w:tcPr>
            <w:tcW w:w="1538" w:type="dxa"/>
            <w:noWrap/>
          </w:tcPr>
          <w:p w14:paraId="158A69A6" w14:textId="5585FA58" w:rsidR="00F14975" w:rsidRPr="00A06F1E" w:rsidRDefault="007834A0">
            <w:pPr>
              <w:pStyle w:val="TableTextCentered"/>
              <w:rPr>
                <w:rFonts w:ascii="Franklin Gothic Book" w:hAnsi="Franklin Gothic Book"/>
              </w:rPr>
            </w:pPr>
            <w:r w:rsidRPr="00A06F1E">
              <w:t>—</w:t>
            </w:r>
          </w:p>
        </w:tc>
        <w:tc>
          <w:tcPr>
            <w:tcW w:w="1522" w:type="dxa"/>
          </w:tcPr>
          <w:p w14:paraId="7A03BA5A" w14:textId="77777777" w:rsidR="00F14975" w:rsidRPr="00A06F1E" w:rsidRDefault="00F14975">
            <w:pPr>
              <w:pStyle w:val="TableTextCentered"/>
              <w:rPr>
                <w:rFonts w:ascii="Franklin Gothic Book" w:hAnsi="Franklin Gothic Book" w:cs="Calibri"/>
              </w:rPr>
            </w:pPr>
            <w:r w:rsidRPr="00A06F1E">
              <w:t>$1,025,931</w:t>
            </w:r>
          </w:p>
        </w:tc>
      </w:tr>
      <w:tr w:rsidR="00F14975" w:rsidRPr="00A06F1E" w14:paraId="40B6D199" w14:textId="77777777">
        <w:tc>
          <w:tcPr>
            <w:tcW w:w="3682" w:type="dxa"/>
            <w:noWrap/>
            <w:hideMark/>
          </w:tcPr>
          <w:p w14:paraId="332AF9AF" w14:textId="77777777" w:rsidR="00F14975" w:rsidRPr="00A06F1E" w:rsidRDefault="00F14975">
            <w:pPr>
              <w:pStyle w:val="TableText"/>
              <w:rPr>
                <w:rFonts w:ascii="Franklin Gothic Book" w:hAnsi="Franklin Gothic Book"/>
              </w:rPr>
            </w:pPr>
            <w:r w:rsidRPr="00A06F1E">
              <w:rPr>
                <w:rFonts w:ascii="Franklin Gothic Book" w:hAnsi="Franklin Gothic Book"/>
              </w:rPr>
              <w:t>Actual net school spending</w:t>
            </w:r>
          </w:p>
        </w:tc>
        <w:tc>
          <w:tcPr>
            <w:tcW w:w="1612" w:type="dxa"/>
            <w:noWrap/>
          </w:tcPr>
          <w:p w14:paraId="12B98BB7" w14:textId="0FE1E75A" w:rsidR="00F14975" w:rsidRPr="00A06F1E" w:rsidRDefault="007834A0">
            <w:pPr>
              <w:pStyle w:val="TableTextCentered"/>
              <w:rPr>
                <w:rFonts w:ascii="Franklin Gothic Book" w:hAnsi="Franklin Gothic Book"/>
              </w:rPr>
            </w:pPr>
            <w:r w:rsidRPr="00A06F1E">
              <w:t>—</w:t>
            </w:r>
          </w:p>
        </w:tc>
        <w:tc>
          <w:tcPr>
            <w:tcW w:w="1718" w:type="dxa"/>
            <w:noWrap/>
          </w:tcPr>
          <w:p w14:paraId="7331967D" w14:textId="77777777" w:rsidR="00F14975" w:rsidRPr="00A06F1E" w:rsidRDefault="00F14975">
            <w:pPr>
              <w:pStyle w:val="TableTextCentered"/>
              <w:rPr>
                <w:rFonts w:ascii="Franklin Gothic Book" w:hAnsi="Franklin Gothic Book" w:cs="Calibri"/>
              </w:rPr>
            </w:pPr>
            <w:r w:rsidRPr="00A06F1E">
              <w:t>$1,320,982</w:t>
            </w:r>
          </w:p>
        </w:tc>
        <w:tc>
          <w:tcPr>
            <w:tcW w:w="1350" w:type="dxa"/>
            <w:noWrap/>
          </w:tcPr>
          <w:p w14:paraId="50671D4A" w14:textId="687511F4" w:rsidR="00F14975" w:rsidRPr="00A06F1E" w:rsidRDefault="007834A0">
            <w:pPr>
              <w:pStyle w:val="TableTextCentered"/>
              <w:rPr>
                <w:rFonts w:ascii="Franklin Gothic Book" w:hAnsi="Franklin Gothic Book"/>
              </w:rPr>
            </w:pPr>
            <w:r w:rsidRPr="00A06F1E">
              <w:t>—</w:t>
            </w:r>
          </w:p>
        </w:tc>
        <w:tc>
          <w:tcPr>
            <w:tcW w:w="1522" w:type="dxa"/>
            <w:noWrap/>
          </w:tcPr>
          <w:p w14:paraId="1EDB7EAB" w14:textId="77777777" w:rsidR="00F14975" w:rsidRPr="00A06F1E" w:rsidRDefault="00F14975">
            <w:pPr>
              <w:pStyle w:val="TableTextCentered"/>
              <w:rPr>
                <w:rFonts w:ascii="Franklin Gothic Book" w:hAnsi="Franklin Gothic Book" w:cs="Calibri"/>
              </w:rPr>
            </w:pPr>
            <w:r w:rsidRPr="00A06F1E">
              <w:t>$1,511,279</w:t>
            </w:r>
          </w:p>
        </w:tc>
        <w:tc>
          <w:tcPr>
            <w:tcW w:w="1538" w:type="dxa"/>
            <w:noWrap/>
          </w:tcPr>
          <w:p w14:paraId="65973757" w14:textId="6E3EA890" w:rsidR="00F14975" w:rsidRPr="00A06F1E" w:rsidRDefault="007834A0">
            <w:pPr>
              <w:pStyle w:val="TableTextCentered"/>
              <w:rPr>
                <w:rFonts w:ascii="Franklin Gothic Book" w:hAnsi="Franklin Gothic Book"/>
              </w:rPr>
            </w:pPr>
            <w:r w:rsidRPr="00A06F1E">
              <w:t>—</w:t>
            </w:r>
          </w:p>
        </w:tc>
        <w:tc>
          <w:tcPr>
            <w:tcW w:w="1522" w:type="dxa"/>
          </w:tcPr>
          <w:p w14:paraId="753300E9" w14:textId="77777777" w:rsidR="00F14975" w:rsidRPr="00A06F1E" w:rsidRDefault="00F14975">
            <w:pPr>
              <w:pStyle w:val="TableTextCentered"/>
              <w:rPr>
                <w:rFonts w:ascii="Franklin Gothic Book" w:hAnsi="Franklin Gothic Book" w:cs="Calibri"/>
              </w:rPr>
            </w:pPr>
            <w:r w:rsidRPr="00A06F1E">
              <w:t>$1,690,589</w:t>
            </w:r>
          </w:p>
        </w:tc>
      </w:tr>
      <w:tr w:rsidR="00F14975" w:rsidRPr="00A06F1E" w14:paraId="6E223E3E" w14:textId="77777777">
        <w:tc>
          <w:tcPr>
            <w:tcW w:w="3682" w:type="dxa"/>
            <w:noWrap/>
            <w:hideMark/>
          </w:tcPr>
          <w:p w14:paraId="4093A43D" w14:textId="77777777" w:rsidR="00F14975" w:rsidRPr="00A06F1E" w:rsidRDefault="00F14975">
            <w:pPr>
              <w:pStyle w:val="TableText"/>
              <w:rPr>
                <w:rFonts w:ascii="Franklin Gothic Book" w:hAnsi="Franklin Gothic Book"/>
              </w:rPr>
            </w:pPr>
            <w:r w:rsidRPr="00A06F1E">
              <w:rPr>
                <w:rFonts w:ascii="Franklin Gothic Book" w:hAnsi="Franklin Gothic Book"/>
              </w:rPr>
              <w:t>Over/under required ($)</w:t>
            </w:r>
          </w:p>
        </w:tc>
        <w:tc>
          <w:tcPr>
            <w:tcW w:w="1612" w:type="dxa"/>
            <w:noWrap/>
          </w:tcPr>
          <w:p w14:paraId="7B1080D6" w14:textId="74D57DDE" w:rsidR="00F14975" w:rsidRPr="00A06F1E" w:rsidRDefault="007834A0">
            <w:pPr>
              <w:pStyle w:val="TableTextCentered"/>
              <w:rPr>
                <w:rFonts w:ascii="Franklin Gothic Book" w:hAnsi="Franklin Gothic Book"/>
              </w:rPr>
            </w:pPr>
            <w:r w:rsidRPr="00A06F1E">
              <w:t>—</w:t>
            </w:r>
          </w:p>
        </w:tc>
        <w:tc>
          <w:tcPr>
            <w:tcW w:w="1718" w:type="dxa"/>
            <w:noWrap/>
          </w:tcPr>
          <w:p w14:paraId="432B994A" w14:textId="77777777" w:rsidR="00F14975" w:rsidRPr="00A06F1E" w:rsidRDefault="00F14975">
            <w:pPr>
              <w:pStyle w:val="TableTextCentered"/>
              <w:rPr>
                <w:rFonts w:ascii="Franklin Gothic Book" w:hAnsi="Franklin Gothic Book" w:cs="Calibri"/>
              </w:rPr>
            </w:pPr>
            <w:r w:rsidRPr="00A06F1E">
              <w:t>$314,099</w:t>
            </w:r>
          </w:p>
        </w:tc>
        <w:tc>
          <w:tcPr>
            <w:tcW w:w="1350" w:type="dxa"/>
            <w:noWrap/>
          </w:tcPr>
          <w:p w14:paraId="7AA475FC" w14:textId="3D4A9AAB" w:rsidR="00F14975" w:rsidRPr="00A06F1E" w:rsidRDefault="007834A0">
            <w:pPr>
              <w:pStyle w:val="TableTextCentered"/>
              <w:rPr>
                <w:rFonts w:ascii="Franklin Gothic Book" w:hAnsi="Franklin Gothic Book"/>
              </w:rPr>
            </w:pPr>
            <w:r w:rsidRPr="00A06F1E">
              <w:t>—</w:t>
            </w:r>
          </w:p>
        </w:tc>
        <w:tc>
          <w:tcPr>
            <w:tcW w:w="1522" w:type="dxa"/>
            <w:noWrap/>
          </w:tcPr>
          <w:p w14:paraId="124F370A" w14:textId="77777777" w:rsidR="00F14975" w:rsidRPr="00A06F1E" w:rsidRDefault="00F14975">
            <w:pPr>
              <w:pStyle w:val="TableTextCentered"/>
              <w:rPr>
                <w:rFonts w:ascii="Franklin Gothic Book" w:hAnsi="Franklin Gothic Book" w:cs="Calibri"/>
              </w:rPr>
            </w:pPr>
            <w:r w:rsidRPr="00A06F1E">
              <w:t>$434,935</w:t>
            </w:r>
          </w:p>
        </w:tc>
        <w:tc>
          <w:tcPr>
            <w:tcW w:w="1538" w:type="dxa"/>
            <w:noWrap/>
          </w:tcPr>
          <w:p w14:paraId="03FF4318" w14:textId="721C770C" w:rsidR="00F14975" w:rsidRPr="00A06F1E" w:rsidRDefault="007834A0">
            <w:pPr>
              <w:pStyle w:val="TableTextCentered"/>
              <w:rPr>
                <w:rFonts w:ascii="Franklin Gothic Book" w:hAnsi="Franklin Gothic Book"/>
              </w:rPr>
            </w:pPr>
            <w:r w:rsidRPr="00A06F1E">
              <w:t>—</w:t>
            </w:r>
          </w:p>
        </w:tc>
        <w:tc>
          <w:tcPr>
            <w:tcW w:w="1522" w:type="dxa"/>
          </w:tcPr>
          <w:p w14:paraId="72BD95A1" w14:textId="77777777" w:rsidR="00F14975" w:rsidRPr="00A06F1E" w:rsidRDefault="00F14975">
            <w:pPr>
              <w:pStyle w:val="TableTextCentered"/>
              <w:rPr>
                <w:rFonts w:ascii="Franklin Gothic Book" w:hAnsi="Franklin Gothic Book" w:cs="Calibri"/>
              </w:rPr>
            </w:pPr>
            <w:r w:rsidRPr="00A06F1E">
              <w:t>$664,658</w:t>
            </w:r>
          </w:p>
        </w:tc>
      </w:tr>
      <w:tr w:rsidR="00F14975" w:rsidRPr="00A06F1E" w14:paraId="43FF8F1E" w14:textId="77777777">
        <w:tc>
          <w:tcPr>
            <w:tcW w:w="3682" w:type="dxa"/>
            <w:noWrap/>
            <w:hideMark/>
          </w:tcPr>
          <w:p w14:paraId="32BABAFF" w14:textId="77777777" w:rsidR="00F14975" w:rsidRPr="00A06F1E" w:rsidRDefault="00F14975">
            <w:pPr>
              <w:pStyle w:val="TableText"/>
            </w:pPr>
            <w:r w:rsidRPr="00A06F1E">
              <w:t>Over/under required (%)</w:t>
            </w:r>
          </w:p>
        </w:tc>
        <w:tc>
          <w:tcPr>
            <w:tcW w:w="1612" w:type="dxa"/>
            <w:noWrap/>
          </w:tcPr>
          <w:p w14:paraId="40A4A6D2" w14:textId="490FFAE6" w:rsidR="00F14975" w:rsidRPr="00A06F1E" w:rsidRDefault="007834A0">
            <w:pPr>
              <w:pStyle w:val="TableTextCentered"/>
            </w:pPr>
            <w:r w:rsidRPr="00A06F1E">
              <w:t>—</w:t>
            </w:r>
          </w:p>
        </w:tc>
        <w:tc>
          <w:tcPr>
            <w:tcW w:w="1718" w:type="dxa"/>
            <w:noWrap/>
          </w:tcPr>
          <w:p w14:paraId="07A0AC7F" w14:textId="77777777" w:rsidR="00F14975" w:rsidRPr="00A06F1E" w:rsidRDefault="00F14975">
            <w:pPr>
              <w:pStyle w:val="TableTextCentered"/>
            </w:pPr>
            <w:r w:rsidRPr="00A06F1E">
              <w:t>31.2%</w:t>
            </w:r>
          </w:p>
        </w:tc>
        <w:tc>
          <w:tcPr>
            <w:tcW w:w="1350" w:type="dxa"/>
            <w:noWrap/>
          </w:tcPr>
          <w:p w14:paraId="3A062E52" w14:textId="051926FF" w:rsidR="00F14975" w:rsidRPr="00A06F1E" w:rsidRDefault="007834A0">
            <w:pPr>
              <w:pStyle w:val="TableTextCentered"/>
            </w:pPr>
            <w:r w:rsidRPr="00A06F1E">
              <w:t>—</w:t>
            </w:r>
          </w:p>
        </w:tc>
        <w:tc>
          <w:tcPr>
            <w:tcW w:w="1522" w:type="dxa"/>
            <w:noWrap/>
          </w:tcPr>
          <w:p w14:paraId="1A2BE3BF" w14:textId="77777777" w:rsidR="00F14975" w:rsidRPr="00A06F1E" w:rsidRDefault="00F14975">
            <w:pPr>
              <w:pStyle w:val="TableTextCentered"/>
            </w:pPr>
            <w:r w:rsidRPr="00A06F1E">
              <w:t>40.4%</w:t>
            </w:r>
          </w:p>
        </w:tc>
        <w:tc>
          <w:tcPr>
            <w:tcW w:w="1538" w:type="dxa"/>
            <w:noWrap/>
          </w:tcPr>
          <w:p w14:paraId="20CCD5B4" w14:textId="30F9A528" w:rsidR="00F14975" w:rsidRPr="00A06F1E" w:rsidRDefault="007834A0">
            <w:pPr>
              <w:pStyle w:val="TableTextCentered"/>
            </w:pPr>
            <w:r w:rsidRPr="00A06F1E">
              <w:t>—</w:t>
            </w:r>
          </w:p>
        </w:tc>
        <w:tc>
          <w:tcPr>
            <w:tcW w:w="1522" w:type="dxa"/>
          </w:tcPr>
          <w:p w14:paraId="6D2F2085" w14:textId="77777777" w:rsidR="00F14975" w:rsidRPr="00A06F1E" w:rsidRDefault="00F14975">
            <w:pPr>
              <w:pStyle w:val="TableTextCentered"/>
            </w:pPr>
            <w:r w:rsidRPr="00A06F1E">
              <w:t>64.8%</w:t>
            </w:r>
          </w:p>
        </w:tc>
      </w:tr>
    </w:tbl>
    <w:p w14:paraId="3E225507" w14:textId="7441C2EC" w:rsidR="00F14975" w:rsidRPr="00A06F1E" w:rsidRDefault="00F14975" w:rsidP="00F14975">
      <w:pPr>
        <w:pStyle w:val="TableNote"/>
      </w:pPr>
      <w:r w:rsidRPr="00A06F1E">
        <w:rPr>
          <w:i/>
          <w:iCs/>
        </w:rPr>
        <w:t>Note</w:t>
      </w:r>
      <w:r w:rsidRPr="00A06F1E">
        <w:t>. Data as of July 25, 2023</w:t>
      </w:r>
      <w:r w:rsidR="00CE343B" w:rsidRPr="00A06F1E">
        <w:t>,</w:t>
      </w:r>
      <w:r w:rsidRPr="00A06F1E">
        <w:t xml:space="preserve"> and sourced from </w:t>
      </w:r>
      <w:r w:rsidR="007A3C9E" w:rsidRPr="00A06F1E">
        <w:t xml:space="preserve">fiscal year </w:t>
      </w:r>
      <w:r w:rsidRPr="00A06F1E">
        <w:t>2022 district end-of-year reports and Chapter 70 program information on DESE website.</w:t>
      </w:r>
    </w:p>
    <w:p w14:paraId="4624D34C" w14:textId="77777777" w:rsidR="00F14975" w:rsidRPr="00A06F1E" w:rsidRDefault="00F14975" w:rsidP="00F14975">
      <w:pPr>
        <w:pStyle w:val="TableNote"/>
      </w:pPr>
      <w:r w:rsidRPr="00A06F1E">
        <w:rPr>
          <w:vertAlign w:val="superscript"/>
        </w:rPr>
        <w:t xml:space="preserve">a </w:t>
      </w:r>
      <w:r w:rsidRPr="00A06F1E">
        <w:t xml:space="preserve">Chapter 70 state aid funds are deposited in the local general fund and spent as local appropriations. </w:t>
      </w:r>
      <w:r w:rsidRPr="00A06F1E">
        <w:rPr>
          <w:vertAlign w:val="superscript"/>
        </w:rPr>
        <w:t xml:space="preserve">b </w:t>
      </w:r>
      <w:r w:rsidRPr="00A06F1E">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0DCAD7B7" w14:textId="77777777" w:rsidR="00F14975" w:rsidRPr="00A06F1E" w:rsidRDefault="00F14975" w:rsidP="00F14975">
      <w:pPr>
        <w:pStyle w:val="TableNote"/>
      </w:pPr>
    </w:p>
    <w:p w14:paraId="39C2376F" w14:textId="77777777" w:rsidR="00F14975" w:rsidRPr="00A06F1E" w:rsidRDefault="00F14975" w:rsidP="00F14975">
      <w:pPr>
        <w:pStyle w:val="TableNote"/>
      </w:pPr>
    </w:p>
    <w:p w14:paraId="6AD580C0" w14:textId="5726E401" w:rsidR="00F14975" w:rsidRPr="00A06F1E" w:rsidRDefault="00F14975" w:rsidP="00F14975">
      <w:pPr>
        <w:pStyle w:val="TableTitle0"/>
        <w:spacing w:before="0"/>
        <w:rPr>
          <w:szCs w:val="20"/>
        </w:rPr>
      </w:pPr>
      <w:bookmarkStart w:id="235" w:name="_Toc170701943"/>
      <w:r w:rsidRPr="00A06F1E">
        <w:lastRenderedPageBreak/>
        <w:t>Table D</w:t>
      </w:r>
      <w:r w:rsidR="00EF4710" w:rsidRPr="00A06F1E">
        <w:t>4</w:t>
      </w:r>
      <w:r w:rsidR="00875252">
        <w:t>c</w:t>
      </w:r>
      <w:r w:rsidRPr="00A06F1E">
        <w:t xml:space="preserve">. </w:t>
      </w:r>
      <w:r w:rsidRPr="00A06F1E">
        <w:rPr>
          <w:rFonts w:eastAsia="Times New Roman" w:cs="Calibri"/>
          <w:bCs/>
          <w:szCs w:val="20"/>
        </w:rPr>
        <w:t>Ralph C</w:t>
      </w:r>
      <w:r w:rsidR="004F6E3D" w:rsidRPr="00A06F1E">
        <w:rPr>
          <w:rFonts w:eastAsia="Times New Roman" w:cs="Calibri"/>
          <w:bCs/>
          <w:szCs w:val="20"/>
        </w:rPr>
        <w:t>.</w:t>
      </w:r>
      <w:r w:rsidRPr="00A06F1E">
        <w:rPr>
          <w:rFonts w:eastAsia="Times New Roman" w:cs="Calibri"/>
          <w:bCs/>
          <w:szCs w:val="20"/>
        </w:rPr>
        <w:t xml:space="preserve"> Mahar </w:t>
      </w:r>
      <w:r w:rsidRPr="00A06F1E">
        <w:t>Public Schools: Expenditures, Chapter 70 State Aid, and Net School Spending</w:t>
      </w:r>
      <w:r w:rsidR="00584ECC" w:rsidRPr="00A06F1E">
        <w:t>,</w:t>
      </w:r>
      <w:r w:rsidRPr="00A06F1E">
        <w:t xml:space="preserve"> Fiscal Years 2020-2022</w:t>
      </w:r>
      <w:bookmarkEnd w:id="235"/>
      <w:r w:rsidRPr="00A06F1E">
        <w:rPr>
          <w:szCs w:val="20"/>
        </w:rPr>
        <w:t xml:space="preserve"> </w:t>
      </w:r>
    </w:p>
    <w:tbl>
      <w:tblPr>
        <w:tblStyle w:val="MSVTable11"/>
        <w:tblW w:w="5000" w:type="pct"/>
        <w:tblLayout w:type="fixed"/>
        <w:tblLook w:val="0660" w:firstRow="1" w:lastRow="1" w:firstColumn="0" w:lastColumn="0" w:noHBand="1" w:noVBand="1"/>
      </w:tblPr>
      <w:tblGrid>
        <w:gridCol w:w="3682"/>
        <w:gridCol w:w="1612"/>
        <w:gridCol w:w="1718"/>
        <w:gridCol w:w="1350"/>
        <w:gridCol w:w="1522"/>
        <w:gridCol w:w="1538"/>
        <w:gridCol w:w="1522"/>
      </w:tblGrid>
      <w:tr w:rsidR="00F14975" w:rsidRPr="00A06F1E" w14:paraId="6AC43351"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bottom w:val="nil"/>
            </w:tcBorders>
            <w:noWrap/>
            <w:hideMark/>
          </w:tcPr>
          <w:p w14:paraId="1BB94761" w14:textId="77777777" w:rsidR="00F14975" w:rsidRPr="00A06F1E" w:rsidRDefault="00F14975">
            <w:pPr>
              <w:widowControl w:val="0"/>
              <w:overflowPunct w:val="0"/>
              <w:adjustRightInd w:val="0"/>
              <w:spacing w:line="240" w:lineRule="auto"/>
              <w:rPr>
                <w:rFonts w:eastAsia="Times New Roman" w:cs="Times New Roman"/>
                <w:kern w:val="28"/>
                <w:szCs w:val="20"/>
              </w:rPr>
            </w:pPr>
            <w:r w:rsidRPr="00A06F1E">
              <w:rPr>
                <w:rFonts w:eastAsia="Times New Roman" w:cs="Times New Roman"/>
                <w:kern w:val="28"/>
                <w:szCs w:val="20"/>
              </w:rPr>
              <w:t> </w:t>
            </w:r>
          </w:p>
        </w:tc>
        <w:tc>
          <w:tcPr>
            <w:tcW w:w="3330" w:type="dxa"/>
            <w:gridSpan w:val="2"/>
            <w:noWrap/>
            <w:hideMark/>
          </w:tcPr>
          <w:p w14:paraId="2DF41102" w14:textId="77777777" w:rsidR="00F14975" w:rsidRPr="00A06F1E" w:rsidRDefault="00F14975">
            <w:pPr>
              <w:pStyle w:val="TableColHeadingCenter"/>
            </w:pPr>
            <w:r w:rsidRPr="00A06F1E">
              <w:t>Fiscal year 2020</w:t>
            </w:r>
          </w:p>
        </w:tc>
        <w:tc>
          <w:tcPr>
            <w:tcW w:w="2872" w:type="dxa"/>
            <w:gridSpan w:val="2"/>
            <w:noWrap/>
            <w:hideMark/>
          </w:tcPr>
          <w:p w14:paraId="073D391F" w14:textId="77777777" w:rsidR="00F14975" w:rsidRPr="00A06F1E" w:rsidRDefault="00F14975">
            <w:pPr>
              <w:pStyle w:val="TableColHeadingCenter"/>
            </w:pPr>
            <w:r w:rsidRPr="00A06F1E">
              <w:t>Fiscal year 2021</w:t>
            </w:r>
          </w:p>
        </w:tc>
        <w:tc>
          <w:tcPr>
            <w:tcW w:w="3060" w:type="dxa"/>
            <w:gridSpan w:val="2"/>
            <w:noWrap/>
            <w:hideMark/>
          </w:tcPr>
          <w:p w14:paraId="52C50100" w14:textId="77777777" w:rsidR="00F14975" w:rsidRPr="00A06F1E" w:rsidRDefault="00F14975">
            <w:pPr>
              <w:pStyle w:val="TableColHeadingCenter"/>
            </w:pPr>
            <w:r w:rsidRPr="00A06F1E">
              <w:t>Fiscal year 2022</w:t>
            </w:r>
          </w:p>
        </w:tc>
      </w:tr>
      <w:tr w:rsidR="00F14975" w:rsidRPr="00A06F1E" w14:paraId="3D7C394C"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top w:val="nil"/>
            </w:tcBorders>
            <w:noWrap/>
            <w:hideMark/>
          </w:tcPr>
          <w:p w14:paraId="03F18DDC" w14:textId="77777777" w:rsidR="00F14975" w:rsidRPr="00A06F1E" w:rsidRDefault="00F14975">
            <w:pPr>
              <w:widowControl w:val="0"/>
              <w:overflowPunct w:val="0"/>
              <w:adjustRightInd w:val="0"/>
              <w:spacing w:line="240" w:lineRule="auto"/>
              <w:rPr>
                <w:rFonts w:eastAsia="Times New Roman" w:cs="Times New Roman"/>
                <w:kern w:val="28"/>
                <w:szCs w:val="20"/>
              </w:rPr>
            </w:pPr>
            <w:r w:rsidRPr="00A06F1E">
              <w:rPr>
                <w:rFonts w:eastAsia="Times New Roman" w:cs="Times New Roman"/>
                <w:kern w:val="28"/>
                <w:szCs w:val="20"/>
              </w:rPr>
              <w:t> </w:t>
            </w:r>
          </w:p>
        </w:tc>
        <w:tc>
          <w:tcPr>
            <w:tcW w:w="1612" w:type="dxa"/>
            <w:noWrap/>
            <w:hideMark/>
          </w:tcPr>
          <w:p w14:paraId="64DBE5E5" w14:textId="77777777" w:rsidR="00F14975" w:rsidRPr="00A06F1E" w:rsidRDefault="00F14975">
            <w:pPr>
              <w:pStyle w:val="TableColHeadingCenter"/>
            </w:pPr>
            <w:r w:rsidRPr="00A06F1E">
              <w:t>Estimated</w:t>
            </w:r>
          </w:p>
        </w:tc>
        <w:tc>
          <w:tcPr>
            <w:tcW w:w="1718" w:type="dxa"/>
            <w:noWrap/>
            <w:hideMark/>
          </w:tcPr>
          <w:p w14:paraId="630F6C23" w14:textId="77777777" w:rsidR="00F14975" w:rsidRPr="00A06F1E" w:rsidRDefault="00F14975">
            <w:pPr>
              <w:pStyle w:val="TableColHeadingCenter"/>
            </w:pPr>
            <w:r w:rsidRPr="00A06F1E">
              <w:t>Actual</w:t>
            </w:r>
          </w:p>
        </w:tc>
        <w:tc>
          <w:tcPr>
            <w:tcW w:w="1350" w:type="dxa"/>
            <w:noWrap/>
            <w:hideMark/>
          </w:tcPr>
          <w:p w14:paraId="61B474C5" w14:textId="77777777" w:rsidR="00F14975" w:rsidRPr="00A06F1E" w:rsidRDefault="00F14975">
            <w:pPr>
              <w:pStyle w:val="TableColHeadingCenter"/>
            </w:pPr>
            <w:r w:rsidRPr="00A06F1E">
              <w:t>Estimated</w:t>
            </w:r>
          </w:p>
        </w:tc>
        <w:tc>
          <w:tcPr>
            <w:tcW w:w="1522" w:type="dxa"/>
            <w:noWrap/>
            <w:hideMark/>
          </w:tcPr>
          <w:p w14:paraId="62F0A5A5" w14:textId="77777777" w:rsidR="00F14975" w:rsidRPr="00A06F1E" w:rsidRDefault="00F14975">
            <w:pPr>
              <w:pStyle w:val="TableColHeadingCenter"/>
            </w:pPr>
            <w:r w:rsidRPr="00A06F1E">
              <w:t>Actual</w:t>
            </w:r>
          </w:p>
        </w:tc>
        <w:tc>
          <w:tcPr>
            <w:tcW w:w="1538" w:type="dxa"/>
            <w:noWrap/>
            <w:hideMark/>
          </w:tcPr>
          <w:p w14:paraId="450FA35A" w14:textId="77777777" w:rsidR="00F14975" w:rsidRPr="00A06F1E" w:rsidRDefault="00F14975">
            <w:pPr>
              <w:pStyle w:val="TableColHeadingCenter"/>
            </w:pPr>
            <w:r w:rsidRPr="00A06F1E">
              <w:t>Estimated</w:t>
            </w:r>
          </w:p>
        </w:tc>
        <w:tc>
          <w:tcPr>
            <w:tcW w:w="1522" w:type="dxa"/>
            <w:hideMark/>
          </w:tcPr>
          <w:p w14:paraId="03FA8991" w14:textId="77777777" w:rsidR="00F14975" w:rsidRPr="00A06F1E" w:rsidRDefault="00F14975">
            <w:pPr>
              <w:pStyle w:val="TableColHeadingCenter"/>
            </w:pPr>
            <w:r w:rsidRPr="00A06F1E">
              <w:t>Actual</w:t>
            </w:r>
          </w:p>
        </w:tc>
      </w:tr>
      <w:tr w:rsidR="00F14975" w:rsidRPr="00A06F1E" w14:paraId="0DC36C88" w14:textId="77777777">
        <w:tc>
          <w:tcPr>
            <w:tcW w:w="12944" w:type="dxa"/>
            <w:gridSpan w:val="7"/>
            <w:shd w:val="clear" w:color="auto" w:fill="D9E2F3"/>
            <w:hideMark/>
          </w:tcPr>
          <w:p w14:paraId="61AEE63C" w14:textId="77777777" w:rsidR="00F14975" w:rsidRPr="00A06F1E" w:rsidRDefault="00F14975" w:rsidP="00CC216B">
            <w:pPr>
              <w:pStyle w:val="TableSubheading"/>
            </w:pPr>
            <w:r w:rsidRPr="00A06F1E">
              <w:t>Expenditures</w:t>
            </w:r>
          </w:p>
        </w:tc>
      </w:tr>
      <w:tr w:rsidR="00F14975" w:rsidRPr="00A06F1E" w14:paraId="5B2B6270" w14:textId="77777777">
        <w:tc>
          <w:tcPr>
            <w:tcW w:w="3682" w:type="dxa"/>
            <w:hideMark/>
          </w:tcPr>
          <w:p w14:paraId="1D2763FE" w14:textId="77777777" w:rsidR="00F14975" w:rsidRPr="00A06F1E" w:rsidRDefault="00F14975">
            <w:pPr>
              <w:pStyle w:val="TableText"/>
            </w:pPr>
            <w:r w:rsidRPr="00A06F1E">
              <w:t>From local appropriations for schools</w:t>
            </w:r>
          </w:p>
        </w:tc>
        <w:tc>
          <w:tcPr>
            <w:tcW w:w="9262" w:type="dxa"/>
            <w:gridSpan w:val="6"/>
            <w:shd w:val="clear" w:color="auto" w:fill="D9E2F3" w:themeFill="accent5" w:themeFillTint="33"/>
          </w:tcPr>
          <w:p w14:paraId="0B33BECD" w14:textId="77777777" w:rsidR="00F14975" w:rsidRPr="00A06F1E" w:rsidRDefault="00F14975">
            <w:pPr>
              <w:widowControl w:val="0"/>
              <w:overflowPunct w:val="0"/>
              <w:adjustRightInd w:val="0"/>
              <w:spacing w:line="240" w:lineRule="auto"/>
              <w:jc w:val="right"/>
              <w:rPr>
                <w:rFonts w:eastAsia="Times New Roman" w:cs="Times New Roman"/>
                <w:kern w:val="28"/>
                <w:szCs w:val="20"/>
              </w:rPr>
            </w:pPr>
          </w:p>
        </w:tc>
      </w:tr>
      <w:tr w:rsidR="00F14975" w:rsidRPr="00A06F1E" w14:paraId="43DFA619" w14:textId="77777777">
        <w:tc>
          <w:tcPr>
            <w:tcW w:w="3682" w:type="dxa"/>
            <w:noWrap/>
            <w:hideMark/>
          </w:tcPr>
          <w:p w14:paraId="2A6C43B9" w14:textId="77777777" w:rsidR="00F14975" w:rsidRPr="00A06F1E" w:rsidRDefault="00F14975">
            <w:pPr>
              <w:pStyle w:val="TableText"/>
            </w:pPr>
            <w:r w:rsidRPr="00A06F1E">
              <w:t>By school committee</w:t>
            </w:r>
          </w:p>
        </w:tc>
        <w:tc>
          <w:tcPr>
            <w:tcW w:w="1612" w:type="dxa"/>
            <w:noWrap/>
          </w:tcPr>
          <w:p w14:paraId="166ECC4D" w14:textId="77777777" w:rsidR="00F14975" w:rsidRPr="00A06F1E" w:rsidRDefault="00F14975">
            <w:pPr>
              <w:pStyle w:val="TableTextCentered"/>
              <w:rPr>
                <w:rFonts w:eastAsia="HGGothicE" w:cs="Franklin Gothic Book"/>
              </w:rPr>
            </w:pPr>
            <w:r w:rsidRPr="00A06F1E">
              <w:t>$14,532,241</w:t>
            </w:r>
          </w:p>
        </w:tc>
        <w:tc>
          <w:tcPr>
            <w:tcW w:w="1718" w:type="dxa"/>
            <w:noWrap/>
          </w:tcPr>
          <w:p w14:paraId="33A07360" w14:textId="77777777" w:rsidR="00F14975" w:rsidRPr="00A06F1E" w:rsidRDefault="00F14975">
            <w:pPr>
              <w:pStyle w:val="TableTextCentered"/>
              <w:rPr>
                <w:rFonts w:eastAsia="HGGothicE" w:cs="Franklin Gothic Book"/>
              </w:rPr>
            </w:pPr>
            <w:r w:rsidRPr="00A06F1E">
              <w:t>$12,546,360</w:t>
            </w:r>
          </w:p>
        </w:tc>
        <w:tc>
          <w:tcPr>
            <w:tcW w:w="1350" w:type="dxa"/>
            <w:noWrap/>
          </w:tcPr>
          <w:p w14:paraId="2D76F5B4" w14:textId="77777777" w:rsidR="00F14975" w:rsidRPr="00A06F1E" w:rsidRDefault="00F14975">
            <w:pPr>
              <w:pStyle w:val="TableTextCentered"/>
              <w:rPr>
                <w:rFonts w:eastAsia="HGGothicE" w:cs="Franklin Gothic Book"/>
              </w:rPr>
            </w:pPr>
            <w:r w:rsidRPr="00A06F1E">
              <w:t>$13,186,431</w:t>
            </w:r>
          </w:p>
        </w:tc>
        <w:tc>
          <w:tcPr>
            <w:tcW w:w="1522" w:type="dxa"/>
            <w:noWrap/>
          </w:tcPr>
          <w:p w14:paraId="47BCCD56" w14:textId="77777777" w:rsidR="00F14975" w:rsidRPr="00A06F1E" w:rsidRDefault="00F14975">
            <w:pPr>
              <w:pStyle w:val="TableTextCentered"/>
              <w:rPr>
                <w:rFonts w:eastAsia="HGGothicE" w:cs="Franklin Gothic Book"/>
              </w:rPr>
            </w:pPr>
            <w:r w:rsidRPr="00A06F1E">
              <w:t>$11,816,221</w:t>
            </w:r>
          </w:p>
        </w:tc>
        <w:tc>
          <w:tcPr>
            <w:tcW w:w="1538" w:type="dxa"/>
            <w:noWrap/>
          </w:tcPr>
          <w:p w14:paraId="311E3901" w14:textId="77777777" w:rsidR="00F14975" w:rsidRPr="00A06F1E" w:rsidRDefault="00F14975">
            <w:pPr>
              <w:pStyle w:val="TableTextCentered"/>
              <w:rPr>
                <w:rFonts w:eastAsia="HGGothicE" w:cs="Franklin Gothic Book"/>
              </w:rPr>
            </w:pPr>
            <w:r w:rsidRPr="00A06F1E">
              <w:t>$13,467,675</w:t>
            </w:r>
          </w:p>
        </w:tc>
        <w:tc>
          <w:tcPr>
            <w:tcW w:w="1522" w:type="dxa"/>
          </w:tcPr>
          <w:p w14:paraId="6F7DB041" w14:textId="77777777" w:rsidR="00F14975" w:rsidRPr="00A06F1E" w:rsidRDefault="00F14975">
            <w:pPr>
              <w:pStyle w:val="TableTextCentered"/>
              <w:rPr>
                <w:rFonts w:eastAsia="HGGothicE" w:cs="Franklin Gothic Book"/>
              </w:rPr>
            </w:pPr>
            <w:r w:rsidRPr="00A06F1E">
              <w:t>$13,694,673</w:t>
            </w:r>
          </w:p>
        </w:tc>
      </w:tr>
      <w:tr w:rsidR="00F14975" w:rsidRPr="00A06F1E" w14:paraId="58747D80" w14:textId="77777777">
        <w:tc>
          <w:tcPr>
            <w:tcW w:w="3682" w:type="dxa"/>
            <w:hideMark/>
          </w:tcPr>
          <w:p w14:paraId="75F3E9EA" w14:textId="77777777" w:rsidR="00F14975" w:rsidRPr="00A06F1E" w:rsidRDefault="00F14975">
            <w:pPr>
              <w:pStyle w:val="TableText"/>
            </w:pPr>
            <w:r w:rsidRPr="00A06F1E">
              <w:t>From revolving funds and grants</w:t>
            </w:r>
          </w:p>
        </w:tc>
        <w:tc>
          <w:tcPr>
            <w:tcW w:w="1612" w:type="dxa"/>
            <w:noWrap/>
          </w:tcPr>
          <w:p w14:paraId="2961B83C" w14:textId="3C6038DE" w:rsidR="00F14975" w:rsidRPr="00A06F1E" w:rsidRDefault="00653EC5">
            <w:pPr>
              <w:pStyle w:val="TableTextCentered"/>
              <w:rPr>
                <w:rFonts w:eastAsia="HGGothicE" w:cs="Franklin Gothic Book"/>
              </w:rPr>
            </w:pPr>
            <w:r w:rsidRPr="00A06F1E">
              <w:t>—</w:t>
            </w:r>
          </w:p>
        </w:tc>
        <w:tc>
          <w:tcPr>
            <w:tcW w:w="1718" w:type="dxa"/>
            <w:noWrap/>
          </w:tcPr>
          <w:p w14:paraId="24E5A3F3" w14:textId="77777777" w:rsidR="00F14975" w:rsidRPr="00A06F1E" w:rsidRDefault="00F14975">
            <w:pPr>
              <w:pStyle w:val="TableTextCentered"/>
              <w:rPr>
                <w:rFonts w:eastAsia="HGGothicE" w:cs="Franklin Gothic Book"/>
              </w:rPr>
            </w:pPr>
            <w:r w:rsidRPr="00A06F1E">
              <w:t>$2,145,419</w:t>
            </w:r>
          </w:p>
        </w:tc>
        <w:tc>
          <w:tcPr>
            <w:tcW w:w="1350" w:type="dxa"/>
            <w:noWrap/>
          </w:tcPr>
          <w:p w14:paraId="18CF6610" w14:textId="52727104" w:rsidR="00F14975" w:rsidRPr="00A06F1E" w:rsidRDefault="00653EC5">
            <w:pPr>
              <w:pStyle w:val="TableTextCentered"/>
              <w:rPr>
                <w:rFonts w:eastAsia="HGGothicE" w:cs="Franklin Gothic Book"/>
              </w:rPr>
            </w:pPr>
            <w:r w:rsidRPr="00A06F1E">
              <w:t>—</w:t>
            </w:r>
          </w:p>
        </w:tc>
        <w:tc>
          <w:tcPr>
            <w:tcW w:w="1522" w:type="dxa"/>
            <w:noWrap/>
          </w:tcPr>
          <w:p w14:paraId="678B43E9" w14:textId="77777777" w:rsidR="00F14975" w:rsidRPr="00A06F1E" w:rsidRDefault="00F14975">
            <w:pPr>
              <w:pStyle w:val="TableTextCentered"/>
              <w:rPr>
                <w:rFonts w:eastAsia="HGGothicE" w:cs="Franklin Gothic Book"/>
              </w:rPr>
            </w:pPr>
            <w:r w:rsidRPr="00A06F1E">
              <w:t>$1,911,128</w:t>
            </w:r>
          </w:p>
        </w:tc>
        <w:tc>
          <w:tcPr>
            <w:tcW w:w="1538" w:type="dxa"/>
            <w:noWrap/>
          </w:tcPr>
          <w:p w14:paraId="64B92226" w14:textId="0B669487" w:rsidR="00F14975" w:rsidRPr="00A06F1E" w:rsidRDefault="00653EC5">
            <w:pPr>
              <w:pStyle w:val="TableTextCentered"/>
              <w:rPr>
                <w:rFonts w:eastAsia="HGGothicE" w:cs="Franklin Gothic Book"/>
              </w:rPr>
            </w:pPr>
            <w:r w:rsidRPr="00A06F1E">
              <w:t>—</w:t>
            </w:r>
          </w:p>
        </w:tc>
        <w:tc>
          <w:tcPr>
            <w:tcW w:w="1522" w:type="dxa"/>
          </w:tcPr>
          <w:p w14:paraId="2D600A36" w14:textId="77777777" w:rsidR="00F14975" w:rsidRPr="00A06F1E" w:rsidRDefault="00F14975">
            <w:pPr>
              <w:pStyle w:val="TableTextCentered"/>
            </w:pPr>
            <w:r w:rsidRPr="00A06F1E">
              <w:t>$1,728,659</w:t>
            </w:r>
          </w:p>
        </w:tc>
      </w:tr>
      <w:tr w:rsidR="00F14975" w:rsidRPr="00A06F1E" w14:paraId="7EC3ED8E" w14:textId="77777777">
        <w:tc>
          <w:tcPr>
            <w:tcW w:w="3682" w:type="dxa"/>
            <w:hideMark/>
          </w:tcPr>
          <w:p w14:paraId="07FF8712" w14:textId="77777777" w:rsidR="00F14975" w:rsidRPr="00A06F1E" w:rsidRDefault="00F14975">
            <w:pPr>
              <w:pStyle w:val="TableText"/>
            </w:pPr>
            <w:r w:rsidRPr="00A06F1E">
              <w:t>Total expenditures</w:t>
            </w:r>
          </w:p>
        </w:tc>
        <w:tc>
          <w:tcPr>
            <w:tcW w:w="1612" w:type="dxa"/>
            <w:noWrap/>
          </w:tcPr>
          <w:p w14:paraId="70ED82C5" w14:textId="795CABFF" w:rsidR="00F14975" w:rsidRPr="00A06F1E" w:rsidRDefault="00653EC5">
            <w:pPr>
              <w:pStyle w:val="TableTextCentered"/>
              <w:rPr>
                <w:rFonts w:eastAsia="HGGothicE" w:cs="Franklin Gothic Book"/>
              </w:rPr>
            </w:pPr>
            <w:r w:rsidRPr="00A06F1E">
              <w:t>—</w:t>
            </w:r>
          </w:p>
        </w:tc>
        <w:tc>
          <w:tcPr>
            <w:tcW w:w="1718" w:type="dxa"/>
            <w:noWrap/>
          </w:tcPr>
          <w:p w14:paraId="62BEB979" w14:textId="77777777" w:rsidR="00F14975" w:rsidRPr="00A06F1E" w:rsidRDefault="00F14975">
            <w:pPr>
              <w:pStyle w:val="TableTextCentered"/>
              <w:rPr>
                <w:rFonts w:eastAsia="HGGothicE" w:cs="Franklin Gothic Book"/>
              </w:rPr>
            </w:pPr>
            <w:r w:rsidRPr="00A06F1E">
              <w:t>$14,691,779</w:t>
            </w:r>
          </w:p>
        </w:tc>
        <w:tc>
          <w:tcPr>
            <w:tcW w:w="1350" w:type="dxa"/>
            <w:noWrap/>
          </w:tcPr>
          <w:p w14:paraId="49DE452D" w14:textId="733F553D" w:rsidR="00F14975" w:rsidRPr="00A06F1E" w:rsidRDefault="00653EC5">
            <w:pPr>
              <w:pStyle w:val="TableTextCentered"/>
              <w:rPr>
                <w:rFonts w:eastAsia="HGGothicE" w:cs="Franklin Gothic Book"/>
              </w:rPr>
            </w:pPr>
            <w:r w:rsidRPr="00A06F1E">
              <w:t>—</w:t>
            </w:r>
          </w:p>
        </w:tc>
        <w:tc>
          <w:tcPr>
            <w:tcW w:w="1522" w:type="dxa"/>
            <w:noWrap/>
          </w:tcPr>
          <w:p w14:paraId="6F10B09A" w14:textId="77777777" w:rsidR="00F14975" w:rsidRPr="00A06F1E" w:rsidRDefault="00F14975">
            <w:pPr>
              <w:pStyle w:val="TableTextCentered"/>
              <w:rPr>
                <w:rFonts w:eastAsia="HGGothicE" w:cs="Franklin Gothic Book"/>
              </w:rPr>
            </w:pPr>
            <w:r w:rsidRPr="00A06F1E">
              <w:t>$13,727,349</w:t>
            </w:r>
          </w:p>
        </w:tc>
        <w:tc>
          <w:tcPr>
            <w:tcW w:w="1538" w:type="dxa"/>
            <w:noWrap/>
          </w:tcPr>
          <w:p w14:paraId="6E53FB4E" w14:textId="5FB5EBE3" w:rsidR="00F14975" w:rsidRPr="00A06F1E" w:rsidRDefault="00653EC5">
            <w:pPr>
              <w:pStyle w:val="TableTextCentered"/>
              <w:rPr>
                <w:rFonts w:eastAsia="HGGothicE" w:cs="Franklin Gothic Book"/>
              </w:rPr>
            </w:pPr>
            <w:r w:rsidRPr="00A06F1E">
              <w:t>—</w:t>
            </w:r>
          </w:p>
        </w:tc>
        <w:tc>
          <w:tcPr>
            <w:tcW w:w="1522" w:type="dxa"/>
          </w:tcPr>
          <w:p w14:paraId="26DCC6D0" w14:textId="77777777" w:rsidR="00F14975" w:rsidRPr="00A06F1E" w:rsidRDefault="00F14975">
            <w:pPr>
              <w:pStyle w:val="TableTextCentered"/>
              <w:rPr>
                <w:rFonts w:eastAsia="HGGothicE" w:cs="Franklin Gothic Book"/>
              </w:rPr>
            </w:pPr>
            <w:r w:rsidRPr="00A06F1E">
              <w:t>$15,423,332</w:t>
            </w:r>
          </w:p>
        </w:tc>
      </w:tr>
      <w:tr w:rsidR="00F14975" w:rsidRPr="00A06F1E" w14:paraId="0BC67047" w14:textId="77777777">
        <w:tc>
          <w:tcPr>
            <w:tcW w:w="12944" w:type="dxa"/>
            <w:gridSpan w:val="7"/>
            <w:shd w:val="clear" w:color="auto" w:fill="D9E2F3"/>
          </w:tcPr>
          <w:p w14:paraId="3D7D522D" w14:textId="77777777" w:rsidR="00F14975" w:rsidRPr="00A06F1E" w:rsidRDefault="00F14975" w:rsidP="00CC216B">
            <w:pPr>
              <w:pStyle w:val="TableSubheading"/>
            </w:pPr>
            <w:r w:rsidRPr="00A06F1E">
              <w:t>Chapter 70 aid to education program</w:t>
            </w:r>
          </w:p>
        </w:tc>
      </w:tr>
      <w:tr w:rsidR="00F14975" w:rsidRPr="00A06F1E" w14:paraId="0F8FC69B" w14:textId="77777777">
        <w:tc>
          <w:tcPr>
            <w:tcW w:w="3682" w:type="dxa"/>
            <w:noWrap/>
            <w:hideMark/>
          </w:tcPr>
          <w:p w14:paraId="56CE04CC" w14:textId="77777777" w:rsidR="00F14975" w:rsidRPr="00A06F1E" w:rsidRDefault="00F14975">
            <w:pPr>
              <w:pStyle w:val="TableText"/>
              <w:rPr>
                <w:rFonts w:ascii="Franklin Gothic Book" w:hAnsi="Franklin Gothic Book"/>
              </w:rPr>
            </w:pPr>
            <w:r w:rsidRPr="00A06F1E">
              <w:rPr>
                <w:rFonts w:ascii="Franklin Gothic Book" w:hAnsi="Franklin Gothic Book"/>
              </w:rPr>
              <w:t>Chapter 70 state aid</w:t>
            </w:r>
            <w:r w:rsidRPr="00A06F1E">
              <w:rPr>
                <w:rFonts w:ascii="Franklin Gothic Book" w:hAnsi="Franklin Gothic Book"/>
                <w:vertAlign w:val="superscript"/>
              </w:rPr>
              <w:t>a</w:t>
            </w:r>
          </w:p>
        </w:tc>
        <w:tc>
          <w:tcPr>
            <w:tcW w:w="1612" w:type="dxa"/>
            <w:noWrap/>
          </w:tcPr>
          <w:p w14:paraId="389AD802" w14:textId="61273E80" w:rsidR="00F14975" w:rsidRPr="00A06F1E" w:rsidRDefault="00653EC5">
            <w:pPr>
              <w:pStyle w:val="TableTextCentered"/>
              <w:rPr>
                <w:rFonts w:ascii="Franklin Gothic Book" w:hAnsi="Franklin Gothic Book"/>
              </w:rPr>
            </w:pPr>
            <w:r w:rsidRPr="00A06F1E">
              <w:t>—</w:t>
            </w:r>
          </w:p>
        </w:tc>
        <w:tc>
          <w:tcPr>
            <w:tcW w:w="1718" w:type="dxa"/>
            <w:noWrap/>
          </w:tcPr>
          <w:p w14:paraId="275D8CA9" w14:textId="77777777" w:rsidR="00F14975" w:rsidRPr="00A06F1E" w:rsidRDefault="00F14975">
            <w:pPr>
              <w:pStyle w:val="TableTextCentered"/>
              <w:rPr>
                <w:rFonts w:ascii="Franklin Gothic Book" w:hAnsi="Franklin Gothic Book" w:cs="Calibri"/>
              </w:rPr>
            </w:pPr>
            <w:r w:rsidRPr="00A06F1E">
              <w:t>$5,432,010</w:t>
            </w:r>
          </w:p>
        </w:tc>
        <w:tc>
          <w:tcPr>
            <w:tcW w:w="1350" w:type="dxa"/>
            <w:noWrap/>
          </w:tcPr>
          <w:p w14:paraId="4AE9F142" w14:textId="3995A8F0" w:rsidR="00F14975" w:rsidRPr="00A06F1E" w:rsidRDefault="00653EC5">
            <w:pPr>
              <w:pStyle w:val="TableTextCentered"/>
              <w:rPr>
                <w:rFonts w:ascii="Franklin Gothic Book" w:hAnsi="Franklin Gothic Book"/>
              </w:rPr>
            </w:pPr>
            <w:r w:rsidRPr="00A06F1E">
              <w:t>—</w:t>
            </w:r>
          </w:p>
        </w:tc>
        <w:tc>
          <w:tcPr>
            <w:tcW w:w="1522" w:type="dxa"/>
            <w:noWrap/>
          </w:tcPr>
          <w:p w14:paraId="0BD93DDB" w14:textId="77777777" w:rsidR="00F14975" w:rsidRPr="00A06F1E" w:rsidRDefault="00F14975">
            <w:pPr>
              <w:pStyle w:val="TableTextCentered"/>
              <w:rPr>
                <w:rFonts w:ascii="Franklin Gothic Book" w:hAnsi="Franklin Gothic Book" w:cs="Calibri"/>
              </w:rPr>
            </w:pPr>
            <w:r w:rsidRPr="00A06F1E">
              <w:t>$5,432,010</w:t>
            </w:r>
          </w:p>
        </w:tc>
        <w:tc>
          <w:tcPr>
            <w:tcW w:w="1538" w:type="dxa"/>
            <w:noWrap/>
          </w:tcPr>
          <w:p w14:paraId="2826BBF9" w14:textId="3D7EE35E" w:rsidR="00F14975" w:rsidRPr="00A06F1E" w:rsidRDefault="00653EC5">
            <w:pPr>
              <w:pStyle w:val="TableTextCentered"/>
              <w:rPr>
                <w:rFonts w:ascii="Franklin Gothic Book" w:hAnsi="Franklin Gothic Book"/>
              </w:rPr>
            </w:pPr>
            <w:r w:rsidRPr="00A06F1E">
              <w:t>—</w:t>
            </w:r>
          </w:p>
        </w:tc>
        <w:tc>
          <w:tcPr>
            <w:tcW w:w="1522" w:type="dxa"/>
          </w:tcPr>
          <w:p w14:paraId="710608E2" w14:textId="77777777" w:rsidR="00F14975" w:rsidRPr="00A06F1E" w:rsidRDefault="00F14975">
            <w:pPr>
              <w:pStyle w:val="TableTextCentered"/>
              <w:rPr>
                <w:rFonts w:ascii="Franklin Gothic Book" w:hAnsi="Franklin Gothic Book" w:cs="Calibri"/>
              </w:rPr>
            </w:pPr>
            <w:r w:rsidRPr="00A06F1E">
              <w:t>$5,450,340</w:t>
            </w:r>
          </w:p>
        </w:tc>
      </w:tr>
      <w:tr w:rsidR="00F14975" w:rsidRPr="00A06F1E" w14:paraId="16698F99" w14:textId="77777777">
        <w:tc>
          <w:tcPr>
            <w:tcW w:w="3682" w:type="dxa"/>
            <w:noWrap/>
            <w:hideMark/>
          </w:tcPr>
          <w:p w14:paraId="19C2EF91" w14:textId="77777777" w:rsidR="00F14975" w:rsidRPr="00A06F1E" w:rsidRDefault="00F14975">
            <w:pPr>
              <w:pStyle w:val="TableText"/>
              <w:rPr>
                <w:rFonts w:ascii="Franklin Gothic Book" w:hAnsi="Franklin Gothic Book"/>
              </w:rPr>
            </w:pPr>
            <w:r w:rsidRPr="00A06F1E">
              <w:rPr>
                <w:rFonts w:ascii="Franklin Gothic Book" w:hAnsi="Franklin Gothic Book"/>
              </w:rPr>
              <w:t>Required local contribution</w:t>
            </w:r>
          </w:p>
        </w:tc>
        <w:tc>
          <w:tcPr>
            <w:tcW w:w="1612" w:type="dxa"/>
            <w:noWrap/>
          </w:tcPr>
          <w:p w14:paraId="666D5D8C" w14:textId="47E5615E" w:rsidR="00F14975" w:rsidRPr="00A06F1E" w:rsidRDefault="00653EC5">
            <w:pPr>
              <w:pStyle w:val="TableTextCentered"/>
              <w:rPr>
                <w:rFonts w:ascii="Franklin Gothic Book" w:hAnsi="Franklin Gothic Book"/>
              </w:rPr>
            </w:pPr>
            <w:r w:rsidRPr="00A06F1E">
              <w:t>—</w:t>
            </w:r>
          </w:p>
        </w:tc>
        <w:tc>
          <w:tcPr>
            <w:tcW w:w="1718" w:type="dxa"/>
            <w:noWrap/>
          </w:tcPr>
          <w:p w14:paraId="0CAAB5D4" w14:textId="77777777" w:rsidR="00F14975" w:rsidRPr="00A06F1E" w:rsidRDefault="00F14975">
            <w:pPr>
              <w:pStyle w:val="TableTextCentered"/>
              <w:rPr>
                <w:rFonts w:ascii="Franklin Gothic Book" w:hAnsi="Franklin Gothic Book" w:cs="Calibri"/>
              </w:rPr>
            </w:pPr>
            <w:r w:rsidRPr="00A06F1E">
              <w:t>$2,691,122</w:t>
            </w:r>
          </w:p>
        </w:tc>
        <w:tc>
          <w:tcPr>
            <w:tcW w:w="1350" w:type="dxa"/>
            <w:noWrap/>
          </w:tcPr>
          <w:p w14:paraId="0C0E440F" w14:textId="45D53348" w:rsidR="00F14975" w:rsidRPr="00A06F1E" w:rsidRDefault="00653EC5">
            <w:pPr>
              <w:pStyle w:val="TableTextCentered"/>
              <w:rPr>
                <w:rFonts w:ascii="Franklin Gothic Book" w:hAnsi="Franklin Gothic Book"/>
              </w:rPr>
            </w:pPr>
            <w:r w:rsidRPr="00A06F1E">
              <w:t>—</w:t>
            </w:r>
          </w:p>
        </w:tc>
        <w:tc>
          <w:tcPr>
            <w:tcW w:w="1522" w:type="dxa"/>
            <w:noWrap/>
          </w:tcPr>
          <w:p w14:paraId="1A55B637" w14:textId="77777777" w:rsidR="00F14975" w:rsidRPr="00A06F1E" w:rsidRDefault="00F14975">
            <w:pPr>
              <w:pStyle w:val="TableTextCentered"/>
              <w:rPr>
                <w:rFonts w:ascii="Franklin Gothic Book" w:hAnsi="Franklin Gothic Book" w:cs="Calibri"/>
              </w:rPr>
            </w:pPr>
            <w:r w:rsidRPr="00A06F1E">
              <w:t>$2,752,972</w:t>
            </w:r>
          </w:p>
        </w:tc>
        <w:tc>
          <w:tcPr>
            <w:tcW w:w="1538" w:type="dxa"/>
            <w:noWrap/>
          </w:tcPr>
          <w:p w14:paraId="653C0963" w14:textId="1F1D2CB9" w:rsidR="00F14975" w:rsidRPr="00A06F1E" w:rsidRDefault="00653EC5">
            <w:pPr>
              <w:pStyle w:val="TableTextCentered"/>
              <w:rPr>
                <w:rFonts w:ascii="Franklin Gothic Book" w:hAnsi="Franklin Gothic Book"/>
              </w:rPr>
            </w:pPr>
            <w:r w:rsidRPr="00A06F1E">
              <w:t>—</w:t>
            </w:r>
          </w:p>
        </w:tc>
        <w:tc>
          <w:tcPr>
            <w:tcW w:w="1522" w:type="dxa"/>
          </w:tcPr>
          <w:p w14:paraId="4B40F7A7" w14:textId="77777777" w:rsidR="00F14975" w:rsidRPr="00A06F1E" w:rsidRDefault="00F14975">
            <w:pPr>
              <w:pStyle w:val="TableTextCentered"/>
              <w:rPr>
                <w:rFonts w:ascii="Franklin Gothic Book" w:hAnsi="Franklin Gothic Book" w:cs="Calibri"/>
              </w:rPr>
            </w:pPr>
            <w:r w:rsidRPr="00A06F1E">
              <w:t>$2,902,578</w:t>
            </w:r>
          </w:p>
        </w:tc>
      </w:tr>
      <w:tr w:rsidR="00F14975" w:rsidRPr="00A06F1E" w14:paraId="5817AEE6" w14:textId="77777777">
        <w:tc>
          <w:tcPr>
            <w:tcW w:w="3682" w:type="dxa"/>
            <w:noWrap/>
            <w:hideMark/>
          </w:tcPr>
          <w:p w14:paraId="6AB69075" w14:textId="77777777" w:rsidR="00F14975" w:rsidRPr="00A06F1E" w:rsidRDefault="00F14975">
            <w:pPr>
              <w:pStyle w:val="TableText"/>
              <w:rPr>
                <w:rFonts w:ascii="Franklin Gothic Book" w:hAnsi="Franklin Gothic Book"/>
              </w:rPr>
            </w:pPr>
            <w:r w:rsidRPr="00A06F1E">
              <w:rPr>
                <w:rFonts w:ascii="Franklin Gothic Book" w:hAnsi="Franklin Gothic Book"/>
              </w:rPr>
              <w:t>Required net school spending</w:t>
            </w:r>
            <w:r w:rsidRPr="00A06F1E">
              <w:rPr>
                <w:rFonts w:ascii="Franklin Gothic Book" w:hAnsi="Franklin Gothic Book"/>
                <w:vertAlign w:val="superscript"/>
              </w:rPr>
              <w:t>b</w:t>
            </w:r>
          </w:p>
        </w:tc>
        <w:tc>
          <w:tcPr>
            <w:tcW w:w="1612" w:type="dxa"/>
            <w:noWrap/>
          </w:tcPr>
          <w:p w14:paraId="78D0DB53" w14:textId="3D496756" w:rsidR="00F14975" w:rsidRPr="00A06F1E" w:rsidRDefault="00653EC5">
            <w:pPr>
              <w:pStyle w:val="TableTextCentered"/>
              <w:rPr>
                <w:rFonts w:ascii="Franklin Gothic Book" w:hAnsi="Franklin Gothic Book"/>
              </w:rPr>
            </w:pPr>
            <w:r w:rsidRPr="00A06F1E">
              <w:t>—</w:t>
            </w:r>
          </w:p>
        </w:tc>
        <w:tc>
          <w:tcPr>
            <w:tcW w:w="1718" w:type="dxa"/>
            <w:noWrap/>
          </w:tcPr>
          <w:p w14:paraId="7F7B04E5" w14:textId="77777777" w:rsidR="00F14975" w:rsidRPr="00A06F1E" w:rsidRDefault="00F14975">
            <w:pPr>
              <w:pStyle w:val="TableTextCentered"/>
              <w:rPr>
                <w:rFonts w:ascii="Franklin Gothic Book" w:hAnsi="Franklin Gothic Book" w:cs="Calibri"/>
              </w:rPr>
            </w:pPr>
            <w:r w:rsidRPr="00A06F1E">
              <w:t>$8,123,132</w:t>
            </w:r>
          </w:p>
        </w:tc>
        <w:tc>
          <w:tcPr>
            <w:tcW w:w="1350" w:type="dxa"/>
            <w:noWrap/>
          </w:tcPr>
          <w:p w14:paraId="2D77CE3D" w14:textId="440E1593" w:rsidR="00F14975" w:rsidRPr="00A06F1E" w:rsidRDefault="00653EC5">
            <w:pPr>
              <w:pStyle w:val="TableTextCentered"/>
              <w:rPr>
                <w:rFonts w:ascii="Franklin Gothic Book" w:hAnsi="Franklin Gothic Book"/>
              </w:rPr>
            </w:pPr>
            <w:r w:rsidRPr="00A06F1E">
              <w:t>—</w:t>
            </w:r>
          </w:p>
        </w:tc>
        <w:tc>
          <w:tcPr>
            <w:tcW w:w="1522" w:type="dxa"/>
            <w:noWrap/>
          </w:tcPr>
          <w:p w14:paraId="682FB62D" w14:textId="77777777" w:rsidR="00F14975" w:rsidRPr="00A06F1E" w:rsidRDefault="00F14975">
            <w:pPr>
              <w:pStyle w:val="TableTextCentered"/>
              <w:rPr>
                <w:rFonts w:ascii="Franklin Gothic Book" w:hAnsi="Franklin Gothic Book" w:cs="Calibri"/>
              </w:rPr>
            </w:pPr>
            <w:r w:rsidRPr="00A06F1E">
              <w:t>$8,184,982</w:t>
            </w:r>
          </w:p>
        </w:tc>
        <w:tc>
          <w:tcPr>
            <w:tcW w:w="1538" w:type="dxa"/>
            <w:noWrap/>
          </w:tcPr>
          <w:p w14:paraId="096CC926" w14:textId="6B5E7F3E" w:rsidR="00F14975" w:rsidRPr="00A06F1E" w:rsidRDefault="00653EC5">
            <w:pPr>
              <w:pStyle w:val="TableTextCentered"/>
              <w:rPr>
                <w:rFonts w:ascii="Franklin Gothic Book" w:hAnsi="Franklin Gothic Book"/>
              </w:rPr>
            </w:pPr>
            <w:r w:rsidRPr="00A06F1E">
              <w:t>—</w:t>
            </w:r>
          </w:p>
        </w:tc>
        <w:tc>
          <w:tcPr>
            <w:tcW w:w="1522" w:type="dxa"/>
          </w:tcPr>
          <w:p w14:paraId="2D6D6064" w14:textId="77777777" w:rsidR="00F14975" w:rsidRPr="00A06F1E" w:rsidRDefault="00F14975">
            <w:pPr>
              <w:pStyle w:val="TableTextCentered"/>
              <w:rPr>
                <w:rFonts w:ascii="Franklin Gothic Book" w:hAnsi="Franklin Gothic Book" w:cs="Calibri"/>
              </w:rPr>
            </w:pPr>
            <w:r w:rsidRPr="00A06F1E">
              <w:t>$8,352,918</w:t>
            </w:r>
          </w:p>
        </w:tc>
      </w:tr>
      <w:tr w:rsidR="00F14975" w:rsidRPr="00A06F1E" w14:paraId="1D9C1C8B" w14:textId="77777777">
        <w:tc>
          <w:tcPr>
            <w:tcW w:w="3682" w:type="dxa"/>
            <w:noWrap/>
            <w:hideMark/>
          </w:tcPr>
          <w:p w14:paraId="1F9D8DD7" w14:textId="77777777" w:rsidR="00F14975" w:rsidRPr="00A06F1E" w:rsidRDefault="00F14975">
            <w:pPr>
              <w:pStyle w:val="TableText"/>
              <w:rPr>
                <w:rFonts w:ascii="Franklin Gothic Book" w:hAnsi="Franklin Gothic Book"/>
              </w:rPr>
            </w:pPr>
            <w:r w:rsidRPr="00A06F1E">
              <w:rPr>
                <w:rFonts w:ascii="Franklin Gothic Book" w:hAnsi="Franklin Gothic Book"/>
              </w:rPr>
              <w:t>Actual net school spending</w:t>
            </w:r>
          </w:p>
        </w:tc>
        <w:tc>
          <w:tcPr>
            <w:tcW w:w="1612" w:type="dxa"/>
            <w:noWrap/>
          </w:tcPr>
          <w:p w14:paraId="7A57343D" w14:textId="23445B5F" w:rsidR="00F14975" w:rsidRPr="00A06F1E" w:rsidRDefault="00653EC5">
            <w:pPr>
              <w:pStyle w:val="TableTextCentered"/>
              <w:rPr>
                <w:rFonts w:ascii="Franklin Gothic Book" w:hAnsi="Franklin Gothic Book"/>
              </w:rPr>
            </w:pPr>
            <w:r w:rsidRPr="00A06F1E">
              <w:t>—</w:t>
            </w:r>
          </w:p>
        </w:tc>
        <w:tc>
          <w:tcPr>
            <w:tcW w:w="1718" w:type="dxa"/>
            <w:noWrap/>
          </w:tcPr>
          <w:p w14:paraId="7E7BFEC5" w14:textId="77777777" w:rsidR="00F14975" w:rsidRPr="00A06F1E" w:rsidRDefault="00F14975">
            <w:pPr>
              <w:pStyle w:val="TableTextCentered"/>
              <w:rPr>
                <w:rFonts w:ascii="Franklin Gothic Book" w:hAnsi="Franklin Gothic Book" w:cs="Calibri"/>
              </w:rPr>
            </w:pPr>
            <w:r w:rsidRPr="00A06F1E">
              <w:t>$11,300,734</w:t>
            </w:r>
          </w:p>
        </w:tc>
        <w:tc>
          <w:tcPr>
            <w:tcW w:w="1350" w:type="dxa"/>
            <w:noWrap/>
          </w:tcPr>
          <w:p w14:paraId="75E9BA15" w14:textId="10720A14" w:rsidR="00F14975" w:rsidRPr="00A06F1E" w:rsidRDefault="00653EC5">
            <w:pPr>
              <w:pStyle w:val="TableTextCentered"/>
              <w:rPr>
                <w:rFonts w:ascii="Franklin Gothic Book" w:hAnsi="Franklin Gothic Book"/>
              </w:rPr>
            </w:pPr>
            <w:r w:rsidRPr="00A06F1E">
              <w:t>—</w:t>
            </w:r>
          </w:p>
        </w:tc>
        <w:tc>
          <w:tcPr>
            <w:tcW w:w="1522" w:type="dxa"/>
            <w:noWrap/>
          </w:tcPr>
          <w:p w14:paraId="2294B4D6" w14:textId="77777777" w:rsidR="00F14975" w:rsidRPr="00A06F1E" w:rsidRDefault="00F14975">
            <w:pPr>
              <w:pStyle w:val="TableTextCentered"/>
              <w:rPr>
                <w:rFonts w:ascii="Franklin Gothic Book" w:hAnsi="Franklin Gothic Book" w:cs="Calibri"/>
              </w:rPr>
            </w:pPr>
            <w:r w:rsidRPr="00A06F1E">
              <w:t>$10,667,429</w:t>
            </w:r>
          </w:p>
        </w:tc>
        <w:tc>
          <w:tcPr>
            <w:tcW w:w="1538" w:type="dxa"/>
            <w:noWrap/>
          </w:tcPr>
          <w:p w14:paraId="3DEA3D4D" w14:textId="01F96E72" w:rsidR="00F14975" w:rsidRPr="00A06F1E" w:rsidRDefault="00653EC5">
            <w:pPr>
              <w:pStyle w:val="TableTextCentered"/>
              <w:rPr>
                <w:rFonts w:ascii="Franklin Gothic Book" w:hAnsi="Franklin Gothic Book"/>
              </w:rPr>
            </w:pPr>
            <w:r w:rsidRPr="00A06F1E">
              <w:t>—</w:t>
            </w:r>
          </w:p>
        </w:tc>
        <w:tc>
          <w:tcPr>
            <w:tcW w:w="1522" w:type="dxa"/>
          </w:tcPr>
          <w:p w14:paraId="5E3E785B" w14:textId="77777777" w:rsidR="00F14975" w:rsidRPr="00A06F1E" w:rsidRDefault="00F14975">
            <w:pPr>
              <w:pStyle w:val="TableTextCentered"/>
              <w:rPr>
                <w:rFonts w:ascii="Franklin Gothic Book" w:hAnsi="Franklin Gothic Book" w:cs="Calibri"/>
              </w:rPr>
            </w:pPr>
            <w:r w:rsidRPr="00A06F1E">
              <w:t>$11,542,474</w:t>
            </w:r>
          </w:p>
        </w:tc>
      </w:tr>
      <w:tr w:rsidR="00F14975" w:rsidRPr="00A06F1E" w14:paraId="11CF8874" w14:textId="77777777">
        <w:tc>
          <w:tcPr>
            <w:tcW w:w="3682" w:type="dxa"/>
            <w:noWrap/>
            <w:hideMark/>
          </w:tcPr>
          <w:p w14:paraId="08FFC00A" w14:textId="77777777" w:rsidR="00F14975" w:rsidRPr="00A06F1E" w:rsidRDefault="00F14975">
            <w:pPr>
              <w:pStyle w:val="TableText"/>
              <w:rPr>
                <w:rFonts w:ascii="Franklin Gothic Book" w:hAnsi="Franklin Gothic Book"/>
              </w:rPr>
            </w:pPr>
            <w:r w:rsidRPr="00A06F1E">
              <w:rPr>
                <w:rFonts w:ascii="Franklin Gothic Book" w:hAnsi="Franklin Gothic Book"/>
              </w:rPr>
              <w:t>Over/under required ($)</w:t>
            </w:r>
          </w:p>
        </w:tc>
        <w:tc>
          <w:tcPr>
            <w:tcW w:w="1612" w:type="dxa"/>
            <w:noWrap/>
          </w:tcPr>
          <w:p w14:paraId="5676F44E" w14:textId="590EC256" w:rsidR="00F14975" w:rsidRPr="00A06F1E" w:rsidRDefault="00653EC5">
            <w:pPr>
              <w:pStyle w:val="TableTextCentered"/>
              <w:rPr>
                <w:rFonts w:ascii="Franklin Gothic Book" w:hAnsi="Franklin Gothic Book"/>
              </w:rPr>
            </w:pPr>
            <w:r w:rsidRPr="00A06F1E">
              <w:t>—</w:t>
            </w:r>
          </w:p>
        </w:tc>
        <w:tc>
          <w:tcPr>
            <w:tcW w:w="1718" w:type="dxa"/>
            <w:noWrap/>
          </w:tcPr>
          <w:p w14:paraId="2C8748C7" w14:textId="77777777" w:rsidR="00F14975" w:rsidRPr="00A06F1E" w:rsidRDefault="00F14975">
            <w:pPr>
              <w:pStyle w:val="TableTextCentered"/>
              <w:rPr>
                <w:rFonts w:ascii="Franklin Gothic Book" w:hAnsi="Franklin Gothic Book" w:cs="Calibri"/>
              </w:rPr>
            </w:pPr>
            <w:r w:rsidRPr="00A06F1E">
              <w:t>$3,177,602</w:t>
            </w:r>
          </w:p>
        </w:tc>
        <w:tc>
          <w:tcPr>
            <w:tcW w:w="1350" w:type="dxa"/>
            <w:noWrap/>
          </w:tcPr>
          <w:p w14:paraId="5CFFB81B" w14:textId="26423C8E" w:rsidR="00F14975" w:rsidRPr="00A06F1E" w:rsidRDefault="00653EC5">
            <w:pPr>
              <w:pStyle w:val="TableTextCentered"/>
              <w:rPr>
                <w:rFonts w:ascii="Franklin Gothic Book" w:hAnsi="Franklin Gothic Book"/>
              </w:rPr>
            </w:pPr>
            <w:r w:rsidRPr="00A06F1E">
              <w:t>—</w:t>
            </w:r>
          </w:p>
        </w:tc>
        <w:tc>
          <w:tcPr>
            <w:tcW w:w="1522" w:type="dxa"/>
            <w:noWrap/>
          </w:tcPr>
          <w:p w14:paraId="5946DE64" w14:textId="77777777" w:rsidR="00F14975" w:rsidRPr="00A06F1E" w:rsidRDefault="00F14975">
            <w:pPr>
              <w:pStyle w:val="TableTextCentered"/>
              <w:rPr>
                <w:rFonts w:ascii="Franklin Gothic Book" w:hAnsi="Franklin Gothic Book" w:cs="Calibri"/>
              </w:rPr>
            </w:pPr>
            <w:r w:rsidRPr="00A06F1E">
              <w:t>$2,482,447</w:t>
            </w:r>
          </w:p>
        </w:tc>
        <w:tc>
          <w:tcPr>
            <w:tcW w:w="1538" w:type="dxa"/>
            <w:noWrap/>
          </w:tcPr>
          <w:p w14:paraId="0ECE8277" w14:textId="5619DFDD" w:rsidR="00F14975" w:rsidRPr="00A06F1E" w:rsidRDefault="00653EC5">
            <w:pPr>
              <w:pStyle w:val="TableTextCentered"/>
              <w:rPr>
                <w:rFonts w:ascii="Franklin Gothic Book" w:hAnsi="Franklin Gothic Book"/>
              </w:rPr>
            </w:pPr>
            <w:r w:rsidRPr="00A06F1E">
              <w:t>—</w:t>
            </w:r>
          </w:p>
        </w:tc>
        <w:tc>
          <w:tcPr>
            <w:tcW w:w="1522" w:type="dxa"/>
          </w:tcPr>
          <w:p w14:paraId="236FC46E" w14:textId="77777777" w:rsidR="00F14975" w:rsidRPr="00A06F1E" w:rsidRDefault="00F14975">
            <w:pPr>
              <w:pStyle w:val="TableTextCentered"/>
              <w:rPr>
                <w:rFonts w:ascii="Franklin Gothic Book" w:hAnsi="Franklin Gothic Book" w:cs="Calibri"/>
              </w:rPr>
            </w:pPr>
            <w:r w:rsidRPr="00A06F1E">
              <w:t>$3,189,556</w:t>
            </w:r>
          </w:p>
        </w:tc>
      </w:tr>
      <w:tr w:rsidR="00F14975" w:rsidRPr="00A06F1E" w14:paraId="42923DFD" w14:textId="77777777">
        <w:tc>
          <w:tcPr>
            <w:tcW w:w="3682" w:type="dxa"/>
            <w:noWrap/>
            <w:hideMark/>
          </w:tcPr>
          <w:p w14:paraId="61B29178" w14:textId="77777777" w:rsidR="00F14975" w:rsidRPr="00A06F1E" w:rsidRDefault="00F14975">
            <w:pPr>
              <w:pStyle w:val="TableText"/>
            </w:pPr>
            <w:r w:rsidRPr="00A06F1E">
              <w:t>Over/under required (%)</w:t>
            </w:r>
          </w:p>
        </w:tc>
        <w:tc>
          <w:tcPr>
            <w:tcW w:w="1612" w:type="dxa"/>
            <w:noWrap/>
          </w:tcPr>
          <w:p w14:paraId="1A83A5CD" w14:textId="39ADF7AE" w:rsidR="00F14975" w:rsidRPr="00A06F1E" w:rsidRDefault="00653EC5">
            <w:pPr>
              <w:pStyle w:val="TableTextCentered"/>
            </w:pPr>
            <w:r w:rsidRPr="00A06F1E">
              <w:t>—</w:t>
            </w:r>
          </w:p>
        </w:tc>
        <w:tc>
          <w:tcPr>
            <w:tcW w:w="1718" w:type="dxa"/>
            <w:noWrap/>
          </w:tcPr>
          <w:p w14:paraId="477C70F4" w14:textId="77777777" w:rsidR="00F14975" w:rsidRPr="00A06F1E" w:rsidRDefault="00F14975">
            <w:pPr>
              <w:pStyle w:val="TableTextCentered"/>
            </w:pPr>
            <w:r w:rsidRPr="00A06F1E">
              <w:t>39.1%</w:t>
            </w:r>
          </w:p>
        </w:tc>
        <w:tc>
          <w:tcPr>
            <w:tcW w:w="1350" w:type="dxa"/>
            <w:noWrap/>
          </w:tcPr>
          <w:p w14:paraId="0C06256C" w14:textId="6203923E" w:rsidR="00F14975" w:rsidRPr="00A06F1E" w:rsidRDefault="00653EC5">
            <w:pPr>
              <w:pStyle w:val="TableTextCentered"/>
            </w:pPr>
            <w:r w:rsidRPr="00A06F1E">
              <w:t>—</w:t>
            </w:r>
          </w:p>
        </w:tc>
        <w:tc>
          <w:tcPr>
            <w:tcW w:w="1522" w:type="dxa"/>
            <w:noWrap/>
          </w:tcPr>
          <w:p w14:paraId="62D65F79" w14:textId="77777777" w:rsidR="00F14975" w:rsidRPr="00A06F1E" w:rsidRDefault="00F14975">
            <w:pPr>
              <w:pStyle w:val="TableTextCentered"/>
            </w:pPr>
            <w:r w:rsidRPr="00A06F1E">
              <w:t>30.3%</w:t>
            </w:r>
          </w:p>
        </w:tc>
        <w:tc>
          <w:tcPr>
            <w:tcW w:w="1538" w:type="dxa"/>
            <w:noWrap/>
          </w:tcPr>
          <w:p w14:paraId="55198A7C" w14:textId="3E0E5207" w:rsidR="00F14975" w:rsidRPr="00A06F1E" w:rsidRDefault="00653EC5">
            <w:pPr>
              <w:pStyle w:val="TableTextCentered"/>
            </w:pPr>
            <w:r w:rsidRPr="00A06F1E">
              <w:t>—</w:t>
            </w:r>
          </w:p>
        </w:tc>
        <w:tc>
          <w:tcPr>
            <w:tcW w:w="1522" w:type="dxa"/>
          </w:tcPr>
          <w:p w14:paraId="4FE2959B" w14:textId="77777777" w:rsidR="00F14975" w:rsidRPr="00A06F1E" w:rsidRDefault="00F14975">
            <w:pPr>
              <w:pStyle w:val="TableTextCentered"/>
            </w:pPr>
            <w:r w:rsidRPr="00A06F1E">
              <w:t>38.2%</w:t>
            </w:r>
          </w:p>
        </w:tc>
      </w:tr>
    </w:tbl>
    <w:p w14:paraId="7F60F536" w14:textId="466DB9E6" w:rsidR="00F14975" w:rsidRPr="00A06F1E" w:rsidRDefault="00F14975" w:rsidP="00F14975">
      <w:pPr>
        <w:pStyle w:val="TableNote"/>
      </w:pPr>
      <w:r w:rsidRPr="00A06F1E">
        <w:rPr>
          <w:i/>
          <w:iCs/>
        </w:rPr>
        <w:t>Note</w:t>
      </w:r>
      <w:r w:rsidRPr="00A06F1E">
        <w:t>. Data as of July 25, 2023</w:t>
      </w:r>
      <w:r w:rsidR="00CE343B" w:rsidRPr="00A06F1E">
        <w:t>,</w:t>
      </w:r>
      <w:r w:rsidRPr="00A06F1E">
        <w:t xml:space="preserve"> and sourced from </w:t>
      </w:r>
      <w:r w:rsidR="007A3C9E" w:rsidRPr="00A06F1E">
        <w:t xml:space="preserve">fiscal year </w:t>
      </w:r>
      <w:r w:rsidRPr="00A06F1E">
        <w:t>2022 district end-of-year reports and Chapter 70 program information on DESE website.</w:t>
      </w:r>
    </w:p>
    <w:p w14:paraId="45AC24CF" w14:textId="77777777" w:rsidR="00F14975" w:rsidRPr="00A06F1E" w:rsidRDefault="00F14975" w:rsidP="00F14975">
      <w:pPr>
        <w:pStyle w:val="TableNote"/>
      </w:pPr>
      <w:r w:rsidRPr="00A06F1E">
        <w:rPr>
          <w:vertAlign w:val="superscript"/>
        </w:rPr>
        <w:t xml:space="preserve">a </w:t>
      </w:r>
      <w:r w:rsidRPr="00A06F1E">
        <w:t xml:space="preserve">Chapter 70 state aid funds are deposited in the local general fund and spent as local appropriations. </w:t>
      </w:r>
      <w:r w:rsidRPr="00A06F1E">
        <w:rPr>
          <w:vertAlign w:val="superscript"/>
        </w:rPr>
        <w:t xml:space="preserve">b </w:t>
      </w:r>
      <w:r w:rsidRPr="00A06F1E">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780CED57" w14:textId="77777777" w:rsidR="00F14975" w:rsidRPr="00A06F1E" w:rsidRDefault="00F14975" w:rsidP="00F14975">
      <w:pPr>
        <w:pStyle w:val="TableNote"/>
      </w:pPr>
    </w:p>
    <w:p w14:paraId="22FA2223" w14:textId="77777777" w:rsidR="00F14975" w:rsidRPr="00A06F1E" w:rsidRDefault="00F14975" w:rsidP="00F14975">
      <w:pPr>
        <w:pStyle w:val="TableTitle0"/>
      </w:pPr>
    </w:p>
    <w:p w14:paraId="70FC522F" w14:textId="77777777" w:rsidR="00F14975" w:rsidRPr="00A06F1E" w:rsidRDefault="00F14975" w:rsidP="00F14975">
      <w:pPr>
        <w:pStyle w:val="TableTitle0"/>
        <w:sectPr w:rsidR="00F14975" w:rsidRPr="00A06F1E" w:rsidSect="00F14975">
          <w:pgSz w:w="15840" w:h="12240" w:orient="landscape" w:code="1"/>
          <w:pgMar w:top="1440" w:right="1440" w:bottom="1440" w:left="1440" w:header="720" w:footer="720" w:gutter="0"/>
          <w:cols w:space="720"/>
          <w:docGrid w:linePitch="360"/>
        </w:sectPr>
      </w:pPr>
    </w:p>
    <w:p w14:paraId="1AE9BB21" w14:textId="0A05E2AB" w:rsidR="00F14975" w:rsidRPr="00A06F1E" w:rsidRDefault="00F14975" w:rsidP="00F14975">
      <w:pPr>
        <w:pStyle w:val="TableTitle0"/>
        <w:spacing w:before="0"/>
      </w:pPr>
      <w:bookmarkStart w:id="236" w:name="_Toc170701944"/>
      <w:r w:rsidRPr="00A06F1E">
        <w:lastRenderedPageBreak/>
        <w:t>Table D</w:t>
      </w:r>
      <w:r w:rsidR="00EF4710" w:rsidRPr="00A06F1E">
        <w:t>5</w:t>
      </w:r>
      <w:r w:rsidR="00875252">
        <w:t>a</w:t>
      </w:r>
      <w:r w:rsidRPr="00A06F1E">
        <w:t>. Orange Public Schools: Expenditures Per In-District Pupil, Fiscal Years 2020-2022</w:t>
      </w:r>
      <w:bookmarkEnd w:id="236"/>
    </w:p>
    <w:tbl>
      <w:tblPr>
        <w:tblStyle w:val="MSVTable1"/>
        <w:tblW w:w="5000" w:type="pct"/>
        <w:tblLayout w:type="fixed"/>
        <w:tblLook w:val="0420" w:firstRow="1" w:lastRow="0" w:firstColumn="0" w:lastColumn="0" w:noHBand="0" w:noVBand="1"/>
      </w:tblPr>
      <w:tblGrid>
        <w:gridCol w:w="5246"/>
        <w:gridCol w:w="1366"/>
        <w:gridCol w:w="1366"/>
        <w:gridCol w:w="1366"/>
      </w:tblGrid>
      <w:tr w:rsidR="00F14975" w:rsidRPr="00A06F1E" w14:paraId="57910420" w14:textId="77777777">
        <w:trPr>
          <w:cnfStyle w:val="100000000000" w:firstRow="1" w:lastRow="0" w:firstColumn="0" w:lastColumn="0" w:oddVBand="0" w:evenVBand="0" w:oddHBand="0" w:evenHBand="0" w:firstRowFirstColumn="0" w:firstRowLastColumn="0" w:lastRowFirstColumn="0" w:lastRowLastColumn="0"/>
        </w:trPr>
        <w:tc>
          <w:tcPr>
            <w:tcW w:w="5246" w:type="dxa"/>
          </w:tcPr>
          <w:p w14:paraId="13BCA3C1" w14:textId="77777777" w:rsidR="00F14975" w:rsidRPr="00A06F1E" w:rsidRDefault="00F14975">
            <w:pPr>
              <w:pStyle w:val="TableColHeadingLeft"/>
            </w:pPr>
            <w:r w:rsidRPr="00A06F1E">
              <w:t>Expenditure category</w:t>
            </w:r>
          </w:p>
        </w:tc>
        <w:tc>
          <w:tcPr>
            <w:tcW w:w="1366" w:type="dxa"/>
          </w:tcPr>
          <w:p w14:paraId="46E2D085" w14:textId="77777777" w:rsidR="00F14975" w:rsidRPr="00A06F1E" w:rsidRDefault="00F14975">
            <w:pPr>
              <w:pStyle w:val="TableColHeadingCenter"/>
            </w:pPr>
            <w:r w:rsidRPr="00A06F1E">
              <w:t>2020</w:t>
            </w:r>
          </w:p>
        </w:tc>
        <w:tc>
          <w:tcPr>
            <w:tcW w:w="1366" w:type="dxa"/>
          </w:tcPr>
          <w:p w14:paraId="06665B02" w14:textId="77777777" w:rsidR="00F14975" w:rsidRPr="00A06F1E" w:rsidRDefault="00F14975">
            <w:pPr>
              <w:pStyle w:val="TableColHeadingCenter"/>
            </w:pPr>
            <w:r w:rsidRPr="00A06F1E">
              <w:t>2021</w:t>
            </w:r>
          </w:p>
        </w:tc>
        <w:tc>
          <w:tcPr>
            <w:tcW w:w="1366" w:type="dxa"/>
          </w:tcPr>
          <w:p w14:paraId="1FBE034A" w14:textId="77777777" w:rsidR="00F14975" w:rsidRPr="00A06F1E" w:rsidRDefault="00F14975">
            <w:pPr>
              <w:pStyle w:val="TableColHeadingCenter"/>
            </w:pPr>
            <w:r w:rsidRPr="00A06F1E">
              <w:t>2022</w:t>
            </w:r>
          </w:p>
        </w:tc>
      </w:tr>
      <w:tr w:rsidR="00F14975" w:rsidRPr="00A06F1E" w14:paraId="0423D5A9"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71581C15" w14:textId="77777777" w:rsidR="00F14975" w:rsidRPr="00A06F1E" w:rsidRDefault="00F14975">
            <w:pPr>
              <w:pStyle w:val="TableText"/>
            </w:pPr>
            <w:r w:rsidRPr="00A06F1E">
              <w:t>Administration</w:t>
            </w:r>
          </w:p>
        </w:tc>
        <w:tc>
          <w:tcPr>
            <w:tcW w:w="1366" w:type="dxa"/>
          </w:tcPr>
          <w:p w14:paraId="5C3A5760" w14:textId="77777777" w:rsidR="00F14975" w:rsidRPr="00A06F1E" w:rsidRDefault="00F14975">
            <w:pPr>
              <w:pStyle w:val="TableTextCentered"/>
            </w:pPr>
            <w:r w:rsidRPr="00A06F1E">
              <w:t>$725</w:t>
            </w:r>
          </w:p>
        </w:tc>
        <w:tc>
          <w:tcPr>
            <w:tcW w:w="1366" w:type="dxa"/>
          </w:tcPr>
          <w:p w14:paraId="4536E08E" w14:textId="77777777" w:rsidR="00F14975" w:rsidRPr="00A06F1E" w:rsidRDefault="00F14975">
            <w:pPr>
              <w:pStyle w:val="TableTextCentered"/>
            </w:pPr>
            <w:r w:rsidRPr="00A06F1E">
              <w:t>$799</w:t>
            </w:r>
          </w:p>
        </w:tc>
        <w:tc>
          <w:tcPr>
            <w:tcW w:w="1366" w:type="dxa"/>
          </w:tcPr>
          <w:p w14:paraId="655189E4" w14:textId="77777777" w:rsidR="00F14975" w:rsidRPr="00A06F1E" w:rsidRDefault="00F14975">
            <w:pPr>
              <w:pStyle w:val="TableTextCentered"/>
            </w:pPr>
            <w:r w:rsidRPr="00A06F1E">
              <w:t>$704</w:t>
            </w:r>
          </w:p>
        </w:tc>
      </w:tr>
      <w:tr w:rsidR="00F14975" w:rsidRPr="00A06F1E" w14:paraId="2601773C" w14:textId="77777777">
        <w:tc>
          <w:tcPr>
            <w:tcW w:w="5246" w:type="dxa"/>
          </w:tcPr>
          <w:p w14:paraId="6DC86219" w14:textId="77777777" w:rsidR="00F14975" w:rsidRPr="00A06F1E" w:rsidRDefault="00F14975">
            <w:pPr>
              <w:pStyle w:val="TableText"/>
            </w:pPr>
            <w:r w:rsidRPr="00A06F1E">
              <w:t>Instructional leadership (district and school)</w:t>
            </w:r>
          </w:p>
        </w:tc>
        <w:tc>
          <w:tcPr>
            <w:tcW w:w="1366" w:type="dxa"/>
          </w:tcPr>
          <w:p w14:paraId="3B6851A4" w14:textId="77777777" w:rsidR="00F14975" w:rsidRPr="00A06F1E" w:rsidRDefault="00F14975">
            <w:pPr>
              <w:pStyle w:val="TableTextCentered"/>
            </w:pPr>
            <w:r w:rsidRPr="00A06F1E">
              <w:t>$1,065</w:t>
            </w:r>
          </w:p>
        </w:tc>
        <w:tc>
          <w:tcPr>
            <w:tcW w:w="1366" w:type="dxa"/>
          </w:tcPr>
          <w:p w14:paraId="2C10E476" w14:textId="77777777" w:rsidR="00F14975" w:rsidRPr="00A06F1E" w:rsidRDefault="00F14975">
            <w:pPr>
              <w:pStyle w:val="TableTextCentered"/>
            </w:pPr>
            <w:r w:rsidRPr="00A06F1E">
              <w:t>$1,114</w:t>
            </w:r>
          </w:p>
        </w:tc>
        <w:tc>
          <w:tcPr>
            <w:tcW w:w="1366" w:type="dxa"/>
          </w:tcPr>
          <w:p w14:paraId="1F193B37" w14:textId="77777777" w:rsidR="00F14975" w:rsidRPr="00A06F1E" w:rsidRDefault="00F14975">
            <w:pPr>
              <w:pStyle w:val="TableTextCentered"/>
            </w:pPr>
            <w:r w:rsidRPr="00A06F1E">
              <w:t>$1,002</w:t>
            </w:r>
          </w:p>
        </w:tc>
      </w:tr>
      <w:tr w:rsidR="00F14975" w:rsidRPr="00A06F1E" w14:paraId="4D6DA0E1"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214812DD" w14:textId="77777777" w:rsidR="00F14975" w:rsidRPr="00A06F1E" w:rsidRDefault="00F14975">
            <w:pPr>
              <w:pStyle w:val="TableText"/>
            </w:pPr>
            <w:r w:rsidRPr="00A06F1E">
              <w:t>Teachers</w:t>
            </w:r>
          </w:p>
        </w:tc>
        <w:tc>
          <w:tcPr>
            <w:tcW w:w="1366" w:type="dxa"/>
          </w:tcPr>
          <w:p w14:paraId="6508687F" w14:textId="77777777" w:rsidR="00F14975" w:rsidRPr="00A06F1E" w:rsidRDefault="00F14975">
            <w:pPr>
              <w:pStyle w:val="TableTextCentered"/>
            </w:pPr>
            <w:r w:rsidRPr="00A06F1E">
              <w:t>$4,957</w:t>
            </w:r>
          </w:p>
        </w:tc>
        <w:tc>
          <w:tcPr>
            <w:tcW w:w="1366" w:type="dxa"/>
          </w:tcPr>
          <w:p w14:paraId="0E9DC388" w14:textId="77777777" w:rsidR="00F14975" w:rsidRPr="00A06F1E" w:rsidRDefault="00F14975">
            <w:pPr>
              <w:pStyle w:val="TableTextCentered"/>
            </w:pPr>
            <w:r w:rsidRPr="00A06F1E">
              <w:t>$6,205</w:t>
            </w:r>
          </w:p>
        </w:tc>
        <w:tc>
          <w:tcPr>
            <w:tcW w:w="1366" w:type="dxa"/>
          </w:tcPr>
          <w:p w14:paraId="5562E164" w14:textId="77777777" w:rsidR="00F14975" w:rsidRPr="00A06F1E" w:rsidRDefault="00F14975">
            <w:pPr>
              <w:pStyle w:val="TableTextCentered"/>
            </w:pPr>
            <w:r w:rsidRPr="00A06F1E">
              <w:t>$6,163</w:t>
            </w:r>
          </w:p>
        </w:tc>
      </w:tr>
      <w:tr w:rsidR="00F14975" w:rsidRPr="00A06F1E" w14:paraId="3AA713FD" w14:textId="77777777">
        <w:tc>
          <w:tcPr>
            <w:tcW w:w="5246" w:type="dxa"/>
          </w:tcPr>
          <w:p w14:paraId="01C1B2A1" w14:textId="77777777" w:rsidR="00F14975" w:rsidRPr="00A06F1E" w:rsidDel="00DB21D5" w:rsidRDefault="00F14975">
            <w:pPr>
              <w:pStyle w:val="TableText"/>
            </w:pPr>
            <w:r w:rsidRPr="00A06F1E">
              <w:t>Other teaching services</w:t>
            </w:r>
          </w:p>
        </w:tc>
        <w:tc>
          <w:tcPr>
            <w:tcW w:w="1366" w:type="dxa"/>
          </w:tcPr>
          <w:p w14:paraId="7EEE8AA0" w14:textId="77777777" w:rsidR="00F14975" w:rsidRPr="00A06F1E" w:rsidRDefault="00F14975">
            <w:pPr>
              <w:pStyle w:val="TableTextCentered"/>
            </w:pPr>
            <w:r w:rsidRPr="00A06F1E">
              <w:t>$2,662</w:t>
            </w:r>
          </w:p>
        </w:tc>
        <w:tc>
          <w:tcPr>
            <w:tcW w:w="1366" w:type="dxa"/>
          </w:tcPr>
          <w:p w14:paraId="2049088D" w14:textId="77777777" w:rsidR="00F14975" w:rsidRPr="00A06F1E" w:rsidRDefault="00F14975">
            <w:pPr>
              <w:pStyle w:val="TableTextCentered"/>
            </w:pPr>
            <w:r w:rsidRPr="00A06F1E">
              <w:t>$2,136</w:t>
            </w:r>
          </w:p>
        </w:tc>
        <w:tc>
          <w:tcPr>
            <w:tcW w:w="1366" w:type="dxa"/>
          </w:tcPr>
          <w:p w14:paraId="2CD9CD55" w14:textId="77777777" w:rsidR="00F14975" w:rsidRPr="00A06F1E" w:rsidRDefault="00F14975">
            <w:pPr>
              <w:pStyle w:val="TableTextCentered"/>
            </w:pPr>
            <w:r w:rsidRPr="00A06F1E">
              <w:t>$2,322</w:t>
            </w:r>
          </w:p>
        </w:tc>
      </w:tr>
      <w:tr w:rsidR="00F14975" w:rsidRPr="00A06F1E" w14:paraId="5F658804"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36B6B025" w14:textId="071E6B10" w:rsidR="00F14975" w:rsidRPr="00A06F1E" w:rsidRDefault="00F14975">
            <w:pPr>
              <w:pStyle w:val="TableText"/>
            </w:pPr>
            <w:r w:rsidRPr="00A06F1E">
              <w:t>Professional development</w:t>
            </w:r>
          </w:p>
        </w:tc>
        <w:tc>
          <w:tcPr>
            <w:tcW w:w="1366" w:type="dxa"/>
          </w:tcPr>
          <w:p w14:paraId="1990501D" w14:textId="77777777" w:rsidR="00F14975" w:rsidRPr="00A06F1E" w:rsidRDefault="00F14975">
            <w:pPr>
              <w:pStyle w:val="TableTextCentered"/>
            </w:pPr>
            <w:r w:rsidRPr="00A06F1E">
              <w:t>$101</w:t>
            </w:r>
          </w:p>
        </w:tc>
        <w:tc>
          <w:tcPr>
            <w:tcW w:w="1366" w:type="dxa"/>
          </w:tcPr>
          <w:p w14:paraId="505E25C0" w14:textId="77777777" w:rsidR="00F14975" w:rsidRPr="00A06F1E" w:rsidRDefault="00F14975">
            <w:pPr>
              <w:pStyle w:val="TableTextCentered"/>
            </w:pPr>
            <w:r w:rsidRPr="00A06F1E">
              <w:t>$169</w:t>
            </w:r>
          </w:p>
        </w:tc>
        <w:tc>
          <w:tcPr>
            <w:tcW w:w="1366" w:type="dxa"/>
          </w:tcPr>
          <w:p w14:paraId="46DB1FF3" w14:textId="77777777" w:rsidR="00F14975" w:rsidRPr="00A06F1E" w:rsidRDefault="00F14975">
            <w:pPr>
              <w:pStyle w:val="TableTextCentered"/>
            </w:pPr>
            <w:r w:rsidRPr="00A06F1E">
              <w:t>$120</w:t>
            </w:r>
          </w:p>
        </w:tc>
      </w:tr>
      <w:tr w:rsidR="00F14975" w:rsidRPr="00A06F1E" w14:paraId="16C336BC" w14:textId="77777777">
        <w:tc>
          <w:tcPr>
            <w:tcW w:w="5246" w:type="dxa"/>
          </w:tcPr>
          <w:p w14:paraId="551FDA04" w14:textId="77777777" w:rsidR="00F14975" w:rsidRPr="00A06F1E" w:rsidRDefault="00F14975">
            <w:pPr>
              <w:pStyle w:val="TableText"/>
            </w:pPr>
            <w:r w:rsidRPr="00A06F1E">
              <w:t>Instructional materials, equipment, and technology</w:t>
            </w:r>
          </w:p>
        </w:tc>
        <w:tc>
          <w:tcPr>
            <w:tcW w:w="1366" w:type="dxa"/>
          </w:tcPr>
          <w:p w14:paraId="41FBC01E" w14:textId="77777777" w:rsidR="00F14975" w:rsidRPr="00A06F1E" w:rsidRDefault="00F14975">
            <w:pPr>
              <w:pStyle w:val="TableTextCentered"/>
            </w:pPr>
            <w:r w:rsidRPr="00A06F1E">
              <w:t>$161</w:t>
            </w:r>
          </w:p>
        </w:tc>
        <w:tc>
          <w:tcPr>
            <w:tcW w:w="1366" w:type="dxa"/>
          </w:tcPr>
          <w:p w14:paraId="7206119E" w14:textId="77777777" w:rsidR="00F14975" w:rsidRPr="00A06F1E" w:rsidRDefault="00F14975">
            <w:pPr>
              <w:pStyle w:val="TableTextCentered"/>
            </w:pPr>
            <w:r w:rsidRPr="00A06F1E">
              <w:t>$996</w:t>
            </w:r>
          </w:p>
        </w:tc>
        <w:tc>
          <w:tcPr>
            <w:tcW w:w="1366" w:type="dxa"/>
          </w:tcPr>
          <w:p w14:paraId="6DDEC89E" w14:textId="77777777" w:rsidR="00F14975" w:rsidRPr="00A06F1E" w:rsidRDefault="00F14975">
            <w:pPr>
              <w:pStyle w:val="TableTextCentered"/>
            </w:pPr>
            <w:r w:rsidRPr="00A06F1E">
              <w:t>$695</w:t>
            </w:r>
          </w:p>
        </w:tc>
      </w:tr>
      <w:tr w:rsidR="00F14975" w:rsidRPr="00A06F1E" w14:paraId="2DC8767E"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5A177BF9" w14:textId="77777777" w:rsidR="00F14975" w:rsidRPr="00A06F1E" w:rsidRDefault="00F14975">
            <w:pPr>
              <w:pStyle w:val="TableText"/>
            </w:pPr>
            <w:r w:rsidRPr="00A06F1E">
              <w:t>Guidance, counseling, and testing services</w:t>
            </w:r>
          </w:p>
        </w:tc>
        <w:tc>
          <w:tcPr>
            <w:tcW w:w="1366" w:type="dxa"/>
          </w:tcPr>
          <w:p w14:paraId="51FBE9B4" w14:textId="77777777" w:rsidR="00F14975" w:rsidRPr="00A06F1E" w:rsidRDefault="00F14975">
            <w:pPr>
              <w:pStyle w:val="TableTextCentered"/>
            </w:pPr>
            <w:r w:rsidRPr="00A06F1E">
              <w:t>$485</w:t>
            </w:r>
          </w:p>
        </w:tc>
        <w:tc>
          <w:tcPr>
            <w:tcW w:w="1366" w:type="dxa"/>
          </w:tcPr>
          <w:p w14:paraId="48418DF5" w14:textId="77777777" w:rsidR="00F14975" w:rsidRPr="00A06F1E" w:rsidRDefault="00F14975">
            <w:pPr>
              <w:pStyle w:val="TableTextCentered"/>
            </w:pPr>
            <w:r w:rsidRPr="00A06F1E">
              <w:t>$728</w:t>
            </w:r>
          </w:p>
        </w:tc>
        <w:tc>
          <w:tcPr>
            <w:tcW w:w="1366" w:type="dxa"/>
          </w:tcPr>
          <w:p w14:paraId="15EFDB9B" w14:textId="77777777" w:rsidR="00F14975" w:rsidRPr="00A06F1E" w:rsidRDefault="00F14975">
            <w:pPr>
              <w:pStyle w:val="TableTextCentered"/>
            </w:pPr>
            <w:r w:rsidRPr="00A06F1E">
              <w:t>$444</w:t>
            </w:r>
          </w:p>
        </w:tc>
      </w:tr>
      <w:tr w:rsidR="00F14975" w:rsidRPr="00A06F1E" w14:paraId="01F18CD7" w14:textId="77777777">
        <w:tc>
          <w:tcPr>
            <w:tcW w:w="5246" w:type="dxa"/>
          </w:tcPr>
          <w:p w14:paraId="7E76878D" w14:textId="77777777" w:rsidR="00F14975" w:rsidRPr="00A06F1E" w:rsidRDefault="00F14975">
            <w:pPr>
              <w:pStyle w:val="TableText"/>
            </w:pPr>
            <w:r w:rsidRPr="00A06F1E">
              <w:t>Pupil services</w:t>
            </w:r>
          </w:p>
        </w:tc>
        <w:tc>
          <w:tcPr>
            <w:tcW w:w="1366" w:type="dxa"/>
          </w:tcPr>
          <w:p w14:paraId="243B2CE0" w14:textId="77777777" w:rsidR="00F14975" w:rsidRPr="00A06F1E" w:rsidRDefault="00F14975">
            <w:pPr>
              <w:pStyle w:val="TableTextCentered"/>
            </w:pPr>
            <w:r w:rsidRPr="00A06F1E">
              <w:t>$1,701</w:t>
            </w:r>
          </w:p>
        </w:tc>
        <w:tc>
          <w:tcPr>
            <w:tcW w:w="1366" w:type="dxa"/>
          </w:tcPr>
          <w:p w14:paraId="0D356292" w14:textId="77777777" w:rsidR="00F14975" w:rsidRPr="00A06F1E" w:rsidRDefault="00F14975">
            <w:pPr>
              <w:pStyle w:val="TableTextCentered"/>
            </w:pPr>
            <w:r w:rsidRPr="00A06F1E">
              <w:t>$2,208</w:t>
            </w:r>
          </w:p>
        </w:tc>
        <w:tc>
          <w:tcPr>
            <w:tcW w:w="1366" w:type="dxa"/>
          </w:tcPr>
          <w:p w14:paraId="541342AB" w14:textId="77777777" w:rsidR="00F14975" w:rsidRPr="00A06F1E" w:rsidRDefault="00F14975">
            <w:pPr>
              <w:pStyle w:val="TableTextCentered"/>
            </w:pPr>
            <w:r w:rsidRPr="00A06F1E">
              <w:t>$2,601</w:t>
            </w:r>
          </w:p>
        </w:tc>
      </w:tr>
      <w:tr w:rsidR="00F14975" w:rsidRPr="00A06F1E" w14:paraId="655398FD"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2AB4CB1B" w14:textId="77777777" w:rsidR="00F14975" w:rsidRPr="00A06F1E" w:rsidRDefault="00F14975">
            <w:pPr>
              <w:pStyle w:val="TableText"/>
            </w:pPr>
            <w:r w:rsidRPr="00A06F1E">
              <w:t>Operations and maintenance</w:t>
            </w:r>
          </w:p>
        </w:tc>
        <w:tc>
          <w:tcPr>
            <w:tcW w:w="1366" w:type="dxa"/>
          </w:tcPr>
          <w:p w14:paraId="74E08AB9" w14:textId="77777777" w:rsidR="00F14975" w:rsidRPr="00A06F1E" w:rsidRDefault="00F14975">
            <w:pPr>
              <w:pStyle w:val="TableTextCentered"/>
            </w:pPr>
            <w:r w:rsidRPr="00A06F1E">
              <w:t>$702</w:t>
            </w:r>
          </w:p>
        </w:tc>
        <w:tc>
          <w:tcPr>
            <w:tcW w:w="1366" w:type="dxa"/>
          </w:tcPr>
          <w:p w14:paraId="6536C9B9" w14:textId="77777777" w:rsidR="00F14975" w:rsidRPr="00A06F1E" w:rsidRDefault="00F14975">
            <w:pPr>
              <w:pStyle w:val="TableTextCentered"/>
            </w:pPr>
            <w:r w:rsidRPr="00A06F1E">
              <w:t>$735</w:t>
            </w:r>
          </w:p>
        </w:tc>
        <w:tc>
          <w:tcPr>
            <w:tcW w:w="1366" w:type="dxa"/>
          </w:tcPr>
          <w:p w14:paraId="01E5BB6B" w14:textId="77777777" w:rsidR="00F14975" w:rsidRPr="00A06F1E" w:rsidRDefault="00F14975">
            <w:pPr>
              <w:pStyle w:val="TableTextCentered"/>
            </w:pPr>
            <w:r w:rsidRPr="00A06F1E">
              <w:t>$738</w:t>
            </w:r>
          </w:p>
        </w:tc>
      </w:tr>
      <w:tr w:rsidR="00F14975" w:rsidRPr="00A06F1E" w14:paraId="57CB18A5" w14:textId="77777777">
        <w:tc>
          <w:tcPr>
            <w:tcW w:w="5246" w:type="dxa"/>
          </w:tcPr>
          <w:p w14:paraId="532106B1" w14:textId="77777777" w:rsidR="00F14975" w:rsidRPr="00A06F1E" w:rsidRDefault="00F14975">
            <w:pPr>
              <w:pStyle w:val="TableText"/>
            </w:pPr>
            <w:r w:rsidRPr="00A06F1E">
              <w:t>Insurance, retirement, and other fixed costs</w:t>
            </w:r>
          </w:p>
        </w:tc>
        <w:tc>
          <w:tcPr>
            <w:tcW w:w="1366" w:type="dxa"/>
          </w:tcPr>
          <w:p w14:paraId="350A8A8B" w14:textId="77777777" w:rsidR="00F14975" w:rsidRPr="00A06F1E" w:rsidRDefault="00F14975">
            <w:pPr>
              <w:pStyle w:val="TableTextCentered"/>
            </w:pPr>
            <w:r w:rsidRPr="00A06F1E">
              <w:t>$2,561</w:t>
            </w:r>
          </w:p>
        </w:tc>
        <w:tc>
          <w:tcPr>
            <w:tcW w:w="1366" w:type="dxa"/>
          </w:tcPr>
          <w:p w14:paraId="7071D2F4" w14:textId="77777777" w:rsidR="00F14975" w:rsidRPr="00A06F1E" w:rsidRDefault="00F14975">
            <w:pPr>
              <w:pStyle w:val="TableTextCentered"/>
            </w:pPr>
            <w:r w:rsidRPr="00A06F1E">
              <w:t>$3,026</w:t>
            </w:r>
          </w:p>
        </w:tc>
        <w:tc>
          <w:tcPr>
            <w:tcW w:w="1366" w:type="dxa"/>
          </w:tcPr>
          <w:p w14:paraId="59B6E063" w14:textId="77777777" w:rsidR="00F14975" w:rsidRPr="00A06F1E" w:rsidRDefault="00F14975">
            <w:pPr>
              <w:pStyle w:val="TableTextCentered"/>
            </w:pPr>
            <w:r w:rsidRPr="00A06F1E">
              <w:t>$2,700</w:t>
            </w:r>
          </w:p>
        </w:tc>
      </w:tr>
      <w:tr w:rsidR="00F14975" w:rsidRPr="00A06F1E" w14:paraId="2F1BB5AD"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257D5440" w14:textId="77777777" w:rsidR="00F14975" w:rsidRPr="00A06F1E" w:rsidRDefault="00F14975">
            <w:pPr>
              <w:pStyle w:val="TableText"/>
            </w:pPr>
            <w:r w:rsidRPr="00A06F1E">
              <w:t>Total expenditures per in-district pupil</w:t>
            </w:r>
          </w:p>
        </w:tc>
        <w:tc>
          <w:tcPr>
            <w:tcW w:w="1366" w:type="dxa"/>
          </w:tcPr>
          <w:p w14:paraId="5415DAB7" w14:textId="77777777" w:rsidR="00F14975" w:rsidRPr="00A06F1E" w:rsidRDefault="00F14975">
            <w:pPr>
              <w:pStyle w:val="TableTextCentered"/>
            </w:pPr>
            <w:r w:rsidRPr="00A06F1E">
              <w:t>$15,120</w:t>
            </w:r>
          </w:p>
        </w:tc>
        <w:tc>
          <w:tcPr>
            <w:tcW w:w="1366" w:type="dxa"/>
          </w:tcPr>
          <w:p w14:paraId="6574728C" w14:textId="77777777" w:rsidR="00F14975" w:rsidRPr="00A06F1E" w:rsidRDefault="00F14975">
            <w:pPr>
              <w:pStyle w:val="TableTextCentered"/>
            </w:pPr>
            <w:r w:rsidRPr="00A06F1E">
              <w:t>$18,114</w:t>
            </w:r>
          </w:p>
        </w:tc>
        <w:tc>
          <w:tcPr>
            <w:tcW w:w="1366" w:type="dxa"/>
          </w:tcPr>
          <w:p w14:paraId="3F5B5D6B" w14:textId="77777777" w:rsidR="00F14975" w:rsidRPr="00A06F1E" w:rsidRDefault="00F14975">
            <w:pPr>
              <w:pStyle w:val="TableTextCentered"/>
            </w:pPr>
            <w:r w:rsidRPr="00A06F1E">
              <w:t>$17,489</w:t>
            </w:r>
          </w:p>
        </w:tc>
      </w:tr>
    </w:tbl>
    <w:p w14:paraId="55158596" w14:textId="77777777" w:rsidR="00F14975" w:rsidRPr="00A06F1E" w:rsidRDefault="00F14975" w:rsidP="00F14975">
      <w:pPr>
        <w:pStyle w:val="TableNote"/>
        <w:spacing w:before="80"/>
        <w:rPr>
          <w:szCs w:val="20"/>
        </w:rPr>
      </w:pPr>
      <w:r w:rsidRPr="00A06F1E">
        <w:rPr>
          <w:i/>
          <w:iCs/>
          <w:szCs w:val="20"/>
        </w:rPr>
        <w:t>Note</w:t>
      </w:r>
      <w:r w:rsidRPr="00A06F1E">
        <w:rPr>
          <w:szCs w:val="20"/>
        </w:rPr>
        <w:t>. Any discrepancy between expenditures and total is because of rounding. Data are from</w:t>
      </w:r>
      <w:r w:rsidRPr="00A06F1E">
        <w:rPr>
          <w:rStyle w:val="Hyperlink"/>
          <w:rFonts w:eastAsiaTheme="minorHAnsi"/>
        </w:rPr>
        <w:t xml:space="preserve"> </w:t>
      </w:r>
      <w:hyperlink r:id="rId106" w:history="1">
        <w:r w:rsidRPr="00A06F1E">
          <w:rPr>
            <w:rStyle w:val="Hyperlink"/>
            <w:rFonts w:eastAsiaTheme="minorHAnsi"/>
          </w:rPr>
          <w:t>https://www.doe.mass.edu/finance/statistics/per-pupil-exp.xlsx</w:t>
        </w:r>
      </w:hyperlink>
      <w:r w:rsidRPr="00A06F1E">
        <w:rPr>
          <w:szCs w:val="20"/>
        </w:rPr>
        <w:t>.</w:t>
      </w:r>
    </w:p>
    <w:p w14:paraId="35B2C03B" w14:textId="77777777" w:rsidR="00F14975" w:rsidRPr="00A06F1E" w:rsidRDefault="00F14975" w:rsidP="00F14975">
      <w:pPr>
        <w:pStyle w:val="TableNote"/>
        <w:spacing w:before="80"/>
        <w:rPr>
          <w:szCs w:val="20"/>
        </w:rPr>
      </w:pPr>
    </w:p>
    <w:p w14:paraId="25857120" w14:textId="1ED5679B" w:rsidR="00F14975" w:rsidRPr="00A06F1E" w:rsidRDefault="00F14975" w:rsidP="00F14975">
      <w:pPr>
        <w:pStyle w:val="TableTitle0"/>
        <w:spacing w:before="0"/>
      </w:pPr>
      <w:bookmarkStart w:id="237" w:name="_Toc170701945"/>
      <w:r w:rsidRPr="00A06F1E">
        <w:t>Table D</w:t>
      </w:r>
      <w:r w:rsidR="00EF4710" w:rsidRPr="00A06F1E">
        <w:t>5</w:t>
      </w:r>
      <w:r w:rsidR="00875252">
        <w:t>b</w:t>
      </w:r>
      <w:r w:rsidRPr="00A06F1E">
        <w:t xml:space="preserve">. </w:t>
      </w:r>
      <w:proofErr w:type="spellStart"/>
      <w:r w:rsidRPr="00A06F1E">
        <w:t>Petersham</w:t>
      </w:r>
      <w:proofErr w:type="spellEnd"/>
      <w:r w:rsidRPr="00A06F1E">
        <w:t xml:space="preserve"> Public Schools: Expenditures Per In-District Pupil, Fiscal Years 2020-2022</w:t>
      </w:r>
      <w:bookmarkEnd w:id="237"/>
    </w:p>
    <w:tbl>
      <w:tblPr>
        <w:tblStyle w:val="MSVTable1"/>
        <w:tblW w:w="5000" w:type="pct"/>
        <w:tblLayout w:type="fixed"/>
        <w:tblLook w:val="0420" w:firstRow="1" w:lastRow="0" w:firstColumn="0" w:lastColumn="0" w:noHBand="0" w:noVBand="1"/>
      </w:tblPr>
      <w:tblGrid>
        <w:gridCol w:w="5246"/>
        <w:gridCol w:w="1366"/>
        <w:gridCol w:w="1366"/>
        <w:gridCol w:w="1366"/>
      </w:tblGrid>
      <w:tr w:rsidR="00F14975" w:rsidRPr="00A06F1E" w14:paraId="4BDCB512" w14:textId="77777777">
        <w:trPr>
          <w:cnfStyle w:val="100000000000" w:firstRow="1" w:lastRow="0" w:firstColumn="0" w:lastColumn="0" w:oddVBand="0" w:evenVBand="0" w:oddHBand="0" w:evenHBand="0" w:firstRowFirstColumn="0" w:firstRowLastColumn="0" w:lastRowFirstColumn="0" w:lastRowLastColumn="0"/>
        </w:trPr>
        <w:tc>
          <w:tcPr>
            <w:tcW w:w="5246" w:type="dxa"/>
          </w:tcPr>
          <w:p w14:paraId="0B519C5D" w14:textId="77777777" w:rsidR="00F14975" w:rsidRPr="00A06F1E" w:rsidRDefault="00F14975">
            <w:pPr>
              <w:pStyle w:val="TableColHeadingLeft"/>
            </w:pPr>
            <w:r w:rsidRPr="00A06F1E">
              <w:t>Expenditure category</w:t>
            </w:r>
          </w:p>
        </w:tc>
        <w:tc>
          <w:tcPr>
            <w:tcW w:w="1366" w:type="dxa"/>
          </w:tcPr>
          <w:p w14:paraId="54E8570D" w14:textId="77777777" w:rsidR="00F14975" w:rsidRPr="00A06F1E" w:rsidRDefault="00F14975">
            <w:pPr>
              <w:pStyle w:val="TableColHeadingCenter"/>
            </w:pPr>
            <w:r w:rsidRPr="00A06F1E">
              <w:t>2020</w:t>
            </w:r>
          </w:p>
        </w:tc>
        <w:tc>
          <w:tcPr>
            <w:tcW w:w="1366" w:type="dxa"/>
          </w:tcPr>
          <w:p w14:paraId="7060818F" w14:textId="77777777" w:rsidR="00F14975" w:rsidRPr="00A06F1E" w:rsidRDefault="00F14975">
            <w:pPr>
              <w:pStyle w:val="TableColHeadingCenter"/>
            </w:pPr>
            <w:r w:rsidRPr="00A06F1E">
              <w:t>2021</w:t>
            </w:r>
          </w:p>
        </w:tc>
        <w:tc>
          <w:tcPr>
            <w:tcW w:w="1366" w:type="dxa"/>
          </w:tcPr>
          <w:p w14:paraId="4157441C" w14:textId="77777777" w:rsidR="00F14975" w:rsidRPr="00A06F1E" w:rsidRDefault="00F14975">
            <w:pPr>
              <w:pStyle w:val="TableColHeadingCenter"/>
            </w:pPr>
            <w:r w:rsidRPr="00A06F1E">
              <w:t>2022</w:t>
            </w:r>
          </w:p>
        </w:tc>
      </w:tr>
      <w:tr w:rsidR="00F14975" w:rsidRPr="00A06F1E" w14:paraId="1EBA2D56"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6D1B57A4" w14:textId="77777777" w:rsidR="00F14975" w:rsidRPr="00A06F1E" w:rsidRDefault="00F14975">
            <w:pPr>
              <w:pStyle w:val="TableText"/>
            </w:pPr>
            <w:r w:rsidRPr="00A06F1E">
              <w:t>Administration</w:t>
            </w:r>
          </w:p>
        </w:tc>
        <w:tc>
          <w:tcPr>
            <w:tcW w:w="1366" w:type="dxa"/>
          </w:tcPr>
          <w:p w14:paraId="4CFE2231" w14:textId="77777777" w:rsidR="00F14975" w:rsidRPr="00A06F1E" w:rsidRDefault="00F14975">
            <w:pPr>
              <w:pStyle w:val="TableTextCentered"/>
            </w:pPr>
            <w:r w:rsidRPr="00A06F1E">
              <w:t>$498</w:t>
            </w:r>
          </w:p>
        </w:tc>
        <w:tc>
          <w:tcPr>
            <w:tcW w:w="1366" w:type="dxa"/>
          </w:tcPr>
          <w:p w14:paraId="4C729621" w14:textId="77777777" w:rsidR="00F14975" w:rsidRPr="00A06F1E" w:rsidRDefault="00F14975">
            <w:pPr>
              <w:pStyle w:val="TableTextCentered"/>
            </w:pPr>
            <w:r w:rsidRPr="00A06F1E">
              <w:t>$817</w:t>
            </w:r>
          </w:p>
        </w:tc>
        <w:tc>
          <w:tcPr>
            <w:tcW w:w="1366" w:type="dxa"/>
          </w:tcPr>
          <w:p w14:paraId="62F65224" w14:textId="77777777" w:rsidR="00F14975" w:rsidRPr="00A06F1E" w:rsidRDefault="00F14975">
            <w:pPr>
              <w:pStyle w:val="TableTextCentered"/>
            </w:pPr>
            <w:r w:rsidRPr="00A06F1E">
              <w:t>$618</w:t>
            </w:r>
          </w:p>
        </w:tc>
      </w:tr>
      <w:tr w:rsidR="00F14975" w:rsidRPr="00A06F1E" w14:paraId="1AFFCF19" w14:textId="77777777">
        <w:tc>
          <w:tcPr>
            <w:tcW w:w="5246" w:type="dxa"/>
          </w:tcPr>
          <w:p w14:paraId="6769F230" w14:textId="77777777" w:rsidR="00F14975" w:rsidRPr="00A06F1E" w:rsidRDefault="00F14975">
            <w:pPr>
              <w:pStyle w:val="TableText"/>
            </w:pPr>
            <w:r w:rsidRPr="00A06F1E">
              <w:t>Instructional leadership (district and school)</w:t>
            </w:r>
          </w:p>
        </w:tc>
        <w:tc>
          <w:tcPr>
            <w:tcW w:w="1366" w:type="dxa"/>
          </w:tcPr>
          <w:p w14:paraId="667D133F" w14:textId="77777777" w:rsidR="00F14975" w:rsidRPr="00A06F1E" w:rsidRDefault="00F14975">
            <w:pPr>
              <w:pStyle w:val="TableTextCentered"/>
            </w:pPr>
            <w:r w:rsidRPr="00A06F1E">
              <w:t>$1,516</w:t>
            </w:r>
          </w:p>
        </w:tc>
        <w:tc>
          <w:tcPr>
            <w:tcW w:w="1366" w:type="dxa"/>
          </w:tcPr>
          <w:p w14:paraId="675842BB" w14:textId="77777777" w:rsidR="00F14975" w:rsidRPr="00A06F1E" w:rsidRDefault="00F14975">
            <w:pPr>
              <w:pStyle w:val="TableTextCentered"/>
            </w:pPr>
            <w:r w:rsidRPr="00A06F1E">
              <w:t>$1,444</w:t>
            </w:r>
          </w:p>
        </w:tc>
        <w:tc>
          <w:tcPr>
            <w:tcW w:w="1366" w:type="dxa"/>
          </w:tcPr>
          <w:p w14:paraId="400500E3" w14:textId="77777777" w:rsidR="00F14975" w:rsidRPr="00A06F1E" w:rsidRDefault="00F14975">
            <w:pPr>
              <w:pStyle w:val="TableTextCentered"/>
            </w:pPr>
            <w:r w:rsidRPr="00A06F1E">
              <w:t>$1,543</w:t>
            </w:r>
          </w:p>
        </w:tc>
      </w:tr>
      <w:tr w:rsidR="00F14975" w:rsidRPr="00A06F1E" w14:paraId="416AFD35"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62B8A242" w14:textId="77777777" w:rsidR="00F14975" w:rsidRPr="00A06F1E" w:rsidRDefault="00F14975">
            <w:pPr>
              <w:pStyle w:val="TableText"/>
            </w:pPr>
            <w:r w:rsidRPr="00A06F1E">
              <w:t>Teachers</w:t>
            </w:r>
          </w:p>
        </w:tc>
        <w:tc>
          <w:tcPr>
            <w:tcW w:w="1366" w:type="dxa"/>
          </w:tcPr>
          <w:p w14:paraId="6035B64F" w14:textId="77777777" w:rsidR="00F14975" w:rsidRPr="00A06F1E" w:rsidRDefault="00F14975">
            <w:pPr>
              <w:pStyle w:val="TableTextCentered"/>
            </w:pPr>
            <w:r w:rsidRPr="00A06F1E">
              <w:t>$3,856</w:t>
            </w:r>
          </w:p>
        </w:tc>
        <w:tc>
          <w:tcPr>
            <w:tcW w:w="1366" w:type="dxa"/>
          </w:tcPr>
          <w:p w14:paraId="079FE9F7" w14:textId="77777777" w:rsidR="00F14975" w:rsidRPr="00A06F1E" w:rsidRDefault="00F14975">
            <w:pPr>
              <w:pStyle w:val="TableTextCentered"/>
            </w:pPr>
            <w:r w:rsidRPr="00A06F1E">
              <w:t>$5,292</w:t>
            </w:r>
          </w:p>
        </w:tc>
        <w:tc>
          <w:tcPr>
            <w:tcW w:w="1366" w:type="dxa"/>
          </w:tcPr>
          <w:p w14:paraId="1CDF6679" w14:textId="77777777" w:rsidR="00F14975" w:rsidRPr="00A06F1E" w:rsidRDefault="00F14975">
            <w:pPr>
              <w:pStyle w:val="TableTextCentered"/>
            </w:pPr>
            <w:r w:rsidRPr="00A06F1E">
              <w:t>$5,653</w:t>
            </w:r>
          </w:p>
        </w:tc>
      </w:tr>
      <w:tr w:rsidR="00F14975" w:rsidRPr="00A06F1E" w14:paraId="7A31EE94" w14:textId="77777777">
        <w:tc>
          <w:tcPr>
            <w:tcW w:w="5246" w:type="dxa"/>
          </w:tcPr>
          <w:p w14:paraId="4080BE82" w14:textId="77777777" w:rsidR="00F14975" w:rsidRPr="00A06F1E" w:rsidDel="00DB21D5" w:rsidRDefault="00F14975">
            <w:pPr>
              <w:pStyle w:val="TableText"/>
            </w:pPr>
            <w:r w:rsidRPr="00A06F1E">
              <w:t>Other teaching services</w:t>
            </w:r>
          </w:p>
        </w:tc>
        <w:tc>
          <w:tcPr>
            <w:tcW w:w="1366" w:type="dxa"/>
          </w:tcPr>
          <w:p w14:paraId="26195C6B" w14:textId="77777777" w:rsidR="00F14975" w:rsidRPr="00A06F1E" w:rsidRDefault="00F14975">
            <w:pPr>
              <w:pStyle w:val="TableTextCentered"/>
            </w:pPr>
            <w:r w:rsidRPr="00A06F1E">
              <w:t>$1,629</w:t>
            </w:r>
          </w:p>
        </w:tc>
        <w:tc>
          <w:tcPr>
            <w:tcW w:w="1366" w:type="dxa"/>
          </w:tcPr>
          <w:p w14:paraId="35FB2A85" w14:textId="77777777" w:rsidR="00F14975" w:rsidRPr="00A06F1E" w:rsidRDefault="00F14975">
            <w:pPr>
              <w:pStyle w:val="TableTextCentered"/>
            </w:pPr>
            <w:r w:rsidRPr="00A06F1E">
              <w:t>$2,275</w:t>
            </w:r>
          </w:p>
        </w:tc>
        <w:tc>
          <w:tcPr>
            <w:tcW w:w="1366" w:type="dxa"/>
          </w:tcPr>
          <w:p w14:paraId="7F9B0C40" w14:textId="77777777" w:rsidR="00F14975" w:rsidRPr="00A06F1E" w:rsidRDefault="00F14975">
            <w:pPr>
              <w:pStyle w:val="TableTextCentered"/>
            </w:pPr>
            <w:r w:rsidRPr="00A06F1E">
              <w:t>$2,252</w:t>
            </w:r>
          </w:p>
        </w:tc>
      </w:tr>
      <w:tr w:rsidR="00F14975" w:rsidRPr="00A06F1E" w14:paraId="47D2896B"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689AA35E" w14:textId="34FE09AC" w:rsidR="00F14975" w:rsidRPr="00A06F1E" w:rsidRDefault="00F14975">
            <w:pPr>
              <w:pStyle w:val="TableText"/>
            </w:pPr>
            <w:r w:rsidRPr="00A06F1E">
              <w:t>Professional development</w:t>
            </w:r>
          </w:p>
        </w:tc>
        <w:tc>
          <w:tcPr>
            <w:tcW w:w="1366" w:type="dxa"/>
          </w:tcPr>
          <w:p w14:paraId="0F7A33E1" w14:textId="77777777" w:rsidR="00F14975" w:rsidRPr="00A06F1E" w:rsidRDefault="00F14975">
            <w:pPr>
              <w:pStyle w:val="TableTextCentered"/>
            </w:pPr>
            <w:r w:rsidRPr="00A06F1E">
              <w:t>$82</w:t>
            </w:r>
          </w:p>
        </w:tc>
        <w:tc>
          <w:tcPr>
            <w:tcW w:w="1366" w:type="dxa"/>
          </w:tcPr>
          <w:p w14:paraId="5E24F356" w14:textId="77777777" w:rsidR="00F14975" w:rsidRPr="00A06F1E" w:rsidRDefault="00F14975">
            <w:pPr>
              <w:pStyle w:val="TableTextCentered"/>
            </w:pPr>
            <w:r w:rsidRPr="00A06F1E">
              <w:t>$56</w:t>
            </w:r>
          </w:p>
        </w:tc>
        <w:tc>
          <w:tcPr>
            <w:tcW w:w="1366" w:type="dxa"/>
          </w:tcPr>
          <w:p w14:paraId="4A9817B6" w14:textId="77777777" w:rsidR="00F14975" w:rsidRPr="00A06F1E" w:rsidRDefault="00F14975">
            <w:pPr>
              <w:pStyle w:val="TableTextCentered"/>
            </w:pPr>
            <w:r w:rsidRPr="00A06F1E">
              <w:t>$71</w:t>
            </w:r>
          </w:p>
        </w:tc>
      </w:tr>
      <w:tr w:rsidR="00F14975" w:rsidRPr="00A06F1E" w14:paraId="26AEFAB2" w14:textId="77777777">
        <w:tc>
          <w:tcPr>
            <w:tcW w:w="5246" w:type="dxa"/>
          </w:tcPr>
          <w:p w14:paraId="72EEA1B7" w14:textId="77777777" w:rsidR="00F14975" w:rsidRPr="00A06F1E" w:rsidRDefault="00F14975">
            <w:pPr>
              <w:pStyle w:val="TableText"/>
            </w:pPr>
            <w:r w:rsidRPr="00A06F1E">
              <w:t>Instructional materials, equipment, and technology</w:t>
            </w:r>
          </w:p>
        </w:tc>
        <w:tc>
          <w:tcPr>
            <w:tcW w:w="1366" w:type="dxa"/>
          </w:tcPr>
          <w:p w14:paraId="47BECD23" w14:textId="77777777" w:rsidR="00F14975" w:rsidRPr="00A06F1E" w:rsidRDefault="00F14975">
            <w:pPr>
              <w:pStyle w:val="TableTextCentered"/>
            </w:pPr>
            <w:r w:rsidRPr="00A06F1E">
              <w:t>$704</w:t>
            </w:r>
          </w:p>
        </w:tc>
        <w:tc>
          <w:tcPr>
            <w:tcW w:w="1366" w:type="dxa"/>
          </w:tcPr>
          <w:p w14:paraId="7DD081AA" w14:textId="77777777" w:rsidR="00F14975" w:rsidRPr="00A06F1E" w:rsidRDefault="00F14975">
            <w:pPr>
              <w:pStyle w:val="TableTextCentered"/>
            </w:pPr>
            <w:r w:rsidRPr="00A06F1E">
              <w:t>$1,088</w:t>
            </w:r>
          </w:p>
        </w:tc>
        <w:tc>
          <w:tcPr>
            <w:tcW w:w="1366" w:type="dxa"/>
          </w:tcPr>
          <w:p w14:paraId="430B61AD" w14:textId="77777777" w:rsidR="00F14975" w:rsidRPr="00A06F1E" w:rsidRDefault="00F14975">
            <w:pPr>
              <w:pStyle w:val="TableTextCentered"/>
            </w:pPr>
            <w:r w:rsidRPr="00A06F1E">
              <w:t>$845</w:t>
            </w:r>
          </w:p>
        </w:tc>
      </w:tr>
      <w:tr w:rsidR="00F14975" w:rsidRPr="00A06F1E" w14:paraId="75C8422B"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21D45821" w14:textId="77777777" w:rsidR="00F14975" w:rsidRPr="00A06F1E" w:rsidRDefault="00F14975">
            <w:pPr>
              <w:pStyle w:val="TableText"/>
            </w:pPr>
            <w:r w:rsidRPr="00A06F1E">
              <w:t>Guidance, counseling, and testing services</w:t>
            </w:r>
          </w:p>
        </w:tc>
        <w:tc>
          <w:tcPr>
            <w:tcW w:w="1366" w:type="dxa"/>
          </w:tcPr>
          <w:p w14:paraId="6A45BF2E" w14:textId="77777777" w:rsidR="00F14975" w:rsidRPr="00A06F1E" w:rsidRDefault="00F14975">
            <w:pPr>
              <w:pStyle w:val="TableTextCentered"/>
            </w:pPr>
            <w:r w:rsidRPr="00A06F1E">
              <w:t>$446</w:t>
            </w:r>
          </w:p>
        </w:tc>
        <w:tc>
          <w:tcPr>
            <w:tcW w:w="1366" w:type="dxa"/>
          </w:tcPr>
          <w:p w14:paraId="10C435B5" w14:textId="77777777" w:rsidR="00F14975" w:rsidRPr="00A06F1E" w:rsidRDefault="00F14975">
            <w:pPr>
              <w:pStyle w:val="TableTextCentered"/>
            </w:pPr>
            <w:r w:rsidRPr="00A06F1E">
              <w:t>$458</w:t>
            </w:r>
          </w:p>
        </w:tc>
        <w:tc>
          <w:tcPr>
            <w:tcW w:w="1366" w:type="dxa"/>
          </w:tcPr>
          <w:p w14:paraId="524D2D1B" w14:textId="77777777" w:rsidR="00F14975" w:rsidRPr="00A06F1E" w:rsidRDefault="00F14975">
            <w:pPr>
              <w:pStyle w:val="TableTextCentered"/>
            </w:pPr>
            <w:r w:rsidRPr="00A06F1E">
              <w:t>$508</w:t>
            </w:r>
          </w:p>
        </w:tc>
      </w:tr>
      <w:tr w:rsidR="00F14975" w:rsidRPr="00A06F1E" w14:paraId="7EA6757C" w14:textId="77777777">
        <w:tc>
          <w:tcPr>
            <w:tcW w:w="5246" w:type="dxa"/>
          </w:tcPr>
          <w:p w14:paraId="1E9F51E7" w14:textId="77777777" w:rsidR="00F14975" w:rsidRPr="00A06F1E" w:rsidRDefault="00F14975">
            <w:pPr>
              <w:pStyle w:val="TableText"/>
            </w:pPr>
            <w:r w:rsidRPr="00A06F1E">
              <w:t>Pupil services</w:t>
            </w:r>
          </w:p>
        </w:tc>
        <w:tc>
          <w:tcPr>
            <w:tcW w:w="1366" w:type="dxa"/>
          </w:tcPr>
          <w:p w14:paraId="6115BC25" w14:textId="77777777" w:rsidR="00F14975" w:rsidRPr="00A06F1E" w:rsidRDefault="00F14975">
            <w:pPr>
              <w:pStyle w:val="TableTextCentered"/>
            </w:pPr>
            <w:r w:rsidRPr="00A06F1E">
              <w:t>$995</w:t>
            </w:r>
          </w:p>
        </w:tc>
        <w:tc>
          <w:tcPr>
            <w:tcW w:w="1366" w:type="dxa"/>
          </w:tcPr>
          <w:p w14:paraId="19DFBE3F" w14:textId="77777777" w:rsidR="00F14975" w:rsidRPr="00A06F1E" w:rsidRDefault="00F14975">
            <w:pPr>
              <w:pStyle w:val="TableTextCentered"/>
            </w:pPr>
            <w:r w:rsidRPr="00A06F1E">
              <w:t>$2,312</w:t>
            </w:r>
          </w:p>
        </w:tc>
        <w:tc>
          <w:tcPr>
            <w:tcW w:w="1366" w:type="dxa"/>
          </w:tcPr>
          <w:p w14:paraId="37923275" w14:textId="77777777" w:rsidR="00F14975" w:rsidRPr="00A06F1E" w:rsidRDefault="00F14975">
            <w:pPr>
              <w:pStyle w:val="TableTextCentered"/>
            </w:pPr>
            <w:r w:rsidRPr="00A06F1E">
              <w:t>$3,686</w:t>
            </w:r>
          </w:p>
        </w:tc>
      </w:tr>
      <w:tr w:rsidR="00F14975" w:rsidRPr="00A06F1E" w14:paraId="69E31C36"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52F62516" w14:textId="77777777" w:rsidR="00F14975" w:rsidRPr="00A06F1E" w:rsidRDefault="00F14975">
            <w:pPr>
              <w:pStyle w:val="TableText"/>
            </w:pPr>
            <w:r w:rsidRPr="00A06F1E">
              <w:t>Operations and maintenance</w:t>
            </w:r>
          </w:p>
        </w:tc>
        <w:tc>
          <w:tcPr>
            <w:tcW w:w="1366" w:type="dxa"/>
          </w:tcPr>
          <w:p w14:paraId="47F98D64" w14:textId="77777777" w:rsidR="00F14975" w:rsidRPr="00A06F1E" w:rsidRDefault="00F14975">
            <w:pPr>
              <w:pStyle w:val="TableTextCentered"/>
            </w:pPr>
            <w:r w:rsidRPr="00A06F1E">
              <w:t>$1,156</w:t>
            </w:r>
          </w:p>
        </w:tc>
        <w:tc>
          <w:tcPr>
            <w:tcW w:w="1366" w:type="dxa"/>
          </w:tcPr>
          <w:p w14:paraId="4BB20B58" w14:textId="77777777" w:rsidR="00F14975" w:rsidRPr="00A06F1E" w:rsidRDefault="00F14975">
            <w:pPr>
              <w:pStyle w:val="TableTextCentered"/>
            </w:pPr>
            <w:r w:rsidRPr="00A06F1E">
              <w:t>$1,993</w:t>
            </w:r>
          </w:p>
        </w:tc>
        <w:tc>
          <w:tcPr>
            <w:tcW w:w="1366" w:type="dxa"/>
          </w:tcPr>
          <w:p w14:paraId="086A1CE4" w14:textId="77777777" w:rsidR="00F14975" w:rsidRPr="00A06F1E" w:rsidRDefault="00F14975">
            <w:pPr>
              <w:pStyle w:val="TableTextCentered"/>
            </w:pPr>
            <w:r w:rsidRPr="00A06F1E">
              <w:t>$2,102</w:t>
            </w:r>
          </w:p>
        </w:tc>
      </w:tr>
      <w:tr w:rsidR="00F14975" w:rsidRPr="00A06F1E" w14:paraId="069A3DDC" w14:textId="77777777">
        <w:tc>
          <w:tcPr>
            <w:tcW w:w="5246" w:type="dxa"/>
          </w:tcPr>
          <w:p w14:paraId="48BE2519" w14:textId="77777777" w:rsidR="00F14975" w:rsidRPr="00A06F1E" w:rsidRDefault="00F14975">
            <w:pPr>
              <w:pStyle w:val="TableText"/>
            </w:pPr>
            <w:r w:rsidRPr="00A06F1E">
              <w:t>Insurance, retirement, and other fixed costs</w:t>
            </w:r>
          </w:p>
        </w:tc>
        <w:tc>
          <w:tcPr>
            <w:tcW w:w="1366" w:type="dxa"/>
          </w:tcPr>
          <w:p w14:paraId="41A215FC" w14:textId="77777777" w:rsidR="00F14975" w:rsidRPr="00A06F1E" w:rsidRDefault="00F14975">
            <w:pPr>
              <w:pStyle w:val="TableTextCentered"/>
            </w:pPr>
            <w:r w:rsidRPr="00A06F1E">
              <w:t>$1,964</w:t>
            </w:r>
          </w:p>
        </w:tc>
        <w:tc>
          <w:tcPr>
            <w:tcW w:w="1366" w:type="dxa"/>
          </w:tcPr>
          <w:p w14:paraId="02323F97" w14:textId="77777777" w:rsidR="00F14975" w:rsidRPr="00A06F1E" w:rsidRDefault="00F14975">
            <w:pPr>
              <w:pStyle w:val="TableTextCentered"/>
            </w:pPr>
            <w:r w:rsidRPr="00A06F1E">
              <w:t>$2,372</w:t>
            </w:r>
          </w:p>
        </w:tc>
        <w:tc>
          <w:tcPr>
            <w:tcW w:w="1366" w:type="dxa"/>
          </w:tcPr>
          <w:p w14:paraId="5CBE2B91" w14:textId="77777777" w:rsidR="00F14975" w:rsidRPr="00A06F1E" w:rsidRDefault="00F14975">
            <w:pPr>
              <w:pStyle w:val="TableTextCentered"/>
            </w:pPr>
            <w:r w:rsidRPr="00A06F1E">
              <w:t>$2,534</w:t>
            </w:r>
          </w:p>
        </w:tc>
      </w:tr>
      <w:tr w:rsidR="00F14975" w:rsidRPr="00A06F1E" w14:paraId="39ACED94"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6643E5C7" w14:textId="77777777" w:rsidR="00F14975" w:rsidRPr="00A06F1E" w:rsidRDefault="00F14975">
            <w:pPr>
              <w:pStyle w:val="TableText"/>
            </w:pPr>
            <w:r w:rsidRPr="00A06F1E">
              <w:t>Total expenditures per in-district pupil</w:t>
            </w:r>
          </w:p>
        </w:tc>
        <w:tc>
          <w:tcPr>
            <w:tcW w:w="1366" w:type="dxa"/>
          </w:tcPr>
          <w:p w14:paraId="55D300B9" w14:textId="77777777" w:rsidR="00F14975" w:rsidRPr="00A06F1E" w:rsidRDefault="00F14975">
            <w:pPr>
              <w:pStyle w:val="TableTextCentered"/>
            </w:pPr>
            <w:r w:rsidRPr="00A06F1E">
              <w:t>$12,846</w:t>
            </w:r>
          </w:p>
        </w:tc>
        <w:tc>
          <w:tcPr>
            <w:tcW w:w="1366" w:type="dxa"/>
          </w:tcPr>
          <w:p w14:paraId="1ACF9599" w14:textId="77777777" w:rsidR="00F14975" w:rsidRPr="00A06F1E" w:rsidRDefault="00F14975">
            <w:pPr>
              <w:pStyle w:val="TableTextCentered"/>
            </w:pPr>
            <w:r w:rsidRPr="00A06F1E">
              <w:t>$18,107</w:t>
            </w:r>
          </w:p>
        </w:tc>
        <w:tc>
          <w:tcPr>
            <w:tcW w:w="1366" w:type="dxa"/>
          </w:tcPr>
          <w:p w14:paraId="28AAC0A3" w14:textId="77777777" w:rsidR="00F14975" w:rsidRPr="00A06F1E" w:rsidRDefault="00F14975">
            <w:pPr>
              <w:pStyle w:val="TableTextCentered"/>
            </w:pPr>
            <w:r w:rsidRPr="00A06F1E">
              <w:t>$19,811</w:t>
            </w:r>
          </w:p>
        </w:tc>
      </w:tr>
    </w:tbl>
    <w:p w14:paraId="3A2321BB" w14:textId="77777777" w:rsidR="00F14975" w:rsidRPr="00A06F1E" w:rsidRDefault="00F14975" w:rsidP="00F14975">
      <w:pPr>
        <w:pStyle w:val="TableNote"/>
        <w:spacing w:before="80"/>
      </w:pPr>
      <w:r w:rsidRPr="00A06F1E">
        <w:rPr>
          <w:i/>
          <w:iCs/>
          <w:szCs w:val="20"/>
        </w:rPr>
        <w:t>Note</w:t>
      </w:r>
      <w:r w:rsidRPr="00A06F1E">
        <w:rPr>
          <w:szCs w:val="20"/>
        </w:rPr>
        <w:t>. Any discrepancy between expenditures and total is because of rounding. Data are from</w:t>
      </w:r>
      <w:r w:rsidRPr="00A06F1E">
        <w:rPr>
          <w:rStyle w:val="Hyperlink"/>
          <w:rFonts w:eastAsiaTheme="minorHAnsi"/>
        </w:rPr>
        <w:t xml:space="preserve"> </w:t>
      </w:r>
      <w:hyperlink r:id="rId107" w:history="1">
        <w:r w:rsidRPr="00A06F1E">
          <w:rPr>
            <w:rStyle w:val="Hyperlink"/>
            <w:rFonts w:eastAsiaTheme="minorHAnsi"/>
          </w:rPr>
          <w:t>https://www.doe.mass.edu/finance/statistics/per-pupil-exp.xlsx</w:t>
        </w:r>
      </w:hyperlink>
      <w:r w:rsidRPr="00A06F1E">
        <w:rPr>
          <w:szCs w:val="20"/>
        </w:rPr>
        <w:t>.</w:t>
      </w:r>
    </w:p>
    <w:p w14:paraId="70D1CA0A" w14:textId="77777777" w:rsidR="00F14975" w:rsidRPr="00A06F1E" w:rsidRDefault="00F14975" w:rsidP="00F14975">
      <w:pPr>
        <w:pStyle w:val="TableNote"/>
        <w:spacing w:before="80"/>
      </w:pPr>
    </w:p>
    <w:p w14:paraId="3B40C9EF" w14:textId="77777777" w:rsidR="00F14975" w:rsidRPr="00A06F1E" w:rsidRDefault="00F14975" w:rsidP="00F14975">
      <w:pPr>
        <w:pStyle w:val="TableNote"/>
        <w:spacing w:before="80"/>
      </w:pPr>
    </w:p>
    <w:p w14:paraId="3F8FA9AB" w14:textId="77777777" w:rsidR="00F14975" w:rsidRPr="00A06F1E" w:rsidRDefault="00F14975" w:rsidP="00F14975">
      <w:pPr>
        <w:pStyle w:val="TableNote"/>
        <w:spacing w:before="80"/>
      </w:pPr>
    </w:p>
    <w:p w14:paraId="056CE8C8" w14:textId="77777777" w:rsidR="00F14975" w:rsidRPr="00A06F1E" w:rsidRDefault="00F14975" w:rsidP="00F14975">
      <w:pPr>
        <w:pStyle w:val="TableNote"/>
        <w:spacing w:before="80"/>
      </w:pPr>
    </w:p>
    <w:p w14:paraId="3E2AE419" w14:textId="77777777" w:rsidR="00F14975" w:rsidRPr="00A06F1E" w:rsidRDefault="00F14975" w:rsidP="00F14975">
      <w:pPr>
        <w:pStyle w:val="TableNote"/>
        <w:spacing w:before="80"/>
      </w:pPr>
    </w:p>
    <w:p w14:paraId="0E7D69B4" w14:textId="77777777" w:rsidR="00F14975" w:rsidRPr="00A06F1E" w:rsidRDefault="00F14975" w:rsidP="00F14975">
      <w:pPr>
        <w:pStyle w:val="TableNote"/>
        <w:spacing w:before="80"/>
      </w:pPr>
    </w:p>
    <w:p w14:paraId="7C4CD0F7" w14:textId="7BF46299" w:rsidR="00F14975" w:rsidRPr="00A06F1E" w:rsidRDefault="00F14975" w:rsidP="00F14975">
      <w:pPr>
        <w:pStyle w:val="TableTitle0"/>
        <w:spacing w:before="0"/>
      </w:pPr>
      <w:bookmarkStart w:id="238" w:name="_Toc170701946"/>
      <w:r w:rsidRPr="00A06F1E">
        <w:lastRenderedPageBreak/>
        <w:t>Table D</w:t>
      </w:r>
      <w:r w:rsidR="00EF4710" w:rsidRPr="00A06F1E">
        <w:t>5</w:t>
      </w:r>
      <w:r w:rsidR="00875252">
        <w:t>c</w:t>
      </w:r>
      <w:r w:rsidRPr="00A06F1E">
        <w:t xml:space="preserve">. </w:t>
      </w:r>
      <w:r w:rsidRPr="00A06F1E">
        <w:rPr>
          <w:spacing w:val="-4"/>
        </w:rPr>
        <w:t>Ralph C</w:t>
      </w:r>
      <w:r w:rsidR="004F6E3D" w:rsidRPr="00A06F1E">
        <w:rPr>
          <w:spacing w:val="-4"/>
        </w:rPr>
        <w:t>.</w:t>
      </w:r>
      <w:r w:rsidRPr="00A06F1E">
        <w:rPr>
          <w:spacing w:val="-4"/>
        </w:rPr>
        <w:t xml:space="preserve"> Mahar Public Schools: Expenditures Per In-District Pupil, Fiscal Years 2020-2022</w:t>
      </w:r>
      <w:bookmarkEnd w:id="238"/>
    </w:p>
    <w:tbl>
      <w:tblPr>
        <w:tblStyle w:val="MSVTable1"/>
        <w:tblW w:w="5000" w:type="pct"/>
        <w:tblLayout w:type="fixed"/>
        <w:tblLook w:val="0420" w:firstRow="1" w:lastRow="0" w:firstColumn="0" w:lastColumn="0" w:noHBand="0" w:noVBand="1"/>
      </w:tblPr>
      <w:tblGrid>
        <w:gridCol w:w="5246"/>
        <w:gridCol w:w="1366"/>
        <w:gridCol w:w="1366"/>
        <w:gridCol w:w="1366"/>
      </w:tblGrid>
      <w:tr w:rsidR="00F14975" w:rsidRPr="00A06F1E" w14:paraId="7F4AC50E" w14:textId="77777777">
        <w:trPr>
          <w:cnfStyle w:val="100000000000" w:firstRow="1" w:lastRow="0" w:firstColumn="0" w:lastColumn="0" w:oddVBand="0" w:evenVBand="0" w:oddHBand="0" w:evenHBand="0" w:firstRowFirstColumn="0" w:firstRowLastColumn="0" w:lastRowFirstColumn="0" w:lastRowLastColumn="0"/>
        </w:trPr>
        <w:tc>
          <w:tcPr>
            <w:tcW w:w="5246" w:type="dxa"/>
          </w:tcPr>
          <w:p w14:paraId="29F984E0" w14:textId="77777777" w:rsidR="00F14975" w:rsidRPr="00A06F1E" w:rsidRDefault="00F14975">
            <w:pPr>
              <w:pStyle w:val="TableColHeadingLeft"/>
            </w:pPr>
            <w:r w:rsidRPr="00A06F1E">
              <w:t>Expenditure category</w:t>
            </w:r>
          </w:p>
        </w:tc>
        <w:tc>
          <w:tcPr>
            <w:tcW w:w="1366" w:type="dxa"/>
          </w:tcPr>
          <w:p w14:paraId="646B43A3" w14:textId="77777777" w:rsidR="00F14975" w:rsidRPr="00A06F1E" w:rsidRDefault="00F14975">
            <w:pPr>
              <w:pStyle w:val="TableColHeadingCenter"/>
            </w:pPr>
            <w:r w:rsidRPr="00A06F1E">
              <w:t>2020</w:t>
            </w:r>
          </w:p>
        </w:tc>
        <w:tc>
          <w:tcPr>
            <w:tcW w:w="1366" w:type="dxa"/>
          </w:tcPr>
          <w:p w14:paraId="020EC240" w14:textId="77777777" w:rsidR="00F14975" w:rsidRPr="00A06F1E" w:rsidRDefault="00F14975">
            <w:pPr>
              <w:pStyle w:val="TableColHeadingCenter"/>
            </w:pPr>
            <w:r w:rsidRPr="00A06F1E">
              <w:t>2021</w:t>
            </w:r>
          </w:p>
        </w:tc>
        <w:tc>
          <w:tcPr>
            <w:tcW w:w="1366" w:type="dxa"/>
          </w:tcPr>
          <w:p w14:paraId="0B3EB24C" w14:textId="77777777" w:rsidR="00F14975" w:rsidRPr="00A06F1E" w:rsidRDefault="00F14975">
            <w:pPr>
              <w:pStyle w:val="TableColHeadingCenter"/>
            </w:pPr>
            <w:r w:rsidRPr="00A06F1E">
              <w:t>2022</w:t>
            </w:r>
          </w:p>
        </w:tc>
      </w:tr>
      <w:tr w:rsidR="00F14975" w:rsidRPr="00A06F1E" w14:paraId="012D4FFF"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7276AACD" w14:textId="77777777" w:rsidR="00F14975" w:rsidRPr="00A06F1E" w:rsidRDefault="00F14975">
            <w:pPr>
              <w:pStyle w:val="TableText"/>
            </w:pPr>
            <w:r w:rsidRPr="00A06F1E">
              <w:t>Administration</w:t>
            </w:r>
          </w:p>
        </w:tc>
        <w:tc>
          <w:tcPr>
            <w:tcW w:w="1366" w:type="dxa"/>
          </w:tcPr>
          <w:p w14:paraId="4D836DC9" w14:textId="77777777" w:rsidR="00F14975" w:rsidRPr="00A06F1E" w:rsidRDefault="00F14975">
            <w:pPr>
              <w:pStyle w:val="TableTextCentered"/>
            </w:pPr>
            <w:r w:rsidRPr="00A06F1E">
              <w:t>$675</w:t>
            </w:r>
          </w:p>
        </w:tc>
        <w:tc>
          <w:tcPr>
            <w:tcW w:w="1366" w:type="dxa"/>
          </w:tcPr>
          <w:p w14:paraId="4617A6D7" w14:textId="77777777" w:rsidR="00F14975" w:rsidRPr="00A06F1E" w:rsidRDefault="00F14975">
            <w:pPr>
              <w:pStyle w:val="TableTextCentered"/>
            </w:pPr>
            <w:r w:rsidRPr="00A06F1E">
              <w:t>$670</w:t>
            </w:r>
          </w:p>
        </w:tc>
        <w:tc>
          <w:tcPr>
            <w:tcW w:w="1366" w:type="dxa"/>
          </w:tcPr>
          <w:p w14:paraId="14685263" w14:textId="77777777" w:rsidR="00F14975" w:rsidRPr="00A06F1E" w:rsidRDefault="00F14975">
            <w:pPr>
              <w:pStyle w:val="TableTextCentered"/>
            </w:pPr>
            <w:r w:rsidRPr="00A06F1E">
              <w:t>$814</w:t>
            </w:r>
          </w:p>
        </w:tc>
      </w:tr>
      <w:tr w:rsidR="00F14975" w:rsidRPr="00A06F1E" w14:paraId="0B1C7432" w14:textId="77777777">
        <w:tc>
          <w:tcPr>
            <w:tcW w:w="5246" w:type="dxa"/>
          </w:tcPr>
          <w:p w14:paraId="4262ADAC" w14:textId="77777777" w:rsidR="00F14975" w:rsidRPr="00A06F1E" w:rsidRDefault="00F14975">
            <w:pPr>
              <w:pStyle w:val="TableText"/>
            </w:pPr>
            <w:r w:rsidRPr="00A06F1E">
              <w:t>Instructional leadership (district and school)</w:t>
            </w:r>
          </w:p>
        </w:tc>
        <w:tc>
          <w:tcPr>
            <w:tcW w:w="1366" w:type="dxa"/>
          </w:tcPr>
          <w:p w14:paraId="5EAD76A0" w14:textId="77777777" w:rsidR="00F14975" w:rsidRPr="00A06F1E" w:rsidRDefault="00F14975">
            <w:pPr>
              <w:pStyle w:val="TableTextCentered"/>
            </w:pPr>
            <w:r w:rsidRPr="00A06F1E">
              <w:t>$1,218</w:t>
            </w:r>
          </w:p>
        </w:tc>
        <w:tc>
          <w:tcPr>
            <w:tcW w:w="1366" w:type="dxa"/>
          </w:tcPr>
          <w:p w14:paraId="3FACC6F2" w14:textId="77777777" w:rsidR="00F14975" w:rsidRPr="00A06F1E" w:rsidRDefault="00F14975">
            <w:pPr>
              <w:pStyle w:val="TableTextCentered"/>
            </w:pPr>
            <w:r w:rsidRPr="00A06F1E">
              <w:t>$744</w:t>
            </w:r>
          </w:p>
        </w:tc>
        <w:tc>
          <w:tcPr>
            <w:tcW w:w="1366" w:type="dxa"/>
          </w:tcPr>
          <w:p w14:paraId="6258FE30" w14:textId="77777777" w:rsidR="00F14975" w:rsidRPr="00A06F1E" w:rsidRDefault="00F14975">
            <w:pPr>
              <w:pStyle w:val="TableTextCentered"/>
            </w:pPr>
            <w:r w:rsidRPr="00A06F1E">
              <w:t>$1,228</w:t>
            </w:r>
          </w:p>
        </w:tc>
      </w:tr>
      <w:tr w:rsidR="00F14975" w:rsidRPr="00A06F1E" w14:paraId="01AB2237"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5DA26633" w14:textId="77777777" w:rsidR="00F14975" w:rsidRPr="00A06F1E" w:rsidRDefault="00F14975">
            <w:pPr>
              <w:pStyle w:val="TableText"/>
            </w:pPr>
            <w:r w:rsidRPr="00A06F1E">
              <w:t>Teachers</w:t>
            </w:r>
          </w:p>
        </w:tc>
        <w:tc>
          <w:tcPr>
            <w:tcW w:w="1366" w:type="dxa"/>
          </w:tcPr>
          <w:p w14:paraId="3A3789AB" w14:textId="77777777" w:rsidR="00F14975" w:rsidRPr="00A06F1E" w:rsidRDefault="00F14975">
            <w:pPr>
              <w:pStyle w:val="TableTextCentered"/>
            </w:pPr>
            <w:r w:rsidRPr="00A06F1E">
              <w:t>$6,629</w:t>
            </w:r>
          </w:p>
        </w:tc>
        <w:tc>
          <w:tcPr>
            <w:tcW w:w="1366" w:type="dxa"/>
          </w:tcPr>
          <w:p w14:paraId="7FA94879" w14:textId="77777777" w:rsidR="00F14975" w:rsidRPr="00A06F1E" w:rsidRDefault="00F14975">
            <w:pPr>
              <w:pStyle w:val="TableTextCentered"/>
            </w:pPr>
            <w:r w:rsidRPr="00A06F1E">
              <w:t>$6,333</w:t>
            </w:r>
          </w:p>
        </w:tc>
        <w:tc>
          <w:tcPr>
            <w:tcW w:w="1366" w:type="dxa"/>
          </w:tcPr>
          <w:p w14:paraId="1C4E449E" w14:textId="77777777" w:rsidR="00F14975" w:rsidRPr="00A06F1E" w:rsidRDefault="00F14975">
            <w:pPr>
              <w:pStyle w:val="TableTextCentered"/>
            </w:pPr>
            <w:r w:rsidRPr="00A06F1E">
              <w:t>$7,523</w:t>
            </w:r>
          </w:p>
        </w:tc>
      </w:tr>
      <w:tr w:rsidR="00F14975" w:rsidRPr="00A06F1E" w14:paraId="31DE4A29" w14:textId="77777777">
        <w:tc>
          <w:tcPr>
            <w:tcW w:w="5246" w:type="dxa"/>
          </w:tcPr>
          <w:p w14:paraId="1D4C5007" w14:textId="77777777" w:rsidR="00F14975" w:rsidRPr="00A06F1E" w:rsidDel="00DB21D5" w:rsidRDefault="00F14975">
            <w:pPr>
              <w:pStyle w:val="TableText"/>
            </w:pPr>
            <w:r w:rsidRPr="00A06F1E">
              <w:t>Other teaching services</w:t>
            </w:r>
          </w:p>
        </w:tc>
        <w:tc>
          <w:tcPr>
            <w:tcW w:w="1366" w:type="dxa"/>
          </w:tcPr>
          <w:p w14:paraId="13A6F14B" w14:textId="77777777" w:rsidR="00F14975" w:rsidRPr="00A06F1E" w:rsidRDefault="00F14975">
            <w:pPr>
              <w:pStyle w:val="TableTextCentered"/>
            </w:pPr>
            <w:r w:rsidRPr="00A06F1E">
              <w:t>$1,039</w:t>
            </w:r>
          </w:p>
        </w:tc>
        <w:tc>
          <w:tcPr>
            <w:tcW w:w="1366" w:type="dxa"/>
          </w:tcPr>
          <w:p w14:paraId="06837F13" w14:textId="77777777" w:rsidR="00F14975" w:rsidRPr="00A06F1E" w:rsidRDefault="00F14975">
            <w:pPr>
              <w:pStyle w:val="TableTextCentered"/>
            </w:pPr>
            <w:r w:rsidRPr="00A06F1E">
              <w:t>$883</w:t>
            </w:r>
          </w:p>
        </w:tc>
        <w:tc>
          <w:tcPr>
            <w:tcW w:w="1366" w:type="dxa"/>
          </w:tcPr>
          <w:p w14:paraId="7DAEB18C" w14:textId="77777777" w:rsidR="00F14975" w:rsidRPr="00A06F1E" w:rsidRDefault="00F14975">
            <w:pPr>
              <w:pStyle w:val="TableTextCentered"/>
            </w:pPr>
            <w:r w:rsidRPr="00A06F1E">
              <w:t>$985</w:t>
            </w:r>
          </w:p>
        </w:tc>
      </w:tr>
      <w:tr w:rsidR="00F14975" w:rsidRPr="00A06F1E" w14:paraId="41C09491"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37CFDBF0" w14:textId="179917A4" w:rsidR="00F14975" w:rsidRPr="00A06F1E" w:rsidRDefault="00F14975">
            <w:pPr>
              <w:pStyle w:val="TableText"/>
            </w:pPr>
            <w:r w:rsidRPr="00A06F1E">
              <w:t>Professional development</w:t>
            </w:r>
          </w:p>
        </w:tc>
        <w:tc>
          <w:tcPr>
            <w:tcW w:w="1366" w:type="dxa"/>
          </w:tcPr>
          <w:p w14:paraId="3C35663F" w14:textId="77777777" w:rsidR="00F14975" w:rsidRPr="00A06F1E" w:rsidRDefault="00F14975">
            <w:pPr>
              <w:pStyle w:val="TableTextCentered"/>
            </w:pPr>
            <w:r w:rsidRPr="00A06F1E">
              <w:t>$112</w:t>
            </w:r>
          </w:p>
        </w:tc>
        <w:tc>
          <w:tcPr>
            <w:tcW w:w="1366" w:type="dxa"/>
          </w:tcPr>
          <w:p w14:paraId="67A0537B" w14:textId="77777777" w:rsidR="00F14975" w:rsidRPr="00A06F1E" w:rsidRDefault="00F14975">
            <w:pPr>
              <w:pStyle w:val="TableTextCentered"/>
            </w:pPr>
            <w:r w:rsidRPr="00A06F1E">
              <w:t>$20</w:t>
            </w:r>
          </w:p>
        </w:tc>
        <w:tc>
          <w:tcPr>
            <w:tcW w:w="1366" w:type="dxa"/>
          </w:tcPr>
          <w:p w14:paraId="0CAF724C" w14:textId="77777777" w:rsidR="00F14975" w:rsidRPr="00A06F1E" w:rsidRDefault="00F14975">
            <w:pPr>
              <w:pStyle w:val="TableTextCentered"/>
            </w:pPr>
            <w:r w:rsidRPr="00A06F1E">
              <w:t>$61</w:t>
            </w:r>
          </w:p>
        </w:tc>
      </w:tr>
      <w:tr w:rsidR="00F14975" w:rsidRPr="00A06F1E" w14:paraId="762F920B" w14:textId="77777777">
        <w:tc>
          <w:tcPr>
            <w:tcW w:w="5246" w:type="dxa"/>
          </w:tcPr>
          <w:p w14:paraId="1410590B" w14:textId="77777777" w:rsidR="00F14975" w:rsidRPr="00A06F1E" w:rsidRDefault="00F14975">
            <w:pPr>
              <w:pStyle w:val="TableText"/>
            </w:pPr>
            <w:r w:rsidRPr="00A06F1E">
              <w:t>Instructional materials, equipment, and technology</w:t>
            </w:r>
          </w:p>
        </w:tc>
        <w:tc>
          <w:tcPr>
            <w:tcW w:w="1366" w:type="dxa"/>
          </w:tcPr>
          <w:p w14:paraId="5234B0B8" w14:textId="77777777" w:rsidR="00F14975" w:rsidRPr="00A06F1E" w:rsidRDefault="00F14975">
            <w:pPr>
              <w:pStyle w:val="TableTextCentered"/>
            </w:pPr>
            <w:r w:rsidRPr="00A06F1E">
              <w:t>$270</w:t>
            </w:r>
          </w:p>
        </w:tc>
        <w:tc>
          <w:tcPr>
            <w:tcW w:w="1366" w:type="dxa"/>
          </w:tcPr>
          <w:p w14:paraId="4A6C65C0" w14:textId="77777777" w:rsidR="00F14975" w:rsidRPr="00A06F1E" w:rsidRDefault="00F14975">
            <w:pPr>
              <w:pStyle w:val="TableTextCentered"/>
            </w:pPr>
            <w:r w:rsidRPr="00A06F1E">
              <w:t>$1,278</w:t>
            </w:r>
          </w:p>
        </w:tc>
        <w:tc>
          <w:tcPr>
            <w:tcW w:w="1366" w:type="dxa"/>
          </w:tcPr>
          <w:p w14:paraId="3B884799" w14:textId="77777777" w:rsidR="00F14975" w:rsidRPr="00A06F1E" w:rsidRDefault="00F14975">
            <w:pPr>
              <w:pStyle w:val="TableTextCentered"/>
            </w:pPr>
            <w:r w:rsidRPr="00A06F1E">
              <w:t>$521</w:t>
            </w:r>
          </w:p>
        </w:tc>
      </w:tr>
      <w:tr w:rsidR="00F14975" w:rsidRPr="00A06F1E" w14:paraId="41A2D4BC"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1A02AB8E" w14:textId="77777777" w:rsidR="00F14975" w:rsidRPr="00A06F1E" w:rsidRDefault="00F14975">
            <w:pPr>
              <w:pStyle w:val="TableText"/>
            </w:pPr>
            <w:r w:rsidRPr="00A06F1E">
              <w:t>Guidance, counseling, and testing services</w:t>
            </w:r>
          </w:p>
        </w:tc>
        <w:tc>
          <w:tcPr>
            <w:tcW w:w="1366" w:type="dxa"/>
          </w:tcPr>
          <w:p w14:paraId="737C2E4A" w14:textId="77777777" w:rsidR="00F14975" w:rsidRPr="00A06F1E" w:rsidRDefault="00F14975">
            <w:pPr>
              <w:pStyle w:val="TableTextCentered"/>
            </w:pPr>
            <w:r w:rsidRPr="00A06F1E">
              <w:t>$805</w:t>
            </w:r>
          </w:p>
        </w:tc>
        <w:tc>
          <w:tcPr>
            <w:tcW w:w="1366" w:type="dxa"/>
          </w:tcPr>
          <w:p w14:paraId="7E08C690" w14:textId="77777777" w:rsidR="00F14975" w:rsidRPr="00A06F1E" w:rsidRDefault="00F14975">
            <w:pPr>
              <w:pStyle w:val="TableTextCentered"/>
            </w:pPr>
            <w:r w:rsidRPr="00A06F1E">
              <w:t>$961</w:t>
            </w:r>
          </w:p>
        </w:tc>
        <w:tc>
          <w:tcPr>
            <w:tcW w:w="1366" w:type="dxa"/>
          </w:tcPr>
          <w:p w14:paraId="31B681EB" w14:textId="77777777" w:rsidR="00F14975" w:rsidRPr="00A06F1E" w:rsidRDefault="00F14975">
            <w:pPr>
              <w:pStyle w:val="TableTextCentered"/>
            </w:pPr>
            <w:r w:rsidRPr="00A06F1E">
              <w:t>$1,136</w:t>
            </w:r>
          </w:p>
        </w:tc>
      </w:tr>
      <w:tr w:rsidR="00F14975" w:rsidRPr="00A06F1E" w14:paraId="3F0548CF" w14:textId="77777777">
        <w:tc>
          <w:tcPr>
            <w:tcW w:w="5246" w:type="dxa"/>
          </w:tcPr>
          <w:p w14:paraId="1EC80B43" w14:textId="77777777" w:rsidR="00F14975" w:rsidRPr="00A06F1E" w:rsidRDefault="00F14975">
            <w:pPr>
              <w:pStyle w:val="TableText"/>
            </w:pPr>
            <w:r w:rsidRPr="00A06F1E">
              <w:t>Pupil services</w:t>
            </w:r>
          </w:p>
        </w:tc>
        <w:tc>
          <w:tcPr>
            <w:tcW w:w="1366" w:type="dxa"/>
          </w:tcPr>
          <w:p w14:paraId="7B64D072" w14:textId="77777777" w:rsidR="00F14975" w:rsidRPr="00A06F1E" w:rsidRDefault="00F14975">
            <w:pPr>
              <w:pStyle w:val="TableTextCentered"/>
            </w:pPr>
            <w:r w:rsidRPr="00A06F1E">
              <w:t>$2,958</w:t>
            </w:r>
          </w:p>
        </w:tc>
        <w:tc>
          <w:tcPr>
            <w:tcW w:w="1366" w:type="dxa"/>
          </w:tcPr>
          <w:p w14:paraId="659D8DB6" w14:textId="77777777" w:rsidR="00F14975" w:rsidRPr="00A06F1E" w:rsidRDefault="00F14975">
            <w:pPr>
              <w:pStyle w:val="TableTextCentered"/>
            </w:pPr>
            <w:r w:rsidRPr="00A06F1E">
              <w:t>$2,466</w:t>
            </w:r>
          </w:p>
        </w:tc>
        <w:tc>
          <w:tcPr>
            <w:tcW w:w="1366" w:type="dxa"/>
          </w:tcPr>
          <w:p w14:paraId="68527953" w14:textId="77777777" w:rsidR="00F14975" w:rsidRPr="00A06F1E" w:rsidRDefault="00F14975">
            <w:pPr>
              <w:pStyle w:val="TableTextCentered"/>
            </w:pPr>
            <w:r w:rsidRPr="00A06F1E">
              <w:t>$3,459</w:t>
            </w:r>
          </w:p>
        </w:tc>
      </w:tr>
      <w:tr w:rsidR="00F14975" w:rsidRPr="00A06F1E" w14:paraId="6A720AE5"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48C6F701" w14:textId="77777777" w:rsidR="00F14975" w:rsidRPr="00A06F1E" w:rsidRDefault="00F14975">
            <w:pPr>
              <w:pStyle w:val="TableText"/>
            </w:pPr>
            <w:r w:rsidRPr="00A06F1E">
              <w:t>Operations and maintenance</w:t>
            </w:r>
          </w:p>
        </w:tc>
        <w:tc>
          <w:tcPr>
            <w:tcW w:w="1366" w:type="dxa"/>
          </w:tcPr>
          <w:p w14:paraId="13FEB7FC" w14:textId="77777777" w:rsidR="00F14975" w:rsidRPr="00A06F1E" w:rsidRDefault="00F14975">
            <w:pPr>
              <w:pStyle w:val="TableTextCentered"/>
            </w:pPr>
            <w:r w:rsidRPr="00A06F1E">
              <w:t>$1,558</w:t>
            </w:r>
          </w:p>
        </w:tc>
        <w:tc>
          <w:tcPr>
            <w:tcW w:w="1366" w:type="dxa"/>
          </w:tcPr>
          <w:p w14:paraId="2DE4F120" w14:textId="77777777" w:rsidR="00F14975" w:rsidRPr="00A06F1E" w:rsidRDefault="00F14975">
            <w:pPr>
              <w:pStyle w:val="TableTextCentered"/>
            </w:pPr>
            <w:r w:rsidRPr="00A06F1E">
              <w:t>$1,784</w:t>
            </w:r>
          </w:p>
        </w:tc>
        <w:tc>
          <w:tcPr>
            <w:tcW w:w="1366" w:type="dxa"/>
          </w:tcPr>
          <w:p w14:paraId="43032367" w14:textId="77777777" w:rsidR="00F14975" w:rsidRPr="00A06F1E" w:rsidRDefault="00F14975">
            <w:pPr>
              <w:pStyle w:val="TableTextCentered"/>
            </w:pPr>
            <w:r w:rsidRPr="00A06F1E">
              <w:t>$2,905</w:t>
            </w:r>
          </w:p>
        </w:tc>
      </w:tr>
      <w:tr w:rsidR="00F14975" w:rsidRPr="00A06F1E" w14:paraId="38ABC6D2" w14:textId="77777777">
        <w:tc>
          <w:tcPr>
            <w:tcW w:w="5246" w:type="dxa"/>
          </w:tcPr>
          <w:p w14:paraId="3418E349" w14:textId="77777777" w:rsidR="00F14975" w:rsidRPr="00A06F1E" w:rsidRDefault="00F14975">
            <w:pPr>
              <w:pStyle w:val="TableText"/>
            </w:pPr>
            <w:r w:rsidRPr="00A06F1E">
              <w:t>Insurance, retirement, and other fixed costs</w:t>
            </w:r>
          </w:p>
        </w:tc>
        <w:tc>
          <w:tcPr>
            <w:tcW w:w="1366" w:type="dxa"/>
          </w:tcPr>
          <w:p w14:paraId="39D4372B" w14:textId="77777777" w:rsidR="00F14975" w:rsidRPr="00A06F1E" w:rsidRDefault="00F14975">
            <w:pPr>
              <w:pStyle w:val="TableTextCentered"/>
            </w:pPr>
            <w:r w:rsidRPr="00A06F1E">
              <w:t>$3,429</w:t>
            </w:r>
          </w:p>
        </w:tc>
        <w:tc>
          <w:tcPr>
            <w:tcW w:w="1366" w:type="dxa"/>
          </w:tcPr>
          <w:p w14:paraId="1D5549AF" w14:textId="77777777" w:rsidR="00F14975" w:rsidRPr="00A06F1E" w:rsidRDefault="00F14975">
            <w:pPr>
              <w:pStyle w:val="TableTextCentered"/>
            </w:pPr>
            <w:r w:rsidRPr="00A06F1E">
              <w:t>$3,304</w:t>
            </w:r>
          </w:p>
        </w:tc>
        <w:tc>
          <w:tcPr>
            <w:tcW w:w="1366" w:type="dxa"/>
          </w:tcPr>
          <w:p w14:paraId="6BF888FA" w14:textId="77777777" w:rsidR="00F14975" w:rsidRPr="00A06F1E" w:rsidRDefault="00F14975">
            <w:pPr>
              <w:pStyle w:val="TableTextCentered"/>
            </w:pPr>
            <w:r w:rsidRPr="00A06F1E">
              <w:t>$3,887</w:t>
            </w:r>
          </w:p>
        </w:tc>
      </w:tr>
      <w:tr w:rsidR="00F14975" w:rsidRPr="00A06F1E" w14:paraId="4F4F6AC7"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30F744A0" w14:textId="77777777" w:rsidR="00F14975" w:rsidRPr="00A06F1E" w:rsidRDefault="00F14975">
            <w:pPr>
              <w:pStyle w:val="TableText"/>
            </w:pPr>
            <w:r w:rsidRPr="00A06F1E">
              <w:t>Total expenditures per in-district pupil</w:t>
            </w:r>
          </w:p>
        </w:tc>
        <w:tc>
          <w:tcPr>
            <w:tcW w:w="1366" w:type="dxa"/>
          </w:tcPr>
          <w:p w14:paraId="19107BE7" w14:textId="77777777" w:rsidR="00F14975" w:rsidRPr="00A06F1E" w:rsidRDefault="00F14975">
            <w:pPr>
              <w:pStyle w:val="TableTextCentered"/>
            </w:pPr>
            <w:r w:rsidRPr="00A06F1E">
              <w:t>$18,693</w:t>
            </w:r>
          </w:p>
        </w:tc>
        <w:tc>
          <w:tcPr>
            <w:tcW w:w="1366" w:type="dxa"/>
          </w:tcPr>
          <w:p w14:paraId="286E153A" w14:textId="77777777" w:rsidR="00F14975" w:rsidRPr="00A06F1E" w:rsidRDefault="00F14975">
            <w:pPr>
              <w:pStyle w:val="TableTextCentered"/>
            </w:pPr>
            <w:r w:rsidRPr="00A06F1E">
              <w:t>$18,444</w:t>
            </w:r>
          </w:p>
        </w:tc>
        <w:tc>
          <w:tcPr>
            <w:tcW w:w="1366" w:type="dxa"/>
          </w:tcPr>
          <w:p w14:paraId="2231106A" w14:textId="77777777" w:rsidR="00F14975" w:rsidRPr="00A06F1E" w:rsidRDefault="00F14975">
            <w:pPr>
              <w:pStyle w:val="TableTextCentered"/>
            </w:pPr>
            <w:r w:rsidRPr="00A06F1E">
              <w:t>$22,520</w:t>
            </w:r>
          </w:p>
        </w:tc>
      </w:tr>
    </w:tbl>
    <w:p w14:paraId="34C03DF1" w14:textId="77777777" w:rsidR="00F14975" w:rsidRPr="00A06F1E" w:rsidRDefault="00F14975" w:rsidP="00F14975">
      <w:pPr>
        <w:pStyle w:val="TableNote"/>
        <w:spacing w:before="80"/>
      </w:pPr>
      <w:r w:rsidRPr="00A06F1E">
        <w:rPr>
          <w:i/>
          <w:iCs/>
          <w:szCs w:val="20"/>
        </w:rPr>
        <w:t>Note</w:t>
      </w:r>
      <w:r w:rsidRPr="00A06F1E">
        <w:rPr>
          <w:szCs w:val="20"/>
        </w:rPr>
        <w:t>. Any discrepancy between expenditures and total is because of rounding. Data are from</w:t>
      </w:r>
      <w:r w:rsidRPr="00A06F1E">
        <w:rPr>
          <w:rStyle w:val="Hyperlink"/>
          <w:rFonts w:eastAsiaTheme="minorHAnsi"/>
        </w:rPr>
        <w:t xml:space="preserve"> </w:t>
      </w:r>
      <w:hyperlink r:id="rId108" w:history="1">
        <w:r w:rsidRPr="00A06F1E">
          <w:rPr>
            <w:rStyle w:val="Hyperlink"/>
            <w:rFonts w:eastAsiaTheme="minorHAnsi"/>
          </w:rPr>
          <w:t>https://www.doe.mass.edu/finance/statistics/per-pupil-exp.xlsx</w:t>
        </w:r>
      </w:hyperlink>
      <w:r w:rsidRPr="00A06F1E">
        <w:rPr>
          <w:szCs w:val="20"/>
        </w:rPr>
        <w:t>.</w:t>
      </w:r>
    </w:p>
    <w:p w14:paraId="4E1524BC" w14:textId="77777777" w:rsidR="00F14975" w:rsidRPr="00A06F1E" w:rsidRDefault="00F14975" w:rsidP="00F14975">
      <w:pPr>
        <w:pStyle w:val="TableNote"/>
        <w:spacing w:before="80"/>
      </w:pPr>
    </w:p>
    <w:p w14:paraId="571FD4FD" w14:textId="77777777" w:rsidR="00660BAC" w:rsidRPr="00A06F1E" w:rsidRDefault="00660BAC" w:rsidP="00987BD7">
      <w:pPr>
        <w:pStyle w:val="TableTitle0"/>
        <w:sectPr w:rsidR="00660BAC" w:rsidRPr="00A06F1E" w:rsidSect="00D67AD2">
          <w:footerReference w:type="default" r:id="rId109"/>
          <w:pgSz w:w="12240" w:h="15840" w:code="1"/>
          <w:pgMar w:top="1440" w:right="1440" w:bottom="1440" w:left="1440" w:header="720" w:footer="720" w:gutter="0"/>
          <w:cols w:space="720"/>
          <w:docGrid w:linePitch="360"/>
        </w:sectPr>
      </w:pPr>
    </w:p>
    <w:p w14:paraId="0231F160" w14:textId="3A78D628" w:rsidR="00FF4847" w:rsidRPr="00A06F1E" w:rsidRDefault="00FF4847" w:rsidP="00B96AA2">
      <w:pPr>
        <w:pStyle w:val="Heading2"/>
        <w:rPr>
          <w:rFonts w:asciiTheme="minorHAnsi" w:eastAsia="Calibri" w:hAnsiTheme="minorHAnsi" w:cs="Times New Roman"/>
        </w:rPr>
      </w:pPr>
      <w:bookmarkStart w:id="239" w:name="_Toc170701364"/>
      <w:bookmarkStart w:id="240" w:name="_Toc170896587"/>
      <w:bookmarkStart w:id="241" w:name="AppendixE"/>
      <w:bookmarkEnd w:id="222"/>
      <w:r w:rsidRPr="00A06F1E">
        <w:lastRenderedPageBreak/>
        <w:t>Appendix E</w:t>
      </w:r>
      <w:r w:rsidR="00000007" w:rsidRPr="00A06F1E">
        <w:t>.</w:t>
      </w:r>
      <w:r w:rsidRPr="00A06F1E">
        <w:t xml:space="preserve"> Student </w:t>
      </w:r>
      <w:r w:rsidR="000A6E41" w:rsidRPr="00A06F1E">
        <w:t xml:space="preserve">Performance </w:t>
      </w:r>
      <w:r w:rsidR="00FB7229" w:rsidRPr="00A06F1E">
        <w:t>Data</w:t>
      </w:r>
      <w:bookmarkEnd w:id="239"/>
      <w:bookmarkEnd w:id="240"/>
    </w:p>
    <w:bookmarkEnd w:id="241"/>
    <w:p w14:paraId="088757F4" w14:textId="4B8A5BCF" w:rsidR="00A85E9C" w:rsidRDefault="00B7722D">
      <w:pPr>
        <w:pStyle w:val="TableofFigures"/>
        <w:tabs>
          <w:tab w:val="right" w:leader="dot" w:pos="12950"/>
        </w:tabs>
        <w:rPr>
          <w:rFonts w:eastAsiaTheme="minorEastAsia"/>
          <w:noProof/>
          <w:kern w:val="2"/>
          <w:sz w:val="24"/>
          <w:szCs w:val="24"/>
          <w14:ligatures w14:val="standardContextual"/>
        </w:rPr>
      </w:pPr>
      <w:r w:rsidRPr="00A06F1E">
        <w:fldChar w:fldCharType="begin"/>
      </w:r>
      <w:r w:rsidRPr="00A06F1E">
        <w:instrText xml:space="preserve"> TOC \h \z \t "Table title_Section E" \c </w:instrText>
      </w:r>
      <w:r w:rsidRPr="00A06F1E">
        <w:fldChar w:fldCharType="separate"/>
      </w:r>
      <w:hyperlink w:anchor="_Toc171685784" w:history="1">
        <w:r w:rsidR="00A85E9C" w:rsidRPr="00A373A3">
          <w:rPr>
            <w:rStyle w:val="Hyperlink"/>
            <w:noProof/>
          </w:rPr>
          <w:t xml:space="preserve">Table E1a. </w:t>
        </w:r>
        <w:r w:rsidR="00CF4F71">
          <w:rPr>
            <w:rStyle w:val="Hyperlink"/>
            <w:noProof/>
          </w:rPr>
          <w:t>Fisher Hill</w:t>
        </w:r>
        <w:r w:rsidR="00A85E9C" w:rsidRPr="00A373A3">
          <w:rPr>
            <w:rStyle w:val="Hyperlink"/>
            <w:noProof/>
          </w:rPr>
          <w:t>: Next-Generation MCAS ELA Achievement by Student Group, Grades 3-8, 2022-2023</w:t>
        </w:r>
        <w:r w:rsidR="00A85E9C">
          <w:rPr>
            <w:noProof/>
            <w:webHidden/>
          </w:rPr>
          <w:tab/>
        </w:r>
        <w:r w:rsidR="00A85E9C">
          <w:rPr>
            <w:noProof/>
            <w:webHidden/>
          </w:rPr>
          <w:fldChar w:fldCharType="begin"/>
        </w:r>
        <w:r w:rsidR="00A85E9C">
          <w:rPr>
            <w:noProof/>
            <w:webHidden/>
          </w:rPr>
          <w:instrText xml:space="preserve"> PAGEREF _Toc171685784 \h </w:instrText>
        </w:r>
        <w:r w:rsidR="00A85E9C">
          <w:rPr>
            <w:noProof/>
            <w:webHidden/>
          </w:rPr>
        </w:r>
        <w:r w:rsidR="00A85E9C">
          <w:rPr>
            <w:noProof/>
            <w:webHidden/>
          </w:rPr>
          <w:fldChar w:fldCharType="separate"/>
        </w:r>
        <w:r w:rsidR="00A85E9C">
          <w:rPr>
            <w:noProof/>
            <w:webHidden/>
          </w:rPr>
          <w:t>3</w:t>
        </w:r>
        <w:r w:rsidR="00A85E9C">
          <w:rPr>
            <w:noProof/>
            <w:webHidden/>
          </w:rPr>
          <w:fldChar w:fldCharType="end"/>
        </w:r>
      </w:hyperlink>
    </w:p>
    <w:p w14:paraId="4B45EABB" w14:textId="59897481"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785" w:history="1">
        <w:r w:rsidR="00A85E9C" w:rsidRPr="00A373A3">
          <w:rPr>
            <w:rStyle w:val="Hyperlink"/>
            <w:noProof/>
          </w:rPr>
          <w:t xml:space="preserve">Table E1b. </w:t>
        </w:r>
        <w:r w:rsidR="00652B48">
          <w:rPr>
            <w:rStyle w:val="Hyperlink"/>
            <w:noProof/>
          </w:rPr>
          <w:t>Petersham Center</w:t>
        </w:r>
        <w:r w:rsidR="00A85E9C" w:rsidRPr="00A373A3">
          <w:rPr>
            <w:rStyle w:val="Hyperlink"/>
            <w:noProof/>
          </w:rPr>
          <w:t>: Next-Generation MCAS ELA Achievement by Student Group, Grades 3-8, 2022-2023</w:t>
        </w:r>
        <w:r w:rsidR="00A85E9C">
          <w:rPr>
            <w:noProof/>
            <w:webHidden/>
          </w:rPr>
          <w:tab/>
        </w:r>
        <w:r w:rsidR="00A85E9C">
          <w:rPr>
            <w:noProof/>
            <w:webHidden/>
          </w:rPr>
          <w:fldChar w:fldCharType="begin"/>
        </w:r>
        <w:r w:rsidR="00A85E9C">
          <w:rPr>
            <w:noProof/>
            <w:webHidden/>
          </w:rPr>
          <w:instrText xml:space="preserve"> PAGEREF _Toc171685785 \h </w:instrText>
        </w:r>
        <w:r w:rsidR="00A85E9C">
          <w:rPr>
            <w:noProof/>
            <w:webHidden/>
          </w:rPr>
        </w:r>
        <w:r w:rsidR="00A85E9C">
          <w:rPr>
            <w:noProof/>
            <w:webHidden/>
          </w:rPr>
          <w:fldChar w:fldCharType="separate"/>
        </w:r>
        <w:r w:rsidR="00A85E9C">
          <w:rPr>
            <w:noProof/>
            <w:webHidden/>
          </w:rPr>
          <w:t>3</w:t>
        </w:r>
        <w:r w:rsidR="00A85E9C">
          <w:rPr>
            <w:noProof/>
            <w:webHidden/>
          </w:rPr>
          <w:fldChar w:fldCharType="end"/>
        </w:r>
      </w:hyperlink>
    </w:p>
    <w:p w14:paraId="544ADF86" w14:textId="4A50A116"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786" w:history="1">
        <w:r w:rsidR="00A85E9C" w:rsidRPr="00A373A3">
          <w:rPr>
            <w:rStyle w:val="Hyperlink"/>
            <w:noProof/>
          </w:rPr>
          <w:t>Table E1c. Mahar Regional: Next-Generation MCAS ELA Achievement by Student Group, Grades 3-8, 2022-2023</w:t>
        </w:r>
        <w:r w:rsidR="00A85E9C">
          <w:rPr>
            <w:noProof/>
            <w:webHidden/>
          </w:rPr>
          <w:tab/>
        </w:r>
        <w:r w:rsidR="00A85E9C">
          <w:rPr>
            <w:noProof/>
            <w:webHidden/>
          </w:rPr>
          <w:fldChar w:fldCharType="begin"/>
        </w:r>
        <w:r w:rsidR="00A85E9C">
          <w:rPr>
            <w:noProof/>
            <w:webHidden/>
          </w:rPr>
          <w:instrText xml:space="preserve"> PAGEREF _Toc171685786 \h </w:instrText>
        </w:r>
        <w:r w:rsidR="00A85E9C">
          <w:rPr>
            <w:noProof/>
            <w:webHidden/>
          </w:rPr>
        </w:r>
        <w:r w:rsidR="00A85E9C">
          <w:rPr>
            <w:noProof/>
            <w:webHidden/>
          </w:rPr>
          <w:fldChar w:fldCharType="separate"/>
        </w:r>
        <w:r w:rsidR="00A85E9C">
          <w:rPr>
            <w:noProof/>
            <w:webHidden/>
          </w:rPr>
          <w:t>4</w:t>
        </w:r>
        <w:r w:rsidR="00A85E9C">
          <w:rPr>
            <w:noProof/>
            <w:webHidden/>
          </w:rPr>
          <w:fldChar w:fldCharType="end"/>
        </w:r>
      </w:hyperlink>
    </w:p>
    <w:p w14:paraId="576DFE7B" w14:textId="47A417F9"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787" w:history="1">
        <w:r w:rsidR="00A85E9C" w:rsidRPr="00A373A3">
          <w:rPr>
            <w:rStyle w:val="Hyperlink"/>
            <w:noProof/>
          </w:rPr>
          <w:t>Table E2. Mahar Regional: Next-Generation MCAS ELA Achievement by Student Group, Grade 10, 2022-2023</w:t>
        </w:r>
        <w:r w:rsidR="00A85E9C">
          <w:rPr>
            <w:noProof/>
            <w:webHidden/>
          </w:rPr>
          <w:tab/>
        </w:r>
        <w:r w:rsidR="00A85E9C">
          <w:rPr>
            <w:noProof/>
            <w:webHidden/>
          </w:rPr>
          <w:fldChar w:fldCharType="begin"/>
        </w:r>
        <w:r w:rsidR="00A85E9C">
          <w:rPr>
            <w:noProof/>
            <w:webHidden/>
          </w:rPr>
          <w:instrText xml:space="preserve"> PAGEREF _Toc171685787 \h </w:instrText>
        </w:r>
        <w:r w:rsidR="00A85E9C">
          <w:rPr>
            <w:noProof/>
            <w:webHidden/>
          </w:rPr>
        </w:r>
        <w:r w:rsidR="00A85E9C">
          <w:rPr>
            <w:noProof/>
            <w:webHidden/>
          </w:rPr>
          <w:fldChar w:fldCharType="separate"/>
        </w:r>
        <w:r w:rsidR="00A85E9C">
          <w:rPr>
            <w:noProof/>
            <w:webHidden/>
          </w:rPr>
          <w:t>4</w:t>
        </w:r>
        <w:r w:rsidR="00A85E9C">
          <w:rPr>
            <w:noProof/>
            <w:webHidden/>
          </w:rPr>
          <w:fldChar w:fldCharType="end"/>
        </w:r>
      </w:hyperlink>
    </w:p>
    <w:p w14:paraId="31C8969E" w14:textId="13EE4A84"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788" w:history="1">
        <w:r w:rsidR="00A85E9C" w:rsidRPr="00A373A3">
          <w:rPr>
            <w:rStyle w:val="Hyperlink"/>
            <w:noProof/>
          </w:rPr>
          <w:t xml:space="preserve">Table E3a. </w:t>
        </w:r>
        <w:r w:rsidR="00CF4F71">
          <w:rPr>
            <w:rStyle w:val="Hyperlink"/>
            <w:noProof/>
          </w:rPr>
          <w:t>Fisher Hill</w:t>
        </w:r>
        <w:r w:rsidR="00A85E9C" w:rsidRPr="00A373A3">
          <w:rPr>
            <w:rStyle w:val="Hyperlink"/>
            <w:noProof/>
          </w:rPr>
          <w:t>: Next-Generation MCAS Mathematics Achievement by Student Group, Grades 3-8, 2022-2023</w:t>
        </w:r>
        <w:r w:rsidR="00A85E9C">
          <w:rPr>
            <w:noProof/>
            <w:webHidden/>
          </w:rPr>
          <w:tab/>
        </w:r>
        <w:r w:rsidR="00A85E9C">
          <w:rPr>
            <w:noProof/>
            <w:webHidden/>
          </w:rPr>
          <w:fldChar w:fldCharType="begin"/>
        </w:r>
        <w:r w:rsidR="00A85E9C">
          <w:rPr>
            <w:noProof/>
            <w:webHidden/>
          </w:rPr>
          <w:instrText xml:space="preserve"> PAGEREF _Toc171685788 \h </w:instrText>
        </w:r>
        <w:r w:rsidR="00A85E9C">
          <w:rPr>
            <w:noProof/>
            <w:webHidden/>
          </w:rPr>
        </w:r>
        <w:r w:rsidR="00A85E9C">
          <w:rPr>
            <w:noProof/>
            <w:webHidden/>
          </w:rPr>
          <w:fldChar w:fldCharType="separate"/>
        </w:r>
        <w:r w:rsidR="00A85E9C">
          <w:rPr>
            <w:noProof/>
            <w:webHidden/>
          </w:rPr>
          <w:t>5</w:t>
        </w:r>
        <w:r w:rsidR="00A85E9C">
          <w:rPr>
            <w:noProof/>
            <w:webHidden/>
          </w:rPr>
          <w:fldChar w:fldCharType="end"/>
        </w:r>
      </w:hyperlink>
    </w:p>
    <w:p w14:paraId="7746EE62" w14:textId="149D8BD4"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789" w:history="1">
        <w:r w:rsidR="00A85E9C" w:rsidRPr="00A373A3">
          <w:rPr>
            <w:rStyle w:val="Hyperlink"/>
            <w:noProof/>
          </w:rPr>
          <w:t xml:space="preserve">Table E3b. </w:t>
        </w:r>
        <w:r w:rsidR="00652B48">
          <w:rPr>
            <w:rStyle w:val="Hyperlink"/>
            <w:noProof/>
          </w:rPr>
          <w:t>Petersham Center</w:t>
        </w:r>
        <w:r w:rsidR="00A85E9C" w:rsidRPr="00A373A3">
          <w:rPr>
            <w:rStyle w:val="Hyperlink"/>
            <w:noProof/>
          </w:rPr>
          <w:t>: Next-Generation MCAS Mathematics Achievement by Student Group, Grades 3-8, 2022-2023</w:t>
        </w:r>
        <w:r w:rsidR="00A85E9C">
          <w:rPr>
            <w:noProof/>
            <w:webHidden/>
          </w:rPr>
          <w:tab/>
        </w:r>
        <w:r w:rsidR="00A85E9C">
          <w:rPr>
            <w:noProof/>
            <w:webHidden/>
          </w:rPr>
          <w:fldChar w:fldCharType="begin"/>
        </w:r>
        <w:r w:rsidR="00A85E9C">
          <w:rPr>
            <w:noProof/>
            <w:webHidden/>
          </w:rPr>
          <w:instrText xml:space="preserve"> PAGEREF _Toc171685789 \h </w:instrText>
        </w:r>
        <w:r w:rsidR="00A85E9C">
          <w:rPr>
            <w:noProof/>
            <w:webHidden/>
          </w:rPr>
        </w:r>
        <w:r w:rsidR="00A85E9C">
          <w:rPr>
            <w:noProof/>
            <w:webHidden/>
          </w:rPr>
          <w:fldChar w:fldCharType="separate"/>
        </w:r>
        <w:r w:rsidR="00A85E9C">
          <w:rPr>
            <w:noProof/>
            <w:webHidden/>
          </w:rPr>
          <w:t>5</w:t>
        </w:r>
        <w:r w:rsidR="00A85E9C">
          <w:rPr>
            <w:noProof/>
            <w:webHidden/>
          </w:rPr>
          <w:fldChar w:fldCharType="end"/>
        </w:r>
      </w:hyperlink>
    </w:p>
    <w:p w14:paraId="77340E46" w14:textId="3458B628"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790" w:history="1">
        <w:r w:rsidR="00A85E9C" w:rsidRPr="00A373A3">
          <w:rPr>
            <w:rStyle w:val="Hyperlink"/>
            <w:noProof/>
          </w:rPr>
          <w:t>Table E3c Mahar Regional: Next-Generation MCAS Mathematics Achievement by Student Group, Grades 3-8, 2022-2023</w:t>
        </w:r>
        <w:r w:rsidR="00A85E9C">
          <w:rPr>
            <w:noProof/>
            <w:webHidden/>
          </w:rPr>
          <w:tab/>
        </w:r>
        <w:r w:rsidR="00A85E9C">
          <w:rPr>
            <w:noProof/>
            <w:webHidden/>
          </w:rPr>
          <w:fldChar w:fldCharType="begin"/>
        </w:r>
        <w:r w:rsidR="00A85E9C">
          <w:rPr>
            <w:noProof/>
            <w:webHidden/>
          </w:rPr>
          <w:instrText xml:space="preserve"> PAGEREF _Toc171685790 \h </w:instrText>
        </w:r>
        <w:r w:rsidR="00A85E9C">
          <w:rPr>
            <w:noProof/>
            <w:webHidden/>
          </w:rPr>
        </w:r>
        <w:r w:rsidR="00A85E9C">
          <w:rPr>
            <w:noProof/>
            <w:webHidden/>
          </w:rPr>
          <w:fldChar w:fldCharType="separate"/>
        </w:r>
        <w:r w:rsidR="00A85E9C">
          <w:rPr>
            <w:noProof/>
            <w:webHidden/>
          </w:rPr>
          <w:t>6</w:t>
        </w:r>
        <w:r w:rsidR="00A85E9C">
          <w:rPr>
            <w:noProof/>
            <w:webHidden/>
          </w:rPr>
          <w:fldChar w:fldCharType="end"/>
        </w:r>
      </w:hyperlink>
    </w:p>
    <w:p w14:paraId="23148A31" w14:textId="550C9043"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791" w:history="1">
        <w:r w:rsidR="00A85E9C" w:rsidRPr="00A373A3">
          <w:rPr>
            <w:rStyle w:val="Hyperlink"/>
            <w:noProof/>
          </w:rPr>
          <w:t>Table E4. Mahar Regional: Next-Generation MCAS Mathematics Achievement by Student Group, Grade 10, 2022-2023</w:t>
        </w:r>
        <w:r w:rsidR="00A85E9C">
          <w:rPr>
            <w:noProof/>
            <w:webHidden/>
          </w:rPr>
          <w:tab/>
        </w:r>
        <w:r w:rsidR="00A85E9C">
          <w:rPr>
            <w:noProof/>
            <w:webHidden/>
          </w:rPr>
          <w:fldChar w:fldCharType="begin"/>
        </w:r>
        <w:r w:rsidR="00A85E9C">
          <w:rPr>
            <w:noProof/>
            <w:webHidden/>
          </w:rPr>
          <w:instrText xml:space="preserve"> PAGEREF _Toc171685791 \h </w:instrText>
        </w:r>
        <w:r w:rsidR="00A85E9C">
          <w:rPr>
            <w:noProof/>
            <w:webHidden/>
          </w:rPr>
        </w:r>
        <w:r w:rsidR="00A85E9C">
          <w:rPr>
            <w:noProof/>
            <w:webHidden/>
          </w:rPr>
          <w:fldChar w:fldCharType="separate"/>
        </w:r>
        <w:r w:rsidR="00A85E9C">
          <w:rPr>
            <w:noProof/>
            <w:webHidden/>
          </w:rPr>
          <w:t>6</w:t>
        </w:r>
        <w:r w:rsidR="00A85E9C">
          <w:rPr>
            <w:noProof/>
            <w:webHidden/>
          </w:rPr>
          <w:fldChar w:fldCharType="end"/>
        </w:r>
      </w:hyperlink>
    </w:p>
    <w:p w14:paraId="66064FE4" w14:textId="4AE3B1DD"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792" w:history="1">
        <w:r w:rsidR="00A85E9C" w:rsidRPr="00A373A3">
          <w:rPr>
            <w:rStyle w:val="Hyperlink"/>
            <w:noProof/>
          </w:rPr>
          <w:t xml:space="preserve">Table E5a. </w:t>
        </w:r>
        <w:r w:rsidR="00CF4F71">
          <w:rPr>
            <w:rStyle w:val="Hyperlink"/>
            <w:noProof/>
          </w:rPr>
          <w:t>Fisher Hill</w:t>
        </w:r>
        <w:r w:rsidR="00A85E9C" w:rsidRPr="00A373A3">
          <w:rPr>
            <w:rStyle w:val="Hyperlink"/>
            <w:noProof/>
          </w:rPr>
          <w:t>: Next-Generation MCAS Science Achievement by Student Group, Grades 5 and 8, 2022-2023</w:t>
        </w:r>
        <w:r w:rsidR="00A85E9C">
          <w:rPr>
            <w:noProof/>
            <w:webHidden/>
          </w:rPr>
          <w:tab/>
        </w:r>
        <w:r w:rsidR="00A85E9C">
          <w:rPr>
            <w:noProof/>
            <w:webHidden/>
          </w:rPr>
          <w:fldChar w:fldCharType="begin"/>
        </w:r>
        <w:r w:rsidR="00A85E9C">
          <w:rPr>
            <w:noProof/>
            <w:webHidden/>
          </w:rPr>
          <w:instrText xml:space="preserve"> PAGEREF _Toc171685792 \h </w:instrText>
        </w:r>
        <w:r w:rsidR="00A85E9C">
          <w:rPr>
            <w:noProof/>
            <w:webHidden/>
          </w:rPr>
        </w:r>
        <w:r w:rsidR="00A85E9C">
          <w:rPr>
            <w:noProof/>
            <w:webHidden/>
          </w:rPr>
          <w:fldChar w:fldCharType="separate"/>
        </w:r>
        <w:r w:rsidR="00A85E9C">
          <w:rPr>
            <w:noProof/>
            <w:webHidden/>
          </w:rPr>
          <w:t>7</w:t>
        </w:r>
        <w:r w:rsidR="00A85E9C">
          <w:rPr>
            <w:noProof/>
            <w:webHidden/>
          </w:rPr>
          <w:fldChar w:fldCharType="end"/>
        </w:r>
      </w:hyperlink>
    </w:p>
    <w:p w14:paraId="1B33D2B8" w14:textId="44779DBE"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793" w:history="1">
        <w:r w:rsidR="00A85E9C" w:rsidRPr="00A373A3">
          <w:rPr>
            <w:rStyle w:val="Hyperlink"/>
            <w:noProof/>
          </w:rPr>
          <w:t xml:space="preserve">Table E5b. </w:t>
        </w:r>
        <w:r w:rsidR="00652B48">
          <w:rPr>
            <w:rStyle w:val="Hyperlink"/>
            <w:noProof/>
          </w:rPr>
          <w:t>Petersham Center</w:t>
        </w:r>
        <w:r w:rsidR="00A85E9C" w:rsidRPr="00A373A3">
          <w:rPr>
            <w:rStyle w:val="Hyperlink"/>
            <w:noProof/>
          </w:rPr>
          <w:t>: Next-Generation MCAS Science Achievement by Student Group, Grades 5 and 8, 2022-2023</w:t>
        </w:r>
        <w:r w:rsidR="00A85E9C">
          <w:rPr>
            <w:noProof/>
            <w:webHidden/>
          </w:rPr>
          <w:tab/>
        </w:r>
        <w:r w:rsidR="00A85E9C">
          <w:rPr>
            <w:noProof/>
            <w:webHidden/>
          </w:rPr>
          <w:fldChar w:fldCharType="begin"/>
        </w:r>
        <w:r w:rsidR="00A85E9C">
          <w:rPr>
            <w:noProof/>
            <w:webHidden/>
          </w:rPr>
          <w:instrText xml:space="preserve"> PAGEREF _Toc171685793 \h </w:instrText>
        </w:r>
        <w:r w:rsidR="00A85E9C">
          <w:rPr>
            <w:noProof/>
            <w:webHidden/>
          </w:rPr>
        </w:r>
        <w:r w:rsidR="00A85E9C">
          <w:rPr>
            <w:noProof/>
            <w:webHidden/>
          </w:rPr>
          <w:fldChar w:fldCharType="separate"/>
        </w:r>
        <w:r w:rsidR="00A85E9C">
          <w:rPr>
            <w:noProof/>
            <w:webHidden/>
          </w:rPr>
          <w:t>7</w:t>
        </w:r>
        <w:r w:rsidR="00A85E9C">
          <w:rPr>
            <w:noProof/>
            <w:webHidden/>
          </w:rPr>
          <w:fldChar w:fldCharType="end"/>
        </w:r>
      </w:hyperlink>
    </w:p>
    <w:p w14:paraId="2E279E1C" w14:textId="4D1AAC56"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794" w:history="1">
        <w:r w:rsidR="00A85E9C" w:rsidRPr="00A373A3">
          <w:rPr>
            <w:rStyle w:val="Hyperlink"/>
            <w:noProof/>
          </w:rPr>
          <w:t>Table E5c Mahar Regional: Next-Generation MCAS Science Achievement by Student Group, Grades 5 and 8, 2022-2023</w:t>
        </w:r>
        <w:r w:rsidR="00A85E9C">
          <w:rPr>
            <w:noProof/>
            <w:webHidden/>
          </w:rPr>
          <w:tab/>
        </w:r>
        <w:r w:rsidR="00A85E9C">
          <w:rPr>
            <w:noProof/>
            <w:webHidden/>
          </w:rPr>
          <w:fldChar w:fldCharType="begin"/>
        </w:r>
        <w:r w:rsidR="00A85E9C">
          <w:rPr>
            <w:noProof/>
            <w:webHidden/>
          </w:rPr>
          <w:instrText xml:space="preserve"> PAGEREF _Toc171685794 \h </w:instrText>
        </w:r>
        <w:r w:rsidR="00A85E9C">
          <w:rPr>
            <w:noProof/>
            <w:webHidden/>
          </w:rPr>
        </w:r>
        <w:r w:rsidR="00A85E9C">
          <w:rPr>
            <w:noProof/>
            <w:webHidden/>
          </w:rPr>
          <w:fldChar w:fldCharType="separate"/>
        </w:r>
        <w:r w:rsidR="00A85E9C">
          <w:rPr>
            <w:noProof/>
            <w:webHidden/>
          </w:rPr>
          <w:t>8</w:t>
        </w:r>
        <w:r w:rsidR="00A85E9C">
          <w:rPr>
            <w:noProof/>
            <w:webHidden/>
          </w:rPr>
          <w:fldChar w:fldCharType="end"/>
        </w:r>
      </w:hyperlink>
    </w:p>
    <w:p w14:paraId="40E953AA" w14:textId="508E06E6"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795" w:history="1">
        <w:r w:rsidR="00A85E9C" w:rsidRPr="00A373A3">
          <w:rPr>
            <w:rStyle w:val="Hyperlink"/>
            <w:noProof/>
          </w:rPr>
          <w:t>Table E6. Mahar Regional: Next-Generation MCAS Science Achievement by Student Group, Grade 10, 2022-2023</w:t>
        </w:r>
        <w:r w:rsidR="00A85E9C">
          <w:rPr>
            <w:noProof/>
            <w:webHidden/>
          </w:rPr>
          <w:tab/>
        </w:r>
        <w:r w:rsidR="00A85E9C">
          <w:rPr>
            <w:noProof/>
            <w:webHidden/>
          </w:rPr>
          <w:fldChar w:fldCharType="begin"/>
        </w:r>
        <w:r w:rsidR="00A85E9C">
          <w:rPr>
            <w:noProof/>
            <w:webHidden/>
          </w:rPr>
          <w:instrText xml:space="preserve"> PAGEREF _Toc171685795 \h </w:instrText>
        </w:r>
        <w:r w:rsidR="00A85E9C">
          <w:rPr>
            <w:noProof/>
            <w:webHidden/>
          </w:rPr>
        </w:r>
        <w:r w:rsidR="00A85E9C">
          <w:rPr>
            <w:noProof/>
            <w:webHidden/>
          </w:rPr>
          <w:fldChar w:fldCharType="separate"/>
        </w:r>
        <w:r w:rsidR="00A85E9C">
          <w:rPr>
            <w:noProof/>
            <w:webHidden/>
          </w:rPr>
          <w:t>8</w:t>
        </w:r>
        <w:r w:rsidR="00A85E9C">
          <w:rPr>
            <w:noProof/>
            <w:webHidden/>
          </w:rPr>
          <w:fldChar w:fldCharType="end"/>
        </w:r>
      </w:hyperlink>
    </w:p>
    <w:p w14:paraId="523B8323" w14:textId="508EAF2E"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796" w:history="1">
        <w:r w:rsidR="00A85E9C" w:rsidRPr="00A373A3">
          <w:rPr>
            <w:rStyle w:val="Hyperlink"/>
            <w:noProof/>
          </w:rPr>
          <w:t xml:space="preserve">Table E7a. </w:t>
        </w:r>
        <w:r w:rsidR="00CF4F71">
          <w:rPr>
            <w:rStyle w:val="Hyperlink"/>
            <w:noProof/>
          </w:rPr>
          <w:t>Fisher Hill</w:t>
        </w:r>
        <w:r w:rsidR="00A85E9C" w:rsidRPr="00A373A3">
          <w:rPr>
            <w:rStyle w:val="Hyperlink"/>
            <w:noProof/>
          </w:rPr>
          <w:t>: Next-Generation MCAS ELA Achievement by Grade, 2022-2023</w:t>
        </w:r>
        <w:r w:rsidR="00A85E9C">
          <w:rPr>
            <w:noProof/>
            <w:webHidden/>
          </w:rPr>
          <w:tab/>
        </w:r>
        <w:r w:rsidR="00A85E9C">
          <w:rPr>
            <w:noProof/>
            <w:webHidden/>
          </w:rPr>
          <w:fldChar w:fldCharType="begin"/>
        </w:r>
        <w:r w:rsidR="00A85E9C">
          <w:rPr>
            <w:noProof/>
            <w:webHidden/>
          </w:rPr>
          <w:instrText xml:space="preserve"> PAGEREF _Toc171685796 \h </w:instrText>
        </w:r>
        <w:r w:rsidR="00A85E9C">
          <w:rPr>
            <w:noProof/>
            <w:webHidden/>
          </w:rPr>
        </w:r>
        <w:r w:rsidR="00A85E9C">
          <w:rPr>
            <w:noProof/>
            <w:webHidden/>
          </w:rPr>
          <w:fldChar w:fldCharType="separate"/>
        </w:r>
        <w:r w:rsidR="00A85E9C">
          <w:rPr>
            <w:noProof/>
            <w:webHidden/>
          </w:rPr>
          <w:t>9</w:t>
        </w:r>
        <w:r w:rsidR="00A85E9C">
          <w:rPr>
            <w:noProof/>
            <w:webHidden/>
          </w:rPr>
          <w:fldChar w:fldCharType="end"/>
        </w:r>
      </w:hyperlink>
    </w:p>
    <w:p w14:paraId="5022C283" w14:textId="070FE7A8"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797" w:history="1">
        <w:r w:rsidR="00A85E9C" w:rsidRPr="00A373A3">
          <w:rPr>
            <w:rStyle w:val="Hyperlink"/>
            <w:noProof/>
          </w:rPr>
          <w:t xml:space="preserve">Table E7b. </w:t>
        </w:r>
        <w:r w:rsidR="00652B48">
          <w:rPr>
            <w:rStyle w:val="Hyperlink"/>
            <w:noProof/>
          </w:rPr>
          <w:t>Petersham Center</w:t>
        </w:r>
        <w:r w:rsidR="00A85E9C" w:rsidRPr="00A373A3">
          <w:rPr>
            <w:rStyle w:val="Hyperlink"/>
            <w:noProof/>
          </w:rPr>
          <w:t>: Next-Generation MCAS ELA Achievement by Grade, 2022-2023</w:t>
        </w:r>
        <w:r w:rsidR="00A85E9C">
          <w:rPr>
            <w:noProof/>
            <w:webHidden/>
          </w:rPr>
          <w:tab/>
        </w:r>
        <w:r w:rsidR="00A85E9C">
          <w:rPr>
            <w:noProof/>
            <w:webHidden/>
          </w:rPr>
          <w:fldChar w:fldCharType="begin"/>
        </w:r>
        <w:r w:rsidR="00A85E9C">
          <w:rPr>
            <w:noProof/>
            <w:webHidden/>
          </w:rPr>
          <w:instrText xml:space="preserve"> PAGEREF _Toc171685797 \h </w:instrText>
        </w:r>
        <w:r w:rsidR="00A85E9C">
          <w:rPr>
            <w:noProof/>
            <w:webHidden/>
          </w:rPr>
        </w:r>
        <w:r w:rsidR="00A85E9C">
          <w:rPr>
            <w:noProof/>
            <w:webHidden/>
          </w:rPr>
          <w:fldChar w:fldCharType="separate"/>
        </w:r>
        <w:r w:rsidR="00A85E9C">
          <w:rPr>
            <w:noProof/>
            <w:webHidden/>
          </w:rPr>
          <w:t>9</w:t>
        </w:r>
        <w:r w:rsidR="00A85E9C">
          <w:rPr>
            <w:noProof/>
            <w:webHidden/>
          </w:rPr>
          <w:fldChar w:fldCharType="end"/>
        </w:r>
      </w:hyperlink>
    </w:p>
    <w:p w14:paraId="608CEB89" w14:textId="5FA3DFCB"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798" w:history="1">
        <w:r w:rsidR="00A85E9C" w:rsidRPr="00A373A3">
          <w:rPr>
            <w:rStyle w:val="Hyperlink"/>
            <w:noProof/>
          </w:rPr>
          <w:t xml:space="preserve">Table E7c. Mahar Regional: </w:t>
        </w:r>
        <w:r w:rsidR="00A85E9C" w:rsidRPr="00A373A3">
          <w:rPr>
            <w:rStyle w:val="Hyperlink"/>
            <w:noProof/>
            <w:spacing w:val="-4"/>
          </w:rPr>
          <w:t xml:space="preserve">Next-Generation MCAS ELA </w:t>
        </w:r>
        <w:r w:rsidR="00A85E9C" w:rsidRPr="00A373A3">
          <w:rPr>
            <w:rStyle w:val="Hyperlink"/>
            <w:noProof/>
          </w:rPr>
          <w:t xml:space="preserve">Achievement by </w:t>
        </w:r>
        <w:r w:rsidR="00A85E9C" w:rsidRPr="00A373A3">
          <w:rPr>
            <w:rStyle w:val="Hyperlink"/>
            <w:noProof/>
            <w:spacing w:val="-4"/>
          </w:rPr>
          <w:t>Grade, 2022-2023</w:t>
        </w:r>
        <w:r w:rsidR="00A85E9C">
          <w:rPr>
            <w:noProof/>
            <w:webHidden/>
          </w:rPr>
          <w:tab/>
        </w:r>
        <w:r w:rsidR="00A85E9C">
          <w:rPr>
            <w:noProof/>
            <w:webHidden/>
          </w:rPr>
          <w:fldChar w:fldCharType="begin"/>
        </w:r>
        <w:r w:rsidR="00A85E9C">
          <w:rPr>
            <w:noProof/>
            <w:webHidden/>
          </w:rPr>
          <w:instrText xml:space="preserve"> PAGEREF _Toc171685798 \h </w:instrText>
        </w:r>
        <w:r w:rsidR="00A85E9C">
          <w:rPr>
            <w:noProof/>
            <w:webHidden/>
          </w:rPr>
        </w:r>
        <w:r w:rsidR="00A85E9C">
          <w:rPr>
            <w:noProof/>
            <w:webHidden/>
          </w:rPr>
          <w:fldChar w:fldCharType="separate"/>
        </w:r>
        <w:r w:rsidR="00A85E9C">
          <w:rPr>
            <w:noProof/>
            <w:webHidden/>
          </w:rPr>
          <w:t>10</w:t>
        </w:r>
        <w:r w:rsidR="00A85E9C">
          <w:rPr>
            <w:noProof/>
            <w:webHidden/>
          </w:rPr>
          <w:fldChar w:fldCharType="end"/>
        </w:r>
      </w:hyperlink>
    </w:p>
    <w:p w14:paraId="1934DFB5" w14:textId="3BA82F30"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799" w:history="1">
        <w:r w:rsidR="00A85E9C" w:rsidRPr="00A373A3">
          <w:rPr>
            <w:rStyle w:val="Hyperlink"/>
            <w:noProof/>
          </w:rPr>
          <w:t xml:space="preserve">Table E8a. </w:t>
        </w:r>
        <w:r w:rsidR="00CF4F71">
          <w:rPr>
            <w:rStyle w:val="Hyperlink"/>
            <w:noProof/>
          </w:rPr>
          <w:t>Fisher Hill</w:t>
        </w:r>
        <w:r w:rsidR="00A85E9C" w:rsidRPr="00A373A3">
          <w:rPr>
            <w:rStyle w:val="Hyperlink"/>
            <w:noProof/>
          </w:rPr>
          <w:t>: Next-Generation MCAS Mathematics Achievement by Grade, 2022-2023</w:t>
        </w:r>
        <w:r w:rsidR="00A85E9C">
          <w:rPr>
            <w:noProof/>
            <w:webHidden/>
          </w:rPr>
          <w:tab/>
        </w:r>
        <w:r w:rsidR="00A85E9C">
          <w:rPr>
            <w:noProof/>
            <w:webHidden/>
          </w:rPr>
          <w:fldChar w:fldCharType="begin"/>
        </w:r>
        <w:r w:rsidR="00A85E9C">
          <w:rPr>
            <w:noProof/>
            <w:webHidden/>
          </w:rPr>
          <w:instrText xml:space="preserve"> PAGEREF _Toc171685799 \h </w:instrText>
        </w:r>
        <w:r w:rsidR="00A85E9C">
          <w:rPr>
            <w:noProof/>
            <w:webHidden/>
          </w:rPr>
        </w:r>
        <w:r w:rsidR="00A85E9C">
          <w:rPr>
            <w:noProof/>
            <w:webHidden/>
          </w:rPr>
          <w:fldChar w:fldCharType="separate"/>
        </w:r>
        <w:r w:rsidR="00A85E9C">
          <w:rPr>
            <w:noProof/>
            <w:webHidden/>
          </w:rPr>
          <w:t>10</w:t>
        </w:r>
        <w:r w:rsidR="00A85E9C">
          <w:rPr>
            <w:noProof/>
            <w:webHidden/>
          </w:rPr>
          <w:fldChar w:fldCharType="end"/>
        </w:r>
      </w:hyperlink>
    </w:p>
    <w:p w14:paraId="1C76DCAD" w14:textId="7E905226"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00" w:history="1">
        <w:r w:rsidR="00A85E9C" w:rsidRPr="00A373A3">
          <w:rPr>
            <w:rStyle w:val="Hyperlink"/>
            <w:noProof/>
          </w:rPr>
          <w:t xml:space="preserve">Table E8b. </w:t>
        </w:r>
        <w:r w:rsidR="00652B48">
          <w:rPr>
            <w:rStyle w:val="Hyperlink"/>
            <w:noProof/>
          </w:rPr>
          <w:t>Petersham Center</w:t>
        </w:r>
        <w:r w:rsidR="00A85E9C" w:rsidRPr="00A373A3">
          <w:rPr>
            <w:rStyle w:val="Hyperlink"/>
            <w:noProof/>
          </w:rPr>
          <w:t>: Next-Generation MCAS Mathematics Achievement by Grade, 2022-2023</w:t>
        </w:r>
        <w:r w:rsidR="00A85E9C">
          <w:rPr>
            <w:noProof/>
            <w:webHidden/>
          </w:rPr>
          <w:tab/>
        </w:r>
        <w:r w:rsidR="00A85E9C">
          <w:rPr>
            <w:noProof/>
            <w:webHidden/>
          </w:rPr>
          <w:fldChar w:fldCharType="begin"/>
        </w:r>
        <w:r w:rsidR="00A85E9C">
          <w:rPr>
            <w:noProof/>
            <w:webHidden/>
          </w:rPr>
          <w:instrText xml:space="preserve"> PAGEREF _Toc171685800 \h </w:instrText>
        </w:r>
        <w:r w:rsidR="00A85E9C">
          <w:rPr>
            <w:noProof/>
            <w:webHidden/>
          </w:rPr>
        </w:r>
        <w:r w:rsidR="00A85E9C">
          <w:rPr>
            <w:noProof/>
            <w:webHidden/>
          </w:rPr>
          <w:fldChar w:fldCharType="separate"/>
        </w:r>
        <w:r w:rsidR="00A85E9C">
          <w:rPr>
            <w:noProof/>
            <w:webHidden/>
          </w:rPr>
          <w:t>11</w:t>
        </w:r>
        <w:r w:rsidR="00A85E9C">
          <w:rPr>
            <w:noProof/>
            <w:webHidden/>
          </w:rPr>
          <w:fldChar w:fldCharType="end"/>
        </w:r>
      </w:hyperlink>
    </w:p>
    <w:p w14:paraId="16FC9BFC" w14:textId="59DE6CAD"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01" w:history="1">
        <w:r w:rsidR="00A85E9C" w:rsidRPr="00A373A3">
          <w:rPr>
            <w:rStyle w:val="Hyperlink"/>
            <w:noProof/>
          </w:rPr>
          <w:t>Table E8c. Mahar Regional: Next-Generation MCAS Mathematics Achievement by Grade, 2022-2023</w:t>
        </w:r>
        <w:r w:rsidR="00A85E9C">
          <w:rPr>
            <w:noProof/>
            <w:webHidden/>
          </w:rPr>
          <w:tab/>
        </w:r>
        <w:r w:rsidR="00A85E9C">
          <w:rPr>
            <w:noProof/>
            <w:webHidden/>
          </w:rPr>
          <w:fldChar w:fldCharType="begin"/>
        </w:r>
        <w:r w:rsidR="00A85E9C">
          <w:rPr>
            <w:noProof/>
            <w:webHidden/>
          </w:rPr>
          <w:instrText xml:space="preserve"> PAGEREF _Toc171685801 \h </w:instrText>
        </w:r>
        <w:r w:rsidR="00A85E9C">
          <w:rPr>
            <w:noProof/>
            <w:webHidden/>
          </w:rPr>
        </w:r>
        <w:r w:rsidR="00A85E9C">
          <w:rPr>
            <w:noProof/>
            <w:webHidden/>
          </w:rPr>
          <w:fldChar w:fldCharType="separate"/>
        </w:r>
        <w:r w:rsidR="00A85E9C">
          <w:rPr>
            <w:noProof/>
            <w:webHidden/>
          </w:rPr>
          <w:t>11</w:t>
        </w:r>
        <w:r w:rsidR="00A85E9C">
          <w:rPr>
            <w:noProof/>
            <w:webHidden/>
          </w:rPr>
          <w:fldChar w:fldCharType="end"/>
        </w:r>
      </w:hyperlink>
    </w:p>
    <w:p w14:paraId="73F8E2CB" w14:textId="5293D9A9"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02" w:history="1">
        <w:r w:rsidR="00A85E9C" w:rsidRPr="00A373A3">
          <w:rPr>
            <w:rStyle w:val="Hyperlink"/>
            <w:noProof/>
          </w:rPr>
          <w:t xml:space="preserve">Table E9a. </w:t>
        </w:r>
        <w:r w:rsidR="00CF4F71">
          <w:rPr>
            <w:rStyle w:val="Hyperlink"/>
            <w:noProof/>
          </w:rPr>
          <w:t>Fisher Hill</w:t>
        </w:r>
        <w:r w:rsidR="00A85E9C" w:rsidRPr="00A373A3">
          <w:rPr>
            <w:rStyle w:val="Hyperlink"/>
            <w:noProof/>
          </w:rPr>
          <w:t>: Next-Generation MCAS Science Achievement by Grade, 2022-2023</w:t>
        </w:r>
        <w:r w:rsidR="00A85E9C">
          <w:rPr>
            <w:noProof/>
            <w:webHidden/>
          </w:rPr>
          <w:tab/>
        </w:r>
        <w:r w:rsidR="00A85E9C">
          <w:rPr>
            <w:noProof/>
            <w:webHidden/>
          </w:rPr>
          <w:fldChar w:fldCharType="begin"/>
        </w:r>
        <w:r w:rsidR="00A85E9C">
          <w:rPr>
            <w:noProof/>
            <w:webHidden/>
          </w:rPr>
          <w:instrText xml:space="preserve"> PAGEREF _Toc171685802 \h </w:instrText>
        </w:r>
        <w:r w:rsidR="00A85E9C">
          <w:rPr>
            <w:noProof/>
            <w:webHidden/>
          </w:rPr>
        </w:r>
        <w:r w:rsidR="00A85E9C">
          <w:rPr>
            <w:noProof/>
            <w:webHidden/>
          </w:rPr>
          <w:fldChar w:fldCharType="separate"/>
        </w:r>
        <w:r w:rsidR="00A85E9C">
          <w:rPr>
            <w:noProof/>
            <w:webHidden/>
          </w:rPr>
          <w:t>12</w:t>
        </w:r>
        <w:r w:rsidR="00A85E9C">
          <w:rPr>
            <w:noProof/>
            <w:webHidden/>
          </w:rPr>
          <w:fldChar w:fldCharType="end"/>
        </w:r>
      </w:hyperlink>
    </w:p>
    <w:p w14:paraId="2E217431" w14:textId="081A72E5"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03" w:history="1">
        <w:r w:rsidR="00A85E9C" w:rsidRPr="00A373A3">
          <w:rPr>
            <w:rStyle w:val="Hyperlink"/>
            <w:noProof/>
          </w:rPr>
          <w:t xml:space="preserve">Table E9b. </w:t>
        </w:r>
        <w:r w:rsidR="00652B48">
          <w:rPr>
            <w:rStyle w:val="Hyperlink"/>
            <w:noProof/>
          </w:rPr>
          <w:t>Petersham Center</w:t>
        </w:r>
        <w:r w:rsidR="00A85E9C" w:rsidRPr="00A373A3">
          <w:rPr>
            <w:rStyle w:val="Hyperlink"/>
            <w:noProof/>
          </w:rPr>
          <w:t>: Next-Generation MCAS Science Achievement by Grade, 2022-2023</w:t>
        </w:r>
        <w:r w:rsidR="00A85E9C">
          <w:rPr>
            <w:noProof/>
            <w:webHidden/>
          </w:rPr>
          <w:tab/>
        </w:r>
        <w:r w:rsidR="00A85E9C">
          <w:rPr>
            <w:noProof/>
            <w:webHidden/>
          </w:rPr>
          <w:fldChar w:fldCharType="begin"/>
        </w:r>
        <w:r w:rsidR="00A85E9C">
          <w:rPr>
            <w:noProof/>
            <w:webHidden/>
          </w:rPr>
          <w:instrText xml:space="preserve"> PAGEREF _Toc171685803 \h </w:instrText>
        </w:r>
        <w:r w:rsidR="00A85E9C">
          <w:rPr>
            <w:noProof/>
            <w:webHidden/>
          </w:rPr>
        </w:r>
        <w:r w:rsidR="00A85E9C">
          <w:rPr>
            <w:noProof/>
            <w:webHidden/>
          </w:rPr>
          <w:fldChar w:fldCharType="separate"/>
        </w:r>
        <w:r w:rsidR="00A85E9C">
          <w:rPr>
            <w:noProof/>
            <w:webHidden/>
          </w:rPr>
          <w:t>12</w:t>
        </w:r>
        <w:r w:rsidR="00A85E9C">
          <w:rPr>
            <w:noProof/>
            <w:webHidden/>
          </w:rPr>
          <w:fldChar w:fldCharType="end"/>
        </w:r>
      </w:hyperlink>
    </w:p>
    <w:p w14:paraId="54734BC0" w14:textId="12D11EA3"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04" w:history="1">
        <w:r w:rsidR="00A85E9C" w:rsidRPr="00A373A3">
          <w:rPr>
            <w:rStyle w:val="Hyperlink"/>
            <w:noProof/>
          </w:rPr>
          <w:t>Table E9c. Mahar Regional: Next-Generation MCAS Science Achievement by Grade, 2022-2023</w:t>
        </w:r>
        <w:r w:rsidR="00A85E9C">
          <w:rPr>
            <w:noProof/>
            <w:webHidden/>
          </w:rPr>
          <w:tab/>
        </w:r>
        <w:r w:rsidR="00A85E9C">
          <w:rPr>
            <w:noProof/>
            <w:webHidden/>
          </w:rPr>
          <w:fldChar w:fldCharType="begin"/>
        </w:r>
        <w:r w:rsidR="00A85E9C">
          <w:rPr>
            <w:noProof/>
            <w:webHidden/>
          </w:rPr>
          <w:instrText xml:space="preserve"> PAGEREF _Toc171685804 \h </w:instrText>
        </w:r>
        <w:r w:rsidR="00A85E9C">
          <w:rPr>
            <w:noProof/>
            <w:webHidden/>
          </w:rPr>
        </w:r>
        <w:r w:rsidR="00A85E9C">
          <w:rPr>
            <w:noProof/>
            <w:webHidden/>
          </w:rPr>
          <w:fldChar w:fldCharType="separate"/>
        </w:r>
        <w:r w:rsidR="00A85E9C">
          <w:rPr>
            <w:noProof/>
            <w:webHidden/>
          </w:rPr>
          <w:t>12</w:t>
        </w:r>
        <w:r w:rsidR="00A85E9C">
          <w:rPr>
            <w:noProof/>
            <w:webHidden/>
          </w:rPr>
          <w:fldChar w:fldCharType="end"/>
        </w:r>
      </w:hyperlink>
    </w:p>
    <w:p w14:paraId="662DD752" w14:textId="6978087E"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05" w:history="1">
        <w:r w:rsidR="00A85E9C" w:rsidRPr="00A373A3">
          <w:rPr>
            <w:rStyle w:val="Hyperlink"/>
            <w:noProof/>
          </w:rPr>
          <w:t xml:space="preserve">Table E10a. </w:t>
        </w:r>
        <w:r w:rsidR="00CF4F71">
          <w:rPr>
            <w:rStyle w:val="Hyperlink"/>
            <w:noProof/>
            <w:spacing w:val="-2"/>
          </w:rPr>
          <w:t>Fisher Hill</w:t>
        </w:r>
        <w:r w:rsidR="00A85E9C" w:rsidRPr="00A373A3">
          <w:rPr>
            <w:rStyle w:val="Hyperlink"/>
            <w:noProof/>
            <w:spacing w:val="-2"/>
          </w:rPr>
          <w:t xml:space="preserve">: Next-Generation MCAS ELA Mean SGP by Student Group, Grades 3-8, </w:t>
        </w:r>
        <w:r w:rsidR="00A85E9C" w:rsidRPr="00A373A3">
          <w:rPr>
            <w:rStyle w:val="Hyperlink"/>
            <w:noProof/>
          </w:rPr>
          <w:t>2022-2023</w:t>
        </w:r>
        <w:r w:rsidR="00A85E9C">
          <w:rPr>
            <w:noProof/>
            <w:webHidden/>
          </w:rPr>
          <w:tab/>
        </w:r>
        <w:r w:rsidR="00A85E9C">
          <w:rPr>
            <w:noProof/>
            <w:webHidden/>
          </w:rPr>
          <w:fldChar w:fldCharType="begin"/>
        </w:r>
        <w:r w:rsidR="00A85E9C">
          <w:rPr>
            <w:noProof/>
            <w:webHidden/>
          </w:rPr>
          <w:instrText xml:space="preserve"> PAGEREF _Toc171685805 \h </w:instrText>
        </w:r>
        <w:r w:rsidR="00A85E9C">
          <w:rPr>
            <w:noProof/>
            <w:webHidden/>
          </w:rPr>
        </w:r>
        <w:r w:rsidR="00A85E9C">
          <w:rPr>
            <w:noProof/>
            <w:webHidden/>
          </w:rPr>
          <w:fldChar w:fldCharType="separate"/>
        </w:r>
        <w:r w:rsidR="00A85E9C">
          <w:rPr>
            <w:noProof/>
            <w:webHidden/>
          </w:rPr>
          <w:t>13</w:t>
        </w:r>
        <w:r w:rsidR="00A85E9C">
          <w:rPr>
            <w:noProof/>
            <w:webHidden/>
          </w:rPr>
          <w:fldChar w:fldCharType="end"/>
        </w:r>
      </w:hyperlink>
    </w:p>
    <w:p w14:paraId="07AA4513" w14:textId="1647CE03"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06" w:history="1">
        <w:r w:rsidR="00A85E9C" w:rsidRPr="00A373A3">
          <w:rPr>
            <w:rStyle w:val="Hyperlink"/>
            <w:noProof/>
          </w:rPr>
          <w:t xml:space="preserve">Table E10b. </w:t>
        </w:r>
        <w:r w:rsidR="00652B48">
          <w:rPr>
            <w:rStyle w:val="Hyperlink"/>
            <w:noProof/>
          </w:rPr>
          <w:t>Petersham Center</w:t>
        </w:r>
        <w:r w:rsidR="00A85E9C" w:rsidRPr="00A373A3">
          <w:rPr>
            <w:rStyle w:val="Hyperlink"/>
            <w:noProof/>
          </w:rPr>
          <w:t>: Next-Generation MCAS ELA Mean SGP by Student Group, Grades 3-8, 2022-2023</w:t>
        </w:r>
        <w:r w:rsidR="00A85E9C">
          <w:rPr>
            <w:noProof/>
            <w:webHidden/>
          </w:rPr>
          <w:tab/>
        </w:r>
        <w:r w:rsidR="00A85E9C">
          <w:rPr>
            <w:noProof/>
            <w:webHidden/>
          </w:rPr>
          <w:fldChar w:fldCharType="begin"/>
        </w:r>
        <w:r w:rsidR="00A85E9C">
          <w:rPr>
            <w:noProof/>
            <w:webHidden/>
          </w:rPr>
          <w:instrText xml:space="preserve"> PAGEREF _Toc171685806 \h </w:instrText>
        </w:r>
        <w:r w:rsidR="00A85E9C">
          <w:rPr>
            <w:noProof/>
            <w:webHidden/>
          </w:rPr>
        </w:r>
        <w:r w:rsidR="00A85E9C">
          <w:rPr>
            <w:noProof/>
            <w:webHidden/>
          </w:rPr>
          <w:fldChar w:fldCharType="separate"/>
        </w:r>
        <w:r w:rsidR="00A85E9C">
          <w:rPr>
            <w:noProof/>
            <w:webHidden/>
          </w:rPr>
          <w:t>13</w:t>
        </w:r>
        <w:r w:rsidR="00A85E9C">
          <w:rPr>
            <w:noProof/>
            <w:webHidden/>
          </w:rPr>
          <w:fldChar w:fldCharType="end"/>
        </w:r>
      </w:hyperlink>
    </w:p>
    <w:p w14:paraId="2A28AD0A" w14:textId="4671300D"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07" w:history="1">
        <w:r w:rsidR="00A85E9C" w:rsidRPr="00A373A3">
          <w:rPr>
            <w:rStyle w:val="Hyperlink"/>
            <w:noProof/>
          </w:rPr>
          <w:t>Table E10c. Mahar Regional: Next-Generation MCAS ELA Mean SGP by Student Group, Grades 3-8, 2022-2023</w:t>
        </w:r>
        <w:r w:rsidR="00A85E9C">
          <w:rPr>
            <w:noProof/>
            <w:webHidden/>
          </w:rPr>
          <w:tab/>
        </w:r>
        <w:r w:rsidR="00A85E9C">
          <w:rPr>
            <w:noProof/>
            <w:webHidden/>
          </w:rPr>
          <w:fldChar w:fldCharType="begin"/>
        </w:r>
        <w:r w:rsidR="00A85E9C">
          <w:rPr>
            <w:noProof/>
            <w:webHidden/>
          </w:rPr>
          <w:instrText xml:space="preserve"> PAGEREF _Toc171685807 \h </w:instrText>
        </w:r>
        <w:r w:rsidR="00A85E9C">
          <w:rPr>
            <w:noProof/>
            <w:webHidden/>
          </w:rPr>
        </w:r>
        <w:r w:rsidR="00A85E9C">
          <w:rPr>
            <w:noProof/>
            <w:webHidden/>
          </w:rPr>
          <w:fldChar w:fldCharType="separate"/>
        </w:r>
        <w:r w:rsidR="00A85E9C">
          <w:rPr>
            <w:noProof/>
            <w:webHidden/>
          </w:rPr>
          <w:t>14</w:t>
        </w:r>
        <w:r w:rsidR="00A85E9C">
          <w:rPr>
            <w:noProof/>
            <w:webHidden/>
          </w:rPr>
          <w:fldChar w:fldCharType="end"/>
        </w:r>
      </w:hyperlink>
    </w:p>
    <w:p w14:paraId="758328E1" w14:textId="373127B6"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08" w:history="1">
        <w:r w:rsidR="00A85E9C" w:rsidRPr="00A373A3">
          <w:rPr>
            <w:rStyle w:val="Hyperlink"/>
            <w:noProof/>
          </w:rPr>
          <w:t>Table E11. Mahar Regional: Next-Generation MCAS ELA Mean SGP by Student Group, Grade 10, 2022-2023</w:t>
        </w:r>
        <w:r w:rsidR="00A85E9C">
          <w:rPr>
            <w:noProof/>
            <w:webHidden/>
          </w:rPr>
          <w:tab/>
        </w:r>
        <w:r w:rsidR="00A85E9C">
          <w:rPr>
            <w:noProof/>
            <w:webHidden/>
          </w:rPr>
          <w:fldChar w:fldCharType="begin"/>
        </w:r>
        <w:r w:rsidR="00A85E9C">
          <w:rPr>
            <w:noProof/>
            <w:webHidden/>
          </w:rPr>
          <w:instrText xml:space="preserve"> PAGEREF _Toc171685808 \h </w:instrText>
        </w:r>
        <w:r w:rsidR="00A85E9C">
          <w:rPr>
            <w:noProof/>
            <w:webHidden/>
          </w:rPr>
        </w:r>
        <w:r w:rsidR="00A85E9C">
          <w:rPr>
            <w:noProof/>
            <w:webHidden/>
          </w:rPr>
          <w:fldChar w:fldCharType="separate"/>
        </w:r>
        <w:r w:rsidR="00A85E9C">
          <w:rPr>
            <w:noProof/>
            <w:webHidden/>
          </w:rPr>
          <w:t>14</w:t>
        </w:r>
        <w:r w:rsidR="00A85E9C">
          <w:rPr>
            <w:noProof/>
            <w:webHidden/>
          </w:rPr>
          <w:fldChar w:fldCharType="end"/>
        </w:r>
      </w:hyperlink>
    </w:p>
    <w:p w14:paraId="43C42E2F" w14:textId="186B3CAD"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09" w:history="1">
        <w:r w:rsidR="00A85E9C" w:rsidRPr="00A373A3">
          <w:rPr>
            <w:rStyle w:val="Hyperlink"/>
            <w:noProof/>
          </w:rPr>
          <w:t xml:space="preserve">Table E12a. </w:t>
        </w:r>
        <w:r w:rsidR="00CF4F71">
          <w:rPr>
            <w:rStyle w:val="Hyperlink"/>
            <w:noProof/>
          </w:rPr>
          <w:t>Fisher Hill</w:t>
        </w:r>
        <w:r w:rsidR="00A85E9C" w:rsidRPr="00A373A3">
          <w:rPr>
            <w:rStyle w:val="Hyperlink"/>
            <w:noProof/>
          </w:rPr>
          <w:t>: Next-Generation MCAS Mathematics Mean SGP by Student Group, Grades 3-8, 2022-2023</w:t>
        </w:r>
        <w:r w:rsidR="00A85E9C">
          <w:rPr>
            <w:noProof/>
            <w:webHidden/>
          </w:rPr>
          <w:tab/>
        </w:r>
        <w:r w:rsidR="00A85E9C">
          <w:rPr>
            <w:noProof/>
            <w:webHidden/>
          </w:rPr>
          <w:fldChar w:fldCharType="begin"/>
        </w:r>
        <w:r w:rsidR="00A85E9C">
          <w:rPr>
            <w:noProof/>
            <w:webHidden/>
          </w:rPr>
          <w:instrText xml:space="preserve"> PAGEREF _Toc171685809 \h </w:instrText>
        </w:r>
        <w:r w:rsidR="00A85E9C">
          <w:rPr>
            <w:noProof/>
            <w:webHidden/>
          </w:rPr>
        </w:r>
        <w:r w:rsidR="00A85E9C">
          <w:rPr>
            <w:noProof/>
            <w:webHidden/>
          </w:rPr>
          <w:fldChar w:fldCharType="separate"/>
        </w:r>
        <w:r w:rsidR="00A85E9C">
          <w:rPr>
            <w:noProof/>
            <w:webHidden/>
          </w:rPr>
          <w:t>15</w:t>
        </w:r>
        <w:r w:rsidR="00A85E9C">
          <w:rPr>
            <w:noProof/>
            <w:webHidden/>
          </w:rPr>
          <w:fldChar w:fldCharType="end"/>
        </w:r>
      </w:hyperlink>
    </w:p>
    <w:p w14:paraId="582C9106" w14:textId="4F5F7DD3"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10" w:history="1">
        <w:r w:rsidR="00A85E9C" w:rsidRPr="00A373A3">
          <w:rPr>
            <w:rStyle w:val="Hyperlink"/>
            <w:noProof/>
          </w:rPr>
          <w:t xml:space="preserve">Table E12b. </w:t>
        </w:r>
        <w:r w:rsidR="00652B48">
          <w:rPr>
            <w:rStyle w:val="Hyperlink"/>
            <w:noProof/>
          </w:rPr>
          <w:t>Petersham Center</w:t>
        </w:r>
        <w:r w:rsidR="00A85E9C" w:rsidRPr="00A373A3">
          <w:rPr>
            <w:rStyle w:val="Hyperlink"/>
            <w:noProof/>
          </w:rPr>
          <w:t>: Next-Generation MCAS Mathematics Mean SGP by Student Group, Grades 3-8, 2022-2023</w:t>
        </w:r>
        <w:r w:rsidR="00A85E9C">
          <w:rPr>
            <w:noProof/>
            <w:webHidden/>
          </w:rPr>
          <w:tab/>
        </w:r>
        <w:r w:rsidR="00A85E9C">
          <w:rPr>
            <w:noProof/>
            <w:webHidden/>
          </w:rPr>
          <w:fldChar w:fldCharType="begin"/>
        </w:r>
        <w:r w:rsidR="00A85E9C">
          <w:rPr>
            <w:noProof/>
            <w:webHidden/>
          </w:rPr>
          <w:instrText xml:space="preserve"> PAGEREF _Toc171685810 \h </w:instrText>
        </w:r>
        <w:r w:rsidR="00A85E9C">
          <w:rPr>
            <w:noProof/>
            <w:webHidden/>
          </w:rPr>
        </w:r>
        <w:r w:rsidR="00A85E9C">
          <w:rPr>
            <w:noProof/>
            <w:webHidden/>
          </w:rPr>
          <w:fldChar w:fldCharType="separate"/>
        </w:r>
        <w:r w:rsidR="00A85E9C">
          <w:rPr>
            <w:noProof/>
            <w:webHidden/>
          </w:rPr>
          <w:t>15</w:t>
        </w:r>
        <w:r w:rsidR="00A85E9C">
          <w:rPr>
            <w:noProof/>
            <w:webHidden/>
          </w:rPr>
          <w:fldChar w:fldCharType="end"/>
        </w:r>
      </w:hyperlink>
    </w:p>
    <w:p w14:paraId="40C465C0" w14:textId="17D1F3B8"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11" w:history="1">
        <w:r w:rsidR="00A85E9C" w:rsidRPr="00A373A3">
          <w:rPr>
            <w:rStyle w:val="Hyperlink"/>
            <w:noProof/>
          </w:rPr>
          <w:t>Table E12c. Mahar Regional: Next-Generation MCAS Mathematics Mean SGP by Student Group, Grades 3-8, 2022-2023</w:t>
        </w:r>
        <w:r w:rsidR="00A85E9C">
          <w:rPr>
            <w:noProof/>
            <w:webHidden/>
          </w:rPr>
          <w:tab/>
        </w:r>
        <w:r w:rsidR="00A85E9C">
          <w:rPr>
            <w:noProof/>
            <w:webHidden/>
          </w:rPr>
          <w:fldChar w:fldCharType="begin"/>
        </w:r>
        <w:r w:rsidR="00A85E9C">
          <w:rPr>
            <w:noProof/>
            <w:webHidden/>
          </w:rPr>
          <w:instrText xml:space="preserve"> PAGEREF _Toc171685811 \h </w:instrText>
        </w:r>
        <w:r w:rsidR="00A85E9C">
          <w:rPr>
            <w:noProof/>
            <w:webHidden/>
          </w:rPr>
        </w:r>
        <w:r w:rsidR="00A85E9C">
          <w:rPr>
            <w:noProof/>
            <w:webHidden/>
          </w:rPr>
          <w:fldChar w:fldCharType="separate"/>
        </w:r>
        <w:r w:rsidR="00A85E9C">
          <w:rPr>
            <w:noProof/>
            <w:webHidden/>
          </w:rPr>
          <w:t>16</w:t>
        </w:r>
        <w:r w:rsidR="00A85E9C">
          <w:rPr>
            <w:noProof/>
            <w:webHidden/>
          </w:rPr>
          <w:fldChar w:fldCharType="end"/>
        </w:r>
      </w:hyperlink>
    </w:p>
    <w:p w14:paraId="49805708" w14:textId="354CEBCA"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12" w:history="1">
        <w:r w:rsidR="00A85E9C" w:rsidRPr="00A373A3">
          <w:rPr>
            <w:rStyle w:val="Hyperlink"/>
            <w:noProof/>
          </w:rPr>
          <w:t>Table E13. Mahar Regional: Next-Generation MCAS Mathematics Mean SGP by Student Group, Grade 10, 2022-2023</w:t>
        </w:r>
        <w:r w:rsidR="00A85E9C">
          <w:rPr>
            <w:noProof/>
            <w:webHidden/>
          </w:rPr>
          <w:tab/>
        </w:r>
        <w:r w:rsidR="00A85E9C">
          <w:rPr>
            <w:noProof/>
            <w:webHidden/>
          </w:rPr>
          <w:fldChar w:fldCharType="begin"/>
        </w:r>
        <w:r w:rsidR="00A85E9C">
          <w:rPr>
            <w:noProof/>
            <w:webHidden/>
          </w:rPr>
          <w:instrText xml:space="preserve"> PAGEREF _Toc171685812 \h </w:instrText>
        </w:r>
        <w:r w:rsidR="00A85E9C">
          <w:rPr>
            <w:noProof/>
            <w:webHidden/>
          </w:rPr>
        </w:r>
        <w:r w:rsidR="00A85E9C">
          <w:rPr>
            <w:noProof/>
            <w:webHidden/>
          </w:rPr>
          <w:fldChar w:fldCharType="separate"/>
        </w:r>
        <w:r w:rsidR="00A85E9C">
          <w:rPr>
            <w:noProof/>
            <w:webHidden/>
          </w:rPr>
          <w:t>16</w:t>
        </w:r>
        <w:r w:rsidR="00A85E9C">
          <w:rPr>
            <w:noProof/>
            <w:webHidden/>
          </w:rPr>
          <w:fldChar w:fldCharType="end"/>
        </w:r>
      </w:hyperlink>
    </w:p>
    <w:p w14:paraId="5B97B767" w14:textId="28483139"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13" w:history="1">
        <w:r w:rsidR="00A85E9C" w:rsidRPr="00A373A3">
          <w:rPr>
            <w:rStyle w:val="Hyperlink"/>
            <w:noProof/>
          </w:rPr>
          <w:t xml:space="preserve">Table E14a. </w:t>
        </w:r>
        <w:r w:rsidR="00CF4F71">
          <w:rPr>
            <w:rStyle w:val="Hyperlink"/>
            <w:noProof/>
          </w:rPr>
          <w:t>Fisher Hill</w:t>
        </w:r>
        <w:r w:rsidR="00A85E9C" w:rsidRPr="00A373A3">
          <w:rPr>
            <w:rStyle w:val="Hyperlink"/>
            <w:noProof/>
          </w:rPr>
          <w:t>: Next-Generation MCAS ELA Mean SGP by Grade, 2022-2023</w:t>
        </w:r>
        <w:r w:rsidR="00A85E9C">
          <w:rPr>
            <w:noProof/>
            <w:webHidden/>
          </w:rPr>
          <w:tab/>
        </w:r>
        <w:r w:rsidR="00A85E9C">
          <w:rPr>
            <w:noProof/>
            <w:webHidden/>
          </w:rPr>
          <w:fldChar w:fldCharType="begin"/>
        </w:r>
        <w:r w:rsidR="00A85E9C">
          <w:rPr>
            <w:noProof/>
            <w:webHidden/>
          </w:rPr>
          <w:instrText xml:space="preserve"> PAGEREF _Toc171685813 \h </w:instrText>
        </w:r>
        <w:r w:rsidR="00A85E9C">
          <w:rPr>
            <w:noProof/>
            <w:webHidden/>
          </w:rPr>
        </w:r>
        <w:r w:rsidR="00A85E9C">
          <w:rPr>
            <w:noProof/>
            <w:webHidden/>
          </w:rPr>
          <w:fldChar w:fldCharType="separate"/>
        </w:r>
        <w:r w:rsidR="00A85E9C">
          <w:rPr>
            <w:noProof/>
            <w:webHidden/>
          </w:rPr>
          <w:t>17</w:t>
        </w:r>
        <w:r w:rsidR="00A85E9C">
          <w:rPr>
            <w:noProof/>
            <w:webHidden/>
          </w:rPr>
          <w:fldChar w:fldCharType="end"/>
        </w:r>
      </w:hyperlink>
    </w:p>
    <w:p w14:paraId="6663E107" w14:textId="187E31D9"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14" w:history="1">
        <w:r w:rsidR="00A85E9C" w:rsidRPr="00A373A3">
          <w:rPr>
            <w:rStyle w:val="Hyperlink"/>
            <w:noProof/>
          </w:rPr>
          <w:t xml:space="preserve">Table E14b. </w:t>
        </w:r>
        <w:r w:rsidR="00652B48">
          <w:rPr>
            <w:rStyle w:val="Hyperlink"/>
            <w:noProof/>
          </w:rPr>
          <w:t>Petersham Center</w:t>
        </w:r>
        <w:r w:rsidR="00A85E9C" w:rsidRPr="00A373A3">
          <w:rPr>
            <w:rStyle w:val="Hyperlink"/>
            <w:noProof/>
          </w:rPr>
          <w:t>: Next-Generation MCAS ELA Mean SGP by Grade, 2022-2023</w:t>
        </w:r>
        <w:r w:rsidR="00A85E9C">
          <w:rPr>
            <w:noProof/>
            <w:webHidden/>
          </w:rPr>
          <w:tab/>
        </w:r>
        <w:r w:rsidR="00A85E9C">
          <w:rPr>
            <w:noProof/>
            <w:webHidden/>
          </w:rPr>
          <w:fldChar w:fldCharType="begin"/>
        </w:r>
        <w:r w:rsidR="00A85E9C">
          <w:rPr>
            <w:noProof/>
            <w:webHidden/>
          </w:rPr>
          <w:instrText xml:space="preserve"> PAGEREF _Toc171685814 \h </w:instrText>
        </w:r>
        <w:r w:rsidR="00A85E9C">
          <w:rPr>
            <w:noProof/>
            <w:webHidden/>
          </w:rPr>
        </w:r>
        <w:r w:rsidR="00A85E9C">
          <w:rPr>
            <w:noProof/>
            <w:webHidden/>
          </w:rPr>
          <w:fldChar w:fldCharType="separate"/>
        </w:r>
        <w:r w:rsidR="00A85E9C">
          <w:rPr>
            <w:noProof/>
            <w:webHidden/>
          </w:rPr>
          <w:t>17</w:t>
        </w:r>
        <w:r w:rsidR="00A85E9C">
          <w:rPr>
            <w:noProof/>
            <w:webHidden/>
          </w:rPr>
          <w:fldChar w:fldCharType="end"/>
        </w:r>
      </w:hyperlink>
    </w:p>
    <w:p w14:paraId="20BCB7FD" w14:textId="1F38FD2E"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15" w:history="1">
        <w:r w:rsidR="00A85E9C" w:rsidRPr="00A373A3">
          <w:rPr>
            <w:rStyle w:val="Hyperlink"/>
            <w:noProof/>
          </w:rPr>
          <w:t>Table E14c. Mahar Regional: Next-Generation MCAS ELA Mean SGP by Grade, 2022-2023</w:t>
        </w:r>
        <w:r w:rsidR="00A85E9C">
          <w:rPr>
            <w:noProof/>
            <w:webHidden/>
          </w:rPr>
          <w:tab/>
        </w:r>
        <w:r w:rsidR="00A85E9C">
          <w:rPr>
            <w:noProof/>
            <w:webHidden/>
          </w:rPr>
          <w:fldChar w:fldCharType="begin"/>
        </w:r>
        <w:r w:rsidR="00A85E9C">
          <w:rPr>
            <w:noProof/>
            <w:webHidden/>
          </w:rPr>
          <w:instrText xml:space="preserve"> PAGEREF _Toc171685815 \h </w:instrText>
        </w:r>
        <w:r w:rsidR="00A85E9C">
          <w:rPr>
            <w:noProof/>
            <w:webHidden/>
          </w:rPr>
        </w:r>
        <w:r w:rsidR="00A85E9C">
          <w:rPr>
            <w:noProof/>
            <w:webHidden/>
          </w:rPr>
          <w:fldChar w:fldCharType="separate"/>
        </w:r>
        <w:r w:rsidR="00A85E9C">
          <w:rPr>
            <w:noProof/>
            <w:webHidden/>
          </w:rPr>
          <w:t>17</w:t>
        </w:r>
        <w:r w:rsidR="00A85E9C">
          <w:rPr>
            <w:noProof/>
            <w:webHidden/>
          </w:rPr>
          <w:fldChar w:fldCharType="end"/>
        </w:r>
      </w:hyperlink>
    </w:p>
    <w:p w14:paraId="02EB34B6" w14:textId="262B6CF5"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16" w:history="1">
        <w:r w:rsidR="00A85E9C" w:rsidRPr="00A373A3">
          <w:rPr>
            <w:rStyle w:val="Hyperlink"/>
            <w:noProof/>
          </w:rPr>
          <w:t xml:space="preserve">Table E15a. </w:t>
        </w:r>
        <w:r w:rsidR="00CF4F71">
          <w:rPr>
            <w:rStyle w:val="Hyperlink"/>
            <w:noProof/>
          </w:rPr>
          <w:t>Fisher Hill</w:t>
        </w:r>
        <w:r w:rsidR="00A85E9C" w:rsidRPr="00A373A3">
          <w:rPr>
            <w:rStyle w:val="Hyperlink"/>
            <w:noProof/>
          </w:rPr>
          <w:t>: Next-Generation MCAS Mathematics Mean SGP by Grade, 2022-2023</w:t>
        </w:r>
        <w:r w:rsidR="00A85E9C">
          <w:rPr>
            <w:noProof/>
            <w:webHidden/>
          </w:rPr>
          <w:tab/>
        </w:r>
        <w:r w:rsidR="00A85E9C">
          <w:rPr>
            <w:noProof/>
            <w:webHidden/>
          </w:rPr>
          <w:fldChar w:fldCharType="begin"/>
        </w:r>
        <w:r w:rsidR="00A85E9C">
          <w:rPr>
            <w:noProof/>
            <w:webHidden/>
          </w:rPr>
          <w:instrText xml:space="preserve"> PAGEREF _Toc171685816 \h </w:instrText>
        </w:r>
        <w:r w:rsidR="00A85E9C">
          <w:rPr>
            <w:noProof/>
            <w:webHidden/>
          </w:rPr>
        </w:r>
        <w:r w:rsidR="00A85E9C">
          <w:rPr>
            <w:noProof/>
            <w:webHidden/>
          </w:rPr>
          <w:fldChar w:fldCharType="separate"/>
        </w:r>
        <w:r w:rsidR="00A85E9C">
          <w:rPr>
            <w:noProof/>
            <w:webHidden/>
          </w:rPr>
          <w:t>18</w:t>
        </w:r>
        <w:r w:rsidR="00A85E9C">
          <w:rPr>
            <w:noProof/>
            <w:webHidden/>
          </w:rPr>
          <w:fldChar w:fldCharType="end"/>
        </w:r>
      </w:hyperlink>
    </w:p>
    <w:p w14:paraId="1451EEC1" w14:textId="7085219B"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17" w:history="1">
        <w:r w:rsidR="00A85E9C" w:rsidRPr="00A373A3">
          <w:rPr>
            <w:rStyle w:val="Hyperlink"/>
            <w:noProof/>
          </w:rPr>
          <w:t xml:space="preserve">Table E15b. </w:t>
        </w:r>
        <w:r w:rsidR="00652B48">
          <w:rPr>
            <w:rStyle w:val="Hyperlink"/>
            <w:noProof/>
          </w:rPr>
          <w:t>Petersham Center</w:t>
        </w:r>
        <w:r w:rsidR="00A85E9C" w:rsidRPr="00A373A3">
          <w:rPr>
            <w:rStyle w:val="Hyperlink"/>
            <w:noProof/>
          </w:rPr>
          <w:t>: Next-Generation MCAS Mathematics Mean SGP by Grade, 2022-2023</w:t>
        </w:r>
        <w:r w:rsidR="00A85E9C">
          <w:rPr>
            <w:noProof/>
            <w:webHidden/>
          </w:rPr>
          <w:tab/>
        </w:r>
        <w:r w:rsidR="00A85E9C">
          <w:rPr>
            <w:noProof/>
            <w:webHidden/>
          </w:rPr>
          <w:fldChar w:fldCharType="begin"/>
        </w:r>
        <w:r w:rsidR="00A85E9C">
          <w:rPr>
            <w:noProof/>
            <w:webHidden/>
          </w:rPr>
          <w:instrText xml:space="preserve"> PAGEREF _Toc171685817 \h </w:instrText>
        </w:r>
        <w:r w:rsidR="00A85E9C">
          <w:rPr>
            <w:noProof/>
            <w:webHidden/>
          </w:rPr>
        </w:r>
        <w:r w:rsidR="00A85E9C">
          <w:rPr>
            <w:noProof/>
            <w:webHidden/>
          </w:rPr>
          <w:fldChar w:fldCharType="separate"/>
        </w:r>
        <w:r w:rsidR="00A85E9C">
          <w:rPr>
            <w:noProof/>
            <w:webHidden/>
          </w:rPr>
          <w:t>18</w:t>
        </w:r>
        <w:r w:rsidR="00A85E9C">
          <w:rPr>
            <w:noProof/>
            <w:webHidden/>
          </w:rPr>
          <w:fldChar w:fldCharType="end"/>
        </w:r>
      </w:hyperlink>
    </w:p>
    <w:p w14:paraId="26412447" w14:textId="2DC9D851"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18" w:history="1">
        <w:r w:rsidR="00A85E9C" w:rsidRPr="00A373A3">
          <w:rPr>
            <w:rStyle w:val="Hyperlink"/>
            <w:noProof/>
          </w:rPr>
          <w:t>Table E15c. Mahar Regional: Next-Generation MCAS Mathematics Mean SGP by Grade, 2022-2023</w:t>
        </w:r>
        <w:r w:rsidR="00A85E9C">
          <w:rPr>
            <w:noProof/>
            <w:webHidden/>
          </w:rPr>
          <w:tab/>
        </w:r>
        <w:r w:rsidR="00A85E9C">
          <w:rPr>
            <w:noProof/>
            <w:webHidden/>
          </w:rPr>
          <w:fldChar w:fldCharType="begin"/>
        </w:r>
        <w:r w:rsidR="00A85E9C">
          <w:rPr>
            <w:noProof/>
            <w:webHidden/>
          </w:rPr>
          <w:instrText xml:space="preserve"> PAGEREF _Toc171685818 \h </w:instrText>
        </w:r>
        <w:r w:rsidR="00A85E9C">
          <w:rPr>
            <w:noProof/>
            <w:webHidden/>
          </w:rPr>
        </w:r>
        <w:r w:rsidR="00A85E9C">
          <w:rPr>
            <w:noProof/>
            <w:webHidden/>
          </w:rPr>
          <w:fldChar w:fldCharType="separate"/>
        </w:r>
        <w:r w:rsidR="00A85E9C">
          <w:rPr>
            <w:noProof/>
            <w:webHidden/>
          </w:rPr>
          <w:t>18</w:t>
        </w:r>
        <w:r w:rsidR="00A85E9C">
          <w:rPr>
            <w:noProof/>
            <w:webHidden/>
          </w:rPr>
          <w:fldChar w:fldCharType="end"/>
        </w:r>
      </w:hyperlink>
    </w:p>
    <w:p w14:paraId="2C19912F" w14:textId="53C5FE5E"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19" w:history="1">
        <w:r w:rsidR="00A85E9C" w:rsidRPr="00A373A3">
          <w:rPr>
            <w:rStyle w:val="Hyperlink"/>
            <w:noProof/>
          </w:rPr>
          <w:t>Table E16. Mahar Regional: Four-Year Cohort Graduation Rates by Student Group, 2020-2022</w:t>
        </w:r>
        <w:r w:rsidR="00A85E9C">
          <w:rPr>
            <w:noProof/>
            <w:webHidden/>
          </w:rPr>
          <w:tab/>
        </w:r>
        <w:r w:rsidR="00A85E9C">
          <w:rPr>
            <w:noProof/>
            <w:webHidden/>
          </w:rPr>
          <w:fldChar w:fldCharType="begin"/>
        </w:r>
        <w:r w:rsidR="00A85E9C">
          <w:rPr>
            <w:noProof/>
            <w:webHidden/>
          </w:rPr>
          <w:instrText xml:space="preserve"> PAGEREF _Toc171685819 \h </w:instrText>
        </w:r>
        <w:r w:rsidR="00A85E9C">
          <w:rPr>
            <w:noProof/>
            <w:webHidden/>
          </w:rPr>
        </w:r>
        <w:r w:rsidR="00A85E9C">
          <w:rPr>
            <w:noProof/>
            <w:webHidden/>
          </w:rPr>
          <w:fldChar w:fldCharType="separate"/>
        </w:r>
        <w:r w:rsidR="00A85E9C">
          <w:rPr>
            <w:noProof/>
            <w:webHidden/>
          </w:rPr>
          <w:t>19</w:t>
        </w:r>
        <w:r w:rsidR="00A85E9C">
          <w:rPr>
            <w:noProof/>
            <w:webHidden/>
          </w:rPr>
          <w:fldChar w:fldCharType="end"/>
        </w:r>
      </w:hyperlink>
    </w:p>
    <w:p w14:paraId="6BE3864C" w14:textId="50D2042A"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20" w:history="1">
        <w:r w:rsidR="00A85E9C" w:rsidRPr="00A373A3">
          <w:rPr>
            <w:rStyle w:val="Hyperlink"/>
            <w:noProof/>
          </w:rPr>
          <w:t>Table E17. Five-Year Cohort Graduation Rates by Student Group, 2019-2021</w:t>
        </w:r>
        <w:r w:rsidR="00A85E9C">
          <w:rPr>
            <w:noProof/>
            <w:webHidden/>
          </w:rPr>
          <w:tab/>
        </w:r>
        <w:r w:rsidR="00A85E9C">
          <w:rPr>
            <w:noProof/>
            <w:webHidden/>
          </w:rPr>
          <w:fldChar w:fldCharType="begin"/>
        </w:r>
        <w:r w:rsidR="00A85E9C">
          <w:rPr>
            <w:noProof/>
            <w:webHidden/>
          </w:rPr>
          <w:instrText xml:space="preserve"> PAGEREF _Toc171685820 \h </w:instrText>
        </w:r>
        <w:r w:rsidR="00A85E9C">
          <w:rPr>
            <w:noProof/>
            <w:webHidden/>
          </w:rPr>
        </w:r>
        <w:r w:rsidR="00A85E9C">
          <w:rPr>
            <w:noProof/>
            <w:webHidden/>
          </w:rPr>
          <w:fldChar w:fldCharType="separate"/>
        </w:r>
        <w:r w:rsidR="00A85E9C">
          <w:rPr>
            <w:noProof/>
            <w:webHidden/>
          </w:rPr>
          <w:t>19</w:t>
        </w:r>
        <w:r w:rsidR="00A85E9C">
          <w:rPr>
            <w:noProof/>
            <w:webHidden/>
          </w:rPr>
          <w:fldChar w:fldCharType="end"/>
        </w:r>
      </w:hyperlink>
    </w:p>
    <w:p w14:paraId="12A403BA" w14:textId="7B75459C"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21" w:history="1">
        <w:r w:rsidR="00A85E9C" w:rsidRPr="00A373A3">
          <w:rPr>
            <w:rStyle w:val="Hyperlink"/>
            <w:noProof/>
          </w:rPr>
          <w:t>Table E18. Annual Dropout Rates by Student Group, 2020-2022</w:t>
        </w:r>
        <w:r w:rsidR="00A85E9C">
          <w:rPr>
            <w:noProof/>
            <w:webHidden/>
          </w:rPr>
          <w:tab/>
        </w:r>
        <w:r w:rsidR="00A85E9C">
          <w:rPr>
            <w:noProof/>
            <w:webHidden/>
          </w:rPr>
          <w:fldChar w:fldCharType="begin"/>
        </w:r>
        <w:r w:rsidR="00A85E9C">
          <w:rPr>
            <w:noProof/>
            <w:webHidden/>
          </w:rPr>
          <w:instrText xml:space="preserve"> PAGEREF _Toc171685821 \h </w:instrText>
        </w:r>
        <w:r w:rsidR="00A85E9C">
          <w:rPr>
            <w:noProof/>
            <w:webHidden/>
          </w:rPr>
        </w:r>
        <w:r w:rsidR="00A85E9C">
          <w:rPr>
            <w:noProof/>
            <w:webHidden/>
          </w:rPr>
          <w:fldChar w:fldCharType="separate"/>
        </w:r>
        <w:r w:rsidR="00A85E9C">
          <w:rPr>
            <w:noProof/>
            <w:webHidden/>
          </w:rPr>
          <w:t>20</w:t>
        </w:r>
        <w:r w:rsidR="00A85E9C">
          <w:rPr>
            <w:noProof/>
            <w:webHidden/>
          </w:rPr>
          <w:fldChar w:fldCharType="end"/>
        </w:r>
      </w:hyperlink>
    </w:p>
    <w:p w14:paraId="392FC2A0" w14:textId="17C0FA3D"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22" w:history="1">
        <w:r w:rsidR="00A85E9C" w:rsidRPr="00A373A3">
          <w:rPr>
            <w:rStyle w:val="Hyperlink"/>
            <w:noProof/>
          </w:rPr>
          <w:t xml:space="preserve">Table E19a. </w:t>
        </w:r>
        <w:r w:rsidR="00CF4F71">
          <w:rPr>
            <w:rStyle w:val="Hyperlink"/>
            <w:noProof/>
          </w:rPr>
          <w:t>Fisher Hill</w:t>
        </w:r>
        <w:r w:rsidR="00A85E9C" w:rsidRPr="00A373A3">
          <w:rPr>
            <w:rStyle w:val="Hyperlink"/>
            <w:noProof/>
          </w:rPr>
          <w:t>: In-School Suspension Rates by Student Group, 2021-2023</w:t>
        </w:r>
        <w:r w:rsidR="00A85E9C">
          <w:rPr>
            <w:noProof/>
            <w:webHidden/>
          </w:rPr>
          <w:tab/>
        </w:r>
        <w:r w:rsidR="00A85E9C">
          <w:rPr>
            <w:noProof/>
            <w:webHidden/>
          </w:rPr>
          <w:fldChar w:fldCharType="begin"/>
        </w:r>
        <w:r w:rsidR="00A85E9C">
          <w:rPr>
            <w:noProof/>
            <w:webHidden/>
          </w:rPr>
          <w:instrText xml:space="preserve"> PAGEREF _Toc171685822 \h </w:instrText>
        </w:r>
        <w:r w:rsidR="00A85E9C">
          <w:rPr>
            <w:noProof/>
            <w:webHidden/>
          </w:rPr>
        </w:r>
        <w:r w:rsidR="00A85E9C">
          <w:rPr>
            <w:noProof/>
            <w:webHidden/>
          </w:rPr>
          <w:fldChar w:fldCharType="separate"/>
        </w:r>
        <w:r w:rsidR="00A85E9C">
          <w:rPr>
            <w:noProof/>
            <w:webHidden/>
          </w:rPr>
          <w:t>20</w:t>
        </w:r>
        <w:r w:rsidR="00A85E9C">
          <w:rPr>
            <w:noProof/>
            <w:webHidden/>
          </w:rPr>
          <w:fldChar w:fldCharType="end"/>
        </w:r>
      </w:hyperlink>
    </w:p>
    <w:p w14:paraId="784A359C" w14:textId="55624065"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23" w:history="1">
        <w:r w:rsidR="00A85E9C" w:rsidRPr="00A373A3">
          <w:rPr>
            <w:rStyle w:val="Hyperlink"/>
            <w:noProof/>
          </w:rPr>
          <w:t xml:space="preserve">Table E19b. </w:t>
        </w:r>
        <w:r w:rsidR="00652B48">
          <w:rPr>
            <w:rStyle w:val="Hyperlink"/>
            <w:noProof/>
          </w:rPr>
          <w:t>Petersham Center</w:t>
        </w:r>
        <w:r w:rsidR="00A85E9C" w:rsidRPr="00A373A3">
          <w:rPr>
            <w:rStyle w:val="Hyperlink"/>
            <w:noProof/>
          </w:rPr>
          <w:t>: In-School Suspension Rates by Student Group, 2021-2023</w:t>
        </w:r>
        <w:r w:rsidR="00A85E9C">
          <w:rPr>
            <w:noProof/>
            <w:webHidden/>
          </w:rPr>
          <w:tab/>
        </w:r>
        <w:r w:rsidR="00A85E9C">
          <w:rPr>
            <w:noProof/>
            <w:webHidden/>
          </w:rPr>
          <w:fldChar w:fldCharType="begin"/>
        </w:r>
        <w:r w:rsidR="00A85E9C">
          <w:rPr>
            <w:noProof/>
            <w:webHidden/>
          </w:rPr>
          <w:instrText xml:space="preserve"> PAGEREF _Toc171685823 \h </w:instrText>
        </w:r>
        <w:r w:rsidR="00A85E9C">
          <w:rPr>
            <w:noProof/>
            <w:webHidden/>
          </w:rPr>
        </w:r>
        <w:r w:rsidR="00A85E9C">
          <w:rPr>
            <w:noProof/>
            <w:webHidden/>
          </w:rPr>
          <w:fldChar w:fldCharType="separate"/>
        </w:r>
        <w:r w:rsidR="00A85E9C">
          <w:rPr>
            <w:noProof/>
            <w:webHidden/>
          </w:rPr>
          <w:t>21</w:t>
        </w:r>
        <w:r w:rsidR="00A85E9C">
          <w:rPr>
            <w:noProof/>
            <w:webHidden/>
          </w:rPr>
          <w:fldChar w:fldCharType="end"/>
        </w:r>
      </w:hyperlink>
    </w:p>
    <w:p w14:paraId="51F7986F" w14:textId="2B83863F"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24" w:history="1">
        <w:r w:rsidR="00A85E9C" w:rsidRPr="00A373A3">
          <w:rPr>
            <w:rStyle w:val="Hyperlink"/>
            <w:noProof/>
          </w:rPr>
          <w:t>Table E19c. Mahar Regional: In-School Suspension Rates by Student Group, 2021-2023</w:t>
        </w:r>
        <w:r w:rsidR="00A85E9C">
          <w:rPr>
            <w:noProof/>
            <w:webHidden/>
          </w:rPr>
          <w:tab/>
        </w:r>
        <w:r w:rsidR="00A85E9C">
          <w:rPr>
            <w:noProof/>
            <w:webHidden/>
          </w:rPr>
          <w:fldChar w:fldCharType="begin"/>
        </w:r>
        <w:r w:rsidR="00A85E9C">
          <w:rPr>
            <w:noProof/>
            <w:webHidden/>
          </w:rPr>
          <w:instrText xml:space="preserve"> PAGEREF _Toc171685824 \h </w:instrText>
        </w:r>
        <w:r w:rsidR="00A85E9C">
          <w:rPr>
            <w:noProof/>
            <w:webHidden/>
          </w:rPr>
        </w:r>
        <w:r w:rsidR="00A85E9C">
          <w:rPr>
            <w:noProof/>
            <w:webHidden/>
          </w:rPr>
          <w:fldChar w:fldCharType="separate"/>
        </w:r>
        <w:r w:rsidR="00A85E9C">
          <w:rPr>
            <w:noProof/>
            <w:webHidden/>
          </w:rPr>
          <w:t>21</w:t>
        </w:r>
        <w:r w:rsidR="00A85E9C">
          <w:rPr>
            <w:noProof/>
            <w:webHidden/>
          </w:rPr>
          <w:fldChar w:fldCharType="end"/>
        </w:r>
      </w:hyperlink>
    </w:p>
    <w:p w14:paraId="229FB06B" w14:textId="6F995941"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25" w:history="1">
        <w:r w:rsidR="00A85E9C" w:rsidRPr="00A373A3">
          <w:rPr>
            <w:rStyle w:val="Hyperlink"/>
            <w:noProof/>
          </w:rPr>
          <w:t xml:space="preserve">Table E20a. </w:t>
        </w:r>
        <w:r w:rsidR="00CF4F71">
          <w:rPr>
            <w:rStyle w:val="Hyperlink"/>
            <w:noProof/>
          </w:rPr>
          <w:t>Fisher Hill</w:t>
        </w:r>
        <w:r w:rsidR="00A85E9C" w:rsidRPr="00A373A3">
          <w:rPr>
            <w:rStyle w:val="Hyperlink"/>
            <w:noProof/>
          </w:rPr>
          <w:t>: Out-of-School Suspension Rates by Student Group, 2021-2023</w:t>
        </w:r>
        <w:r w:rsidR="00A85E9C">
          <w:rPr>
            <w:noProof/>
            <w:webHidden/>
          </w:rPr>
          <w:tab/>
        </w:r>
        <w:r w:rsidR="00A85E9C">
          <w:rPr>
            <w:noProof/>
            <w:webHidden/>
          </w:rPr>
          <w:fldChar w:fldCharType="begin"/>
        </w:r>
        <w:r w:rsidR="00A85E9C">
          <w:rPr>
            <w:noProof/>
            <w:webHidden/>
          </w:rPr>
          <w:instrText xml:space="preserve"> PAGEREF _Toc171685825 \h </w:instrText>
        </w:r>
        <w:r w:rsidR="00A85E9C">
          <w:rPr>
            <w:noProof/>
            <w:webHidden/>
          </w:rPr>
        </w:r>
        <w:r w:rsidR="00A85E9C">
          <w:rPr>
            <w:noProof/>
            <w:webHidden/>
          </w:rPr>
          <w:fldChar w:fldCharType="separate"/>
        </w:r>
        <w:r w:rsidR="00A85E9C">
          <w:rPr>
            <w:noProof/>
            <w:webHidden/>
          </w:rPr>
          <w:t>22</w:t>
        </w:r>
        <w:r w:rsidR="00A85E9C">
          <w:rPr>
            <w:noProof/>
            <w:webHidden/>
          </w:rPr>
          <w:fldChar w:fldCharType="end"/>
        </w:r>
      </w:hyperlink>
    </w:p>
    <w:p w14:paraId="633FC765" w14:textId="107BC389"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26" w:history="1">
        <w:r w:rsidR="00A85E9C" w:rsidRPr="00A373A3">
          <w:rPr>
            <w:rStyle w:val="Hyperlink"/>
            <w:noProof/>
          </w:rPr>
          <w:t xml:space="preserve">Table E20b. </w:t>
        </w:r>
        <w:r w:rsidR="00652B48">
          <w:rPr>
            <w:rStyle w:val="Hyperlink"/>
            <w:noProof/>
          </w:rPr>
          <w:t>Petersham Center</w:t>
        </w:r>
        <w:r w:rsidR="00A85E9C" w:rsidRPr="00A373A3">
          <w:rPr>
            <w:rStyle w:val="Hyperlink"/>
            <w:noProof/>
          </w:rPr>
          <w:t>: Out-of-School Suspension Rates by Student Group, 2021-2023</w:t>
        </w:r>
        <w:r w:rsidR="00A85E9C">
          <w:rPr>
            <w:noProof/>
            <w:webHidden/>
          </w:rPr>
          <w:tab/>
        </w:r>
        <w:r w:rsidR="00A85E9C">
          <w:rPr>
            <w:noProof/>
            <w:webHidden/>
          </w:rPr>
          <w:fldChar w:fldCharType="begin"/>
        </w:r>
        <w:r w:rsidR="00A85E9C">
          <w:rPr>
            <w:noProof/>
            <w:webHidden/>
          </w:rPr>
          <w:instrText xml:space="preserve"> PAGEREF _Toc171685826 \h </w:instrText>
        </w:r>
        <w:r w:rsidR="00A85E9C">
          <w:rPr>
            <w:noProof/>
            <w:webHidden/>
          </w:rPr>
        </w:r>
        <w:r w:rsidR="00A85E9C">
          <w:rPr>
            <w:noProof/>
            <w:webHidden/>
          </w:rPr>
          <w:fldChar w:fldCharType="separate"/>
        </w:r>
        <w:r w:rsidR="00A85E9C">
          <w:rPr>
            <w:noProof/>
            <w:webHidden/>
          </w:rPr>
          <w:t>22</w:t>
        </w:r>
        <w:r w:rsidR="00A85E9C">
          <w:rPr>
            <w:noProof/>
            <w:webHidden/>
          </w:rPr>
          <w:fldChar w:fldCharType="end"/>
        </w:r>
      </w:hyperlink>
    </w:p>
    <w:p w14:paraId="20D15552" w14:textId="193E2B2B"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27" w:history="1">
        <w:r w:rsidR="00A85E9C" w:rsidRPr="00A373A3">
          <w:rPr>
            <w:rStyle w:val="Hyperlink"/>
            <w:noProof/>
          </w:rPr>
          <w:t>Table E20c. Mahar Regional: Out-of-School Suspension Rates by Student Group, 2021-2023</w:t>
        </w:r>
        <w:r w:rsidR="00A85E9C">
          <w:rPr>
            <w:noProof/>
            <w:webHidden/>
          </w:rPr>
          <w:tab/>
        </w:r>
        <w:r w:rsidR="00A85E9C">
          <w:rPr>
            <w:noProof/>
            <w:webHidden/>
          </w:rPr>
          <w:fldChar w:fldCharType="begin"/>
        </w:r>
        <w:r w:rsidR="00A85E9C">
          <w:rPr>
            <w:noProof/>
            <w:webHidden/>
          </w:rPr>
          <w:instrText xml:space="preserve"> PAGEREF _Toc171685827 \h </w:instrText>
        </w:r>
        <w:r w:rsidR="00A85E9C">
          <w:rPr>
            <w:noProof/>
            <w:webHidden/>
          </w:rPr>
        </w:r>
        <w:r w:rsidR="00A85E9C">
          <w:rPr>
            <w:noProof/>
            <w:webHidden/>
          </w:rPr>
          <w:fldChar w:fldCharType="separate"/>
        </w:r>
        <w:r w:rsidR="00A85E9C">
          <w:rPr>
            <w:noProof/>
            <w:webHidden/>
          </w:rPr>
          <w:t>23</w:t>
        </w:r>
        <w:r w:rsidR="00A85E9C">
          <w:rPr>
            <w:noProof/>
            <w:webHidden/>
          </w:rPr>
          <w:fldChar w:fldCharType="end"/>
        </w:r>
      </w:hyperlink>
    </w:p>
    <w:p w14:paraId="19C2E649" w14:textId="73638D45"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28" w:history="1">
        <w:r w:rsidR="00A85E9C" w:rsidRPr="00A373A3">
          <w:rPr>
            <w:rStyle w:val="Hyperlink"/>
            <w:noProof/>
          </w:rPr>
          <w:t>Table E21. Mahar Regional: Advanced Coursework Completion Rates by Student Group, 2021-2023</w:t>
        </w:r>
        <w:r w:rsidR="00A85E9C">
          <w:rPr>
            <w:noProof/>
            <w:webHidden/>
          </w:rPr>
          <w:tab/>
        </w:r>
        <w:r w:rsidR="00A85E9C">
          <w:rPr>
            <w:noProof/>
            <w:webHidden/>
          </w:rPr>
          <w:fldChar w:fldCharType="begin"/>
        </w:r>
        <w:r w:rsidR="00A85E9C">
          <w:rPr>
            <w:noProof/>
            <w:webHidden/>
          </w:rPr>
          <w:instrText xml:space="preserve"> PAGEREF _Toc171685828 \h </w:instrText>
        </w:r>
        <w:r w:rsidR="00A85E9C">
          <w:rPr>
            <w:noProof/>
            <w:webHidden/>
          </w:rPr>
        </w:r>
        <w:r w:rsidR="00A85E9C">
          <w:rPr>
            <w:noProof/>
            <w:webHidden/>
          </w:rPr>
          <w:fldChar w:fldCharType="separate"/>
        </w:r>
        <w:r w:rsidR="00A85E9C">
          <w:rPr>
            <w:noProof/>
            <w:webHidden/>
          </w:rPr>
          <w:t>23</w:t>
        </w:r>
        <w:r w:rsidR="00A85E9C">
          <w:rPr>
            <w:noProof/>
            <w:webHidden/>
          </w:rPr>
          <w:fldChar w:fldCharType="end"/>
        </w:r>
      </w:hyperlink>
    </w:p>
    <w:p w14:paraId="65093A89" w14:textId="3147757C"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29" w:history="1">
        <w:r w:rsidR="00A85E9C" w:rsidRPr="00A373A3">
          <w:rPr>
            <w:rStyle w:val="Hyperlink"/>
            <w:noProof/>
          </w:rPr>
          <w:t xml:space="preserve">Table E22a. </w:t>
        </w:r>
        <w:r w:rsidR="00CF4F71">
          <w:rPr>
            <w:rStyle w:val="Hyperlink"/>
            <w:noProof/>
          </w:rPr>
          <w:t>Fisher Hill</w:t>
        </w:r>
        <w:r w:rsidR="00A85E9C" w:rsidRPr="00A373A3">
          <w:rPr>
            <w:rStyle w:val="Hyperlink"/>
            <w:noProof/>
          </w:rPr>
          <w:t>: Accountability Percentile and Classification, 2023</w:t>
        </w:r>
        <w:r w:rsidR="00A85E9C">
          <w:rPr>
            <w:noProof/>
            <w:webHidden/>
          </w:rPr>
          <w:tab/>
        </w:r>
        <w:r w:rsidR="00A85E9C">
          <w:rPr>
            <w:noProof/>
            <w:webHidden/>
          </w:rPr>
          <w:fldChar w:fldCharType="begin"/>
        </w:r>
        <w:r w:rsidR="00A85E9C">
          <w:rPr>
            <w:noProof/>
            <w:webHidden/>
          </w:rPr>
          <w:instrText xml:space="preserve"> PAGEREF _Toc171685829 \h </w:instrText>
        </w:r>
        <w:r w:rsidR="00A85E9C">
          <w:rPr>
            <w:noProof/>
            <w:webHidden/>
          </w:rPr>
        </w:r>
        <w:r w:rsidR="00A85E9C">
          <w:rPr>
            <w:noProof/>
            <w:webHidden/>
          </w:rPr>
          <w:fldChar w:fldCharType="separate"/>
        </w:r>
        <w:r w:rsidR="00A85E9C">
          <w:rPr>
            <w:noProof/>
            <w:webHidden/>
          </w:rPr>
          <w:t>24</w:t>
        </w:r>
        <w:r w:rsidR="00A85E9C">
          <w:rPr>
            <w:noProof/>
            <w:webHidden/>
          </w:rPr>
          <w:fldChar w:fldCharType="end"/>
        </w:r>
      </w:hyperlink>
    </w:p>
    <w:p w14:paraId="2E178691" w14:textId="59FA10B6"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30" w:history="1">
        <w:r w:rsidR="00A85E9C" w:rsidRPr="00A373A3">
          <w:rPr>
            <w:rStyle w:val="Hyperlink"/>
            <w:noProof/>
          </w:rPr>
          <w:t xml:space="preserve">Table E22b. </w:t>
        </w:r>
        <w:r w:rsidR="00652B48">
          <w:rPr>
            <w:rStyle w:val="Hyperlink"/>
            <w:noProof/>
          </w:rPr>
          <w:t>Petersham Center</w:t>
        </w:r>
        <w:r w:rsidR="00A85E9C" w:rsidRPr="00A373A3">
          <w:rPr>
            <w:rStyle w:val="Hyperlink"/>
            <w:noProof/>
          </w:rPr>
          <w:t>: Accountability Percentile and Classification, 2023</w:t>
        </w:r>
        <w:r w:rsidR="00A85E9C">
          <w:rPr>
            <w:noProof/>
            <w:webHidden/>
          </w:rPr>
          <w:tab/>
        </w:r>
        <w:r w:rsidR="00A85E9C">
          <w:rPr>
            <w:noProof/>
            <w:webHidden/>
          </w:rPr>
          <w:fldChar w:fldCharType="begin"/>
        </w:r>
        <w:r w:rsidR="00A85E9C">
          <w:rPr>
            <w:noProof/>
            <w:webHidden/>
          </w:rPr>
          <w:instrText xml:space="preserve"> PAGEREF _Toc171685830 \h </w:instrText>
        </w:r>
        <w:r w:rsidR="00A85E9C">
          <w:rPr>
            <w:noProof/>
            <w:webHidden/>
          </w:rPr>
        </w:r>
        <w:r w:rsidR="00A85E9C">
          <w:rPr>
            <w:noProof/>
            <w:webHidden/>
          </w:rPr>
          <w:fldChar w:fldCharType="separate"/>
        </w:r>
        <w:r w:rsidR="00A85E9C">
          <w:rPr>
            <w:noProof/>
            <w:webHidden/>
          </w:rPr>
          <w:t>24</w:t>
        </w:r>
        <w:r w:rsidR="00A85E9C">
          <w:rPr>
            <w:noProof/>
            <w:webHidden/>
          </w:rPr>
          <w:fldChar w:fldCharType="end"/>
        </w:r>
      </w:hyperlink>
    </w:p>
    <w:p w14:paraId="579238A0" w14:textId="0F581E67" w:rsidR="00A85E9C" w:rsidRDefault="00000000">
      <w:pPr>
        <w:pStyle w:val="TableofFigures"/>
        <w:tabs>
          <w:tab w:val="right" w:leader="dot" w:pos="12950"/>
        </w:tabs>
        <w:rPr>
          <w:rFonts w:eastAsiaTheme="minorEastAsia"/>
          <w:noProof/>
          <w:kern w:val="2"/>
          <w:sz w:val="24"/>
          <w:szCs w:val="24"/>
          <w14:ligatures w14:val="standardContextual"/>
        </w:rPr>
      </w:pPr>
      <w:hyperlink w:anchor="_Toc171685831" w:history="1">
        <w:r w:rsidR="00A85E9C" w:rsidRPr="00A373A3">
          <w:rPr>
            <w:rStyle w:val="Hyperlink"/>
            <w:noProof/>
          </w:rPr>
          <w:t>Table E22c. Mahar Regional: Accountability Percentile and Classification, 2023</w:t>
        </w:r>
        <w:r w:rsidR="00A85E9C">
          <w:rPr>
            <w:noProof/>
            <w:webHidden/>
          </w:rPr>
          <w:tab/>
        </w:r>
        <w:r w:rsidR="00A85E9C">
          <w:rPr>
            <w:noProof/>
            <w:webHidden/>
          </w:rPr>
          <w:fldChar w:fldCharType="begin"/>
        </w:r>
        <w:r w:rsidR="00A85E9C">
          <w:rPr>
            <w:noProof/>
            <w:webHidden/>
          </w:rPr>
          <w:instrText xml:space="preserve"> PAGEREF _Toc171685831 \h </w:instrText>
        </w:r>
        <w:r w:rsidR="00A85E9C">
          <w:rPr>
            <w:noProof/>
            <w:webHidden/>
          </w:rPr>
        </w:r>
        <w:r w:rsidR="00A85E9C">
          <w:rPr>
            <w:noProof/>
            <w:webHidden/>
          </w:rPr>
          <w:fldChar w:fldCharType="separate"/>
        </w:r>
        <w:r w:rsidR="00A85E9C">
          <w:rPr>
            <w:noProof/>
            <w:webHidden/>
          </w:rPr>
          <w:t>24</w:t>
        </w:r>
        <w:r w:rsidR="00A85E9C">
          <w:rPr>
            <w:noProof/>
            <w:webHidden/>
          </w:rPr>
          <w:fldChar w:fldCharType="end"/>
        </w:r>
      </w:hyperlink>
    </w:p>
    <w:p w14:paraId="3C2A5BBB" w14:textId="1F9324B3" w:rsidR="00CC216B" w:rsidRPr="00A06F1E" w:rsidRDefault="00B7722D" w:rsidP="00CC216B">
      <w:pPr>
        <w:spacing w:after="160" w:line="259" w:lineRule="auto"/>
        <w:rPr>
          <w:rFonts w:ascii="Franklin Gothic Demi" w:hAnsi="Franklin Gothic Demi"/>
        </w:rPr>
      </w:pPr>
      <w:r w:rsidRPr="00A06F1E">
        <w:fldChar w:fldCharType="end"/>
      </w:r>
      <w:r w:rsidR="00CC216B" w:rsidRPr="00A06F1E">
        <w:br w:type="page"/>
      </w:r>
    </w:p>
    <w:p w14:paraId="400DF5F7" w14:textId="1FB664FD" w:rsidR="00CC216B" w:rsidRPr="00A06F1E" w:rsidRDefault="00CC216B" w:rsidP="00B7722D">
      <w:pPr>
        <w:pStyle w:val="TabletitleSectionE"/>
      </w:pPr>
      <w:bookmarkStart w:id="242" w:name="_Toc170701947"/>
      <w:bookmarkStart w:id="243" w:name="_Toc171685784"/>
      <w:r w:rsidRPr="00A06F1E">
        <w:lastRenderedPageBreak/>
        <w:t>Table E1</w:t>
      </w:r>
      <w:r w:rsidR="00FC1410">
        <w:t>a</w:t>
      </w:r>
      <w:r w:rsidR="00CE00AC" w:rsidRPr="00A06F1E">
        <w:t>.</w:t>
      </w:r>
      <w:r w:rsidRPr="00A06F1E">
        <w:t xml:space="preserve"> </w:t>
      </w:r>
      <w:r w:rsidR="00CF4F71">
        <w:t>Fisher Hill</w:t>
      </w:r>
      <w:r w:rsidR="00F3532E" w:rsidRPr="00A06F1E">
        <w:t>:</w:t>
      </w:r>
      <w:r w:rsidRPr="00A06F1E">
        <w:t xml:space="preserve"> Next-Generation MCAS ELA Achievement by Student Group, Grades 3-8, 2022-2023</w:t>
      </w:r>
      <w:bookmarkEnd w:id="242"/>
      <w:bookmarkEnd w:id="243"/>
      <w:r w:rsidRPr="00A06F1E">
        <w:t xml:space="preserve"> </w:t>
      </w:r>
    </w:p>
    <w:tbl>
      <w:tblPr>
        <w:tblStyle w:val="MSVTable1"/>
        <w:tblW w:w="5003" w:type="pct"/>
        <w:tblLook w:val="0420" w:firstRow="1" w:lastRow="0" w:firstColumn="0" w:lastColumn="0" w:noHBand="0" w:noVBand="1"/>
      </w:tblPr>
      <w:tblGrid>
        <w:gridCol w:w="2842"/>
        <w:gridCol w:w="1065"/>
        <w:gridCol w:w="922"/>
        <w:gridCol w:w="922"/>
        <w:gridCol w:w="1171"/>
        <w:gridCol w:w="899"/>
        <w:gridCol w:w="899"/>
        <w:gridCol w:w="1217"/>
        <w:gridCol w:w="878"/>
        <w:gridCol w:w="878"/>
        <w:gridCol w:w="1259"/>
      </w:tblGrid>
      <w:tr w:rsidR="00CC216B" w:rsidRPr="00A06F1E" w14:paraId="3F22989D" w14:textId="77777777" w:rsidTr="00423CF5">
        <w:trPr>
          <w:cnfStyle w:val="100000000000" w:firstRow="1" w:lastRow="0" w:firstColumn="0" w:lastColumn="0" w:oddVBand="0" w:evenVBand="0" w:oddHBand="0" w:evenHBand="0" w:firstRowFirstColumn="0" w:firstRowLastColumn="0" w:lastRowFirstColumn="0" w:lastRowLastColumn="0"/>
          <w:tblHeader/>
        </w:trPr>
        <w:tc>
          <w:tcPr>
            <w:tcW w:w="1097" w:type="pct"/>
            <w:vMerge w:val="restart"/>
            <w:vAlign w:val="center"/>
          </w:tcPr>
          <w:p w14:paraId="72A1E72F" w14:textId="77777777" w:rsidR="00CC216B" w:rsidRPr="00DF7902" w:rsidRDefault="00CC216B" w:rsidP="00423CF5">
            <w:pPr>
              <w:pStyle w:val="TableColHeadingLeft"/>
              <w:spacing w:before="10" w:after="10"/>
              <w:jc w:val="center"/>
            </w:pPr>
            <w:r w:rsidRPr="00DF7902">
              <w:t>Group</w:t>
            </w:r>
          </w:p>
        </w:tc>
        <w:tc>
          <w:tcPr>
            <w:tcW w:w="411" w:type="pct"/>
            <w:vMerge w:val="restart"/>
            <w:vAlign w:val="center"/>
          </w:tcPr>
          <w:p w14:paraId="482EE9D7" w14:textId="18F9D3DA" w:rsidR="00CC216B" w:rsidRPr="00A06F1E" w:rsidRDefault="00CC216B" w:rsidP="00423CF5">
            <w:pPr>
              <w:pStyle w:val="TableColHeadingCenter"/>
              <w:spacing w:before="10" w:after="10"/>
            </w:pPr>
            <w:r w:rsidRPr="00A06F1E">
              <w:t xml:space="preserve"># </w:t>
            </w:r>
            <w:r w:rsidR="00A228CB" w:rsidRPr="00A06F1E">
              <w:t>i</w:t>
            </w:r>
            <w:r w:rsidRPr="00A06F1E">
              <w:t>ncluded (2023)</w:t>
            </w:r>
          </w:p>
        </w:tc>
        <w:tc>
          <w:tcPr>
            <w:tcW w:w="1164" w:type="pct"/>
            <w:gridSpan w:val="3"/>
            <w:vAlign w:val="bottom"/>
          </w:tcPr>
          <w:p w14:paraId="4ACDA902" w14:textId="43412212" w:rsidR="00CC216B" w:rsidRPr="00A06F1E" w:rsidRDefault="00A228CB" w:rsidP="00423CF5">
            <w:pPr>
              <w:pStyle w:val="TableColHeadingCenter"/>
              <w:spacing w:before="10" w:after="10"/>
            </w:pPr>
            <w:r w:rsidRPr="00A06F1E">
              <w:t>Percentage</w:t>
            </w:r>
            <w:r w:rsidR="00CC216B" w:rsidRPr="00A06F1E">
              <w:t xml:space="preserve"> meeting or exceeding expectations</w:t>
            </w:r>
          </w:p>
        </w:tc>
        <w:tc>
          <w:tcPr>
            <w:tcW w:w="1164" w:type="pct"/>
            <w:gridSpan w:val="3"/>
            <w:vAlign w:val="center"/>
          </w:tcPr>
          <w:p w14:paraId="4ED98BA4" w14:textId="34C4E3A5" w:rsidR="00CC216B" w:rsidRPr="00A06F1E" w:rsidRDefault="00A228CB" w:rsidP="00423CF5">
            <w:pPr>
              <w:pStyle w:val="TableColHeadingCenter"/>
              <w:spacing w:before="10" w:after="10"/>
            </w:pPr>
            <w:r w:rsidRPr="00A06F1E">
              <w:t>Percentage</w:t>
            </w:r>
            <w:r w:rsidR="00CC216B" w:rsidRPr="00A06F1E">
              <w:t xml:space="preserve"> partially meeting expectations</w:t>
            </w:r>
          </w:p>
        </w:tc>
        <w:tc>
          <w:tcPr>
            <w:tcW w:w="1164" w:type="pct"/>
            <w:gridSpan w:val="3"/>
            <w:vAlign w:val="center"/>
          </w:tcPr>
          <w:p w14:paraId="0ACEEB39" w14:textId="005DFDAC" w:rsidR="00CC216B" w:rsidRPr="00A06F1E" w:rsidRDefault="00A228CB" w:rsidP="00423CF5">
            <w:pPr>
              <w:pStyle w:val="TableColHeadingCenter"/>
              <w:spacing w:before="10" w:after="10"/>
            </w:pPr>
            <w:r w:rsidRPr="00A06F1E">
              <w:t>Percentage</w:t>
            </w:r>
            <w:r w:rsidR="00CC216B" w:rsidRPr="00A06F1E">
              <w:t xml:space="preserve"> not meeting expectations</w:t>
            </w:r>
          </w:p>
        </w:tc>
      </w:tr>
      <w:tr w:rsidR="00423CF5" w:rsidRPr="00A06F1E" w14:paraId="03DA068C" w14:textId="77777777" w:rsidTr="00423CF5">
        <w:trPr>
          <w:cnfStyle w:val="100000000000" w:firstRow="1" w:lastRow="0" w:firstColumn="0" w:lastColumn="0" w:oddVBand="0" w:evenVBand="0" w:oddHBand="0" w:evenHBand="0" w:firstRowFirstColumn="0" w:firstRowLastColumn="0" w:lastRowFirstColumn="0" w:lastRowLastColumn="0"/>
          <w:tblHeader/>
        </w:trPr>
        <w:tc>
          <w:tcPr>
            <w:tcW w:w="1097" w:type="pct"/>
            <w:vMerge/>
            <w:vAlign w:val="bottom"/>
          </w:tcPr>
          <w:p w14:paraId="2D458DA3" w14:textId="77777777" w:rsidR="00CC216B" w:rsidRPr="00A06F1E" w:rsidRDefault="00CC216B" w:rsidP="00423CF5">
            <w:pPr>
              <w:pStyle w:val="TableColHeadingCenter"/>
              <w:spacing w:before="10" w:after="10"/>
            </w:pPr>
          </w:p>
        </w:tc>
        <w:tc>
          <w:tcPr>
            <w:tcW w:w="411" w:type="pct"/>
            <w:vMerge/>
            <w:vAlign w:val="bottom"/>
          </w:tcPr>
          <w:p w14:paraId="60576E72" w14:textId="77777777" w:rsidR="00CC216B" w:rsidRPr="00A06F1E" w:rsidRDefault="00CC216B" w:rsidP="00423CF5">
            <w:pPr>
              <w:pStyle w:val="TableColHeadingCenter"/>
              <w:spacing w:before="10" w:after="10"/>
            </w:pPr>
          </w:p>
        </w:tc>
        <w:tc>
          <w:tcPr>
            <w:tcW w:w="356" w:type="pct"/>
            <w:tcMar>
              <w:left w:w="14" w:type="dxa"/>
              <w:right w:w="14" w:type="dxa"/>
            </w:tcMar>
            <w:vAlign w:val="center"/>
          </w:tcPr>
          <w:p w14:paraId="1534E927" w14:textId="77777777" w:rsidR="00CC216B" w:rsidRPr="00A06F1E" w:rsidRDefault="00CC216B" w:rsidP="00423CF5">
            <w:pPr>
              <w:pStyle w:val="TableColHeadingCenter"/>
              <w:spacing w:before="10" w:after="10"/>
            </w:pPr>
            <w:r w:rsidRPr="00A06F1E">
              <w:t>2022</w:t>
            </w:r>
          </w:p>
        </w:tc>
        <w:tc>
          <w:tcPr>
            <w:tcW w:w="356" w:type="pct"/>
            <w:tcMar>
              <w:left w:w="14" w:type="dxa"/>
              <w:right w:w="14" w:type="dxa"/>
            </w:tcMar>
            <w:vAlign w:val="center"/>
          </w:tcPr>
          <w:p w14:paraId="29E13990" w14:textId="77777777" w:rsidR="00CC216B" w:rsidRPr="00A06F1E" w:rsidRDefault="00CC216B" w:rsidP="00423CF5">
            <w:pPr>
              <w:pStyle w:val="TableColHeadingCenter"/>
              <w:spacing w:before="10" w:after="10"/>
            </w:pPr>
            <w:r w:rsidRPr="00A06F1E">
              <w:t>2023</w:t>
            </w:r>
          </w:p>
        </w:tc>
        <w:tc>
          <w:tcPr>
            <w:tcW w:w="452" w:type="pct"/>
            <w:tcMar>
              <w:left w:w="14" w:type="dxa"/>
              <w:right w:w="14" w:type="dxa"/>
            </w:tcMar>
            <w:vAlign w:val="center"/>
          </w:tcPr>
          <w:p w14:paraId="406A0C39" w14:textId="77777777" w:rsidR="00CC216B" w:rsidRPr="00A06F1E" w:rsidRDefault="00CC216B" w:rsidP="00423CF5">
            <w:pPr>
              <w:pStyle w:val="TableColHeadingCenter"/>
              <w:spacing w:before="10" w:after="10"/>
            </w:pPr>
            <w:r w:rsidRPr="00A06F1E">
              <w:t>State (2023)</w:t>
            </w:r>
          </w:p>
        </w:tc>
        <w:tc>
          <w:tcPr>
            <w:tcW w:w="347" w:type="pct"/>
            <w:tcMar>
              <w:left w:w="14" w:type="dxa"/>
              <w:right w:w="14" w:type="dxa"/>
            </w:tcMar>
            <w:vAlign w:val="center"/>
          </w:tcPr>
          <w:p w14:paraId="3F63C86A" w14:textId="77777777" w:rsidR="00CC216B" w:rsidRPr="00A06F1E" w:rsidRDefault="00CC216B" w:rsidP="00423CF5">
            <w:pPr>
              <w:pStyle w:val="TableColHeadingCenter"/>
              <w:spacing w:before="10" w:after="10"/>
            </w:pPr>
            <w:r w:rsidRPr="00A06F1E">
              <w:t>2022</w:t>
            </w:r>
          </w:p>
        </w:tc>
        <w:tc>
          <w:tcPr>
            <w:tcW w:w="347" w:type="pct"/>
            <w:tcMar>
              <w:left w:w="14" w:type="dxa"/>
              <w:right w:w="14" w:type="dxa"/>
            </w:tcMar>
            <w:vAlign w:val="center"/>
          </w:tcPr>
          <w:p w14:paraId="720C5EF3" w14:textId="77777777" w:rsidR="00CC216B" w:rsidRPr="00A06F1E" w:rsidRDefault="00CC216B" w:rsidP="00423CF5">
            <w:pPr>
              <w:pStyle w:val="TableColHeadingCenter"/>
              <w:spacing w:before="10" w:after="10"/>
            </w:pPr>
            <w:r w:rsidRPr="00A06F1E">
              <w:t>2023</w:t>
            </w:r>
          </w:p>
        </w:tc>
        <w:tc>
          <w:tcPr>
            <w:tcW w:w="470" w:type="pct"/>
            <w:tcMar>
              <w:left w:w="14" w:type="dxa"/>
              <w:right w:w="14" w:type="dxa"/>
            </w:tcMar>
            <w:vAlign w:val="center"/>
          </w:tcPr>
          <w:p w14:paraId="5FA38550" w14:textId="77777777" w:rsidR="00CC216B" w:rsidRPr="00A06F1E" w:rsidRDefault="00CC216B" w:rsidP="00423CF5">
            <w:pPr>
              <w:pStyle w:val="TableColHeadingCenter"/>
              <w:spacing w:before="10" w:after="10"/>
            </w:pPr>
            <w:r w:rsidRPr="00A06F1E">
              <w:t>State (2023)</w:t>
            </w:r>
          </w:p>
        </w:tc>
        <w:tc>
          <w:tcPr>
            <w:tcW w:w="339" w:type="pct"/>
            <w:tcMar>
              <w:left w:w="14" w:type="dxa"/>
              <w:right w:w="14" w:type="dxa"/>
            </w:tcMar>
            <w:vAlign w:val="center"/>
          </w:tcPr>
          <w:p w14:paraId="1F3E43C7" w14:textId="77777777" w:rsidR="00CC216B" w:rsidRPr="00A06F1E" w:rsidRDefault="00CC216B" w:rsidP="00423CF5">
            <w:pPr>
              <w:pStyle w:val="TableColHeadingCenter"/>
              <w:spacing w:before="10" w:after="10"/>
            </w:pPr>
            <w:r w:rsidRPr="00A06F1E">
              <w:t>2022</w:t>
            </w:r>
          </w:p>
        </w:tc>
        <w:tc>
          <w:tcPr>
            <w:tcW w:w="339" w:type="pct"/>
            <w:tcMar>
              <w:left w:w="14" w:type="dxa"/>
              <w:right w:w="14" w:type="dxa"/>
            </w:tcMar>
            <w:vAlign w:val="center"/>
          </w:tcPr>
          <w:p w14:paraId="32BAEA7B" w14:textId="77777777" w:rsidR="00CC216B" w:rsidRPr="00A06F1E" w:rsidRDefault="00CC216B" w:rsidP="00423CF5">
            <w:pPr>
              <w:pStyle w:val="TableColHeadingCenter"/>
              <w:spacing w:before="10" w:after="10"/>
            </w:pPr>
            <w:r w:rsidRPr="00A06F1E">
              <w:t>2023</w:t>
            </w:r>
          </w:p>
        </w:tc>
        <w:tc>
          <w:tcPr>
            <w:tcW w:w="486" w:type="pct"/>
            <w:tcMar>
              <w:left w:w="14" w:type="dxa"/>
              <w:right w:w="14" w:type="dxa"/>
            </w:tcMar>
            <w:vAlign w:val="center"/>
          </w:tcPr>
          <w:p w14:paraId="47C24B92" w14:textId="77777777" w:rsidR="00CC216B" w:rsidRPr="00A06F1E" w:rsidRDefault="00CC216B" w:rsidP="00423CF5">
            <w:pPr>
              <w:pStyle w:val="TableColHeadingCenter"/>
              <w:spacing w:before="10" w:after="10"/>
            </w:pPr>
            <w:r w:rsidRPr="00A06F1E">
              <w:t>State (2023)</w:t>
            </w:r>
          </w:p>
        </w:tc>
      </w:tr>
      <w:tr w:rsidR="00423CF5" w:rsidRPr="00A06F1E" w14:paraId="6D013C0F"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5E39C88D" w14:textId="77777777" w:rsidR="00CC216B" w:rsidRPr="00A06F1E" w:rsidRDefault="00CC216B" w:rsidP="00423CF5">
            <w:pPr>
              <w:pStyle w:val="TableText"/>
              <w:spacing w:before="10" w:after="10"/>
              <w:rPr>
                <w:rFonts w:ascii="Franklin Gothic Book" w:hAnsi="Franklin Gothic Book"/>
              </w:rPr>
            </w:pPr>
            <w:r w:rsidRPr="00A06F1E">
              <w:rPr>
                <w:rFonts w:ascii="Franklin Gothic Book" w:hAnsi="Franklin Gothic Book"/>
              </w:rPr>
              <w:t>All</w:t>
            </w:r>
          </w:p>
        </w:tc>
        <w:tc>
          <w:tcPr>
            <w:tcW w:w="411" w:type="pct"/>
          </w:tcPr>
          <w:p w14:paraId="69CFC30E"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283</w:t>
            </w:r>
          </w:p>
        </w:tc>
        <w:tc>
          <w:tcPr>
            <w:tcW w:w="356" w:type="pct"/>
          </w:tcPr>
          <w:p w14:paraId="627AD743"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15</w:t>
            </w:r>
          </w:p>
        </w:tc>
        <w:tc>
          <w:tcPr>
            <w:tcW w:w="356" w:type="pct"/>
          </w:tcPr>
          <w:p w14:paraId="1DA103C0"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16</w:t>
            </w:r>
          </w:p>
        </w:tc>
        <w:tc>
          <w:tcPr>
            <w:tcW w:w="452" w:type="pct"/>
          </w:tcPr>
          <w:p w14:paraId="4519B17E"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42</w:t>
            </w:r>
          </w:p>
        </w:tc>
        <w:tc>
          <w:tcPr>
            <w:tcW w:w="347" w:type="pct"/>
          </w:tcPr>
          <w:p w14:paraId="05BB1953"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51</w:t>
            </w:r>
          </w:p>
        </w:tc>
        <w:tc>
          <w:tcPr>
            <w:tcW w:w="347" w:type="pct"/>
          </w:tcPr>
          <w:p w14:paraId="75C743DD"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48</w:t>
            </w:r>
          </w:p>
        </w:tc>
        <w:tc>
          <w:tcPr>
            <w:tcW w:w="470" w:type="pct"/>
          </w:tcPr>
          <w:p w14:paraId="788376C2"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39</w:t>
            </w:r>
          </w:p>
        </w:tc>
        <w:tc>
          <w:tcPr>
            <w:tcW w:w="339" w:type="pct"/>
          </w:tcPr>
          <w:p w14:paraId="666FEBE2"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34</w:t>
            </w:r>
          </w:p>
        </w:tc>
        <w:tc>
          <w:tcPr>
            <w:tcW w:w="339" w:type="pct"/>
          </w:tcPr>
          <w:p w14:paraId="6EB91D3B"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36</w:t>
            </w:r>
          </w:p>
        </w:tc>
        <w:tc>
          <w:tcPr>
            <w:tcW w:w="486" w:type="pct"/>
          </w:tcPr>
          <w:p w14:paraId="4EA3625C"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19</w:t>
            </w:r>
          </w:p>
        </w:tc>
      </w:tr>
      <w:tr w:rsidR="00423CF5" w:rsidRPr="00A06F1E" w14:paraId="0FF70ED7" w14:textId="77777777" w:rsidTr="00423CF5">
        <w:tc>
          <w:tcPr>
            <w:tcW w:w="1097" w:type="pct"/>
          </w:tcPr>
          <w:p w14:paraId="636A0714" w14:textId="77777777" w:rsidR="00CC216B" w:rsidRPr="00A06F1E" w:rsidRDefault="00CC216B" w:rsidP="00423CF5">
            <w:pPr>
              <w:pStyle w:val="TableText"/>
              <w:spacing w:before="10" w:after="10"/>
              <w:rPr>
                <w:rFonts w:ascii="Franklin Gothic Book" w:hAnsi="Franklin Gothic Book"/>
              </w:rPr>
            </w:pPr>
            <w:r w:rsidRPr="00A06F1E">
              <w:rPr>
                <w:rFonts w:ascii="Franklin Gothic Book" w:hAnsi="Franklin Gothic Book"/>
              </w:rPr>
              <w:t>African American/Black</w:t>
            </w:r>
          </w:p>
        </w:tc>
        <w:tc>
          <w:tcPr>
            <w:tcW w:w="411" w:type="pct"/>
          </w:tcPr>
          <w:p w14:paraId="759E7F60" w14:textId="30D962F6"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tcPr>
          <w:p w14:paraId="5C898268" w14:textId="1EB6490B"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tcPr>
          <w:p w14:paraId="225CA56D" w14:textId="521CEC68"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52" w:type="pct"/>
          </w:tcPr>
          <w:p w14:paraId="574311AD"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26</w:t>
            </w:r>
          </w:p>
        </w:tc>
        <w:tc>
          <w:tcPr>
            <w:tcW w:w="347" w:type="pct"/>
          </w:tcPr>
          <w:p w14:paraId="4309F3D6" w14:textId="3AA64193"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7" w:type="pct"/>
          </w:tcPr>
          <w:p w14:paraId="6FDC3859" w14:textId="172E7E8B"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0" w:type="pct"/>
          </w:tcPr>
          <w:p w14:paraId="6E6AA5D7"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45</w:t>
            </w:r>
          </w:p>
        </w:tc>
        <w:tc>
          <w:tcPr>
            <w:tcW w:w="339" w:type="pct"/>
          </w:tcPr>
          <w:p w14:paraId="0C691E86" w14:textId="6DB961AD"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tcPr>
          <w:p w14:paraId="37C4A012" w14:textId="7BE5191D"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86" w:type="pct"/>
          </w:tcPr>
          <w:p w14:paraId="0D3D9E85"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29</w:t>
            </w:r>
          </w:p>
        </w:tc>
      </w:tr>
      <w:tr w:rsidR="00423CF5" w:rsidRPr="00A06F1E" w14:paraId="6BD299A2"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1400FC44" w14:textId="77777777" w:rsidR="00CC216B" w:rsidRPr="00A06F1E" w:rsidRDefault="00CC216B" w:rsidP="00423CF5">
            <w:pPr>
              <w:pStyle w:val="TableText"/>
              <w:spacing w:before="10" w:after="10"/>
              <w:rPr>
                <w:rFonts w:ascii="Franklin Gothic Book" w:hAnsi="Franklin Gothic Book"/>
              </w:rPr>
            </w:pPr>
            <w:r w:rsidRPr="00A06F1E">
              <w:rPr>
                <w:rFonts w:ascii="Franklin Gothic Book" w:hAnsi="Franklin Gothic Book"/>
              </w:rPr>
              <w:t>Asian</w:t>
            </w:r>
          </w:p>
        </w:tc>
        <w:tc>
          <w:tcPr>
            <w:tcW w:w="411" w:type="pct"/>
          </w:tcPr>
          <w:p w14:paraId="04DA6BFD" w14:textId="1F0163B3"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tcPr>
          <w:p w14:paraId="4A6D6DA0" w14:textId="135A8EBD"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tcPr>
          <w:p w14:paraId="63136D1D" w14:textId="1422B1CB"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52" w:type="pct"/>
          </w:tcPr>
          <w:p w14:paraId="7B4DD124"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64</w:t>
            </w:r>
          </w:p>
        </w:tc>
        <w:tc>
          <w:tcPr>
            <w:tcW w:w="347" w:type="pct"/>
          </w:tcPr>
          <w:p w14:paraId="735D4996" w14:textId="120B7704"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7" w:type="pct"/>
          </w:tcPr>
          <w:p w14:paraId="5CDCF4E7" w14:textId="5CE185C1"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0" w:type="pct"/>
          </w:tcPr>
          <w:p w14:paraId="23AC3409"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27</w:t>
            </w:r>
          </w:p>
        </w:tc>
        <w:tc>
          <w:tcPr>
            <w:tcW w:w="339" w:type="pct"/>
          </w:tcPr>
          <w:p w14:paraId="20550940" w14:textId="52D52AE2"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tcPr>
          <w:p w14:paraId="795096C4" w14:textId="56DAFDE9"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86" w:type="pct"/>
          </w:tcPr>
          <w:p w14:paraId="23B4D816"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9</w:t>
            </w:r>
          </w:p>
        </w:tc>
      </w:tr>
      <w:tr w:rsidR="00423CF5" w:rsidRPr="00A06F1E" w14:paraId="5E1CA9E2" w14:textId="77777777" w:rsidTr="00423CF5">
        <w:tc>
          <w:tcPr>
            <w:tcW w:w="1097" w:type="pct"/>
          </w:tcPr>
          <w:p w14:paraId="095CCD4C" w14:textId="77777777" w:rsidR="00CC216B" w:rsidRPr="00A06F1E" w:rsidRDefault="00CC216B" w:rsidP="00423CF5">
            <w:pPr>
              <w:pStyle w:val="TableText"/>
              <w:spacing w:before="10" w:after="10"/>
              <w:rPr>
                <w:rFonts w:ascii="Franklin Gothic Book" w:hAnsi="Franklin Gothic Book"/>
              </w:rPr>
            </w:pPr>
            <w:r w:rsidRPr="00A06F1E">
              <w:rPr>
                <w:rFonts w:ascii="Franklin Gothic Book" w:hAnsi="Franklin Gothic Book"/>
              </w:rPr>
              <w:t>Hispanic/Latino</w:t>
            </w:r>
          </w:p>
        </w:tc>
        <w:tc>
          <w:tcPr>
            <w:tcW w:w="411" w:type="pct"/>
          </w:tcPr>
          <w:p w14:paraId="483C9062"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28</w:t>
            </w:r>
          </w:p>
        </w:tc>
        <w:tc>
          <w:tcPr>
            <w:tcW w:w="356" w:type="pct"/>
          </w:tcPr>
          <w:p w14:paraId="567BED25"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18</w:t>
            </w:r>
          </w:p>
        </w:tc>
        <w:tc>
          <w:tcPr>
            <w:tcW w:w="356" w:type="pct"/>
          </w:tcPr>
          <w:p w14:paraId="6B4593B5"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25</w:t>
            </w:r>
          </w:p>
        </w:tc>
        <w:tc>
          <w:tcPr>
            <w:tcW w:w="452" w:type="pct"/>
          </w:tcPr>
          <w:p w14:paraId="67407CD7"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22</w:t>
            </w:r>
          </w:p>
        </w:tc>
        <w:tc>
          <w:tcPr>
            <w:tcW w:w="347" w:type="pct"/>
          </w:tcPr>
          <w:p w14:paraId="30022823"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41</w:t>
            </w:r>
          </w:p>
        </w:tc>
        <w:tc>
          <w:tcPr>
            <w:tcW w:w="347" w:type="pct"/>
          </w:tcPr>
          <w:p w14:paraId="5DCA8CFF"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43</w:t>
            </w:r>
          </w:p>
        </w:tc>
        <w:tc>
          <w:tcPr>
            <w:tcW w:w="470" w:type="pct"/>
          </w:tcPr>
          <w:p w14:paraId="3E8FFB03"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43</w:t>
            </w:r>
          </w:p>
        </w:tc>
        <w:tc>
          <w:tcPr>
            <w:tcW w:w="339" w:type="pct"/>
          </w:tcPr>
          <w:p w14:paraId="349D7CE7"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41</w:t>
            </w:r>
          </w:p>
        </w:tc>
        <w:tc>
          <w:tcPr>
            <w:tcW w:w="339" w:type="pct"/>
          </w:tcPr>
          <w:p w14:paraId="18CD8974"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32</w:t>
            </w:r>
          </w:p>
        </w:tc>
        <w:tc>
          <w:tcPr>
            <w:tcW w:w="486" w:type="pct"/>
          </w:tcPr>
          <w:p w14:paraId="201EF152"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34</w:t>
            </w:r>
          </w:p>
        </w:tc>
      </w:tr>
      <w:tr w:rsidR="00423CF5" w:rsidRPr="00A06F1E" w14:paraId="308F1C2E"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0CAE2DCE" w14:textId="77777777" w:rsidR="00CC216B" w:rsidRPr="00A06F1E" w:rsidRDefault="00CC216B" w:rsidP="00423CF5">
            <w:pPr>
              <w:pStyle w:val="TableText"/>
              <w:spacing w:before="10" w:after="10"/>
              <w:rPr>
                <w:rFonts w:ascii="Franklin Gothic Book" w:hAnsi="Franklin Gothic Book"/>
              </w:rPr>
            </w:pPr>
            <w:r w:rsidRPr="00A06F1E">
              <w:rPr>
                <w:rFonts w:ascii="Franklin Gothic Book" w:hAnsi="Franklin Gothic Book" w:cstheme="minorHAnsi"/>
              </w:rPr>
              <w:t>Multi-Race, non-Hispanic/Latino</w:t>
            </w:r>
          </w:p>
        </w:tc>
        <w:tc>
          <w:tcPr>
            <w:tcW w:w="411" w:type="pct"/>
          </w:tcPr>
          <w:p w14:paraId="111FDE21"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12</w:t>
            </w:r>
          </w:p>
        </w:tc>
        <w:tc>
          <w:tcPr>
            <w:tcW w:w="356" w:type="pct"/>
          </w:tcPr>
          <w:p w14:paraId="0E994480"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8</w:t>
            </w:r>
          </w:p>
        </w:tc>
        <w:tc>
          <w:tcPr>
            <w:tcW w:w="356" w:type="pct"/>
          </w:tcPr>
          <w:p w14:paraId="28E591EE"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17</w:t>
            </w:r>
          </w:p>
        </w:tc>
        <w:tc>
          <w:tcPr>
            <w:tcW w:w="452" w:type="pct"/>
          </w:tcPr>
          <w:p w14:paraId="0A1C307B"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49</w:t>
            </w:r>
          </w:p>
        </w:tc>
        <w:tc>
          <w:tcPr>
            <w:tcW w:w="347" w:type="pct"/>
          </w:tcPr>
          <w:p w14:paraId="767C8A10"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69</w:t>
            </w:r>
          </w:p>
        </w:tc>
        <w:tc>
          <w:tcPr>
            <w:tcW w:w="347" w:type="pct"/>
          </w:tcPr>
          <w:p w14:paraId="22C98E89"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42</w:t>
            </w:r>
          </w:p>
        </w:tc>
        <w:tc>
          <w:tcPr>
            <w:tcW w:w="470" w:type="pct"/>
          </w:tcPr>
          <w:p w14:paraId="296DE806"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35</w:t>
            </w:r>
          </w:p>
        </w:tc>
        <w:tc>
          <w:tcPr>
            <w:tcW w:w="339" w:type="pct"/>
          </w:tcPr>
          <w:p w14:paraId="786B083E"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23</w:t>
            </w:r>
          </w:p>
        </w:tc>
        <w:tc>
          <w:tcPr>
            <w:tcW w:w="339" w:type="pct"/>
          </w:tcPr>
          <w:p w14:paraId="3D28191A"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42</w:t>
            </w:r>
          </w:p>
        </w:tc>
        <w:tc>
          <w:tcPr>
            <w:tcW w:w="486" w:type="pct"/>
          </w:tcPr>
          <w:p w14:paraId="4657C78C"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16</w:t>
            </w:r>
          </w:p>
        </w:tc>
      </w:tr>
      <w:tr w:rsidR="00423CF5" w:rsidRPr="00A06F1E" w14:paraId="6524B22C" w14:textId="77777777" w:rsidTr="00423CF5">
        <w:tc>
          <w:tcPr>
            <w:tcW w:w="1097" w:type="pct"/>
          </w:tcPr>
          <w:p w14:paraId="7D38CDC6" w14:textId="77777777" w:rsidR="00CC216B" w:rsidRPr="00A06F1E" w:rsidRDefault="00CC216B" w:rsidP="00423CF5">
            <w:pPr>
              <w:pStyle w:val="TableText"/>
              <w:spacing w:before="10" w:after="10"/>
              <w:rPr>
                <w:rFonts w:ascii="Franklin Gothic Book" w:hAnsi="Franklin Gothic Book"/>
              </w:rPr>
            </w:pPr>
            <w:r w:rsidRPr="00A06F1E">
              <w:rPr>
                <w:rFonts w:ascii="Franklin Gothic Book" w:hAnsi="Franklin Gothic Book"/>
              </w:rPr>
              <w:t>Native American</w:t>
            </w:r>
          </w:p>
        </w:tc>
        <w:tc>
          <w:tcPr>
            <w:tcW w:w="411" w:type="pct"/>
          </w:tcPr>
          <w:p w14:paraId="073B268F" w14:textId="2A4BBD5F"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tcPr>
          <w:p w14:paraId="0342F8B8" w14:textId="36ACA44D"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tcPr>
          <w:p w14:paraId="3B4C6A3C" w14:textId="1828000E"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52" w:type="pct"/>
          </w:tcPr>
          <w:p w14:paraId="7D944CE6"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29</w:t>
            </w:r>
          </w:p>
        </w:tc>
        <w:tc>
          <w:tcPr>
            <w:tcW w:w="347" w:type="pct"/>
          </w:tcPr>
          <w:p w14:paraId="3D5700E0" w14:textId="5196EA02"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7" w:type="pct"/>
          </w:tcPr>
          <w:p w14:paraId="4DC96BD0" w14:textId="259C2F29"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0" w:type="pct"/>
          </w:tcPr>
          <w:p w14:paraId="4339ED9E"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42</w:t>
            </w:r>
          </w:p>
        </w:tc>
        <w:tc>
          <w:tcPr>
            <w:tcW w:w="339" w:type="pct"/>
          </w:tcPr>
          <w:p w14:paraId="205DA52F" w14:textId="73CA08F7"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tcPr>
          <w:p w14:paraId="4396CD4C" w14:textId="28C6DA1A"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86" w:type="pct"/>
          </w:tcPr>
          <w:p w14:paraId="0B4EB28E"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28</w:t>
            </w:r>
          </w:p>
        </w:tc>
      </w:tr>
      <w:tr w:rsidR="00423CF5" w:rsidRPr="00A06F1E" w14:paraId="1F616657"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4BD431DA" w14:textId="77777777" w:rsidR="00CC216B" w:rsidRPr="00A06F1E" w:rsidRDefault="00CC216B" w:rsidP="00423CF5">
            <w:pPr>
              <w:pStyle w:val="TableText"/>
              <w:spacing w:before="10" w:after="10"/>
              <w:rPr>
                <w:rFonts w:ascii="Franklin Gothic Book" w:hAnsi="Franklin Gothic Book"/>
                <w:spacing w:val="-4"/>
              </w:rPr>
            </w:pPr>
            <w:r w:rsidRPr="00A06F1E">
              <w:rPr>
                <w:rFonts w:ascii="Franklin Gothic Book" w:hAnsi="Franklin Gothic Book"/>
                <w:spacing w:val="-4"/>
              </w:rPr>
              <w:t>Native Hawaiian, Pacific Islander</w:t>
            </w:r>
          </w:p>
        </w:tc>
        <w:tc>
          <w:tcPr>
            <w:tcW w:w="411" w:type="pct"/>
          </w:tcPr>
          <w:p w14:paraId="2689594E" w14:textId="6FA9E059"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tcPr>
          <w:p w14:paraId="7E33C865" w14:textId="6310AC6B"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tcPr>
          <w:p w14:paraId="239BBA56" w14:textId="11B368E7"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52" w:type="pct"/>
          </w:tcPr>
          <w:p w14:paraId="28484199"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45</w:t>
            </w:r>
          </w:p>
        </w:tc>
        <w:tc>
          <w:tcPr>
            <w:tcW w:w="347" w:type="pct"/>
          </w:tcPr>
          <w:p w14:paraId="77094194" w14:textId="2ACC2C34"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7" w:type="pct"/>
          </w:tcPr>
          <w:p w14:paraId="3925B10B" w14:textId="75C888E6"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0" w:type="pct"/>
          </w:tcPr>
          <w:p w14:paraId="7605CA96"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37</w:t>
            </w:r>
          </w:p>
        </w:tc>
        <w:tc>
          <w:tcPr>
            <w:tcW w:w="339" w:type="pct"/>
          </w:tcPr>
          <w:p w14:paraId="5739C34B" w14:textId="2938E0BC"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tcPr>
          <w:p w14:paraId="5E05F62D" w14:textId="06124579"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86" w:type="pct"/>
          </w:tcPr>
          <w:p w14:paraId="25C205B3"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18</w:t>
            </w:r>
          </w:p>
        </w:tc>
      </w:tr>
      <w:tr w:rsidR="00423CF5" w:rsidRPr="00A06F1E" w14:paraId="6D9163E6" w14:textId="77777777" w:rsidTr="00423CF5">
        <w:tc>
          <w:tcPr>
            <w:tcW w:w="1097" w:type="pct"/>
          </w:tcPr>
          <w:p w14:paraId="769FE7ED" w14:textId="77777777" w:rsidR="00CC216B" w:rsidRPr="00A06F1E" w:rsidRDefault="00CC216B" w:rsidP="00423CF5">
            <w:pPr>
              <w:pStyle w:val="TableText"/>
              <w:spacing w:before="10" w:after="10"/>
              <w:rPr>
                <w:rFonts w:ascii="Franklin Gothic Book" w:hAnsi="Franklin Gothic Book"/>
              </w:rPr>
            </w:pPr>
            <w:r w:rsidRPr="00A06F1E">
              <w:rPr>
                <w:rFonts w:ascii="Franklin Gothic Book" w:hAnsi="Franklin Gothic Book"/>
              </w:rPr>
              <w:t>White</w:t>
            </w:r>
          </w:p>
        </w:tc>
        <w:tc>
          <w:tcPr>
            <w:tcW w:w="411" w:type="pct"/>
          </w:tcPr>
          <w:p w14:paraId="6F916482"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234</w:t>
            </w:r>
          </w:p>
        </w:tc>
        <w:tc>
          <w:tcPr>
            <w:tcW w:w="356" w:type="pct"/>
          </w:tcPr>
          <w:p w14:paraId="37C9C158"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15</w:t>
            </w:r>
          </w:p>
        </w:tc>
        <w:tc>
          <w:tcPr>
            <w:tcW w:w="356" w:type="pct"/>
          </w:tcPr>
          <w:p w14:paraId="520B1905"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16</w:t>
            </w:r>
          </w:p>
        </w:tc>
        <w:tc>
          <w:tcPr>
            <w:tcW w:w="452" w:type="pct"/>
          </w:tcPr>
          <w:p w14:paraId="0ECBBCAC"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50</w:t>
            </w:r>
          </w:p>
        </w:tc>
        <w:tc>
          <w:tcPr>
            <w:tcW w:w="347" w:type="pct"/>
          </w:tcPr>
          <w:p w14:paraId="3911BC85"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51</w:t>
            </w:r>
          </w:p>
        </w:tc>
        <w:tc>
          <w:tcPr>
            <w:tcW w:w="347" w:type="pct"/>
          </w:tcPr>
          <w:p w14:paraId="787A1055"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49</w:t>
            </w:r>
          </w:p>
        </w:tc>
        <w:tc>
          <w:tcPr>
            <w:tcW w:w="470" w:type="pct"/>
          </w:tcPr>
          <w:p w14:paraId="7DD17ACC"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37</w:t>
            </w:r>
          </w:p>
        </w:tc>
        <w:tc>
          <w:tcPr>
            <w:tcW w:w="339" w:type="pct"/>
          </w:tcPr>
          <w:p w14:paraId="6860CFEE"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34</w:t>
            </w:r>
          </w:p>
        </w:tc>
        <w:tc>
          <w:tcPr>
            <w:tcW w:w="339" w:type="pct"/>
          </w:tcPr>
          <w:p w14:paraId="6515C5FC"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35</w:t>
            </w:r>
          </w:p>
        </w:tc>
        <w:tc>
          <w:tcPr>
            <w:tcW w:w="486" w:type="pct"/>
          </w:tcPr>
          <w:p w14:paraId="0F593D4D"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13</w:t>
            </w:r>
          </w:p>
        </w:tc>
      </w:tr>
      <w:tr w:rsidR="00423CF5" w:rsidRPr="00A06F1E" w14:paraId="6CD687DA"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7DB25FD8" w14:textId="77777777" w:rsidR="00CC216B" w:rsidRPr="00A06F1E" w:rsidRDefault="00CC216B" w:rsidP="00423CF5">
            <w:pPr>
              <w:pStyle w:val="TableText"/>
              <w:spacing w:before="10" w:after="10"/>
              <w:rPr>
                <w:rFonts w:ascii="Franklin Gothic Book" w:hAnsi="Franklin Gothic Book"/>
              </w:rPr>
            </w:pPr>
            <w:r w:rsidRPr="00A06F1E">
              <w:rPr>
                <w:rFonts w:ascii="Franklin Gothic Book" w:hAnsi="Franklin Gothic Book"/>
              </w:rPr>
              <w:t>High needs</w:t>
            </w:r>
          </w:p>
        </w:tc>
        <w:tc>
          <w:tcPr>
            <w:tcW w:w="411" w:type="pct"/>
          </w:tcPr>
          <w:p w14:paraId="3F13D3E2"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237</w:t>
            </w:r>
          </w:p>
        </w:tc>
        <w:tc>
          <w:tcPr>
            <w:tcW w:w="356" w:type="pct"/>
          </w:tcPr>
          <w:p w14:paraId="76B46D06"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12</w:t>
            </w:r>
          </w:p>
        </w:tc>
        <w:tc>
          <w:tcPr>
            <w:tcW w:w="356" w:type="pct"/>
          </w:tcPr>
          <w:p w14:paraId="02C77CEA"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14</w:t>
            </w:r>
          </w:p>
        </w:tc>
        <w:tc>
          <w:tcPr>
            <w:tcW w:w="452" w:type="pct"/>
          </w:tcPr>
          <w:p w14:paraId="3A0FC8B1"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24</w:t>
            </w:r>
          </w:p>
        </w:tc>
        <w:tc>
          <w:tcPr>
            <w:tcW w:w="347" w:type="pct"/>
          </w:tcPr>
          <w:p w14:paraId="0A93042D"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49</w:t>
            </w:r>
          </w:p>
        </w:tc>
        <w:tc>
          <w:tcPr>
            <w:tcW w:w="347" w:type="pct"/>
          </w:tcPr>
          <w:p w14:paraId="4513DC9B"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46</w:t>
            </w:r>
          </w:p>
        </w:tc>
        <w:tc>
          <w:tcPr>
            <w:tcW w:w="470" w:type="pct"/>
          </w:tcPr>
          <w:p w14:paraId="2603113C"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45</w:t>
            </w:r>
          </w:p>
        </w:tc>
        <w:tc>
          <w:tcPr>
            <w:tcW w:w="339" w:type="pct"/>
          </w:tcPr>
          <w:p w14:paraId="5EB8E5FD"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39</w:t>
            </w:r>
          </w:p>
        </w:tc>
        <w:tc>
          <w:tcPr>
            <w:tcW w:w="339" w:type="pct"/>
          </w:tcPr>
          <w:p w14:paraId="765C07C7"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41</w:t>
            </w:r>
          </w:p>
        </w:tc>
        <w:tc>
          <w:tcPr>
            <w:tcW w:w="486" w:type="pct"/>
          </w:tcPr>
          <w:p w14:paraId="43A35A93"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31</w:t>
            </w:r>
          </w:p>
        </w:tc>
      </w:tr>
      <w:tr w:rsidR="00423CF5" w:rsidRPr="00A06F1E" w14:paraId="3B04E603" w14:textId="77777777" w:rsidTr="00423CF5">
        <w:tc>
          <w:tcPr>
            <w:tcW w:w="1097" w:type="pct"/>
          </w:tcPr>
          <w:p w14:paraId="7D2696D9" w14:textId="77777777" w:rsidR="00CC216B" w:rsidRPr="00A06F1E" w:rsidRDefault="00CC216B" w:rsidP="00423CF5">
            <w:pPr>
              <w:pStyle w:val="TableText"/>
              <w:spacing w:before="10" w:after="10"/>
              <w:rPr>
                <w:rFonts w:ascii="Franklin Gothic Book" w:hAnsi="Franklin Gothic Book"/>
              </w:rPr>
            </w:pPr>
            <w:r w:rsidRPr="00A06F1E">
              <w:rPr>
                <w:rFonts w:ascii="Franklin Gothic Book" w:hAnsi="Franklin Gothic Book"/>
              </w:rPr>
              <w:t>Low income</w:t>
            </w:r>
          </w:p>
        </w:tc>
        <w:tc>
          <w:tcPr>
            <w:tcW w:w="411" w:type="pct"/>
          </w:tcPr>
          <w:p w14:paraId="4C760F52"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221</w:t>
            </w:r>
          </w:p>
        </w:tc>
        <w:tc>
          <w:tcPr>
            <w:tcW w:w="356" w:type="pct"/>
          </w:tcPr>
          <w:p w14:paraId="6836ACCE"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13</w:t>
            </w:r>
          </w:p>
        </w:tc>
        <w:tc>
          <w:tcPr>
            <w:tcW w:w="356" w:type="pct"/>
          </w:tcPr>
          <w:p w14:paraId="149049E2"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14</w:t>
            </w:r>
          </w:p>
        </w:tc>
        <w:tc>
          <w:tcPr>
            <w:tcW w:w="452" w:type="pct"/>
          </w:tcPr>
          <w:p w14:paraId="7E6F1DEB"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24</w:t>
            </w:r>
          </w:p>
        </w:tc>
        <w:tc>
          <w:tcPr>
            <w:tcW w:w="347" w:type="pct"/>
          </w:tcPr>
          <w:p w14:paraId="07DBB0C4"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51</w:t>
            </w:r>
          </w:p>
        </w:tc>
        <w:tc>
          <w:tcPr>
            <w:tcW w:w="347" w:type="pct"/>
          </w:tcPr>
          <w:p w14:paraId="1219145D"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46</w:t>
            </w:r>
          </w:p>
        </w:tc>
        <w:tc>
          <w:tcPr>
            <w:tcW w:w="470" w:type="pct"/>
          </w:tcPr>
          <w:p w14:paraId="672F005C"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44</w:t>
            </w:r>
          </w:p>
        </w:tc>
        <w:tc>
          <w:tcPr>
            <w:tcW w:w="339" w:type="pct"/>
          </w:tcPr>
          <w:p w14:paraId="112DBBB1"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36</w:t>
            </w:r>
          </w:p>
        </w:tc>
        <w:tc>
          <w:tcPr>
            <w:tcW w:w="339" w:type="pct"/>
          </w:tcPr>
          <w:p w14:paraId="228628DB"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40</w:t>
            </w:r>
          </w:p>
        </w:tc>
        <w:tc>
          <w:tcPr>
            <w:tcW w:w="486" w:type="pct"/>
          </w:tcPr>
          <w:p w14:paraId="0FDA0BD7"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32</w:t>
            </w:r>
          </w:p>
        </w:tc>
      </w:tr>
      <w:tr w:rsidR="00423CF5" w:rsidRPr="00A06F1E" w14:paraId="46555229"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45F8CFB1" w14:textId="77777777" w:rsidR="00CC216B" w:rsidRPr="00A06F1E" w:rsidRDefault="00CC216B" w:rsidP="00423CF5">
            <w:pPr>
              <w:pStyle w:val="TableText"/>
              <w:spacing w:before="10" w:after="10"/>
              <w:rPr>
                <w:rFonts w:ascii="Franklin Gothic Book" w:hAnsi="Franklin Gothic Book"/>
                <w:spacing w:val="-4"/>
              </w:rPr>
            </w:pPr>
            <w:r w:rsidRPr="00A06F1E">
              <w:rPr>
                <w:rFonts w:ascii="Franklin Gothic Book" w:hAnsi="Franklin Gothic Book"/>
                <w:spacing w:val="-4"/>
              </w:rPr>
              <w:t>ELs and former ELs</w:t>
            </w:r>
          </w:p>
        </w:tc>
        <w:tc>
          <w:tcPr>
            <w:tcW w:w="411" w:type="pct"/>
          </w:tcPr>
          <w:p w14:paraId="75448187" w14:textId="05FFD6C7"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tcPr>
          <w:p w14:paraId="602A1C24" w14:textId="42DF3D06"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tcPr>
          <w:p w14:paraId="4A8673E9" w14:textId="0934F9E2"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52" w:type="pct"/>
          </w:tcPr>
          <w:p w14:paraId="23197B87"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20</w:t>
            </w:r>
          </w:p>
        </w:tc>
        <w:tc>
          <w:tcPr>
            <w:tcW w:w="347" w:type="pct"/>
          </w:tcPr>
          <w:p w14:paraId="23A4A144" w14:textId="5062F964"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7" w:type="pct"/>
          </w:tcPr>
          <w:p w14:paraId="7DCB8285" w14:textId="00064434"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0" w:type="pct"/>
          </w:tcPr>
          <w:p w14:paraId="035B19D6"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42</w:t>
            </w:r>
          </w:p>
        </w:tc>
        <w:tc>
          <w:tcPr>
            <w:tcW w:w="339" w:type="pct"/>
          </w:tcPr>
          <w:p w14:paraId="58FAE169" w14:textId="0B732E53"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tcPr>
          <w:p w14:paraId="2BA65B9A" w14:textId="5CC4D8CE" w:rsidR="00CC216B"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86" w:type="pct"/>
          </w:tcPr>
          <w:p w14:paraId="2814F059"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38</w:t>
            </w:r>
          </w:p>
        </w:tc>
      </w:tr>
      <w:tr w:rsidR="00423CF5" w:rsidRPr="00A06F1E" w14:paraId="36DAD156" w14:textId="77777777" w:rsidTr="00423CF5">
        <w:tc>
          <w:tcPr>
            <w:tcW w:w="1097" w:type="pct"/>
          </w:tcPr>
          <w:p w14:paraId="523DC1D7" w14:textId="77777777" w:rsidR="00CC216B" w:rsidRPr="00A06F1E" w:rsidRDefault="00CC216B" w:rsidP="00423CF5">
            <w:pPr>
              <w:pStyle w:val="TableText"/>
              <w:spacing w:before="10" w:after="10"/>
              <w:rPr>
                <w:rFonts w:ascii="Franklin Gothic Book" w:hAnsi="Franklin Gothic Book"/>
              </w:rPr>
            </w:pPr>
            <w:r w:rsidRPr="00A06F1E">
              <w:rPr>
                <w:rFonts w:ascii="Franklin Gothic Book" w:hAnsi="Franklin Gothic Book"/>
              </w:rPr>
              <w:t>Students w/disabilities</w:t>
            </w:r>
          </w:p>
        </w:tc>
        <w:tc>
          <w:tcPr>
            <w:tcW w:w="411" w:type="pct"/>
          </w:tcPr>
          <w:p w14:paraId="264231DE"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100</w:t>
            </w:r>
          </w:p>
        </w:tc>
        <w:tc>
          <w:tcPr>
            <w:tcW w:w="356" w:type="pct"/>
          </w:tcPr>
          <w:p w14:paraId="547FE68B"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0</w:t>
            </w:r>
          </w:p>
        </w:tc>
        <w:tc>
          <w:tcPr>
            <w:tcW w:w="356" w:type="pct"/>
          </w:tcPr>
          <w:p w14:paraId="49BC349E"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2</w:t>
            </w:r>
          </w:p>
        </w:tc>
        <w:tc>
          <w:tcPr>
            <w:tcW w:w="452" w:type="pct"/>
          </w:tcPr>
          <w:p w14:paraId="543B6E3C"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12</w:t>
            </w:r>
          </w:p>
        </w:tc>
        <w:tc>
          <w:tcPr>
            <w:tcW w:w="347" w:type="pct"/>
          </w:tcPr>
          <w:p w14:paraId="0700CFAA"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38</w:t>
            </w:r>
          </w:p>
        </w:tc>
        <w:tc>
          <w:tcPr>
            <w:tcW w:w="347" w:type="pct"/>
          </w:tcPr>
          <w:p w14:paraId="452B5465"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37</w:t>
            </w:r>
          </w:p>
        </w:tc>
        <w:tc>
          <w:tcPr>
            <w:tcW w:w="470" w:type="pct"/>
          </w:tcPr>
          <w:p w14:paraId="2A5183E7"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40</w:t>
            </w:r>
          </w:p>
        </w:tc>
        <w:tc>
          <w:tcPr>
            <w:tcW w:w="339" w:type="pct"/>
          </w:tcPr>
          <w:p w14:paraId="143E0D43"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62</w:t>
            </w:r>
          </w:p>
        </w:tc>
        <w:tc>
          <w:tcPr>
            <w:tcW w:w="339" w:type="pct"/>
          </w:tcPr>
          <w:p w14:paraId="2B8F7CBD"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61</w:t>
            </w:r>
          </w:p>
        </w:tc>
        <w:tc>
          <w:tcPr>
            <w:tcW w:w="486" w:type="pct"/>
          </w:tcPr>
          <w:p w14:paraId="3AB11762" w14:textId="77777777" w:rsidR="00CC216B" w:rsidRPr="00A06F1E" w:rsidRDefault="00CC216B" w:rsidP="00423CF5">
            <w:pPr>
              <w:pStyle w:val="TableTextCentered"/>
              <w:spacing w:before="10" w:after="10"/>
              <w:rPr>
                <w:rFonts w:ascii="Franklin Gothic Book" w:hAnsi="Franklin Gothic Book"/>
              </w:rPr>
            </w:pPr>
            <w:r w:rsidRPr="00A06F1E">
              <w:rPr>
                <w:rFonts w:ascii="Franklin Gothic Book" w:hAnsi="Franklin Gothic Book"/>
              </w:rPr>
              <w:t>48</w:t>
            </w:r>
          </w:p>
        </w:tc>
      </w:tr>
    </w:tbl>
    <w:p w14:paraId="51CF6E46" w14:textId="477AB86B" w:rsidR="00B607BD" w:rsidRPr="00A06F1E" w:rsidRDefault="00B607BD" w:rsidP="00B7722D">
      <w:pPr>
        <w:pStyle w:val="TabletitleSectionE"/>
        <w:spacing w:before="120"/>
      </w:pPr>
      <w:bookmarkStart w:id="244" w:name="_Toc170701948"/>
      <w:bookmarkStart w:id="245" w:name="_Toc171685785"/>
      <w:r w:rsidRPr="00A06F1E">
        <w:t>Table E</w:t>
      </w:r>
      <w:r w:rsidR="00423CF5" w:rsidRPr="00A06F1E">
        <w:t>1</w:t>
      </w:r>
      <w:r w:rsidR="00FC1410">
        <w:t>b</w:t>
      </w:r>
      <w:r w:rsidR="00CE00AC" w:rsidRPr="00A06F1E">
        <w:t xml:space="preserve">. </w:t>
      </w:r>
      <w:proofErr w:type="spellStart"/>
      <w:r w:rsidR="00652B48">
        <w:t>Petersham</w:t>
      </w:r>
      <w:proofErr w:type="spellEnd"/>
      <w:r w:rsidR="00652B48">
        <w:t xml:space="preserve"> Center</w:t>
      </w:r>
      <w:r w:rsidR="00F3532E" w:rsidRPr="00A06F1E">
        <w:t>:</w:t>
      </w:r>
      <w:r w:rsidRPr="00A06F1E">
        <w:t xml:space="preserve"> Next-Generation MCAS ELA Achievement by Student Group, Grades 3-8, 2022-2023</w:t>
      </w:r>
      <w:bookmarkEnd w:id="244"/>
      <w:bookmarkEnd w:id="245"/>
      <w:r w:rsidRPr="00A06F1E">
        <w:t xml:space="preserve"> </w:t>
      </w:r>
    </w:p>
    <w:tbl>
      <w:tblPr>
        <w:tblStyle w:val="MSVTable1"/>
        <w:tblW w:w="5003" w:type="pct"/>
        <w:tblLook w:val="0420" w:firstRow="1" w:lastRow="0" w:firstColumn="0" w:lastColumn="0" w:noHBand="0" w:noVBand="1"/>
      </w:tblPr>
      <w:tblGrid>
        <w:gridCol w:w="2842"/>
        <w:gridCol w:w="1065"/>
        <w:gridCol w:w="896"/>
        <w:gridCol w:w="896"/>
        <w:gridCol w:w="1225"/>
        <w:gridCol w:w="855"/>
        <w:gridCol w:w="855"/>
        <w:gridCol w:w="1306"/>
        <w:gridCol w:w="834"/>
        <w:gridCol w:w="834"/>
        <w:gridCol w:w="1344"/>
      </w:tblGrid>
      <w:tr w:rsidR="00B607BD" w:rsidRPr="00A06F1E" w14:paraId="6BD8E45C" w14:textId="77777777" w:rsidTr="00423CF5">
        <w:trPr>
          <w:cnfStyle w:val="100000000000" w:firstRow="1" w:lastRow="0" w:firstColumn="0" w:lastColumn="0" w:oddVBand="0" w:evenVBand="0" w:oddHBand="0" w:evenHBand="0" w:firstRowFirstColumn="0" w:firstRowLastColumn="0" w:lastRowFirstColumn="0" w:lastRowLastColumn="0"/>
          <w:tblHeader/>
        </w:trPr>
        <w:tc>
          <w:tcPr>
            <w:tcW w:w="1097" w:type="pct"/>
            <w:vMerge w:val="restart"/>
            <w:vAlign w:val="center"/>
          </w:tcPr>
          <w:p w14:paraId="1DC644E1" w14:textId="77777777" w:rsidR="00B607BD" w:rsidRPr="00A06F1E" w:rsidRDefault="00B607BD" w:rsidP="00423CF5">
            <w:pPr>
              <w:pStyle w:val="TableColHeadingLeft"/>
              <w:spacing w:before="10" w:after="10"/>
              <w:jc w:val="center"/>
            </w:pPr>
            <w:r w:rsidRPr="00A06F1E">
              <w:t>Group</w:t>
            </w:r>
          </w:p>
        </w:tc>
        <w:tc>
          <w:tcPr>
            <w:tcW w:w="411" w:type="pct"/>
            <w:vMerge w:val="restart"/>
            <w:vAlign w:val="center"/>
          </w:tcPr>
          <w:p w14:paraId="5A4D3039" w14:textId="6A650446" w:rsidR="00B607BD" w:rsidRPr="00A06F1E" w:rsidRDefault="00B607BD" w:rsidP="00423CF5">
            <w:pPr>
              <w:pStyle w:val="TableColHeadingCenter"/>
              <w:spacing w:before="10" w:after="10"/>
            </w:pPr>
            <w:r w:rsidRPr="00A06F1E">
              <w:t xml:space="preserve"># </w:t>
            </w:r>
            <w:r w:rsidR="00A228CB" w:rsidRPr="00A06F1E">
              <w:t>i</w:t>
            </w:r>
            <w:r w:rsidRPr="00A06F1E">
              <w:t>ncluded (2023)</w:t>
            </w:r>
          </w:p>
        </w:tc>
        <w:tc>
          <w:tcPr>
            <w:tcW w:w="1164" w:type="pct"/>
            <w:gridSpan w:val="3"/>
            <w:vAlign w:val="bottom"/>
          </w:tcPr>
          <w:p w14:paraId="5E3FD54B" w14:textId="4061E5B8" w:rsidR="00B607BD" w:rsidRPr="00A06F1E" w:rsidRDefault="00A228CB" w:rsidP="00423CF5">
            <w:pPr>
              <w:pStyle w:val="TableColHeadingCenter"/>
              <w:spacing w:before="10" w:after="10"/>
            </w:pPr>
            <w:r w:rsidRPr="00A06F1E">
              <w:t>Percentage</w:t>
            </w:r>
            <w:r w:rsidR="00B607BD" w:rsidRPr="00A06F1E">
              <w:t xml:space="preserve"> meeting or exceeding expectations</w:t>
            </w:r>
          </w:p>
        </w:tc>
        <w:tc>
          <w:tcPr>
            <w:tcW w:w="1164" w:type="pct"/>
            <w:gridSpan w:val="3"/>
            <w:vAlign w:val="center"/>
          </w:tcPr>
          <w:p w14:paraId="51E68F3D" w14:textId="06B69A17" w:rsidR="00B607BD" w:rsidRPr="00A06F1E" w:rsidRDefault="00A228CB" w:rsidP="00423CF5">
            <w:pPr>
              <w:pStyle w:val="TableColHeadingCenter"/>
              <w:spacing w:before="10" w:after="10"/>
            </w:pPr>
            <w:r w:rsidRPr="00A06F1E">
              <w:t>Percentage</w:t>
            </w:r>
            <w:r w:rsidR="00B607BD" w:rsidRPr="00A06F1E">
              <w:t xml:space="preserve"> partially meeting expectations</w:t>
            </w:r>
          </w:p>
        </w:tc>
        <w:tc>
          <w:tcPr>
            <w:tcW w:w="1164" w:type="pct"/>
            <w:gridSpan w:val="3"/>
            <w:vAlign w:val="center"/>
          </w:tcPr>
          <w:p w14:paraId="1511EDB5" w14:textId="26421A75" w:rsidR="00B607BD" w:rsidRPr="00A06F1E" w:rsidRDefault="00A228CB" w:rsidP="00423CF5">
            <w:pPr>
              <w:pStyle w:val="TableColHeadingCenter"/>
              <w:spacing w:before="10" w:after="10"/>
            </w:pPr>
            <w:r w:rsidRPr="00A06F1E">
              <w:t>Percentage</w:t>
            </w:r>
            <w:r w:rsidR="00B607BD" w:rsidRPr="00A06F1E">
              <w:t xml:space="preserve"> not meeting expectations</w:t>
            </w:r>
          </w:p>
        </w:tc>
      </w:tr>
      <w:tr w:rsidR="00423CF5" w:rsidRPr="00A06F1E" w14:paraId="23ADC0A3" w14:textId="77777777" w:rsidTr="00423CF5">
        <w:trPr>
          <w:cnfStyle w:val="100000000000" w:firstRow="1" w:lastRow="0" w:firstColumn="0" w:lastColumn="0" w:oddVBand="0" w:evenVBand="0" w:oddHBand="0" w:evenHBand="0" w:firstRowFirstColumn="0" w:firstRowLastColumn="0" w:lastRowFirstColumn="0" w:lastRowLastColumn="0"/>
          <w:tblHeader/>
        </w:trPr>
        <w:tc>
          <w:tcPr>
            <w:tcW w:w="1097" w:type="pct"/>
            <w:vMerge/>
            <w:vAlign w:val="bottom"/>
          </w:tcPr>
          <w:p w14:paraId="7ABD92AE" w14:textId="77777777" w:rsidR="00B607BD" w:rsidRPr="00A06F1E" w:rsidRDefault="00B607BD" w:rsidP="00423CF5">
            <w:pPr>
              <w:pStyle w:val="TableColHeadingCenter"/>
              <w:spacing w:before="10" w:after="10"/>
            </w:pPr>
          </w:p>
        </w:tc>
        <w:tc>
          <w:tcPr>
            <w:tcW w:w="411" w:type="pct"/>
            <w:vMerge/>
            <w:vAlign w:val="bottom"/>
          </w:tcPr>
          <w:p w14:paraId="55B127C1" w14:textId="77777777" w:rsidR="00B607BD" w:rsidRPr="00A06F1E" w:rsidRDefault="00B607BD" w:rsidP="00423CF5">
            <w:pPr>
              <w:pStyle w:val="TableColHeadingCenter"/>
              <w:spacing w:before="10" w:after="10"/>
            </w:pPr>
          </w:p>
        </w:tc>
        <w:tc>
          <w:tcPr>
            <w:tcW w:w="346" w:type="pct"/>
            <w:vAlign w:val="center"/>
          </w:tcPr>
          <w:p w14:paraId="084EEB69" w14:textId="77777777" w:rsidR="00B607BD" w:rsidRPr="00A06F1E" w:rsidRDefault="00B607BD" w:rsidP="00423CF5">
            <w:pPr>
              <w:pStyle w:val="TableColHeadingCenter"/>
              <w:spacing w:before="10" w:after="10"/>
            </w:pPr>
            <w:r w:rsidRPr="00A06F1E">
              <w:t>2022</w:t>
            </w:r>
          </w:p>
        </w:tc>
        <w:tc>
          <w:tcPr>
            <w:tcW w:w="346" w:type="pct"/>
            <w:vAlign w:val="center"/>
          </w:tcPr>
          <w:p w14:paraId="56A9DBE2" w14:textId="77777777" w:rsidR="00B607BD" w:rsidRPr="00A06F1E" w:rsidRDefault="00B607BD" w:rsidP="00423CF5">
            <w:pPr>
              <w:pStyle w:val="TableColHeadingCenter"/>
              <w:spacing w:before="10" w:after="10"/>
            </w:pPr>
            <w:r w:rsidRPr="00A06F1E">
              <w:t>2023</w:t>
            </w:r>
          </w:p>
        </w:tc>
        <w:tc>
          <w:tcPr>
            <w:tcW w:w="473" w:type="pct"/>
            <w:vAlign w:val="center"/>
          </w:tcPr>
          <w:p w14:paraId="4D65448B" w14:textId="77777777" w:rsidR="00B607BD" w:rsidRPr="00A06F1E" w:rsidRDefault="00B607BD" w:rsidP="00423CF5">
            <w:pPr>
              <w:pStyle w:val="TableColHeadingCenter"/>
              <w:spacing w:before="10" w:after="10"/>
            </w:pPr>
            <w:r w:rsidRPr="00A06F1E">
              <w:t>State (2023)</w:t>
            </w:r>
          </w:p>
        </w:tc>
        <w:tc>
          <w:tcPr>
            <w:tcW w:w="330" w:type="pct"/>
            <w:vAlign w:val="center"/>
          </w:tcPr>
          <w:p w14:paraId="4103615C" w14:textId="77777777" w:rsidR="00B607BD" w:rsidRPr="00A06F1E" w:rsidRDefault="00B607BD" w:rsidP="00423CF5">
            <w:pPr>
              <w:pStyle w:val="TableColHeadingCenter"/>
              <w:spacing w:before="10" w:after="10"/>
            </w:pPr>
            <w:r w:rsidRPr="00A06F1E">
              <w:t>2022</w:t>
            </w:r>
          </w:p>
        </w:tc>
        <w:tc>
          <w:tcPr>
            <w:tcW w:w="330" w:type="pct"/>
            <w:vAlign w:val="center"/>
          </w:tcPr>
          <w:p w14:paraId="39BAF099" w14:textId="77777777" w:rsidR="00B607BD" w:rsidRPr="00A06F1E" w:rsidRDefault="00B607BD" w:rsidP="00423CF5">
            <w:pPr>
              <w:pStyle w:val="TableColHeadingCenter"/>
              <w:spacing w:before="10" w:after="10"/>
            </w:pPr>
            <w:r w:rsidRPr="00A06F1E">
              <w:t>2023</w:t>
            </w:r>
          </w:p>
        </w:tc>
        <w:tc>
          <w:tcPr>
            <w:tcW w:w="504" w:type="pct"/>
            <w:vAlign w:val="center"/>
          </w:tcPr>
          <w:p w14:paraId="53ACDFD1" w14:textId="77777777" w:rsidR="00B607BD" w:rsidRPr="00A06F1E" w:rsidRDefault="00B607BD" w:rsidP="00423CF5">
            <w:pPr>
              <w:pStyle w:val="TableColHeadingCenter"/>
              <w:spacing w:before="10" w:after="10"/>
            </w:pPr>
            <w:r w:rsidRPr="00A06F1E">
              <w:t>State (2023)</w:t>
            </w:r>
          </w:p>
        </w:tc>
        <w:tc>
          <w:tcPr>
            <w:tcW w:w="322" w:type="pct"/>
            <w:vAlign w:val="center"/>
          </w:tcPr>
          <w:p w14:paraId="2A1344A5" w14:textId="77777777" w:rsidR="00B607BD" w:rsidRPr="00A06F1E" w:rsidRDefault="00B607BD" w:rsidP="00423CF5">
            <w:pPr>
              <w:pStyle w:val="TableColHeadingCenter"/>
              <w:spacing w:before="10" w:after="10"/>
            </w:pPr>
            <w:r w:rsidRPr="00A06F1E">
              <w:t>2022</w:t>
            </w:r>
          </w:p>
        </w:tc>
        <w:tc>
          <w:tcPr>
            <w:tcW w:w="322" w:type="pct"/>
            <w:vAlign w:val="center"/>
          </w:tcPr>
          <w:p w14:paraId="403D411D" w14:textId="77777777" w:rsidR="00B607BD" w:rsidRPr="00A06F1E" w:rsidRDefault="00B607BD" w:rsidP="00423CF5">
            <w:pPr>
              <w:pStyle w:val="TableColHeadingCenter"/>
              <w:spacing w:before="10" w:after="10"/>
            </w:pPr>
            <w:r w:rsidRPr="00A06F1E">
              <w:t>2023</w:t>
            </w:r>
          </w:p>
        </w:tc>
        <w:tc>
          <w:tcPr>
            <w:tcW w:w="520" w:type="pct"/>
            <w:vAlign w:val="center"/>
          </w:tcPr>
          <w:p w14:paraId="08F7C0D7" w14:textId="77777777" w:rsidR="00B607BD" w:rsidRPr="00A06F1E" w:rsidRDefault="00B607BD" w:rsidP="00423CF5">
            <w:pPr>
              <w:pStyle w:val="TableColHeadingCenter"/>
              <w:spacing w:before="10" w:after="10"/>
            </w:pPr>
            <w:r w:rsidRPr="00A06F1E">
              <w:t>State (2023)</w:t>
            </w:r>
          </w:p>
        </w:tc>
      </w:tr>
      <w:tr w:rsidR="00423CF5" w:rsidRPr="00A06F1E" w14:paraId="1E770E75"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5BC40075"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All</w:t>
            </w:r>
          </w:p>
        </w:tc>
        <w:tc>
          <w:tcPr>
            <w:tcW w:w="411" w:type="pct"/>
            <w:vAlign w:val="center"/>
          </w:tcPr>
          <w:p w14:paraId="09528124"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74</w:t>
            </w:r>
          </w:p>
        </w:tc>
        <w:tc>
          <w:tcPr>
            <w:tcW w:w="346" w:type="pct"/>
            <w:vAlign w:val="center"/>
          </w:tcPr>
          <w:p w14:paraId="3D31067D"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34</w:t>
            </w:r>
          </w:p>
        </w:tc>
        <w:tc>
          <w:tcPr>
            <w:tcW w:w="346" w:type="pct"/>
            <w:vAlign w:val="center"/>
          </w:tcPr>
          <w:p w14:paraId="1CD2BD08"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45</w:t>
            </w:r>
          </w:p>
        </w:tc>
        <w:tc>
          <w:tcPr>
            <w:tcW w:w="473" w:type="pct"/>
            <w:vAlign w:val="center"/>
          </w:tcPr>
          <w:p w14:paraId="5BAAAAA8"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42</w:t>
            </w:r>
          </w:p>
        </w:tc>
        <w:tc>
          <w:tcPr>
            <w:tcW w:w="330" w:type="pct"/>
            <w:vAlign w:val="center"/>
          </w:tcPr>
          <w:p w14:paraId="3D61C533"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57</w:t>
            </w:r>
          </w:p>
        </w:tc>
        <w:tc>
          <w:tcPr>
            <w:tcW w:w="330" w:type="pct"/>
            <w:vAlign w:val="center"/>
          </w:tcPr>
          <w:p w14:paraId="6AD70B05"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43</w:t>
            </w:r>
          </w:p>
        </w:tc>
        <w:tc>
          <w:tcPr>
            <w:tcW w:w="504" w:type="pct"/>
            <w:vAlign w:val="center"/>
          </w:tcPr>
          <w:p w14:paraId="56CEA252"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39</w:t>
            </w:r>
          </w:p>
        </w:tc>
        <w:tc>
          <w:tcPr>
            <w:tcW w:w="322" w:type="pct"/>
            <w:vAlign w:val="center"/>
          </w:tcPr>
          <w:p w14:paraId="50360605"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9</w:t>
            </w:r>
          </w:p>
        </w:tc>
        <w:tc>
          <w:tcPr>
            <w:tcW w:w="322" w:type="pct"/>
            <w:vAlign w:val="center"/>
          </w:tcPr>
          <w:p w14:paraId="4391CCAD"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12</w:t>
            </w:r>
          </w:p>
        </w:tc>
        <w:tc>
          <w:tcPr>
            <w:tcW w:w="520" w:type="pct"/>
            <w:vAlign w:val="bottom"/>
          </w:tcPr>
          <w:p w14:paraId="4B65E10A"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19</w:t>
            </w:r>
          </w:p>
        </w:tc>
      </w:tr>
      <w:tr w:rsidR="00423CF5" w:rsidRPr="00A06F1E" w14:paraId="6D46CABC" w14:textId="77777777" w:rsidTr="00423CF5">
        <w:tc>
          <w:tcPr>
            <w:tcW w:w="1097" w:type="pct"/>
          </w:tcPr>
          <w:p w14:paraId="58725F77"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African American/Black</w:t>
            </w:r>
          </w:p>
        </w:tc>
        <w:tc>
          <w:tcPr>
            <w:tcW w:w="411" w:type="pct"/>
            <w:vAlign w:val="center"/>
          </w:tcPr>
          <w:p w14:paraId="36C54494" w14:textId="50FDB386"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6" w:type="pct"/>
            <w:vAlign w:val="center"/>
          </w:tcPr>
          <w:p w14:paraId="48E4AE44" w14:textId="2FDCFE49"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6" w:type="pct"/>
            <w:vAlign w:val="center"/>
          </w:tcPr>
          <w:p w14:paraId="07FE5201" w14:textId="4C1411DB"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3" w:type="pct"/>
            <w:vAlign w:val="center"/>
          </w:tcPr>
          <w:p w14:paraId="429CA809"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26</w:t>
            </w:r>
          </w:p>
        </w:tc>
        <w:tc>
          <w:tcPr>
            <w:tcW w:w="330" w:type="pct"/>
            <w:vAlign w:val="center"/>
          </w:tcPr>
          <w:p w14:paraId="0EE7398A" w14:textId="38FDE882"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0" w:type="pct"/>
            <w:vAlign w:val="center"/>
          </w:tcPr>
          <w:p w14:paraId="5797158F" w14:textId="7FCD96EB"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504" w:type="pct"/>
            <w:vAlign w:val="center"/>
          </w:tcPr>
          <w:p w14:paraId="5A22F227"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45</w:t>
            </w:r>
          </w:p>
        </w:tc>
        <w:tc>
          <w:tcPr>
            <w:tcW w:w="322" w:type="pct"/>
            <w:vAlign w:val="center"/>
          </w:tcPr>
          <w:p w14:paraId="09B0AEE4" w14:textId="0D23B175"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22" w:type="pct"/>
            <w:vAlign w:val="center"/>
          </w:tcPr>
          <w:p w14:paraId="5A3229CF" w14:textId="2D5B8130"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520" w:type="pct"/>
            <w:vAlign w:val="bottom"/>
          </w:tcPr>
          <w:p w14:paraId="517AC0E4"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29</w:t>
            </w:r>
          </w:p>
        </w:tc>
      </w:tr>
      <w:tr w:rsidR="00423CF5" w:rsidRPr="00A06F1E" w14:paraId="718B39EA"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4FDC7B51"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Asian</w:t>
            </w:r>
          </w:p>
        </w:tc>
        <w:tc>
          <w:tcPr>
            <w:tcW w:w="411" w:type="pct"/>
            <w:vAlign w:val="center"/>
          </w:tcPr>
          <w:p w14:paraId="5873B75A" w14:textId="2A77E44F"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6" w:type="pct"/>
            <w:vAlign w:val="center"/>
          </w:tcPr>
          <w:p w14:paraId="6A4DEB3C" w14:textId="547E6451"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6" w:type="pct"/>
            <w:vAlign w:val="center"/>
          </w:tcPr>
          <w:p w14:paraId="4A463A15" w14:textId="0FDB6B6B"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3" w:type="pct"/>
            <w:vAlign w:val="center"/>
          </w:tcPr>
          <w:p w14:paraId="032F16F1"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64</w:t>
            </w:r>
          </w:p>
        </w:tc>
        <w:tc>
          <w:tcPr>
            <w:tcW w:w="330" w:type="pct"/>
            <w:vAlign w:val="center"/>
          </w:tcPr>
          <w:p w14:paraId="408FD0D3" w14:textId="6FB4A23D"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0" w:type="pct"/>
            <w:vAlign w:val="center"/>
          </w:tcPr>
          <w:p w14:paraId="684B0E1C" w14:textId="7FC0EB1A"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504" w:type="pct"/>
            <w:vAlign w:val="center"/>
          </w:tcPr>
          <w:p w14:paraId="226948C0"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27</w:t>
            </w:r>
          </w:p>
        </w:tc>
        <w:tc>
          <w:tcPr>
            <w:tcW w:w="322" w:type="pct"/>
            <w:vAlign w:val="center"/>
          </w:tcPr>
          <w:p w14:paraId="3C18BBE7" w14:textId="270848D8"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22" w:type="pct"/>
            <w:vAlign w:val="center"/>
          </w:tcPr>
          <w:p w14:paraId="1BED51B4" w14:textId="03DF5ED0"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520" w:type="pct"/>
            <w:vAlign w:val="bottom"/>
          </w:tcPr>
          <w:p w14:paraId="7A64367C"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9</w:t>
            </w:r>
          </w:p>
        </w:tc>
      </w:tr>
      <w:tr w:rsidR="00423CF5" w:rsidRPr="00A06F1E" w14:paraId="7E871786" w14:textId="77777777" w:rsidTr="00423CF5">
        <w:tc>
          <w:tcPr>
            <w:tcW w:w="1097" w:type="pct"/>
          </w:tcPr>
          <w:p w14:paraId="0539C46A"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Hispanic/Latino</w:t>
            </w:r>
          </w:p>
        </w:tc>
        <w:tc>
          <w:tcPr>
            <w:tcW w:w="411" w:type="pct"/>
            <w:vAlign w:val="center"/>
          </w:tcPr>
          <w:p w14:paraId="1430DA79" w14:textId="2B450AF6"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6" w:type="pct"/>
            <w:vAlign w:val="center"/>
          </w:tcPr>
          <w:p w14:paraId="3139FDC5" w14:textId="12C23817"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6" w:type="pct"/>
            <w:vAlign w:val="center"/>
          </w:tcPr>
          <w:p w14:paraId="18C92FAF" w14:textId="3FEE9117"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3" w:type="pct"/>
            <w:vAlign w:val="center"/>
          </w:tcPr>
          <w:p w14:paraId="7936FA21"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22</w:t>
            </w:r>
          </w:p>
        </w:tc>
        <w:tc>
          <w:tcPr>
            <w:tcW w:w="330" w:type="pct"/>
            <w:vAlign w:val="center"/>
          </w:tcPr>
          <w:p w14:paraId="4D26AE9C" w14:textId="3E40E4D0"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0" w:type="pct"/>
            <w:vAlign w:val="center"/>
          </w:tcPr>
          <w:p w14:paraId="600582CB" w14:textId="5A96E803"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504" w:type="pct"/>
            <w:vAlign w:val="center"/>
          </w:tcPr>
          <w:p w14:paraId="4E7783B5"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43</w:t>
            </w:r>
          </w:p>
        </w:tc>
        <w:tc>
          <w:tcPr>
            <w:tcW w:w="322" w:type="pct"/>
            <w:vAlign w:val="center"/>
          </w:tcPr>
          <w:p w14:paraId="5A04880D" w14:textId="6A4F9CDE"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22" w:type="pct"/>
            <w:vAlign w:val="center"/>
          </w:tcPr>
          <w:p w14:paraId="7AE437A1" w14:textId="0B41F26E"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520" w:type="pct"/>
            <w:vAlign w:val="bottom"/>
          </w:tcPr>
          <w:p w14:paraId="203724AF"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34</w:t>
            </w:r>
          </w:p>
        </w:tc>
      </w:tr>
      <w:tr w:rsidR="00423CF5" w:rsidRPr="00A06F1E" w14:paraId="72026357"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1F9E7A99"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cstheme="minorHAnsi"/>
              </w:rPr>
              <w:t>Multi-Race, non-Hispanic/Latino</w:t>
            </w:r>
          </w:p>
        </w:tc>
        <w:tc>
          <w:tcPr>
            <w:tcW w:w="411" w:type="pct"/>
            <w:vAlign w:val="center"/>
          </w:tcPr>
          <w:p w14:paraId="1DD2106F" w14:textId="7BFE0A26"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6" w:type="pct"/>
            <w:vAlign w:val="center"/>
          </w:tcPr>
          <w:p w14:paraId="1ECD256D" w14:textId="5BD849BE"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6" w:type="pct"/>
            <w:vAlign w:val="center"/>
          </w:tcPr>
          <w:p w14:paraId="3F219BCB" w14:textId="1391D445"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3" w:type="pct"/>
            <w:vAlign w:val="center"/>
          </w:tcPr>
          <w:p w14:paraId="07628262"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49</w:t>
            </w:r>
          </w:p>
        </w:tc>
        <w:tc>
          <w:tcPr>
            <w:tcW w:w="330" w:type="pct"/>
            <w:vAlign w:val="center"/>
          </w:tcPr>
          <w:p w14:paraId="69308F97" w14:textId="5C89112A"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0" w:type="pct"/>
            <w:vAlign w:val="center"/>
          </w:tcPr>
          <w:p w14:paraId="07017138" w14:textId="116457A5"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504" w:type="pct"/>
            <w:vAlign w:val="center"/>
          </w:tcPr>
          <w:p w14:paraId="5D613142"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35</w:t>
            </w:r>
          </w:p>
        </w:tc>
        <w:tc>
          <w:tcPr>
            <w:tcW w:w="322" w:type="pct"/>
            <w:vAlign w:val="center"/>
          </w:tcPr>
          <w:p w14:paraId="74AB887D" w14:textId="5183112F"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22" w:type="pct"/>
            <w:vAlign w:val="center"/>
          </w:tcPr>
          <w:p w14:paraId="73A0299B" w14:textId="2C37136A"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520" w:type="pct"/>
            <w:vAlign w:val="bottom"/>
          </w:tcPr>
          <w:p w14:paraId="6269056F"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16</w:t>
            </w:r>
          </w:p>
        </w:tc>
      </w:tr>
      <w:tr w:rsidR="00423CF5" w:rsidRPr="00A06F1E" w14:paraId="3BF1F880" w14:textId="77777777" w:rsidTr="00423CF5">
        <w:tc>
          <w:tcPr>
            <w:tcW w:w="1097" w:type="pct"/>
          </w:tcPr>
          <w:p w14:paraId="60A9EFA6"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Native American</w:t>
            </w:r>
          </w:p>
        </w:tc>
        <w:tc>
          <w:tcPr>
            <w:tcW w:w="411" w:type="pct"/>
            <w:vAlign w:val="center"/>
          </w:tcPr>
          <w:p w14:paraId="725B94A2" w14:textId="57F08D18"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6" w:type="pct"/>
            <w:vAlign w:val="center"/>
          </w:tcPr>
          <w:p w14:paraId="3E62092E" w14:textId="4261A56A"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6" w:type="pct"/>
            <w:vAlign w:val="center"/>
          </w:tcPr>
          <w:p w14:paraId="52070D24" w14:textId="3713A93A"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3" w:type="pct"/>
            <w:vAlign w:val="center"/>
          </w:tcPr>
          <w:p w14:paraId="738FF957"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29</w:t>
            </w:r>
          </w:p>
        </w:tc>
        <w:tc>
          <w:tcPr>
            <w:tcW w:w="330" w:type="pct"/>
            <w:vAlign w:val="center"/>
          </w:tcPr>
          <w:p w14:paraId="755D6195" w14:textId="084FE81F"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0" w:type="pct"/>
            <w:vAlign w:val="center"/>
          </w:tcPr>
          <w:p w14:paraId="1A758F63" w14:textId="7C889CC3"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504" w:type="pct"/>
            <w:vAlign w:val="center"/>
          </w:tcPr>
          <w:p w14:paraId="2B0A7EFD"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42</w:t>
            </w:r>
          </w:p>
        </w:tc>
        <w:tc>
          <w:tcPr>
            <w:tcW w:w="322" w:type="pct"/>
            <w:vAlign w:val="center"/>
          </w:tcPr>
          <w:p w14:paraId="4CB68853" w14:textId="1FF2EB30"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22" w:type="pct"/>
            <w:vAlign w:val="center"/>
          </w:tcPr>
          <w:p w14:paraId="1198BEE2" w14:textId="45355E23"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520" w:type="pct"/>
            <w:vAlign w:val="bottom"/>
          </w:tcPr>
          <w:p w14:paraId="2BDF98B4"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28</w:t>
            </w:r>
          </w:p>
        </w:tc>
      </w:tr>
      <w:tr w:rsidR="00423CF5" w:rsidRPr="00A06F1E" w14:paraId="3F133C50"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4CD70870" w14:textId="77777777" w:rsidR="00B607BD" w:rsidRPr="00A06F1E" w:rsidRDefault="00B607BD" w:rsidP="00423CF5">
            <w:pPr>
              <w:pStyle w:val="TableText"/>
              <w:spacing w:before="10" w:after="10"/>
              <w:rPr>
                <w:rFonts w:ascii="Franklin Gothic Book" w:hAnsi="Franklin Gothic Book"/>
                <w:spacing w:val="-4"/>
              </w:rPr>
            </w:pPr>
            <w:r w:rsidRPr="00A06F1E">
              <w:rPr>
                <w:rFonts w:ascii="Franklin Gothic Book" w:hAnsi="Franklin Gothic Book"/>
                <w:spacing w:val="-4"/>
              </w:rPr>
              <w:t>Native Hawaiian, Pacific Islander</w:t>
            </w:r>
          </w:p>
        </w:tc>
        <w:tc>
          <w:tcPr>
            <w:tcW w:w="411" w:type="pct"/>
            <w:vAlign w:val="center"/>
          </w:tcPr>
          <w:p w14:paraId="706B8488" w14:textId="2B694C6B"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6" w:type="pct"/>
            <w:vAlign w:val="center"/>
          </w:tcPr>
          <w:p w14:paraId="67C8390F" w14:textId="01A56756"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6" w:type="pct"/>
            <w:vAlign w:val="center"/>
          </w:tcPr>
          <w:p w14:paraId="0741E4C5" w14:textId="417A0624"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3" w:type="pct"/>
            <w:vAlign w:val="center"/>
          </w:tcPr>
          <w:p w14:paraId="05F217C3"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45</w:t>
            </w:r>
          </w:p>
        </w:tc>
        <w:tc>
          <w:tcPr>
            <w:tcW w:w="330" w:type="pct"/>
            <w:vAlign w:val="center"/>
          </w:tcPr>
          <w:p w14:paraId="33863E2D" w14:textId="014A59E4"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0" w:type="pct"/>
            <w:vAlign w:val="center"/>
          </w:tcPr>
          <w:p w14:paraId="400C0FE0" w14:textId="1C67315C"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504" w:type="pct"/>
            <w:vAlign w:val="center"/>
          </w:tcPr>
          <w:p w14:paraId="29C9E1D0"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37</w:t>
            </w:r>
          </w:p>
        </w:tc>
        <w:tc>
          <w:tcPr>
            <w:tcW w:w="322" w:type="pct"/>
            <w:vAlign w:val="center"/>
          </w:tcPr>
          <w:p w14:paraId="40E8AF72" w14:textId="3DDD4C5F"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22" w:type="pct"/>
            <w:vAlign w:val="center"/>
          </w:tcPr>
          <w:p w14:paraId="399F7BCF" w14:textId="6DC7B575"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520" w:type="pct"/>
            <w:vAlign w:val="bottom"/>
          </w:tcPr>
          <w:p w14:paraId="365D9468"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18</w:t>
            </w:r>
          </w:p>
        </w:tc>
      </w:tr>
      <w:tr w:rsidR="00423CF5" w:rsidRPr="00A06F1E" w14:paraId="2B7E8373" w14:textId="77777777" w:rsidTr="00423CF5">
        <w:tc>
          <w:tcPr>
            <w:tcW w:w="1097" w:type="pct"/>
          </w:tcPr>
          <w:p w14:paraId="5FFD9D6E"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White</w:t>
            </w:r>
          </w:p>
        </w:tc>
        <w:tc>
          <w:tcPr>
            <w:tcW w:w="411" w:type="pct"/>
            <w:vAlign w:val="center"/>
          </w:tcPr>
          <w:p w14:paraId="1F8D7308"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63</w:t>
            </w:r>
          </w:p>
        </w:tc>
        <w:tc>
          <w:tcPr>
            <w:tcW w:w="346" w:type="pct"/>
            <w:vAlign w:val="center"/>
          </w:tcPr>
          <w:p w14:paraId="1082CD3B"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33</w:t>
            </w:r>
          </w:p>
        </w:tc>
        <w:tc>
          <w:tcPr>
            <w:tcW w:w="346" w:type="pct"/>
            <w:vAlign w:val="center"/>
          </w:tcPr>
          <w:p w14:paraId="05080350"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40</w:t>
            </w:r>
          </w:p>
        </w:tc>
        <w:tc>
          <w:tcPr>
            <w:tcW w:w="473" w:type="pct"/>
            <w:vAlign w:val="center"/>
          </w:tcPr>
          <w:p w14:paraId="1F73D45A"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50</w:t>
            </w:r>
          </w:p>
        </w:tc>
        <w:tc>
          <w:tcPr>
            <w:tcW w:w="330" w:type="pct"/>
            <w:vAlign w:val="center"/>
          </w:tcPr>
          <w:p w14:paraId="39A654B1"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56</w:t>
            </w:r>
          </w:p>
        </w:tc>
        <w:tc>
          <w:tcPr>
            <w:tcW w:w="330" w:type="pct"/>
            <w:vAlign w:val="center"/>
          </w:tcPr>
          <w:p w14:paraId="3D0BD587"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48</w:t>
            </w:r>
          </w:p>
        </w:tc>
        <w:tc>
          <w:tcPr>
            <w:tcW w:w="504" w:type="pct"/>
            <w:vAlign w:val="center"/>
          </w:tcPr>
          <w:p w14:paraId="0A0B83F9"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37</w:t>
            </w:r>
          </w:p>
        </w:tc>
        <w:tc>
          <w:tcPr>
            <w:tcW w:w="322" w:type="pct"/>
            <w:vAlign w:val="center"/>
          </w:tcPr>
          <w:p w14:paraId="76D29875"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11</w:t>
            </w:r>
          </w:p>
        </w:tc>
        <w:tc>
          <w:tcPr>
            <w:tcW w:w="322" w:type="pct"/>
            <w:vAlign w:val="center"/>
          </w:tcPr>
          <w:p w14:paraId="082FB8C4"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13</w:t>
            </w:r>
          </w:p>
        </w:tc>
        <w:tc>
          <w:tcPr>
            <w:tcW w:w="520" w:type="pct"/>
            <w:vAlign w:val="bottom"/>
          </w:tcPr>
          <w:p w14:paraId="29CFFF36"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13</w:t>
            </w:r>
          </w:p>
        </w:tc>
      </w:tr>
      <w:tr w:rsidR="00423CF5" w:rsidRPr="00A06F1E" w14:paraId="270F7ADA"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2F859B89"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High needs</w:t>
            </w:r>
          </w:p>
        </w:tc>
        <w:tc>
          <w:tcPr>
            <w:tcW w:w="411" w:type="pct"/>
            <w:vAlign w:val="center"/>
          </w:tcPr>
          <w:p w14:paraId="33AC988F"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35</w:t>
            </w:r>
          </w:p>
        </w:tc>
        <w:tc>
          <w:tcPr>
            <w:tcW w:w="346" w:type="pct"/>
            <w:vAlign w:val="center"/>
          </w:tcPr>
          <w:p w14:paraId="7F656BDB"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29</w:t>
            </w:r>
          </w:p>
        </w:tc>
        <w:tc>
          <w:tcPr>
            <w:tcW w:w="346" w:type="pct"/>
            <w:vAlign w:val="center"/>
          </w:tcPr>
          <w:p w14:paraId="70E79C74"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34</w:t>
            </w:r>
          </w:p>
        </w:tc>
        <w:tc>
          <w:tcPr>
            <w:tcW w:w="473" w:type="pct"/>
            <w:vAlign w:val="center"/>
          </w:tcPr>
          <w:p w14:paraId="0069FD90"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24</w:t>
            </w:r>
          </w:p>
        </w:tc>
        <w:tc>
          <w:tcPr>
            <w:tcW w:w="330" w:type="pct"/>
            <w:vAlign w:val="center"/>
          </w:tcPr>
          <w:p w14:paraId="7D3134AE"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56</w:t>
            </w:r>
          </w:p>
        </w:tc>
        <w:tc>
          <w:tcPr>
            <w:tcW w:w="330" w:type="pct"/>
            <w:vAlign w:val="center"/>
          </w:tcPr>
          <w:p w14:paraId="63BF0054"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43</w:t>
            </w:r>
          </w:p>
        </w:tc>
        <w:tc>
          <w:tcPr>
            <w:tcW w:w="504" w:type="pct"/>
            <w:vAlign w:val="center"/>
          </w:tcPr>
          <w:p w14:paraId="317C8E2D"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45</w:t>
            </w:r>
          </w:p>
        </w:tc>
        <w:tc>
          <w:tcPr>
            <w:tcW w:w="322" w:type="pct"/>
            <w:vAlign w:val="center"/>
          </w:tcPr>
          <w:p w14:paraId="12673143"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15</w:t>
            </w:r>
          </w:p>
        </w:tc>
        <w:tc>
          <w:tcPr>
            <w:tcW w:w="322" w:type="pct"/>
            <w:vAlign w:val="center"/>
          </w:tcPr>
          <w:p w14:paraId="1BD993CF"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23</w:t>
            </w:r>
          </w:p>
        </w:tc>
        <w:tc>
          <w:tcPr>
            <w:tcW w:w="520" w:type="pct"/>
            <w:vAlign w:val="bottom"/>
          </w:tcPr>
          <w:p w14:paraId="05083615"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31</w:t>
            </w:r>
          </w:p>
        </w:tc>
      </w:tr>
      <w:tr w:rsidR="00423CF5" w:rsidRPr="00A06F1E" w14:paraId="2337A23B" w14:textId="77777777" w:rsidTr="00423CF5">
        <w:tc>
          <w:tcPr>
            <w:tcW w:w="1097" w:type="pct"/>
          </w:tcPr>
          <w:p w14:paraId="17E8D204"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Low income</w:t>
            </w:r>
          </w:p>
        </w:tc>
        <w:tc>
          <w:tcPr>
            <w:tcW w:w="411" w:type="pct"/>
            <w:vAlign w:val="center"/>
          </w:tcPr>
          <w:p w14:paraId="59CDAE9B"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28</w:t>
            </w:r>
          </w:p>
        </w:tc>
        <w:tc>
          <w:tcPr>
            <w:tcW w:w="346" w:type="pct"/>
            <w:vAlign w:val="center"/>
          </w:tcPr>
          <w:p w14:paraId="42B05144"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35</w:t>
            </w:r>
          </w:p>
        </w:tc>
        <w:tc>
          <w:tcPr>
            <w:tcW w:w="346" w:type="pct"/>
            <w:vAlign w:val="center"/>
          </w:tcPr>
          <w:p w14:paraId="012A7932"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39</w:t>
            </w:r>
          </w:p>
        </w:tc>
        <w:tc>
          <w:tcPr>
            <w:tcW w:w="473" w:type="pct"/>
            <w:vAlign w:val="center"/>
          </w:tcPr>
          <w:p w14:paraId="55781E52"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24</w:t>
            </w:r>
          </w:p>
        </w:tc>
        <w:tc>
          <w:tcPr>
            <w:tcW w:w="330" w:type="pct"/>
            <w:vAlign w:val="center"/>
          </w:tcPr>
          <w:p w14:paraId="7C30219A"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50</w:t>
            </w:r>
          </w:p>
        </w:tc>
        <w:tc>
          <w:tcPr>
            <w:tcW w:w="330" w:type="pct"/>
            <w:vAlign w:val="center"/>
          </w:tcPr>
          <w:p w14:paraId="5D86193D"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36</w:t>
            </w:r>
          </w:p>
        </w:tc>
        <w:tc>
          <w:tcPr>
            <w:tcW w:w="504" w:type="pct"/>
            <w:vAlign w:val="center"/>
          </w:tcPr>
          <w:p w14:paraId="7C832295"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44</w:t>
            </w:r>
          </w:p>
        </w:tc>
        <w:tc>
          <w:tcPr>
            <w:tcW w:w="322" w:type="pct"/>
            <w:vAlign w:val="center"/>
          </w:tcPr>
          <w:p w14:paraId="4DD29DC6"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15</w:t>
            </w:r>
          </w:p>
        </w:tc>
        <w:tc>
          <w:tcPr>
            <w:tcW w:w="322" w:type="pct"/>
            <w:vAlign w:val="center"/>
          </w:tcPr>
          <w:p w14:paraId="23FB8149"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25</w:t>
            </w:r>
          </w:p>
        </w:tc>
        <w:tc>
          <w:tcPr>
            <w:tcW w:w="520" w:type="pct"/>
            <w:vAlign w:val="bottom"/>
          </w:tcPr>
          <w:p w14:paraId="029B8485"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32</w:t>
            </w:r>
          </w:p>
        </w:tc>
      </w:tr>
      <w:tr w:rsidR="00423CF5" w:rsidRPr="00A06F1E" w14:paraId="5443AAAC"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285788F4" w14:textId="77777777" w:rsidR="00B607BD" w:rsidRPr="00A06F1E" w:rsidRDefault="00B607BD" w:rsidP="00423CF5">
            <w:pPr>
              <w:pStyle w:val="TableText"/>
              <w:spacing w:before="10" w:after="10"/>
              <w:rPr>
                <w:rFonts w:ascii="Franklin Gothic Book" w:hAnsi="Franklin Gothic Book"/>
                <w:spacing w:val="-4"/>
              </w:rPr>
            </w:pPr>
            <w:r w:rsidRPr="00A06F1E">
              <w:rPr>
                <w:rFonts w:ascii="Franklin Gothic Book" w:hAnsi="Franklin Gothic Book"/>
                <w:spacing w:val="-4"/>
              </w:rPr>
              <w:t>ELs and former ELs</w:t>
            </w:r>
          </w:p>
        </w:tc>
        <w:tc>
          <w:tcPr>
            <w:tcW w:w="411" w:type="pct"/>
            <w:vAlign w:val="center"/>
          </w:tcPr>
          <w:p w14:paraId="412DC91D" w14:textId="2189430A"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6" w:type="pct"/>
            <w:vAlign w:val="center"/>
          </w:tcPr>
          <w:p w14:paraId="14893A86" w14:textId="29DDA216"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6" w:type="pct"/>
            <w:vAlign w:val="center"/>
          </w:tcPr>
          <w:p w14:paraId="6F96EA1D" w14:textId="369FFC76"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3" w:type="pct"/>
            <w:vAlign w:val="center"/>
          </w:tcPr>
          <w:p w14:paraId="0BA046A9"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20</w:t>
            </w:r>
          </w:p>
        </w:tc>
        <w:tc>
          <w:tcPr>
            <w:tcW w:w="330" w:type="pct"/>
            <w:vAlign w:val="center"/>
          </w:tcPr>
          <w:p w14:paraId="1EC37912" w14:textId="32A505DF"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0" w:type="pct"/>
            <w:vAlign w:val="center"/>
          </w:tcPr>
          <w:p w14:paraId="4C085971" w14:textId="7FDF0F07"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504" w:type="pct"/>
            <w:vAlign w:val="center"/>
          </w:tcPr>
          <w:p w14:paraId="775C1CD6"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42</w:t>
            </w:r>
          </w:p>
        </w:tc>
        <w:tc>
          <w:tcPr>
            <w:tcW w:w="322" w:type="pct"/>
            <w:vAlign w:val="center"/>
          </w:tcPr>
          <w:p w14:paraId="23CB4750" w14:textId="2B5089A3"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22" w:type="pct"/>
            <w:vAlign w:val="center"/>
          </w:tcPr>
          <w:p w14:paraId="487B8E6C" w14:textId="4BBD0310"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520" w:type="pct"/>
            <w:vAlign w:val="bottom"/>
          </w:tcPr>
          <w:p w14:paraId="47138E37"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38</w:t>
            </w:r>
          </w:p>
        </w:tc>
      </w:tr>
      <w:tr w:rsidR="00423CF5" w:rsidRPr="00A06F1E" w14:paraId="3043A9F8" w14:textId="77777777" w:rsidTr="00423CF5">
        <w:tc>
          <w:tcPr>
            <w:tcW w:w="1097" w:type="pct"/>
          </w:tcPr>
          <w:p w14:paraId="42F76865"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Students w/disabilities</w:t>
            </w:r>
          </w:p>
        </w:tc>
        <w:tc>
          <w:tcPr>
            <w:tcW w:w="411" w:type="pct"/>
            <w:vAlign w:val="center"/>
          </w:tcPr>
          <w:p w14:paraId="286CB15A"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16</w:t>
            </w:r>
          </w:p>
        </w:tc>
        <w:tc>
          <w:tcPr>
            <w:tcW w:w="346" w:type="pct"/>
            <w:vAlign w:val="center"/>
          </w:tcPr>
          <w:p w14:paraId="6CDC882F"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7</w:t>
            </w:r>
          </w:p>
        </w:tc>
        <w:tc>
          <w:tcPr>
            <w:tcW w:w="346" w:type="pct"/>
            <w:vAlign w:val="center"/>
          </w:tcPr>
          <w:p w14:paraId="63615FA5"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13</w:t>
            </w:r>
          </w:p>
        </w:tc>
        <w:tc>
          <w:tcPr>
            <w:tcW w:w="473" w:type="pct"/>
            <w:vAlign w:val="center"/>
          </w:tcPr>
          <w:p w14:paraId="299F1E6D"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12</w:t>
            </w:r>
          </w:p>
        </w:tc>
        <w:tc>
          <w:tcPr>
            <w:tcW w:w="330" w:type="pct"/>
            <w:vAlign w:val="center"/>
          </w:tcPr>
          <w:p w14:paraId="585EFB23"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57</w:t>
            </w:r>
          </w:p>
        </w:tc>
        <w:tc>
          <w:tcPr>
            <w:tcW w:w="330" w:type="pct"/>
            <w:vAlign w:val="center"/>
          </w:tcPr>
          <w:p w14:paraId="4ED548C1"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56</w:t>
            </w:r>
          </w:p>
        </w:tc>
        <w:tc>
          <w:tcPr>
            <w:tcW w:w="504" w:type="pct"/>
            <w:vAlign w:val="center"/>
          </w:tcPr>
          <w:p w14:paraId="6754E230"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40</w:t>
            </w:r>
          </w:p>
        </w:tc>
        <w:tc>
          <w:tcPr>
            <w:tcW w:w="322" w:type="pct"/>
            <w:vAlign w:val="center"/>
          </w:tcPr>
          <w:p w14:paraId="3E762F9E"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36</w:t>
            </w:r>
          </w:p>
        </w:tc>
        <w:tc>
          <w:tcPr>
            <w:tcW w:w="322" w:type="pct"/>
            <w:vAlign w:val="center"/>
          </w:tcPr>
          <w:p w14:paraId="570D949E"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31</w:t>
            </w:r>
          </w:p>
        </w:tc>
        <w:tc>
          <w:tcPr>
            <w:tcW w:w="520" w:type="pct"/>
            <w:vAlign w:val="bottom"/>
          </w:tcPr>
          <w:p w14:paraId="3F0B5188"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48</w:t>
            </w:r>
          </w:p>
        </w:tc>
      </w:tr>
    </w:tbl>
    <w:p w14:paraId="2EDC6796" w14:textId="33FA6225" w:rsidR="00B607BD" w:rsidRPr="00A06F1E" w:rsidRDefault="00B607BD" w:rsidP="00B7722D">
      <w:pPr>
        <w:pStyle w:val="TabletitleSectionE"/>
      </w:pPr>
      <w:bookmarkStart w:id="246" w:name="_Toc170701949"/>
      <w:bookmarkStart w:id="247" w:name="_Toc171685786"/>
      <w:r w:rsidRPr="00A06F1E">
        <w:lastRenderedPageBreak/>
        <w:t>Table E</w:t>
      </w:r>
      <w:r w:rsidR="00423CF5" w:rsidRPr="00A06F1E">
        <w:t>1</w:t>
      </w:r>
      <w:r w:rsidR="00FC1410">
        <w:t>c</w:t>
      </w:r>
      <w:r w:rsidR="007C4E08" w:rsidRPr="00A06F1E">
        <w:t>. Mahar Regional</w:t>
      </w:r>
      <w:r w:rsidR="00F3532E" w:rsidRPr="00A06F1E">
        <w:t>:</w:t>
      </w:r>
      <w:r w:rsidRPr="00A06F1E">
        <w:t xml:space="preserve"> Next-Generation MCAS ELA Achievement by Student Group, Grades 3-8, 2022-2023</w:t>
      </w:r>
      <w:bookmarkEnd w:id="246"/>
      <w:bookmarkEnd w:id="247"/>
      <w:r w:rsidRPr="00A06F1E">
        <w:t xml:space="preserve"> </w:t>
      </w:r>
    </w:p>
    <w:tbl>
      <w:tblPr>
        <w:tblStyle w:val="MSVTable1"/>
        <w:tblW w:w="5003" w:type="pct"/>
        <w:tblLook w:val="0420" w:firstRow="1" w:lastRow="0" w:firstColumn="0" w:lastColumn="0" w:noHBand="0" w:noVBand="1"/>
      </w:tblPr>
      <w:tblGrid>
        <w:gridCol w:w="2842"/>
        <w:gridCol w:w="1065"/>
        <w:gridCol w:w="922"/>
        <w:gridCol w:w="922"/>
        <w:gridCol w:w="1171"/>
        <w:gridCol w:w="899"/>
        <w:gridCol w:w="899"/>
        <w:gridCol w:w="1217"/>
        <w:gridCol w:w="878"/>
        <w:gridCol w:w="878"/>
        <w:gridCol w:w="1259"/>
      </w:tblGrid>
      <w:tr w:rsidR="00B607BD" w:rsidRPr="00A06F1E" w14:paraId="2550F4CF" w14:textId="77777777" w:rsidTr="00423CF5">
        <w:trPr>
          <w:cnfStyle w:val="100000000000" w:firstRow="1" w:lastRow="0" w:firstColumn="0" w:lastColumn="0" w:oddVBand="0" w:evenVBand="0" w:oddHBand="0" w:evenHBand="0" w:firstRowFirstColumn="0" w:firstRowLastColumn="0" w:lastRowFirstColumn="0" w:lastRowLastColumn="0"/>
          <w:tblHeader/>
        </w:trPr>
        <w:tc>
          <w:tcPr>
            <w:tcW w:w="1097" w:type="pct"/>
            <w:vMerge w:val="restart"/>
            <w:vAlign w:val="center"/>
          </w:tcPr>
          <w:p w14:paraId="587EACD3" w14:textId="77777777" w:rsidR="00B607BD" w:rsidRPr="00A06F1E" w:rsidRDefault="00B607BD" w:rsidP="00423CF5">
            <w:pPr>
              <w:pStyle w:val="TableColHeadingLeft"/>
              <w:spacing w:before="10" w:after="10"/>
              <w:jc w:val="center"/>
            </w:pPr>
            <w:r w:rsidRPr="00A06F1E">
              <w:t>Group</w:t>
            </w:r>
          </w:p>
        </w:tc>
        <w:tc>
          <w:tcPr>
            <w:tcW w:w="411" w:type="pct"/>
            <w:vMerge w:val="restart"/>
            <w:vAlign w:val="center"/>
          </w:tcPr>
          <w:p w14:paraId="0EB8F17F" w14:textId="2EEFCBBC" w:rsidR="00B607BD" w:rsidRPr="00A06F1E" w:rsidRDefault="00B607BD" w:rsidP="00423CF5">
            <w:pPr>
              <w:pStyle w:val="TableColHeadingCenter"/>
              <w:spacing w:before="10" w:after="10"/>
            </w:pPr>
            <w:r w:rsidRPr="00A06F1E">
              <w:t xml:space="preserve"># </w:t>
            </w:r>
            <w:r w:rsidR="00A228CB" w:rsidRPr="00A06F1E">
              <w:t>i</w:t>
            </w:r>
            <w:r w:rsidRPr="00A06F1E">
              <w:t>ncluded (2023)</w:t>
            </w:r>
          </w:p>
        </w:tc>
        <w:tc>
          <w:tcPr>
            <w:tcW w:w="1164" w:type="pct"/>
            <w:gridSpan w:val="3"/>
            <w:vAlign w:val="bottom"/>
          </w:tcPr>
          <w:p w14:paraId="68155C9E" w14:textId="4067BFF7" w:rsidR="00B607BD" w:rsidRPr="00A06F1E" w:rsidRDefault="00A228CB" w:rsidP="00423CF5">
            <w:pPr>
              <w:pStyle w:val="TableColHeadingCenter"/>
              <w:spacing w:before="10" w:after="10"/>
            </w:pPr>
            <w:r w:rsidRPr="00A06F1E">
              <w:t>Percentage</w:t>
            </w:r>
            <w:r w:rsidR="00B607BD" w:rsidRPr="00A06F1E">
              <w:t xml:space="preserve"> meeting or exceeding expectations</w:t>
            </w:r>
          </w:p>
        </w:tc>
        <w:tc>
          <w:tcPr>
            <w:tcW w:w="1164" w:type="pct"/>
            <w:gridSpan w:val="3"/>
            <w:vAlign w:val="center"/>
          </w:tcPr>
          <w:p w14:paraId="168EFE2E" w14:textId="673C4A4F" w:rsidR="00B607BD" w:rsidRPr="00A06F1E" w:rsidRDefault="00A228CB" w:rsidP="00423CF5">
            <w:pPr>
              <w:pStyle w:val="TableColHeadingCenter"/>
              <w:spacing w:before="10" w:after="10"/>
            </w:pPr>
            <w:r w:rsidRPr="00A06F1E">
              <w:t>Percentage</w:t>
            </w:r>
            <w:r w:rsidR="00B607BD" w:rsidRPr="00A06F1E">
              <w:t xml:space="preserve"> partially meeting expectations</w:t>
            </w:r>
          </w:p>
        </w:tc>
        <w:tc>
          <w:tcPr>
            <w:tcW w:w="1164" w:type="pct"/>
            <w:gridSpan w:val="3"/>
            <w:vAlign w:val="center"/>
          </w:tcPr>
          <w:p w14:paraId="06B9E9F4" w14:textId="0EFBA1E7" w:rsidR="00B607BD" w:rsidRPr="00A06F1E" w:rsidRDefault="00A228CB" w:rsidP="00423CF5">
            <w:pPr>
              <w:pStyle w:val="TableColHeadingCenter"/>
              <w:spacing w:before="10" w:after="10"/>
            </w:pPr>
            <w:r w:rsidRPr="00A06F1E">
              <w:t>Percentage</w:t>
            </w:r>
            <w:r w:rsidR="00B607BD" w:rsidRPr="00A06F1E">
              <w:t xml:space="preserve"> not meeting expectations</w:t>
            </w:r>
          </w:p>
        </w:tc>
      </w:tr>
      <w:tr w:rsidR="00423CF5" w:rsidRPr="00A06F1E" w14:paraId="3565E91B" w14:textId="77777777" w:rsidTr="00423CF5">
        <w:trPr>
          <w:cnfStyle w:val="100000000000" w:firstRow="1" w:lastRow="0" w:firstColumn="0" w:lastColumn="0" w:oddVBand="0" w:evenVBand="0" w:oddHBand="0" w:evenHBand="0" w:firstRowFirstColumn="0" w:firstRowLastColumn="0" w:lastRowFirstColumn="0" w:lastRowLastColumn="0"/>
          <w:tblHeader/>
        </w:trPr>
        <w:tc>
          <w:tcPr>
            <w:tcW w:w="1097" w:type="pct"/>
            <w:vMerge/>
            <w:vAlign w:val="bottom"/>
          </w:tcPr>
          <w:p w14:paraId="2DCC6166" w14:textId="77777777" w:rsidR="00B607BD" w:rsidRPr="00A06F1E" w:rsidRDefault="00B607BD" w:rsidP="00423CF5">
            <w:pPr>
              <w:pStyle w:val="TableColHeadingCenter"/>
              <w:spacing w:before="10" w:after="10"/>
            </w:pPr>
          </w:p>
        </w:tc>
        <w:tc>
          <w:tcPr>
            <w:tcW w:w="411" w:type="pct"/>
            <w:vMerge/>
            <w:vAlign w:val="bottom"/>
          </w:tcPr>
          <w:p w14:paraId="14C14260" w14:textId="77777777" w:rsidR="00B607BD" w:rsidRPr="00A06F1E" w:rsidRDefault="00B607BD" w:rsidP="00423CF5">
            <w:pPr>
              <w:pStyle w:val="TableColHeadingCenter"/>
              <w:spacing w:before="10" w:after="10"/>
            </w:pPr>
          </w:p>
        </w:tc>
        <w:tc>
          <w:tcPr>
            <w:tcW w:w="356" w:type="pct"/>
            <w:tcMar>
              <w:left w:w="14" w:type="dxa"/>
              <w:right w:w="14" w:type="dxa"/>
            </w:tcMar>
            <w:vAlign w:val="center"/>
          </w:tcPr>
          <w:p w14:paraId="551C18D1" w14:textId="77777777" w:rsidR="00B607BD" w:rsidRPr="00A06F1E" w:rsidRDefault="00B607BD" w:rsidP="00423CF5">
            <w:pPr>
              <w:pStyle w:val="TableColHeadingCenter"/>
              <w:spacing w:before="10" w:after="10"/>
            </w:pPr>
            <w:r w:rsidRPr="00A06F1E">
              <w:t>2022</w:t>
            </w:r>
          </w:p>
        </w:tc>
        <w:tc>
          <w:tcPr>
            <w:tcW w:w="356" w:type="pct"/>
            <w:tcMar>
              <w:left w:w="14" w:type="dxa"/>
              <w:right w:w="14" w:type="dxa"/>
            </w:tcMar>
            <w:vAlign w:val="center"/>
          </w:tcPr>
          <w:p w14:paraId="31F0EFC1" w14:textId="77777777" w:rsidR="00B607BD" w:rsidRPr="00A06F1E" w:rsidRDefault="00B607BD" w:rsidP="00423CF5">
            <w:pPr>
              <w:pStyle w:val="TableColHeadingCenter"/>
              <w:spacing w:before="10" w:after="10"/>
            </w:pPr>
            <w:r w:rsidRPr="00A06F1E">
              <w:t>2023</w:t>
            </w:r>
          </w:p>
        </w:tc>
        <w:tc>
          <w:tcPr>
            <w:tcW w:w="452" w:type="pct"/>
            <w:tcMar>
              <w:left w:w="14" w:type="dxa"/>
              <w:right w:w="14" w:type="dxa"/>
            </w:tcMar>
            <w:vAlign w:val="center"/>
          </w:tcPr>
          <w:p w14:paraId="032A9330" w14:textId="77777777" w:rsidR="00B607BD" w:rsidRPr="00A06F1E" w:rsidRDefault="00B607BD" w:rsidP="00423CF5">
            <w:pPr>
              <w:pStyle w:val="TableColHeadingCenter"/>
              <w:spacing w:before="10" w:after="10"/>
            </w:pPr>
            <w:r w:rsidRPr="00A06F1E">
              <w:t>State (2023)</w:t>
            </w:r>
          </w:p>
        </w:tc>
        <w:tc>
          <w:tcPr>
            <w:tcW w:w="347" w:type="pct"/>
            <w:tcMar>
              <w:left w:w="14" w:type="dxa"/>
              <w:right w:w="14" w:type="dxa"/>
            </w:tcMar>
            <w:vAlign w:val="center"/>
          </w:tcPr>
          <w:p w14:paraId="135D4446" w14:textId="77777777" w:rsidR="00B607BD" w:rsidRPr="00A06F1E" w:rsidRDefault="00B607BD" w:rsidP="00423CF5">
            <w:pPr>
              <w:pStyle w:val="TableColHeadingCenter"/>
              <w:spacing w:before="10" w:after="10"/>
            </w:pPr>
            <w:r w:rsidRPr="00A06F1E">
              <w:t>2022</w:t>
            </w:r>
          </w:p>
        </w:tc>
        <w:tc>
          <w:tcPr>
            <w:tcW w:w="347" w:type="pct"/>
            <w:tcMar>
              <w:left w:w="14" w:type="dxa"/>
              <w:right w:w="14" w:type="dxa"/>
            </w:tcMar>
            <w:vAlign w:val="center"/>
          </w:tcPr>
          <w:p w14:paraId="7C10EEDF" w14:textId="77777777" w:rsidR="00B607BD" w:rsidRPr="00A06F1E" w:rsidRDefault="00B607BD" w:rsidP="00423CF5">
            <w:pPr>
              <w:pStyle w:val="TableColHeadingCenter"/>
              <w:spacing w:before="10" w:after="10"/>
            </w:pPr>
            <w:r w:rsidRPr="00A06F1E">
              <w:t>2023</w:t>
            </w:r>
          </w:p>
        </w:tc>
        <w:tc>
          <w:tcPr>
            <w:tcW w:w="470" w:type="pct"/>
            <w:tcMar>
              <w:left w:w="14" w:type="dxa"/>
              <w:right w:w="14" w:type="dxa"/>
            </w:tcMar>
            <w:vAlign w:val="center"/>
          </w:tcPr>
          <w:p w14:paraId="30A8CFC2" w14:textId="77777777" w:rsidR="00B607BD" w:rsidRPr="00A06F1E" w:rsidRDefault="00B607BD" w:rsidP="00423CF5">
            <w:pPr>
              <w:pStyle w:val="TableColHeadingCenter"/>
              <w:spacing w:before="10" w:after="10"/>
            </w:pPr>
            <w:r w:rsidRPr="00A06F1E">
              <w:t>State (2023)</w:t>
            </w:r>
          </w:p>
        </w:tc>
        <w:tc>
          <w:tcPr>
            <w:tcW w:w="339" w:type="pct"/>
            <w:tcMar>
              <w:left w:w="14" w:type="dxa"/>
              <w:right w:w="14" w:type="dxa"/>
            </w:tcMar>
            <w:vAlign w:val="center"/>
          </w:tcPr>
          <w:p w14:paraId="57370AEF" w14:textId="77777777" w:rsidR="00B607BD" w:rsidRPr="00A06F1E" w:rsidRDefault="00B607BD" w:rsidP="00423CF5">
            <w:pPr>
              <w:pStyle w:val="TableColHeadingCenter"/>
              <w:spacing w:before="10" w:after="10"/>
            </w:pPr>
            <w:r w:rsidRPr="00A06F1E">
              <w:t>2022</w:t>
            </w:r>
          </w:p>
        </w:tc>
        <w:tc>
          <w:tcPr>
            <w:tcW w:w="339" w:type="pct"/>
            <w:tcMar>
              <w:left w:w="14" w:type="dxa"/>
              <w:right w:w="14" w:type="dxa"/>
            </w:tcMar>
            <w:vAlign w:val="center"/>
          </w:tcPr>
          <w:p w14:paraId="75AB5B45" w14:textId="77777777" w:rsidR="00B607BD" w:rsidRPr="00A06F1E" w:rsidRDefault="00B607BD" w:rsidP="00423CF5">
            <w:pPr>
              <w:pStyle w:val="TableColHeadingCenter"/>
              <w:spacing w:before="10" w:after="10"/>
            </w:pPr>
            <w:r w:rsidRPr="00A06F1E">
              <w:t>2023</w:t>
            </w:r>
          </w:p>
        </w:tc>
        <w:tc>
          <w:tcPr>
            <w:tcW w:w="486" w:type="pct"/>
            <w:tcMar>
              <w:left w:w="14" w:type="dxa"/>
              <w:right w:w="14" w:type="dxa"/>
            </w:tcMar>
            <w:vAlign w:val="center"/>
          </w:tcPr>
          <w:p w14:paraId="49D96E36" w14:textId="77777777" w:rsidR="00B607BD" w:rsidRPr="00A06F1E" w:rsidRDefault="00B607BD" w:rsidP="00423CF5">
            <w:pPr>
              <w:pStyle w:val="TableColHeadingCenter"/>
              <w:spacing w:before="10" w:after="10"/>
            </w:pPr>
            <w:r w:rsidRPr="00A06F1E">
              <w:t>State (2023)</w:t>
            </w:r>
          </w:p>
        </w:tc>
      </w:tr>
      <w:tr w:rsidR="00423CF5" w:rsidRPr="00A06F1E" w14:paraId="5148192E"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21AC8255"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All</w:t>
            </w:r>
          </w:p>
        </w:tc>
        <w:tc>
          <w:tcPr>
            <w:tcW w:w="411" w:type="pct"/>
            <w:vAlign w:val="center"/>
          </w:tcPr>
          <w:p w14:paraId="7210C254"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190</w:t>
            </w:r>
          </w:p>
        </w:tc>
        <w:tc>
          <w:tcPr>
            <w:tcW w:w="356" w:type="pct"/>
            <w:vAlign w:val="center"/>
          </w:tcPr>
          <w:p w14:paraId="07FC0D5A"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23</w:t>
            </w:r>
          </w:p>
        </w:tc>
        <w:tc>
          <w:tcPr>
            <w:tcW w:w="356" w:type="pct"/>
            <w:vAlign w:val="center"/>
          </w:tcPr>
          <w:p w14:paraId="6B98DA7C"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29</w:t>
            </w:r>
          </w:p>
        </w:tc>
        <w:tc>
          <w:tcPr>
            <w:tcW w:w="452" w:type="pct"/>
            <w:vAlign w:val="center"/>
          </w:tcPr>
          <w:p w14:paraId="6202A801"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42</w:t>
            </w:r>
          </w:p>
        </w:tc>
        <w:tc>
          <w:tcPr>
            <w:tcW w:w="347" w:type="pct"/>
            <w:vAlign w:val="center"/>
          </w:tcPr>
          <w:p w14:paraId="1AF40A01"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47</w:t>
            </w:r>
          </w:p>
        </w:tc>
        <w:tc>
          <w:tcPr>
            <w:tcW w:w="347" w:type="pct"/>
            <w:vAlign w:val="center"/>
          </w:tcPr>
          <w:p w14:paraId="1F308176"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44</w:t>
            </w:r>
          </w:p>
        </w:tc>
        <w:tc>
          <w:tcPr>
            <w:tcW w:w="470" w:type="pct"/>
            <w:vAlign w:val="center"/>
          </w:tcPr>
          <w:p w14:paraId="22E34F14"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39</w:t>
            </w:r>
          </w:p>
        </w:tc>
        <w:tc>
          <w:tcPr>
            <w:tcW w:w="339" w:type="pct"/>
            <w:vAlign w:val="center"/>
          </w:tcPr>
          <w:p w14:paraId="055D897C"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30</w:t>
            </w:r>
          </w:p>
        </w:tc>
        <w:tc>
          <w:tcPr>
            <w:tcW w:w="339" w:type="pct"/>
            <w:vAlign w:val="center"/>
          </w:tcPr>
          <w:p w14:paraId="70701E01"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27</w:t>
            </w:r>
          </w:p>
        </w:tc>
        <w:tc>
          <w:tcPr>
            <w:tcW w:w="486" w:type="pct"/>
            <w:vAlign w:val="bottom"/>
          </w:tcPr>
          <w:p w14:paraId="183C02E7"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19</w:t>
            </w:r>
          </w:p>
        </w:tc>
      </w:tr>
      <w:tr w:rsidR="00423CF5" w:rsidRPr="00A06F1E" w14:paraId="3C420D96" w14:textId="77777777" w:rsidTr="00423CF5">
        <w:tc>
          <w:tcPr>
            <w:tcW w:w="1097" w:type="pct"/>
          </w:tcPr>
          <w:p w14:paraId="55FADB91"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African American/Black</w:t>
            </w:r>
          </w:p>
        </w:tc>
        <w:tc>
          <w:tcPr>
            <w:tcW w:w="411" w:type="pct"/>
            <w:vAlign w:val="center"/>
          </w:tcPr>
          <w:p w14:paraId="13C62C0F" w14:textId="667ECF4A"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349501E2" w14:textId="29E348D0"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53760B0D" w14:textId="0F6D21DE"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52" w:type="pct"/>
            <w:vAlign w:val="center"/>
          </w:tcPr>
          <w:p w14:paraId="7292C44A"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26</w:t>
            </w:r>
          </w:p>
        </w:tc>
        <w:tc>
          <w:tcPr>
            <w:tcW w:w="347" w:type="pct"/>
            <w:vAlign w:val="center"/>
          </w:tcPr>
          <w:p w14:paraId="03815188" w14:textId="68B8EE01"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7" w:type="pct"/>
            <w:vAlign w:val="center"/>
          </w:tcPr>
          <w:p w14:paraId="1321919F" w14:textId="198F8A96"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0" w:type="pct"/>
            <w:vAlign w:val="center"/>
          </w:tcPr>
          <w:p w14:paraId="09DC319E"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45</w:t>
            </w:r>
          </w:p>
        </w:tc>
        <w:tc>
          <w:tcPr>
            <w:tcW w:w="339" w:type="pct"/>
            <w:vAlign w:val="center"/>
          </w:tcPr>
          <w:p w14:paraId="5F683E5B" w14:textId="32C45763"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vAlign w:val="center"/>
          </w:tcPr>
          <w:p w14:paraId="3D2D1F98" w14:textId="315941F7"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bottom"/>
          </w:tcPr>
          <w:p w14:paraId="0721F1B3"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29</w:t>
            </w:r>
          </w:p>
        </w:tc>
      </w:tr>
      <w:tr w:rsidR="00423CF5" w:rsidRPr="00A06F1E" w14:paraId="06BAE428"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4D0FF7C0"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Asian</w:t>
            </w:r>
          </w:p>
        </w:tc>
        <w:tc>
          <w:tcPr>
            <w:tcW w:w="411" w:type="pct"/>
            <w:vAlign w:val="center"/>
          </w:tcPr>
          <w:p w14:paraId="78A06CCB" w14:textId="484461C5"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3D7AA51A" w14:textId="02678F86"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251CABF1" w14:textId="59F9A9B2"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52" w:type="pct"/>
            <w:vAlign w:val="center"/>
          </w:tcPr>
          <w:p w14:paraId="57FCF9B1"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64</w:t>
            </w:r>
          </w:p>
        </w:tc>
        <w:tc>
          <w:tcPr>
            <w:tcW w:w="347" w:type="pct"/>
            <w:vAlign w:val="center"/>
          </w:tcPr>
          <w:p w14:paraId="1F03DD89" w14:textId="59EFFD56"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7" w:type="pct"/>
            <w:vAlign w:val="center"/>
          </w:tcPr>
          <w:p w14:paraId="72568943" w14:textId="66D6BDC2"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0" w:type="pct"/>
            <w:vAlign w:val="center"/>
          </w:tcPr>
          <w:p w14:paraId="7CDCCDE4"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27</w:t>
            </w:r>
          </w:p>
        </w:tc>
        <w:tc>
          <w:tcPr>
            <w:tcW w:w="339" w:type="pct"/>
            <w:vAlign w:val="center"/>
          </w:tcPr>
          <w:p w14:paraId="3DD39C17" w14:textId="573A9C6F"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vAlign w:val="center"/>
          </w:tcPr>
          <w:p w14:paraId="7A17E65C" w14:textId="7E9029CF"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bottom"/>
          </w:tcPr>
          <w:p w14:paraId="01ED469F"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9</w:t>
            </w:r>
          </w:p>
        </w:tc>
      </w:tr>
      <w:tr w:rsidR="00423CF5" w:rsidRPr="00A06F1E" w14:paraId="00F98853" w14:textId="77777777" w:rsidTr="00423CF5">
        <w:tc>
          <w:tcPr>
            <w:tcW w:w="1097" w:type="pct"/>
          </w:tcPr>
          <w:p w14:paraId="4ACF9452"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Hispanic/Latino</w:t>
            </w:r>
          </w:p>
        </w:tc>
        <w:tc>
          <w:tcPr>
            <w:tcW w:w="411" w:type="pct"/>
            <w:vAlign w:val="center"/>
          </w:tcPr>
          <w:p w14:paraId="1879EAB2"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21</w:t>
            </w:r>
          </w:p>
        </w:tc>
        <w:tc>
          <w:tcPr>
            <w:tcW w:w="356" w:type="pct"/>
            <w:vAlign w:val="center"/>
          </w:tcPr>
          <w:p w14:paraId="182D5BD9"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11</w:t>
            </w:r>
          </w:p>
        </w:tc>
        <w:tc>
          <w:tcPr>
            <w:tcW w:w="356" w:type="pct"/>
            <w:vAlign w:val="center"/>
          </w:tcPr>
          <w:p w14:paraId="1F295B9E"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19</w:t>
            </w:r>
          </w:p>
        </w:tc>
        <w:tc>
          <w:tcPr>
            <w:tcW w:w="452" w:type="pct"/>
            <w:vAlign w:val="center"/>
          </w:tcPr>
          <w:p w14:paraId="10AC7054"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22</w:t>
            </w:r>
          </w:p>
        </w:tc>
        <w:tc>
          <w:tcPr>
            <w:tcW w:w="347" w:type="pct"/>
            <w:vAlign w:val="center"/>
          </w:tcPr>
          <w:p w14:paraId="425DF545"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56</w:t>
            </w:r>
          </w:p>
        </w:tc>
        <w:tc>
          <w:tcPr>
            <w:tcW w:w="347" w:type="pct"/>
            <w:vAlign w:val="center"/>
          </w:tcPr>
          <w:p w14:paraId="29973F18"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38</w:t>
            </w:r>
          </w:p>
        </w:tc>
        <w:tc>
          <w:tcPr>
            <w:tcW w:w="470" w:type="pct"/>
            <w:vAlign w:val="center"/>
          </w:tcPr>
          <w:p w14:paraId="2A5C4C32"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43</w:t>
            </w:r>
          </w:p>
        </w:tc>
        <w:tc>
          <w:tcPr>
            <w:tcW w:w="339" w:type="pct"/>
            <w:vAlign w:val="center"/>
          </w:tcPr>
          <w:p w14:paraId="31E3D0CA"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33</w:t>
            </w:r>
          </w:p>
        </w:tc>
        <w:tc>
          <w:tcPr>
            <w:tcW w:w="339" w:type="pct"/>
            <w:vAlign w:val="center"/>
          </w:tcPr>
          <w:p w14:paraId="0BCD98D2"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43</w:t>
            </w:r>
          </w:p>
        </w:tc>
        <w:tc>
          <w:tcPr>
            <w:tcW w:w="486" w:type="pct"/>
            <w:vAlign w:val="bottom"/>
          </w:tcPr>
          <w:p w14:paraId="696C760C"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34</w:t>
            </w:r>
          </w:p>
        </w:tc>
      </w:tr>
      <w:tr w:rsidR="00423CF5" w:rsidRPr="00A06F1E" w14:paraId="2D83998F"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7FEF8315"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cstheme="minorHAnsi"/>
              </w:rPr>
              <w:t>Multi-Race, non-Hispanic/Latino</w:t>
            </w:r>
          </w:p>
        </w:tc>
        <w:tc>
          <w:tcPr>
            <w:tcW w:w="411" w:type="pct"/>
            <w:vAlign w:val="center"/>
          </w:tcPr>
          <w:p w14:paraId="2284BFE8" w14:textId="7BA0E215"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59C2EF49" w14:textId="660E3171"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2662B2B7" w14:textId="498BB8F5"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52" w:type="pct"/>
            <w:vAlign w:val="center"/>
          </w:tcPr>
          <w:p w14:paraId="336EDF3D"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49</w:t>
            </w:r>
          </w:p>
        </w:tc>
        <w:tc>
          <w:tcPr>
            <w:tcW w:w="347" w:type="pct"/>
            <w:vAlign w:val="center"/>
          </w:tcPr>
          <w:p w14:paraId="3F76E8F3" w14:textId="104360FB"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7" w:type="pct"/>
            <w:vAlign w:val="center"/>
          </w:tcPr>
          <w:p w14:paraId="4FD3782F" w14:textId="03EC25B9"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0" w:type="pct"/>
            <w:vAlign w:val="center"/>
          </w:tcPr>
          <w:p w14:paraId="7EB68EF8"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35</w:t>
            </w:r>
          </w:p>
        </w:tc>
        <w:tc>
          <w:tcPr>
            <w:tcW w:w="339" w:type="pct"/>
            <w:vAlign w:val="center"/>
          </w:tcPr>
          <w:p w14:paraId="3C97AF83" w14:textId="156FE7F3"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vAlign w:val="center"/>
          </w:tcPr>
          <w:p w14:paraId="22351254" w14:textId="01222288"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bottom"/>
          </w:tcPr>
          <w:p w14:paraId="690CDCE8"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16</w:t>
            </w:r>
          </w:p>
        </w:tc>
      </w:tr>
      <w:tr w:rsidR="00423CF5" w:rsidRPr="00A06F1E" w14:paraId="729E6A7D" w14:textId="77777777" w:rsidTr="00423CF5">
        <w:tc>
          <w:tcPr>
            <w:tcW w:w="1097" w:type="pct"/>
          </w:tcPr>
          <w:p w14:paraId="2CA6BE4B"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Native American</w:t>
            </w:r>
          </w:p>
        </w:tc>
        <w:tc>
          <w:tcPr>
            <w:tcW w:w="411" w:type="pct"/>
            <w:vAlign w:val="center"/>
          </w:tcPr>
          <w:p w14:paraId="13DF17B1" w14:textId="1593794D"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709CAFF9" w14:textId="55A133CC"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4617D905" w14:textId="244D00A0"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52" w:type="pct"/>
            <w:vAlign w:val="center"/>
          </w:tcPr>
          <w:p w14:paraId="1BED6E82"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29</w:t>
            </w:r>
          </w:p>
        </w:tc>
        <w:tc>
          <w:tcPr>
            <w:tcW w:w="347" w:type="pct"/>
            <w:vAlign w:val="center"/>
          </w:tcPr>
          <w:p w14:paraId="7EB534F5" w14:textId="391DBE4F"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7" w:type="pct"/>
            <w:vAlign w:val="center"/>
          </w:tcPr>
          <w:p w14:paraId="08BDA301" w14:textId="451AC1C7"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0" w:type="pct"/>
            <w:vAlign w:val="center"/>
          </w:tcPr>
          <w:p w14:paraId="6E23048C"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42</w:t>
            </w:r>
          </w:p>
        </w:tc>
        <w:tc>
          <w:tcPr>
            <w:tcW w:w="339" w:type="pct"/>
            <w:vAlign w:val="center"/>
          </w:tcPr>
          <w:p w14:paraId="50726EFC" w14:textId="2E88CA68"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vAlign w:val="center"/>
          </w:tcPr>
          <w:p w14:paraId="5118AAC3" w14:textId="50C9CCD3"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bottom"/>
          </w:tcPr>
          <w:p w14:paraId="3A5BE64A"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28</w:t>
            </w:r>
          </w:p>
        </w:tc>
      </w:tr>
      <w:tr w:rsidR="00423CF5" w:rsidRPr="00A06F1E" w14:paraId="37CBFE21"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426833CC" w14:textId="77777777" w:rsidR="00B607BD" w:rsidRPr="00A06F1E" w:rsidRDefault="00B607BD" w:rsidP="00423CF5">
            <w:pPr>
              <w:pStyle w:val="TableText"/>
              <w:spacing w:before="10" w:after="10"/>
              <w:rPr>
                <w:rFonts w:ascii="Franklin Gothic Book" w:hAnsi="Franklin Gothic Book"/>
                <w:spacing w:val="-4"/>
              </w:rPr>
            </w:pPr>
            <w:r w:rsidRPr="00A06F1E">
              <w:rPr>
                <w:rFonts w:ascii="Franklin Gothic Book" w:hAnsi="Franklin Gothic Book"/>
                <w:spacing w:val="-4"/>
              </w:rPr>
              <w:t>Native Hawaiian, Pacific Islander</w:t>
            </w:r>
          </w:p>
        </w:tc>
        <w:tc>
          <w:tcPr>
            <w:tcW w:w="411" w:type="pct"/>
            <w:vAlign w:val="center"/>
          </w:tcPr>
          <w:p w14:paraId="3297F2A6" w14:textId="68C39AB5"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0A44A678" w14:textId="33130CB6"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06B30D1C" w14:textId="7CDB7EBA"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52" w:type="pct"/>
            <w:vAlign w:val="center"/>
          </w:tcPr>
          <w:p w14:paraId="1E0A918A"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45</w:t>
            </w:r>
          </w:p>
        </w:tc>
        <w:tc>
          <w:tcPr>
            <w:tcW w:w="347" w:type="pct"/>
            <w:vAlign w:val="center"/>
          </w:tcPr>
          <w:p w14:paraId="167E0E9D" w14:textId="0B9992E5"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7" w:type="pct"/>
            <w:vAlign w:val="center"/>
          </w:tcPr>
          <w:p w14:paraId="7D034857" w14:textId="1DA50F45"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0" w:type="pct"/>
            <w:vAlign w:val="center"/>
          </w:tcPr>
          <w:p w14:paraId="01FB315D"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37</w:t>
            </w:r>
          </w:p>
        </w:tc>
        <w:tc>
          <w:tcPr>
            <w:tcW w:w="339" w:type="pct"/>
            <w:vAlign w:val="center"/>
          </w:tcPr>
          <w:p w14:paraId="1CA164B9" w14:textId="604786C2"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vAlign w:val="center"/>
          </w:tcPr>
          <w:p w14:paraId="76A1DFED" w14:textId="33099F43"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bottom"/>
          </w:tcPr>
          <w:p w14:paraId="3B188C52"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18</w:t>
            </w:r>
          </w:p>
        </w:tc>
      </w:tr>
      <w:tr w:rsidR="00423CF5" w:rsidRPr="00A06F1E" w14:paraId="485E145D" w14:textId="77777777" w:rsidTr="00423CF5">
        <w:tc>
          <w:tcPr>
            <w:tcW w:w="1097" w:type="pct"/>
          </w:tcPr>
          <w:p w14:paraId="27E117C0"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White</w:t>
            </w:r>
          </w:p>
        </w:tc>
        <w:tc>
          <w:tcPr>
            <w:tcW w:w="411" w:type="pct"/>
            <w:vAlign w:val="center"/>
          </w:tcPr>
          <w:p w14:paraId="0158D97A"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158</w:t>
            </w:r>
          </w:p>
        </w:tc>
        <w:tc>
          <w:tcPr>
            <w:tcW w:w="356" w:type="pct"/>
            <w:vAlign w:val="center"/>
          </w:tcPr>
          <w:p w14:paraId="489BBDB0"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25</w:t>
            </w:r>
          </w:p>
        </w:tc>
        <w:tc>
          <w:tcPr>
            <w:tcW w:w="356" w:type="pct"/>
            <w:vAlign w:val="center"/>
          </w:tcPr>
          <w:p w14:paraId="19C8F4C3"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32</w:t>
            </w:r>
          </w:p>
        </w:tc>
        <w:tc>
          <w:tcPr>
            <w:tcW w:w="452" w:type="pct"/>
            <w:vAlign w:val="center"/>
          </w:tcPr>
          <w:p w14:paraId="4D62AA64"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50</w:t>
            </w:r>
          </w:p>
        </w:tc>
        <w:tc>
          <w:tcPr>
            <w:tcW w:w="347" w:type="pct"/>
            <w:vAlign w:val="center"/>
          </w:tcPr>
          <w:p w14:paraId="5D2F9817"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46</w:t>
            </w:r>
          </w:p>
        </w:tc>
        <w:tc>
          <w:tcPr>
            <w:tcW w:w="347" w:type="pct"/>
            <w:vAlign w:val="center"/>
          </w:tcPr>
          <w:p w14:paraId="05EA9B6D"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42</w:t>
            </w:r>
          </w:p>
        </w:tc>
        <w:tc>
          <w:tcPr>
            <w:tcW w:w="470" w:type="pct"/>
            <w:vAlign w:val="center"/>
          </w:tcPr>
          <w:p w14:paraId="14595BBF"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37</w:t>
            </w:r>
          </w:p>
        </w:tc>
        <w:tc>
          <w:tcPr>
            <w:tcW w:w="339" w:type="pct"/>
            <w:vAlign w:val="center"/>
          </w:tcPr>
          <w:p w14:paraId="43217C3D"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29</w:t>
            </w:r>
          </w:p>
        </w:tc>
        <w:tc>
          <w:tcPr>
            <w:tcW w:w="339" w:type="pct"/>
            <w:vAlign w:val="center"/>
          </w:tcPr>
          <w:p w14:paraId="76A7FF6E"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26</w:t>
            </w:r>
          </w:p>
        </w:tc>
        <w:tc>
          <w:tcPr>
            <w:tcW w:w="486" w:type="pct"/>
            <w:vAlign w:val="bottom"/>
          </w:tcPr>
          <w:p w14:paraId="25FF25E9"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13</w:t>
            </w:r>
          </w:p>
        </w:tc>
      </w:tr>
      <w:tr w:rsidR="00423CF5" w:rsidRPr="00A06F1E" w14:paraId="08948E04"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5C4020E1"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High needs</w:t>
            </w:r>
          </w:p>
        </w:tc>
        <w:tc>
          <w:tcPr>
            <w:tcW w:w="411" w:type="pct"/>
            <w:vAlign w:val="center"/>
          </w:tcPr>
          <w:p w14:paraId="233A4390"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129</w:t>
            </w:r>
          </w:p>
        </w:tc>
        <w:tc>
          <w:tcPr>
            <w:tcW w:w="356" w:type="pct"/>
            <w:vAlign w:val="center"/>
          </w:tcPr>
          <w:p w14:paraId="0D3EAD67"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15</w:t>
            </w:r>
          </w:p>
        </w:tc>
        <w:tc>
          <w:tcPr>
            <w:tcW w:w="356" w:type="pct"/>
            <w:vAlign w:val="center"/>
          </w:tcPr>
          <w:p w14:paraId="388F03D6"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18</w:t>
            </w:r>
          </w:p>
        </w:tc>
        <w:tc>
          <w:tcPr>
            <w:tcW w:w="452" w:type="pct"/>
            <w:vAlign w:val="center"/>
          </w:tcPr>
          <w:p w14:paraId="61930427"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24</w:t>
            </w:r>
          </w:p>
        </w:tc>
        <w:tc>
          <w:tcPr>
            <w:tcW w:w="347" w:type="pct"/>
            <w:vAlign w:val="center"/>
          </w:tcPr>
          <w:p w14:paraId="60133D15"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48</w:t>
            </w:r>
          </w:p>
        </w:tc>
        <w:tc>
          <w:tcPr>
            <w:tcW w:w="347" w:type="pct"/>
            <w:vAlign w:val="center"/>
          </w:tcPr>
          <w:p w14:paraId="5D1B4491"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46</w:t>
            </w:r>
          </w:p>
        </w:tc>
        <w:tc>
          <w:tcPr>
            <w:tcW w:w="470" w:type="pct"/>
            <w:vAlign w:val="center"/>
          </w:tcPr>
          <w:p w14:paraId="7A2244C4"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45</w:t>
            </w:r>
          </w:p>
        </w:tc>
        <w:tc>
          <w:tcPr>
            <w:tcW w:w="339" w:type="pct"/>
            <w:vAlign w:val="center"/>
          </w:tcPr>
          <w:p w14:paraId="0FB50818"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37</w:t>
            </w:r>
          </w:p>
        </w:tc>
        <w:tc>
          <w:tcPr>
            <w:tcW w:w="339" w:type="pct"/>
            <w:vAlign w:val="center"/>
          </w:tcPr>
          <w:p w14:paraId="2F0441FC"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36</w:t>
            </w:r>
          </w:p>
        </w:tc>
        <w:tc>
          <w:tcPr>
            <w:tcW w:w="486" w:type="pct"/>
            <w:vAlign w:val="bottom"/>
          </w:tcPr>
          <w:p w14:paraId="51641C0A"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31</w:t>
            </w:r>
          </w:p>
        </w:tc>
      </w:tr>
      <w:tr w:rsidR="00423CF5" w:rsidRPr="00A06F1E" w14:paraId="537D5738" w14:textId="77777777" w:rsidTr="00423CF5">
        <w:tc>
          <w:tcPr>
            <w:tcW w:w="1097" w:type="pct"/>
          </w:tcPr>
          <w:p w14:paraId="4618F5E3"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Low income</w:t>
            </w:r>
          </w:p>
        </w:tc>
        <w:tc>
          <w:tcPr>
            <w:tcW w:w="411" w:type="pct"/>
            <w:vAlign w:val="center"/>
          </w:tcPr>
          <w:p w14:paraId="469DD56A"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113</w:t>
            </w:r>
          </w:p>
        </w:tc>
        <w:tc>
          <w:tcPr>
            <w:tcW w:w="356" w:type="pct"/>
            <w:vAlign w:val="center"/>
          </w:tcPr>
          <w:p w14:paraId="30111615"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16</w:t>
            </w:r>
          </w:p>
        </w:tc>
        <w:tc>
          <w:tcPr>
            <w:tcW w:w="356" w:type="pct"/>
            <w:vAlign w:val="center"/>
          </w:tcPr>
          <w:p w14:paraId="1A88DD8D"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19</w:t>
            </w:r>
          </w:p>
        </w:tc>
        <w:tc>
          <w:tcPr>
            <w:tcW w:w="452" w:type="pct"/>
            <w:vAlign w:val="center"/>
          </w:tcPr>
          <w:p w14:paraId="0FA82D5D"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24</w:t>
            </w:r>
          </w:p>
        </w:tc>
        <w:tc>
          <w:tcPr>
            <w:tcW w:w="347" w:type="pct"/>
            <w:vAlign w:val="center"/>
          </w:tcPr>
          <w:p w14:paraId="41E0F2AC"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50</w:t>
            </w:r>
          </w:p>
        </w:tc>
        <w:tc>
          <w:tcPr>
            <w:tcW w:w="347" w:type="pct"/>
            <w:vAlign w:val="center"/>
          </w:tcPr>
          <w:p w14:paraId="6DCA7890"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45</w:t>
            </w:r>
          </w:p>
        </w:tc>
        <w:tc>
          <w:tcPr>
            <w:tcW w:w="470" w:type="pct"/>
            <w:vAlign w:val="center"/>
          </w:tcPr>
          <w:p w14:paraId="0B80227A"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44</w:t>
            </w:r>
          </w:p>
        </w:tc>
        <w:tc>
          <w:tcPr>
            <w:tcW w:w="339" w:type="pct"/>
            <w:vAlign w:val="center"/>
          </w:tcPr>
          <w:p w14:paraId="4DB76707"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35</w:t>
            </w:r>
          </w:p>
        </w:tc>
        <w:tc>
          <w:tcPr>
            <w:tcW w:w="339" w:type="pct"/>
            <w:vAlign w:val="center"/>
          </w:tcPr>
          <w:p w14:paraId="0FF8670A"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35</w:t>
            </w:r>
          </w:p>
        </w:tc>
        <w:tc>
          <w:tcPr>
            <w:tcW w:w="486" w:type="pct"/>
            <w:vAlign w:val="bottom"/>
          </w:tcPr>
          <w:p w14:paraId="4795A8E6"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32</w:t>
            </w:r>
          </w:p>
        </w:tc>
      </w:tr>
      <w:tr w:rsidR="00423CF5" w:rsidRPr="00A06F1E" w14:paraId="6DAF1C75"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0A87ED1E" w14:textId="77777777" w:rsidR="00B607BD" w:rsidRPr="00A06F1E" w:rsidRDefault="00B607BD" w:rsidP="00423CF5">
            <w:pPr>
              <w:pStyle w:val="TableText"/>
              <w:spacing w:before="10" w:after="10"/>
              <w:rPr>
                <w:rFonts w:ascii="Franklin Gothic Book" w:hAnsi="Franklin Gothic Book"/>
                <w:spacing w:val="-4"/>
              </w:rPr>
            </w:pPr>
            <w:r w:rsidRPr="00A06F1E">
              <w:rPr>
                <w:rFonts w:ascii="Franklin Gothic Book" w:hAnsi="Franklin Gothic Book"/>
                <w:spacing w:val="-4"/>
              </w:rPr>
              <w:t>ELs and former ELs</w:t>
            </w:r>
          </w:p>
        </w:tc>
        <w:tc>
          <w:tcPr>
            <w:tcW w:w="411" w:type="pct"/>
            <w:vAlign w:val="center"/>
          </w:tcPr>
          <w:p w14:paraId="1BA04F59" w14:textId="132F9E91"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7010CCB1" w14:textId="24E2D042"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4F898774" w14:textId="2C5C3491"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52" w:type="pct"/>
            <w:vAlign w:val="center"/>
          </w:tcPr>
          <w:p w14:paraId="6A1E4F5F"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20</w:t>
            </w:r>
          </w:p>
        </w:tc>
        <w:tc>
          <w:tcPr>
            <w:tcW w:w="347" w:type="pct"/>
            <w:vAlign w:val="center"/>
          </w:tcPr>
          <w:p w14:paraId="27D7CE5F" w14:textId="6859682E"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7" w:type="pct"/>
            <w:vAlign w:val="center"/>
          </w:tcPr>
          <w:p w14:paraId="1D14EAB4" w14:textId="48FE8DD1"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0" w:type="pct"/>
            <w:vAlign w:val="center"/>
          </w:tcPr>
          <w:p w14:paraId="467CCD36"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42</w:t>
            </w:r>
          </w:p>
        </w:tc>
        <w:tc>
          <w:tcPr>
            <w:tcW w:w="339" w:type="pct"/>
            <w:vAlign w:val="center"/>
          </w:tcPr>
          <w:p w14:paraId="3CD977F2" w14:textId="68937459"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vAlign w:val="center"/>
          </w:tcPr>
          <w:p w14:paraId="7DDB44E5" w14:textId="7BE369F9"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bottom"/>
          </w:tcPr>
          <w:p w14:paraId="5FEEF80E"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38</w:t>
            </w:r>
          </w:p>
        </w:tc>
      </w:tr>
      <w:tr w:rsidR="00423CF5" w:rsidRPr="00A06F1E" w14:paraId="60A36F39" w14:textId="77777777" w:rsidTr="00423CF5">
        <w:tc>
          <w:tcPr>
            <w:tcW w:w="1097" w:type="pct"/>
          </w:tcPr>
          <w:p w14:paraId="71E39981"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Students w/disabilities</w:t>
            </w:r>
          </w:p>
        </w:tc>
        <w:tc>
          <w:tcPr>
            <w:tcW w:w="411" w:type="pct"/>
            <w:vAlign w:val="center"/>
          </w:tcPr>
          <w:p w14:paraId="4384E45F"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52</w:t>
            </w:r>
          </w:p>
        </w:tc>
        <w:tc>
          <w:tcPr>
            <w:tcW w:w="356" w:type="pct"/>
            <w:vAlign w:val="center"/>
          </w:tcPr>
          <w:p w14:paraId="5C39E9C0"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w:t>
            </w:r>
          </w:p>
        </w:tc>
        <w:tc>
          <w:tcPr>
            <w:tcW w:w="356" w:type="pct"/>
            <w:vAlign w:val="center"/>
          </w:tcPr>
          <w:p w14:paraId="34C95167"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w:t>
            </w:r>
          </w:p>
        </w:tc>
        <w:tc>
          <w:tcPr>
            <w:tcW w:w="452" w:type="pct"/>
            <w:vAlign w:val="center"/>
          </w:tcPr>
          <w:p w14:paraId="2A44B06A"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12</w:t>
            </w:r>
          </w:p>
        </w:tc>
        <w:tc>
          <w:tcPr>
            <w:tcW w:w="347" w:type="pct"/>
            <w:vAlign w:val="center"/>
          </w:tcPr>
          <w:p w14:paraId="28309DBD"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29</w:t>
            </w:r>
          </w:p>
        </w:tc>
        <w:tc>
          <w:tcPr>
            <w:tcW w:w="347" w:type="pct"/>
            <w:vAlign w:val="center"/>
          </w:tcPr>
          <w:p w14:paraId="6C201D38"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33</w:t>
            </w:r>
          </w:p>
        </w:tc>
        <w:tc>
          <w:tcPr>
            <w:tcW w:w="470" w:type="pct"/>
            <w:vAlign w:val="center"/>
          </w:tcPr>
          <w:p w14:paraId="270DEB13"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40</w:t>
            </w:r>
          </w:p>
        </w:tc>
        <w:tc>
          <w:tcPr>
            <w:tcW w:w="339" w:type="pct"/>
            <w:vAlign w:val="center"/>
          </w:tcPr>
          <w:p w14:paraId="5C0009F3"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70</w:t>
            </w:r>
          </w:p>
        </w:tc>
        <w:tc>
          <w:tcPr>
            <w:tcW w:w="339" w:type="pct"/>
            <w:vAlign w:val="center"/>
          </w:tcPr>
          <w:p w14:paraId="088A8526"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65</w:t>
            </w:r>
          </w:p>
        </w:tc>
        <w:tc>
          <w:tcPr>
            <w:tcW w:w="486" w:type="pct"/>
            <w:vAlign w:val="bottom"/>
          </w:tcPr>
          <w:p w14:paraId="4522BC6D"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48</w:t>
            </w:r>
          </w:p>
        </w:tc>
      </w:tr>
    </w:tbl>
    <w:p w14:paraId="7A0CBBA1" w14:textId="40CB501E" w:rsidR="00B607BD" w:rsidRPr="00A06F1E" w:rsidRDefault="00B607BD" w:rsidP="00B7722D">
      <w:pPr>
        <w:pStyle w:val="TabletitleSectionE"/>
        <w:spacing w:before="120"/>
      </w:pPr>
      <w:bookmarkStart w:id="248" w:name="_Toc170701950"/>
      <w:bookmarkStart w:id="249" w:name="_Toc171685787"/>
      <w:r w:rsidRPr="00A06F1E">
        <w:t>Table E</w:t>
      </w:r>
      <w:r w:rsidR="00423CF5" w:rsidRPr="00A06F1E">
        <w:t>2</w:t>
      </w:r>
      <w:r w:rsidR="00A228CB" w:rsidRPr="00A06F1E">
        <w:t>. Mahar Regional</w:t>
      </w:r>
      <w:r w:rsidR="00F3532E" w:rsidRPr="00A06F1E">
        <w:t>:</w:t>
      </w:r>
      <w:r w:rsidRPr="00A06F1E">
        <w:t xml:space="preserve"> Next-Generation MCAS ELA Achievement by Student Group, Grade 10, 2022-2023</w:t>
      </w:r>
      <w:bookmarkEnd w:id="248"/>
      <w:bookmarkEnd w:id="249"/>
    </w:p>
    <w:tbl>
      <w:tblPr>
        <w:tblStyle w:val="MSVTable1"/>
        <w:tblW w:w="5003" w:type="pct"/>
        <w:tblLook w:val="0420" w:firstRow="1" w:lastRow="0" w:firstColumn="0" w:lastColumn="0" w:noHBand="0" w:noVBand="1"/>
      </w:tblPr>
      <w:tblGrid>
        <w:gridCol w:w="2842"/>
        <w:gridCol w:w="1065"/>
        <w:gridCol w:w="878"/>
        <w:gridCol w:w="127"/>
        <w:gridCol w:w="751"/>
        <w:gridCol w:w="1259"/>
        <w:gridCol w:w="899"/>
        <w:gridCol w:w="899"/>
        <w:gridCol w:w="1217"/>
        <w:gridCol w:w="922"/>
        <w:gridCol w:w="922"/>
        <w:gridCol w:w="1171"/>
      </w:tblGrid>
      <w:tr w:rsidR="00B607BD" w:rsidRPr="00A06F1E" w14:paraId="333BD1DF" w14:textId="77777777" w:rsidTr="00423CF5">
        <w:trPr>
          <w:cnfStyle w:val="100000000000" w:firstRow="1" w:lastRow="0" w:firstColumn="0" w:lastColumn="0" w:oddVBand="0" w:evenVBand="0" w:oddHBand="0" w:evenHBand="0" w:firstRowFirstColumn="0" w:firstRowLastColumn="0" w:lastRowFirstColumn="0" w:lastRowLastColumn="0"/>
          <w:tblHeader/>
        </w:trPr>
        <w:tc>
          <w:tcPr>
            <w:tcW w:w="1097" w:type="pct"/>
            <w:vMerge w:val="restart"/>
            <w:vAlign w:val="center"/>
          </w:tcPr>
          <w:p w14:paraId="558713E3" w14:textId="77777777" w:rsidR="00B607BD" w:rsidRPr="00A06F1E" w:rsidRDefault="00B607BD" w:rsidP="00423CF5">
            <w:pPr>
              <w:pStyle w:val="TableColHeadingLeft"/>
              <w:spacing w:before="10" w:after="10"/>
              <w:jc w:val="center"/>
            </w:pPr>
            <w:r w:rsidRPr="00A06F1E">
              <w:t>Group</w:t>
            </w:r>
          </w:p>
        </w:tc>
        <w:tc>
          <w:tcPr>
            <w:tcW w:w="411" w:type="pct"/>
            <w:vMerge w:val="restart"/>
            <w:vAlign w:val="center"/>
          </w:tcPr>
          <w:p w14:paraId="3A12C3CE" w14:textId="67D73186" w:rsidR="00B607BD" w:rsidRPr="00A06F1E" w:rsidRDefault="00B607BD" w:rsidP="00423CF5">
            <w:pPr>
              <w:pStyle w:val="TableColHeadingCenter"/>
              <w:spacing w:before="10" w:after="10"/>
            </w:pPr>
            <w:r w:rsidRPr="00A06F1E">
              <w:t xml:space="preserve"># </w:t>
            </w:r>
            <w:r w:rsidR="004669DD" w:rsidRPr="00A06F1E">
              <w:t>i</w:t>
            </w:r>
            <w:r w:rsidRPr="00A06F1E">
              <w:t>ncluded (2023)</w:t>
            </w:r>
          </w:p>
        </w:tc>
        <w:tc>
          <w:tcPr>
            <w:tcW w:w="1164" w:type="pct"/>
            <w:gridSpan w:val="4"/>
            <w:vAlign w:val="bottom"/>
          </w:tcPr>
          <w:p w14:paraId="7CEE9597" w14:textId="4593E21B" w:rsidR="00B607BD" w:rsidRPr="00A06F1E" w:rsidRDefault="00A228CB" w:rsidP="00423CF5">
            <w:pPr>
              <w:pStyle w:val="TableColHeadingCenter"/>
              <w:spacing w:before="10" w:after="10"/>
            </w:pPr>
            <w:r w:rsidRPr="00A06F1E">
              <w:t>Percentage</w:t>
            </w:r>
            <w:r w:rsidR="00B607BD" w:rsidRPr="00A06F1E">
              <w:t xml:space="preserve"> meeting or exceeding expectations</w:t>
            </w:r>
          </w:p>
        </w:tc>
        <w:tc>
          <w:tcPr>
            <w:tcW w:w="1164" w:type="pct"/>
            <w:gridSpan w:val="3"/>
            <w:vAlign w:val="center"/>
          </w:tcPr>
          <w:p w14:paraId="67EDC74D" w14:textId="55560C62" w:rsidR="00B607BD" w:rsidRPr="00A06F1E" w:rsidRDefault="00A228CB" w:rsidP="00423CF5">
            <w:pPr>
              <w:pStyle w:val="TableColHeadingCenter"/>
              <w:spacing w:before="10" w:after="10"/>
            </w:pPr>
            <w:r w:rsidRPr="00A06F1E">
              <w:t>Percentage</w:t>
            </w:r>
            <w:r w:rsidR="00B607BD" w:rsidRPr="00A06F1E">
              <w:t xml:space="preserve"> partially meeting expectations</w:t>
            </w:r>
          </w:p>
        </w:tc>
        <w:tc>
          <w:tcPr>
            <w:tcW w:w="1164" w:type="pct"/>
            <w:gridSpan w:val="3"/>
            <w:vAlign w:val="center"/>
          </w:tcPr>
          <w:p w14:paraId="2803C225" w14:textId="6125FEFD" w:rsidR="00B607BD" w:rsidRPr="00A06F1E" w:rsidRDefault="00A228CB" w:rsidP="00423CF5">
            <w:pPr>
              <w:pStyle w:val="TableColHeadingCenter"/>
              <w:spacing w:before="10" w:after="10"/>
            </w:pPr>
            <w:r w:rsidRPr="00A06F1E">
              <w:t>Percentage</w:t>
            </w:r>
            <w:r w:rsidR="00B607BD" w:rsidRPr="00A06F1E">
              <w:t xml:space="preserve"> not meeting expectations</w:t>
            </w:r>
          </w:p>
        </w:tc>
      </w:tr>
      <w:tr w:rsidR="00423CF5" w:rsidRPr="00A06F1E" w14:paraId="6985D5B9" w14:textId="77777777" w:rsidTr="00423CF5">
        <w:trPr>
          <w:cnfStyle w:val="100000000000" w:firstRow="1" w:lastRow="0" w:firstColumn="0" w:lastColumn="0" w:oddVBand="0" w:evenVBand="0" w:oddHBand="0" w:evenHBand="0" w:firstRowFirstColumn="0" w:firstRowLastColumn="0" w:lastRowFirstColumn="0" w:lastRowLastColumn="0"/>
          <w:tblHeader/>
        </w:trPr>
        <w:tc>
          <w:tcPr>
            <w:tcW w:w="1097" w:type="pct"/>
            <w:vMerge/>
            <w:vAlign w:val="bottom"/>
          </w:tcPr>
          <w:p w14:paraId="18EF15FB" w14:textId="77777777" w:rsidR="00B607BD" w:rsidRPr="00A06F1E" w:rsidRDefault="00B607BD" w:rsidP="00423CF5">
            <w:pPr>
              <w:pStyle w:val="TableColHeadingCenter"/>
              <w:spacing w:before="10" w:after="10"/>
            </w:pPr>
          </w:p>
        </w:tc>
        <w:tc>
          <w:tcPr>
            <w:tcW w:w="411" w:type="pct"/>
            <w:vMerge/>
            <w:vAlign w:val="bottom"/>
          </w:tcPr>
          <w:p w14:paraId="272AF9FA" w14:textId="77777777" w:rsidR="00B607BD" w:rsidRPr="00A06F1E" w:rsidRDefault="00B607BD" w:rsidP="00423CF5">
            <w:pPr>
              <w:pStyle w:val="TableColHeadingCenter"/>
              <w:spacing w:before="10" w:after="10"/>
            </w:pPr>
          </w:p>
        </w:tc>
        <w:tc>
          <w:tcPr>
            <w:tcW w:w="388" w:type="pct"/>
            <w:gridSpan w:val="2"/>
            <w:tcMar>
              <w:left w:w="14" w:type="dxa"/>
              <w:right w:w="14" w:type="dxa"/>
            </w:tcMar>
            <w:vAlign w:val="center"/>
          </w:tcPr>
          <w:p w14:paraId="36C4C3B6" w14:textId="77777777" w:rsidR="00B607BD" w:rsidRPr="00A06F1E" w:rsidRDefault="00B607BD" w:rsidP="00423CF5">
            <w:pPr>
              <w:pStyle w:val="TableColHeadingCenter"/>
              <w:spacing w:before="10" w:after="10"/>
            </w:pPr>
            <w:r w:rsidRPr="00A06F1E">
              <w:t>2022</w:t>
            </w:r>
          </w:p>
        </w:tc>
        <w:tc>
          <w:tcPr>
            <w:tcW w:w="290" w:type="pct"/>
            <w:tcMar>
              <w:left w:w="14" w:type="dxa"/>
              <w:right w:w="14" w:type="dxa"/>
            </w:tcMar>
            <w:vAlign w:val="center"/>
          </w:tcPr>
          <w:p w14:paraId="3594F96E" w14:textId="77777777" w:rsidR="00B607BD" w:rsidRPr="00A06F1E" w:rsidRDefault="00B607BD" w:rsidP="00423CF5">
            <w:pPr>
              <w:pStyle w:val="TableColHeadingCenter"/>
              <w:spacing w:before="10" w:after="10"/>
            </w:pPr>
            <w:r w:rsidRPr="00A06F1E">
              <w:t>2023</w:t>
            </w:r>
          </w:p>
        </w:tc>
        <w:tc>
          <w:tcPr>
            <w:tcW w:w="486" w:type="pct"/>
            <w:tcMar>
              <w:left w:w="14" w:type="dxa"/>
              <w:right w:w="14" w:type="dxa"/>
            </w:tcMar>
            <w:vAlign w:val="center"/>
          </w:tcPr>
          <w:p w14:paraId="2F31C269" w14:textId="77777777" w:rsidR="00B607BD" w:rsidRPr="00A06F1E" w:rsidRDefault="00B607BD" w:rsidP="00423CF5">
            <w:pPr>
              <w:pStyle w:val="TableColHeadingCenter"/>
              <w:spacing w:before="10" w:after="10"/>
            </w:pPr>
            <w:r w:rsidRPr="00A06F1E">
              <w:t>State (2023)</w:t>
            </w:r>
          </w:p>
        </w:tc>
        <w:tc>
          <w:tcPr>
            <w:tcW w:w="347" w:type="pct"/>
            <w:tcMar>
              <w:left w:w="14" w:type="dxa"/>
              <w:right w:w="14" w:type="dxa"/>
            </w:tcMar>
            <w:vAlign w:val="center"/>
          </w:tcPr>
          <w:p w14:paraId="22FBFAA2" w14:textId="77777777" w:rsidR="00B607BD" w:rsidRPr="00A06F1E" w:rsidRDefault="00B607BD" w:rsidP="00423CF5">
            <w:pPr>
              <w:pStyle w:val="TableColHeadingCenter"/>
              <w:spacing w:before="10" w:after="10"/>
            </w:pPr>
            <w:r w:rsidRPr="00A06F1E">
              <w:t>2022</w:t>
            </w:r>
          </w:p>
        </w:tc>
        <w:tc>
          <w:tcPr>
            <w:tcW w:w="347" w:type="pct"/>
            <w:tcMar>
              <w:left w:w="14" w:type="dxa"/>
              <w:right w:w="14" w:type="dxa"/>
            </w:tcMar>
            <w:vAlign w:val="center"/>
          </w:tcPr>
          <w:p w14:paraId="37CACD14" w14:textId="77777777" w:rsidR="00B607BD" w:rsidRPr="00A06F1E" w:rsidRDefault="00B607BD" w:rsidP="00423CF5">
            <w:pPr>
              <w:pStyle w:val="TableColHeadingCenter"/>
              <w:spacing w:before="10" w:after="10"/>
            </w:pPr>
            <w:r w:rsidRPr="00A06F1E">
              <w:t>2023</w:t>
            </w:r>
          </w:p>
        </w:tc>
        <w:tc>
          <w:tcPr>
            <w:tcW w:w="470" w:type="pct"/>
            <w:tcMar>
              <w:left w:w="14" w:type="dxa"/>
              <w:right w:w="14" w:type="dxa"/>
            </w:tcMar>
            <w:vAlign w:val="center"/>
          </w:tcPr>
          <w:p w14:paraId="7A2A42E4" w14:textId="77777777" w:rsidR="00B607BD" w:rsidRPr="00A06F1E" w:rsidRDefault="00B607BD" w:rsidP="00423CF5">
            <w:pPr>
              <w:pStyle w:val="TableColHeadingCenter"/>
              <w:spacing w:before="10" w:after="10"/>
            </w:pPr>
            <w:r w:rsidRPr="00A06F1E">
              <w:t>State (2023)</w:t>
            </w:r>
          </w:p>
        </w:tc>
        <w:tc>
          <w:tcPr>
            <w:tcW w:w="356" w:type="pct"/>
            <w:tcMar>
              <w:left w:w="14" w:type="dxa"/>
              <w:right w:w="14" w:type="dxa"/>
            </w:tcMar>
            <w:vAlign w:val="center"/>
          </w:tcPr>
          <w:p w14:paraId="425521BC" w14:textId="77777777" w:rsidR="00B607BD" w:rsidRPr="00A06F1E" w:rsidRDefault="00B607BD" w:rsidP="00423CF5">
            <w:pPr>
              <w:pStyle w:val="TableColHeadingCenter"/>
              <w:spacing w:before="10" w:after="10"/>
            </w:pPr>
            <w:r w:rsidRPr="00A06F1E">
              <w:t>2022</w:t>
            </w:r>
          </w:p>
        </w:tc>
        <w:tc>
          <w:tcPr>
            <w:tcW w:w="356" w:type="pct"/>
            <w:tcMar>
              <w:left w:w="14" w:type="dxa"/>
              <w:right w:w="14" w:type="dxa"/>
            </w:tcMar>
            <w:vAlign w:val="center"/>
          </w:tcPr>
          <w:p w14:paraId="56FBFB58" w14:textId="77777777" w:rsidR="00B607BD" w:rsidRPr="00A06F1E" w:rsidRDefault="00B607BD" w:rsidP="00423CF5">
            <w:pPr>
              <w:pStyle w:val="TableColHeadingCenter"/>
              <w:spacing w:before="10" w:after="10"/>
            </w:pPr>
            <w:r w:rsidRPr="00A06F1E">
              <w:t>2023</w:t>
            </w:r>
          </w:p>
        </w:tc>
        <w:tc>
          <w:tcPr>
            <w:tcW w:w="452" w:type="pct"/>
            <w:tcMar>
              <w:left w:w="14" w:type="dxa"/>
              <w:right w:w="14" w:type="dxa"/>
            </w:tcMar>
            <w:vAlign w:val="center"/>
          </w:tcPr>
          <w:p w14:paraId="1BE634D7" w14:textId="77777777" w:rsidR="00B607BD" w:rsidRPr="00A06F1E" w:rsidRDefault="00B607BD" w:rsidP="00423CF5">
            <w:pPr>
              <w:pStyle w:val="TableColHeadingCenter"/>
              <w:spacing w:before="10" w:after="10"/>
            </w:pPr>
            <w:r w:rsidRPr="00A06F1E">
              <w:t>State (2023)</w:t>
            </w:r>
          </w:p>
        </w:tc>
      </w:tr>
      <w:tr w:rsidR="00423CF5" w:rsidRPr="00A06F1E" w14:paraId="64543C32"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4E650E32"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All</w:t>
            </w:r>
          </w:p>
        </w:tc>
        <w:tc>
          <w:tcPr>
            <w:tcW w:w="411" w:type="pct"/>
            <w:vAlign w:val="center"/>
          </w:tcPr>
          <w:p w14:paraId="15DE74E6"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81</w:t>
            </w:r>
          </w:p>
        </w:tc>
        <w:tc>
          <w:tcPr>
            <w:tcW w:w="339" w:type="pct"/>
            <w:vAlign w:val="center"/>
          </w:tcPr>
          <w:p w14:paraId="12376224"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40</w:t>
            </w:r>
          </w:p>
        </w:tc>
        <w:tc>
          <w:tcPr>
            <w:tcW w:w="339" w:type="pct"/>
            <w:gridSpan w:val="2"/>
            <w:vAlign w:val="center"/>
          </w:tcPr>
          <w:p w14:paraId="71BCB699"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51</w:t>
            </w:r>
          </w:p>
        </w:tc>
        <w:tc>
          <w:tcPr>
            <w:tcW w:w="486" w:type="pct"/>
            <w:vAlign w:val="center"/>
          </w:tcPr>
          <w:p w14:paraId="6FB5FC46"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58</w:t>
            </w:r>
          </w:p>
        </w:tc>
        <w:tc>
          <w:tcPr>
            <w:tcW w:w="347" w:type="pct"/>
            <w:vAlign w:val="center"/>
          </w:tcPr>
          <w:p w14:paraId="339BEA77"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44</w:t>
            </w:r>
          </w:p>
        </w:tc>
        <w:tc>
          <w:tcPr>
            <w:tcW w:w="347" w:type="pct"/>
            <w:vAlign w:val="center"/>
          </w:tcPr>
          <w:p w14:paraId="7F7E9365"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32</w:t>
            </w:r>
          </w:p>
        </w:tc>
        <w:tc>
          <w:tcPr>
            <w:tcW w:w="470" w:type="pct"/>
            <w:vAlign w:val="center"/>
          </w:tcPr>
          <w:p w14:paraId="35E9846D"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30</w:t>
            </w:r>
          </w:p>
        </w:tc>
        <w:tc>
          <w:tcPr>
            <w:tcW w:w="356" w:type="pct"/>
            <w:vAlign w:val="center"/>
          </w:tcPr>
          <w:p w14:paraId="5A8A1174"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16</w:t>
            </w:r>
          </w:p>
        </w:tc>
        <w:tc>
          <w:tcPr>
            <w:tcW w:w="356" w:type="pct"/>
            <w:vAlign w:val="center"/>
          </w:tcPr>
          <w:p w14:paraId="7DCC7065"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17</w:t>
            </w:r>
          </w:p>
        </w:tc>
        <w:tc>
          <w:tcPr>
            <w:tcW w:w="452" w:type="pct"/>
            <w:vAlign w:val="bottom"/>
          </w:tcPr>
          <w:p w14:paraId="2700CA0E"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11</w:t>
            </w:r>
          </w:p>
        </w:tc>
      </w:tr>
      <w:tr w:rsidR="00423CF5" w:rsidRPr="00A06F1E" w14:paraId="6136BC0A" w14:textId="77777777" w:rsidTr="00423CF5">
        <w:tc>
          <w:tcPr>
            <w:tcW w:w="1097" w:type="pct"/>
          </w:tcPr>
          <w:p w14:paraId="0E964473"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African American/Black</w:t>
            </w:r>
          </w:p>
        </w:tc>
        <w:tc>
          <w:tcPr>
            <w:tcW w:w="411" w:type="pct"/>
            <w:vAlign w:val="center"/>
          </w:tcPr>
          <w:p w14:paraId="35CCB40A" w14:textId="09B425A0"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vAlign w:val="center"/>
          </w:tcPr>
          <w:p w14:paraId="0923A952" w14:textId="5F142C50"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gridSpan w:val="2"/>
            <w:vAlign w:val="center"/>
          </w:tcPr>
          <w:p w14:paraId="38235F6B" w14:textId="23F4D3F4"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center"/>
          </w:tcPr>
          <w:p w14:paraId="4010614A"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42</w:t>
            </w:r>
          </w:p>
        </w:tc>
        <w:tc>
          <w:tcPr>
            <w:tcW w:w="347" w:type="pct"/>
            <w:vAlign w:val="center"/>
          </w:tcPr>
          <w:p w14:paraId="4F71306B" w14:textId="0273F7C9"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7" w:type="pct"/>
            <w:vAlign w:val="center"/>
          </w:tcPr>
          <w:p w14:paraId="445B5F39" w14:textId="35F579B7"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0" w:type="pct"/>
            <w:vAlign w:val="center"/>
          </w:tcPr>
          <w:p w14:paraId="0060EC32"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41</w:t>
            </w:r>
          </w:p>
        </w:tc>
        <w:tc>
          <w:tcPr>
            <w:tcW w:w="356" w:type="pct"/>
            <w:vAlign w:val="center"/>
          </w:tcPr>
          <w:p w14:paraId="2151EF84" w14:textId="254B34F4"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5F5E5B04" w14:textId="513B4C75"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52" w:type="pct"/>
            <w:vAlign w:val="bottom"/>
          </w:tcPr>
          <w:p w14:paraId="41D69C4B"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17</w:t>
            </w:r>
          </w:p>
        </w:tc>
      </w:tr>
      <w:tr w:rsidR="00423CF5" w:rsidRPr="00A06F1E" w14:paraId="6BC559A4"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0BD8C0D3"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Asian</w:t>
            </w:r>
          </w:p>
        </w:tc>
        <w:tc>
          <w:tcPr>
            <w:tcW w:w="411" w:type="pct"/>
            <w:vAlign w:val="center"/>
          </w:tcPr>
          <w:p w14:paraId="156A156E" w14:textId="6AF0F9D8"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vAlign w:val="center"/>
          </w:tcPr>
          <w:p w14:paraId="21C4C7F9" w14:textId="39ADCF67"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gridSpan w:val="2"/>
            <w:vAlign w:val="center"/>
          </w:tcPr>
          <w:p w14:paraId="153858FA" w14:textId="5BFA66AD"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center"/>
          </w:tcPr>
          <w:p w14:paraId="2DBA272B"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79</w:t>
            </w:r>
          </w:p>
        </w:tc>
        <w:tc>
          <w:tcPr>
            <w:tcW w:w="347" w:type="pct"/>
            <w:vAlign w:val="center"/>
          </w:tcPr>
          <w:p w14:paraId="597D66E0" w14:textId="3041E6E5"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7" w:type="pct"/>
            <w:vAlign w:val="center"/>
          </w:tcPr>
          <w:p w14:paraId="3AE07970" w14:textId="6B43B62E"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0" w:type="pct"/>
            <w:vAlign w:val="center"/>
          </w:tcPr>
          <w:p w14:paraId="509FA443"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16</w:t>
            </w:r>
          </w:p>
        </w:tc>
        <w:tc>
          <w:tcPr>
            <w:tcW w:w="356" w:type="pct"/>
            <w:vAlign w:val="center"/>
          </w:tcPr>
          <w:p w14:paraId="176D91BB" w14:textId="1FB0FE7F"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617C8248" w14:textId="6420044F"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52" w:type="pct"/>
            <w:vAlign w:val="bottom"/>
          </w:tcPr>
          <w:p w14:paraId="009EEBB6"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5</w:t>
            </w:r>
          </w:p>
        </w:tc>
      </w:tr>
      <w:tr w:rsidR="00423CF5" w:rsidRPr="00A06F1E" w14:paraId="0738544E" w14:textId="77777777" w:rsidTr="00423CF5">
        <w:tc>
          <w:tcPr>
            <w:tcW w:w="1097" w:type="pct"/>
          </w:tcPr>
          <w:p w14:paraId="0D0CCF16"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Hispanic/Latino</w:t>
            </w:r>
          </w:p>
        </w:tc>
        <w:tc>
          <w:tcPr>
            <w:tcW w:w="411" w:type="pct"/>
            <w:vAlign w:val="center"/>
          </w:tcPr>
          <w:p w14:paraId="3F712A3A" w14:textId="3B52310D"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vAlign w:val="center"/>
          </w:tcPr>
          <w:p w14:paraId="736DC57D" w14:textId="5B309E35"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gridSpan w:val="2"/>
            <w:vAlign w:val="center"/>
          </w:tcPr>
          <w:p w14:paraId="553E451E" w14:textId="733232F7"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center"/>
          </w:tcPr>
          <w:p w14:paraId="50EE81B7"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36</w:t>
            </w:r>
          </w:p>
        </w:tc>
        <w:tc>
          <w:tcPr>
            <w:tcW w:w="347" w:type="pct"/>
            <w:vAlign w:val="center"/>
          </w:tcPr>
          <w:p w14:paraId="68F31FF2" w14:textId="67DA1428"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7" w:type="pct"/>
            <w:vAlign w:val="center"/>
          </w:tcPr>
          <w:p w14:paraId="521D7848" w14:textId="3444280F"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0" w:type="pct"/>
            <w:vAlign w:val="center"/>
          </w:tcPr>
          <w:p w14:paraId="4F9C352D"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39</w:t>
            </w:r>
          </w:p>
        </w:tc>
        <w:tc>
          <w:tcPr>
            <w:tcW w:w="356" w:type="pct"/>
            <w:vAlign w:val="center"/>
          </w:tcPr>
          <w:p w14:paraId="36B0E314" w14:textId="35C1A602"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3B04470A" w14:textId="610A7D68"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52" w:type="pct"/>
            <w:vAlign w:val="bottom"/>
          </w:tcPr>
          <w:p w14:paraId="2E261D21"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24</w:t>
            </w:r>
          </w:p>
        </w:tc>
      </w:tr>
      <w:tr w:rsidR="00423CF5" w:rsidRPr="00A06F1E" w14:paraId="75C8AC82"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1706FB98"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cstheme="minorHAnsi"/>
              </w:rPr>
              <w:t>Multi-Race, non-Hispanic/Latino</w:t>
            </w:r>
          </w:p>
        </w:tc>
        <w:tc>
          <w:tcPr>
            <w:tcW w:w="411" w:type="pct"/>
            <w:vAlign w:val="center"/>
          </w:tcPr>
          <w:p w14:paraId="01EEC619" w14:textId="6A79E116"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vAlign w:val="center"/>
          </w:tcPr>
          <w:p w14:paraId="40325252" w14:textId="60BCEED1"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gridSpan w:val="2"/>
            <w:vAlign w:val="center"/>
          </w:tcPr>
          <w:p w14:paraId="658CF831" w14:textId="4B22C25C"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center"/>
          </w:tcPr>
          <w:p w14:paraId="6C1A6FED"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63</w:t>
            </w:r>
          </w:p>
        </w:tc>
        <w:tc>
          <w:tcPr>
            <w:tcW w:w="347" w:type="pct"/>
            <w:vAlign w:val="center"/>
          </w:tcPr>
          <w:p w14:paraId="4D44C82A" w14:textId="0F87159F"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7" w:type="pct"/>
            <w:vAlign w:val="center"/>
          </w:tcPr>
          <w:p w14:paraId="62BFD0D7" w14:textId="4C553234"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0" w:type="pct"/>
            <w:vAlign w:val="center"/>
          </w:tcPr>
          <w:p w14:paraId="73BBC349"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29</w:t>
            </w:r>
          </w:p>
        </w:tc>
        <w:tc>
          <w:tcPr>
            <w:tcW w:w="356" w:type="pct"/>
            <w:vAlign w:val="center"/>
          </w:tcPr>
          <w:p w14:paraId="053FB90A" w14:textId="7B73CCA1"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78AA6F4C" w14:textId="247E313B"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52" w:type="pct"/>
            <w:vAlign w:val="bottom"/>
          </w:tcPr>
          <w:p w14:paraId="3D7CBF6E"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9</w:t>
            </w:r>
          </w:p>
        </w:tc>
      </w:tr>
      <w:tr w:rsidR="00423CF5" w:rsidRPr="00A06F1E" w14:paraId="371000F2" w14:textId="77777777" w:rsidTr="00423CF5">
        <w:tc>
          <w:tcPr>
            <w:tcW w:w="1097" w:type="pct"/>
          </w:tcPr>
          <w:p w14:paraId="2E8EF75B"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Native American</w:t>
            </w:r>
          </w:p>
        </w:tc>
        <w:tc>
          <w:tcPr>
            <w:tcW w:w="411" w:type="pct"/>
            <w:vAlign w:val="center"/>
          </w:tcPr>
          <w:p w14:paraId="3DB428EA" w14:textId="183357E9"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vAlign w:val="center"/>
          </w:tcPr>
          <w:p w14:paraId="43925E18" w14:textId="04C05752"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gridSpan w:val="2"/>
            <w:vAlign w:val="center"/>
          </w:tcPr>
          <w:p w14:paraId="61308453" w14:textId="61E297D0"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center"/>
          </w:tcPr>
          <w:p w14:paraId="1D515A8B"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42</w:t>
            </w:r>
          </w:p>
        </w:tc>
        <w:tc>
          <w:tcPr>
            <w:tcW w:w="347" w:type="pct"/>
            <w:vAlign w:val="center"/>
          </w:tcPr>
          <w:p w14:paraId="550B39AC" w14:textId="4CE6FB27"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7" w:type="pct"/>
            <w:vAlign w:val="center"/>
          </w:tcPr>
          <w:p w14:paraId="2AB057A6" w14:textId="543DD2EB"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0" w:type="pct"/>
            <w:vAlign w:val="center"/>
          </w:tcPr>
          <w:p w14:paraId="4A1F3ED1"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41</w:t>
            </w:r>
          </w:p>
        </w:tc>
        <w:tc>
          <w:tcPr>
            <w:tcW w:w="356" w:type="pct"/>
            <w:vAlign w:val="center"/>
          </w:tcPr>
          <w:p w14:paraId="2BB9A4A7" w14:textId="62D173B6"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0BEE7483" w14:textId="1850EE01"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52" w:type="pct"/>
            <w:vAlign w:val="bottom"/>
          </w:tcPr>
          <w:p w14:paraId="55F870E6"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18</w:t>
            </w:r>
          </w:p>
        </w:tc>
      </w:tr>
      <w:tr w:rsidR="00423CF5" w:rsidRPr="00A06F1E" w14:paraId="63C33DD7"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7C011223" w14:textId="77777777" w:rsidR="00B607BD" w:rsidRPr="00A06F1E" w:rsidRDefault="00B607BD" w:rsidP="00423CF5">
            <w:pPr>
              <w:pStyle w:val="TableText"/>
              <w:spacing w:before="10" w:after="10"/>
              <w:rPr>
                <w:rFonts w:ascii="Franklin Gothic Book" w:hAnsi="Franklin Gothic Book"/>
                <w:spacing w:val="-4"/>
              </w:rPr>
            </w:pPr>
            <w:r w:rsidRPr="00A06F1E">
              <w:rPr>
                <w:rFonts w:ascii="Franklin Gothic Book" w:hAnsi="Franklin Gothic Book"/>
                <w:spacing w:val="-4"/>
              </w:rPr>
              <w:t>Native Hawaiian, Pacific Islander</w:t>
            </w:r>
          </w:p>
        </w:tc>
        <w:tc>
          <w:tcPr>
            <w:tcW w:w="411" w:type="pct"/>
            <w:vAlign w:val="center"/>
          </w:tcPr>
          <w:p w14:paraId="5021BAD4" w14:textId="73C74A84"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vAlign w:val="center"/>
          </w:tcPr>
          <w:p w14:paraId="3909496F" w14:textId="3F82A5F6"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gridSpan w:val="2"/>
            <w:vAlign w:val="center"/>
          </w:tcPr>
          <w:p w14:paraId="3452E8D0" w14:textId="12259986"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center"/>
          </w:tcPr>
          <w:p w14:paraId="6BBA43F5"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41</w:t>
            </w:r>
          </w:p>
        </w:tc>
        <w:tc>
          <w:tcPr>
            <w:tcW w:w="347" w:type="pct"/>
            <w:vAlign w:val="center"/>
          </w:tcPr>
          <w:p w14:paraId="63CE0A62" w14:textId="477F6446"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7" w:type="pct"/>
            <w:vAlign w:val="center"/>
          </w:tcPr>
          <w:p w14:paraId="72713F85" w14:textId="7D36ACEA"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0" w:type="pct"/>
            <w:vAlign w:val="center"/>
          </w:tcPr>
          <w:p w14:paraId="7D9EBD0F"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47</w:t>
            </w:r>
          </w:p>
        </w:tc>
        <w:tc>
          <w:tcPr>
            <w:tcW w:w="356" w:type="pct"/>
            <w:vAlign w:val="center"/>
          </w:tcPr>
          <w:p w14:paraId="4DC7F072" w14:textId="359484E5"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0A6012F8" w14:textId="1DBB10A6"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52" w:type="pct"/>
            <w:vAlign w:val="bottom"/>
          </w:tcPr>
          <w:p w14:paraId="22C4677F"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11</w:t>
            </w:r>
          </w:p>
        </w:tc>
      </w:tr>
      <w:tr w:rsidR="00423CF5" w:rsidRPr="00A06F1E" w14:paraId="16CD6BF4" w14:textId="77777777" w:rsidTr="00423CF5">
        <w:tc>
          <w:tcPr>
            <w:tcW w:w="1097" w:type="pct"/>
          </w:tcPr>
          <w:p w14:paraId="54283E9D"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White</w:t>
            </w:r>
          </w:p>
        </w:tc>
        <w:tc>
          <w:tcPr>
            <w:tcW w:w="411" w:type="pct"/>
            <w:vAlign w:val="center"/>
          </w:tcPr>
          <w:p w14:paraId="26F70140"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66</w:t>
            </w:r>
          </w:p>
        </w:tc>
        <w:tc>
          <w:tcPr>
            <w:tcW w:w="339" w:type="pct"/>
            <w:vAlign w:val="center"/>
          </w:tcPr>
          <w:p w14:paraId="6CF7C386"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42</w:t>
            </w:r>
          </w:p>
        </w:tc>
        <w:tc>
          <w:tcPr>
            <w:tcW w:w="339" w:type="pct"/>
            <w:gridSpan w:val="2"/>
            <w:vAlign w:val="center"/>
          </w:tcPr>
          <w:p w14:paraId="7814CC42"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52</w:t>
            </w:r>
          </w:p>
        </w:tc>
        <w:tc>
          <w:tcPr>
            <w:tcW w:w="486" w:type="pct"/>
            <w:vAlign w:val="center"/>
          </w:tcPr>
          <w:p w14:paraId="50ED056C"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67</w:t>
            </w:r>
          </w:p>
        </w:tc>
        <w:tc>
          <w:tcPr>
            <w:tcW w:w="347" w:type="pct"/>
            <w:vAlign w:val="center"/>
          </w:tcPr>
          <w:p w14:paraId="2FF5ED68"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42</w:t>
            </w:r>
          </w:p>
        </w:tc>
        <w:tc>
          <w:tcPr>
            <w:tcW w:w="347" w:type="pct"/>
            <w:vAlign w:val="center"/>
          </w:tcPr>
          <w:p w14:paraId="08A17B36"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33</w:t>
            </w:r>
          </w:p>
        </w:tc>
        <w:tc>
          <w:tcPr>
            <w:tcW w:w="470" w:type="pct"/>
            <w:vAlign w:val="center"/>
          </w:tcPr>
          <w:p w14:paraId="36008495"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27</w:t>
            </w:r>
          </w:p>
        </w:tc>
        <w:tc>
          <w:tcPr>
            <w:tcW w:w="356" w:type="pct"/>
            <w:vAlign w:val="center"/>
          </w:tcPr>
          <w:p w14:paraId="4CEB2A49"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16</w:t>
            </w:r>
          </w:p>
        </w:tc>
        <w:tc>
          <w:tcPr>
            <w:tcW w:w="356" w:type="pct"/>
            <w:vAlign w:val="center"/>
          </w:tcPr>
          <w:p w14:paraId="74C20A68"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15</w:t>
            </w:r>
          </w:p>
        </w:tc>
        <w:tc>
          <w:tcPr>
            <w:tcW w:w="452" w:type="pct"/>
            <w:vAlign w:val="bottom"/>
          </w:tcPr>
          <w:p w14:paraId="53163A75"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6</w:t>
            </w:r>
          </w:p>
        </w:tc>
      </w:tr>
      <w:tr w:rsidR="00423CF5" w:rsidRPr="00A06F1E" w14:paraId="65487BE2"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61B33420"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High needs</w:t>
            </w:r>
          </w:p>
        </w:tc>
        <w:tc>
          <w:tcPr>
            <w:tcW w:w="411" w:type="pct"/>
            <w:vAlign w:val="center"/>
          </w:tcPr>
          <w:p w14:paraId="32E38A37"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51</w:t>
            </w:r>
          </w:p>
        </w:tc>
        <w:tc>
          <w:tcPr>
            <w:tcW w:w="339" w:type="pct"/>
            <w:vAlign w:val="center"/>
          </w:tcPr>
          <w:p w14:paraId="5E3A2A9C"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23</w:t>
            </w:r>
          </w:p>
        </w:tc>
        <w:tc>
          <w:tcPr>
            <w:tcW w:w="339" w:type="pct"/>
            <w:gridSpan w:val="2"/>
            <w:vAlign w:val="center"/>
          </w:tcPr>
          <w:p w14:paraId="78817936"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37</w:t>
            </w:r>
          </w:p>
        </w:tc>
        <w:tc>
          <w:tcPr>
            <w:tcW w:w="486" w:type="pct"/>
            <w:vAlign w:val="center"/>
          </w:tcPr>
          <w:p w14:paraId="1A1404F4"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37</w:t>
            </w:r>
          </w:p>
        </w:tc>
        <w:tc>
          <w:tcPr>
            <w:tcW w:w="347" w:type="pct"/>
            <w:vAlign w:val="center"/>
          </w:tcPr>
          <w:p w14:paraId="0D0ED3B2"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51</w:t>
            </w:r>
          </w:p>
        </w:tc>
        <w:tc>
          <w:tcPr>
            <w:tcW w:w="347" w:type="pct"/>
            <w:vAlign w:val="center"/>
          </w:tcPr>
          <w:p w14:paraId="0CDBF8FB"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39</w:t>
            </w:r>
          </w:p>
        </w:tc>
        <w:tc>
          <w:tcPr>
            <w:tcW w:w="470" w:type="pct"/>
            <w:vAlign w:val="center"/>
          </w:tcPr>
          <w:p w14:paraId="6DEB7A31"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42</w:t>
            </w:r>
          </w:p>
        </w:tc>
        <w:tc>
          <w:tcPr>
            <w:tcW w:w="356" w:type="pct"/>
            <w:vAlign w:val="center"/>
          </w:tcPr>
          <w:p w14:paraId="7DBB8ECD"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26</w:t>
            </w:r>
          </w:p>
        </w:tc>
        <w:tc>
          <w:tcPr>
            <w:tcW w:w="356" w:type="pct"/>
            <w:vAlign w:val="center"/>
          </w:tcPr>
          <w:p w14:paraId="1F6248FC"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24</w:t>
            </w:r>
          </w:p>
        </w:tc>
        <w:tc>
          <w:tcPr>
            <w:tcW w:w="452" w:type="pct"/>
            <w:vAlign w:val="bottom"/>
          </w:tcPr>
          <w:p w14:paraId="18969E6D"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21</w:t>
            </w:r>
          </w:p>
        </w:tc>
      </w:tr>
      <w:tr w:rsidR="00423CF5" w:rsidRPr="00A06F1E" w14:paraId="40CC4912" w14:textId="77777777" w:rsidTr="00423CF5">
        <w:tc>
          <w:tcPr>
            <w:tcW w:w="1097" w:type="pct"/>
          </w:tcPr>
          <w:p w14:paraId="28C58776"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Low income</w:t>
            </w:r>
          </w:p>
        </w:tc>
        <w:tc>
          <w:tcPr>
            <w:tcW w:w="411" w:type="pct"/>
            <w:vAlign w:val="center"/>
          </w:tcPr>
          <w:p w14:paraId="3CEA8519"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43</w:t>
            </w:r>
          </w:p>
        </w:tc>
        <w:tc>
          <w:tcPr>
            <w:tcW w:w="339" w:type="pct"/>
            <w:vAlign w:val="center"/>
          </w:tcPr>
          <w:p w14:paraId="0C00D1A6"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25</w:t>
            </w:r>
          </w:p>
        </w:tc>
        <w:tc>
          <w:tcPr>
            <w:tcW w:w="339" w:type="pct"/>
            <w:gridSpan w:val="2"/>
            <w:vAlign w:val="center"/>
          </w:tcPr>
          <w:p w14:paraId="16777E50"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44</w:t>
            </w:r>
          </w:p>
        </w:tc>
        <w:tc>
          <w:tcPr>
            <w:tcW w:w="486" w:type="pct"/>
            <w:vAlign w:val="center"/>
          </w:tcPr>
          <w:p w14:paraId="01356E9A"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39</w:t>
            </w:r>
          </w:p>
        </w:tc>
        <w:tc>
          <w:tcPr>
            <w:tcW w:w="347" w:type="pct"/>
            <w:vAlign w:val="center"/>
          </w:tcPr>
          <w:p w14:paraId="79E0AB83"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50</w:t>
            </w:r>
          </w:p>
        </w:tc>
        <w:tc>
          <w:tcPr>
            <w:tcW w:w="347" w:type="pct"/>
            <w:vAlign w:val="center"/>
          </w:tcPr>
          <w:p w14:paraId="3B20A8D1"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40</w:t>
            </w:r>
          </w:p>
        </w:tc>
        <w:tc>
          <w:tcPr>
            <w:tcW w:w="470" w:type="pct"/>
            <w:vAlign w:val="center"/>
          </w:tcPr>
          <w:p w14:paraId="6EF9326A"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40</w:t>
            </w:r>
          </w:p>
        </w:tc>
        <w:tc>
          <w:tcPr>
            <w:tcW w:w="356" w:type="pct"/>
            <w:vAlign w:val="center"/>
          </w:tcPr>
          <w:p w14:paraId="690FFA33"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25</w:t>
            </w:r>
          </w:p>
        </w:tc>
        <w:tc>
          <w:tcPr>
            <w:tcW w:w="356" w:type="pct"/>
            <w:vAlign w:val="center"/>
          </w:tcPr>
          <w:p w14:paraId="24FE73BC"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16</w:t>
            </w:r>
          </w:p>
        </w:tc>
        <w:tc>
          <w:tcPr>
            <w:tcW w:w="452" w:type="pct"/>
            <w:vAlign w:val="bottom"/>
          </w:tcPr>
          <w:p w14:paraId="50AABAC7"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21</w:t>
            </w:r>
          </w:p>
        </w:tc>
      </w:tr>
      <w:tr w:rsidR="00423CF5" w:rsidRPr="00A06F1E" w14:paraId="1071A440" w14:textId="77777777" w:rsidTr="00423CF5">
        <w:trPr>
          <w:cnfStyle w:val="000000100000" w:firstRow="0" w:lastRow="0" w:firstColumn="0" w:lastColumn="0" w:oddVBand="0" w:evenVBand="0" w:oddHBand="1" w:evenHBand="0" w:firstRowFirstColumn="0" w:firstRowLastColumn="0" w:lastRowFirstColumn="0" w:lastRowLastColumn="0"/>
        </w:trPr>
        <w:tc>
          <w:tcPr>
            <w:tcW w:w="1097" w:type="pct"/>
          </w:tcPr>
          <w:p w14:paraId="781C1D24" w14:textId="77777777" w:rsidR="00B607BD" w:rsidRPr="00A06F1E" w:rsidRDefault="00B607BD" w:rsidP="00423CF5">
            <w:pPr>
              <w:pStyle w:val="TableText"/>
              <w:spacing w:before="10" w:after="10"/>
              <w:rPr>
                <w:rFonts w:ascii="Franklin Gothic Book" w:hAnsi="Franklin Gothic Book"/>
                <w:spacing w:val="-4"/>
              </w:rPr>
            </w:pPr>
            <w:r w:rsidRPr="00A06F1E">
              <w:rPr>
                <w:rFonts w:ascii="Franklin Gothic Book" w:hAnsi="Franklin Gothic Book"/>
                <w:spacing w:val="-4"/>
              </w:rPr>
              <w:t>ELs and former ELs</w:t>
            </w:r>
          </w:p>
        </w:tc>
        <w:tc>
          <w:tcPr>
            <w:tcW w:w="411" w:type="pct"/>
            <w:vAlign w:val="center"/>
          </w:tcPr>
          <w:p w14:paraId="6996D39B" w14:textId="2C7A6069"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vAlign w:val="center"/>
          </w:tcPr>
          <w:p w14:paraId="5A40BFF1" w14:textId="6DD16725"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39" w:type="pct"/>
            <w:gridSpan w:val="2"/>
            <w:vAlign w:val="center"/>
          </w:tcPr>
          <w:p w14:paraId="01106A34" w14:textId="156EEFD4"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center"/>
          </w:tcPr>
          <w:p w14:paraId="6DC704B6"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16</w:t>
            </w:r>
          </w:p>
        </w:tc>
        <w:tc>
          <w:tcPr>
            <w:tcW w:w="347" w:type="pct"/>
            <w:vAlign w:val="center"/>
          </w:tcPr>
          <w:p w14:paraId="070CA053" w14:textId="5BF35561"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47" w:type="pct"/>
            <w:vAlign w:val="center"/>
          </w:tcPr>
          <w:p w14:paraId="0A6F45E1" w14:textId="211F6160"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70" w:type="pct"/>
            <w:vAlign w:val="center"/>
          </w:tcPr>
          <w:p w14:paraId="69D88547"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39</w:t>
            </w:r>
          </w:p>
        </w:tc>
        <w:tc>
          <w:tcPr>
            <w:tcW w:w="356" w:type="pct"/>
            <w:vAlign w:val="center"/>
          </w:tcPr>
          <w:p w14:paraId="327DEC01" w14:textId="4BE7725F"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23D3BBD4" w14:textId="091B7FD4" w:rsidR="00B607BD" w:rsidRPr="00A06F1E" w:rsidRDefault="00805266" w:rsidP="00423CF5">
            <w:pPr>
              <w:pStyle w:val="TableTextCentered"/>
              <w:spacing w:before="10" w:after="10"/>
              <w:rPr>
                <w:rFonts w:ascii="Franklin Gothic Book" w:hAnsi="Franklin Gothic Book"/>
              </w:rPr>
            </w:pPr>
            <w:r w:rsidRPr="00A06F1E">
              <w:rPr>
                <w:rFonts w:ascii="Franklin Gothic Book" w:hAnsi="Franklin Gothic Book"/>
              </w:rPr>
              <w:t>—</w:t>
            </w:r>
          </w:p>
        </w:tc>
        <w:tc>
          <w:tcPr>
            <w:tcW w:w="452" w:type="pct"/>
            <w:vAlign w:val="bottom"/>
          </w:tcPr>
          <w:p w14:paraId="0CD98936"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45</w:t>
            </w:r>
          </w:p>
        </w:tc>
      </w:tr>
      <w:tr w:rsidR="00423CF5" w:rsidRPr="00A06F1E" w14:paraId="49AC6939" w14:textId="77777777" w:rsidTr="00423CF5">
        <w:tc>
          <w:tcPr>
            <w:tcW w:w="1097" w:type="pct"/>
          </w:tcPr>
          <w:p w14:paraId="72B6F799" w14:textId="77777777" w:rsidR="00B607BD" w:rsidRPr="00A06F1E" w:rsidRDefault="00B607BD" w:rsidP="00423CF5">
            <w:pPr>
              <w:pStyle w:val="TableText"/>
              <w:spacing w:before="10" w:after="10"/>
              <w:rPr>
                <w:rFonts w:ascii="Franklin Gothic Book" w:hAnsi="Franklin Gothic Book"/>
              </w:rPr>
            </w:pPr>
            <w:r w:rsidRPr="00A06F1E">
              <w:rPr>
                <w:rFonts w:ascii="Franklin Gothic Book" w:hAnsi="Franklin Gothic Book"/>
              </w:rPr>
              <w:t>Students w/disabilities</w:t>
            </w:r>
          </w:p>
        </w:tc>
        <w:tc>
          <w:tcPr>
            <w:tcW w:w="411" w:type="pct"/>
            <w:vAlign w:val="center"/>
          </w:tcPr>
          <w:p w14:paraId="7045AC4E"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27</w:t>
            </w:r>
          </w:p>
        </w:tc>
        <w:tc>
          <w:tcPr>
            <w:tcW w:w="339" w:type="pct"/>
            <w:vAlign w:val="center"/>
          </w:tcPr>
          <w:p w14:paraId="3BF012C3"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0</w:t>
            </w:r>
          </w:p>
        </w:tc>
        <w:tc>
          <w:tcPr>
            <w:tcW w:w="339" w:type="pct"/>
            <w:gridSpan w:val="2"/>
            <w:vAlign w:val="center"/>
          </w:tcPr>
          <w:p w14:paraId="040CA85F"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15</w:t>
            </w:r>
          </w:p>
        </w:tc>
        <w:tc>
          <w:tcPr>
            <w:tcW w:w="486" w:type="pct"/>
            <w:vAlign w:val="center"/>
          </w:tcPr>
          <w:p w14:paraId="74A3FCB4"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22</w:t>
            </w:r>
          </w:p>
        </w:tc>
        <w:tc>
          <w:tcPr>
            <w:tcW w:w="347" w:type="pct"/>
            <w:vAlign w:val="center"/>
          </w:tcPr>
          <w:p w14:paraId="52228E6F"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36</w:t>
            </w:r>
          </w:p>
        </w:tc>
        <w:tc>
          <w:tcPr>
            <w:tcW w:w="347" w:type="pct"/>
            <w:vAlign w:val="center"/>
          </w:tcPr>
          <w:p w14:paraId="12BF1AB5"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44</w:t>
            </w:r>
          </w:p>
        </w:tc>
        <w:tc>
          <w:tcPr>
            <w:tcW w:w="470" w:type="pct"/>
            <w:vAlign w:val="center"/>
          </w:tcPr>
          <w:p w14:paraId="48705830"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47</w:t>
            </w:r>
          </w:p>
        </w:tc>
        <w:tc>
          <w:tcPr>
            <w:tcW w:w="356" w:type="pct"/>
            <w:vAlign w:val="center"/>
          </w:tcPr>
          <w:p w14:paraId="18F3F964"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64</w:t>
            </w:r>
          </w:p>
        </w:tc>
        <w:tc>
          <w:tcPr>
            <w:tcW w:w="356" w:type="pct"/>
            <w:vAlign w:val="center"/>
          </w:tcPr>
          <w:p w14:paraId="62B31D89"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41</w:t>
            </w:r>
          </w:p>
        </w:tc>
        <w:tc>
          <w:tcPr>
            <w:tcW w:w="452" w:type="pct"/>
            <w:vAlign w:val="bottom"/>
          </w:tcPr>
          <w:p w14:paraId="0C80F10E" w14:textId="77777777" w:rsidR="00B607BD" w:rsidRPr="00A06F1E" w:rsidRDefault="00B607BD" w:rsidP="00423CF5">
            <w:pPr>
              <w:pStyle w:val="TableTextCentered"/>
              <w:spacing w:before="10" w:after="10"/>
              <w:rPr>
                <w:rFonts w:ascii="Franklin Gothic Book" w:hAnsi="Franklin Gothic Book"/>
              </w:rPr>
            </w:pPr>
            <w:r w:rsidRPr="00A06F1E">
              <w:rPr>
                <w:rFonts w:ascii="Franklin Gothic Book" w:hAnsi="Franklin Gothic Book"/>
              </w:rPr>
              <w:t>31</w:t>
            </w:r>
          </w:p>
        </w:tc>
      </w:tr>
    </w:tbl>
    <w:p w14:paraId="764D7FF4" w14:textId="405C3380" w:rsidR="00B607BD" w:rsidRPr="00A06F1E" w:rsidRDefault="00B607BD" w:rsidP="00B7722D">
      <w:pPr>
        <w:pStyle w:val="TabletitleSectionE"/>
      </w:pPr>
      <w:bookmarkStart w:id="250" w:name="_Toc170701951"/>
      <w:bookmarkStart w:id="251" w:name="_Toc171685788"/>
      <w:r w:rsidRPr="00A06F1E">
        <w:lastRenderedPageBreak/>
        <w:t>Table E</w:t>
      </w:r>
      <w:r w:rsidR="00423CF5" w:rsidRPr="00A06F1E">
        <w:t>3</w:t>
      </w:r>
      <w:r w:rsidR="000D346A">
        <w:t>a</w:t>
      </w:r>
      <w:r w:rsidR="00CE00AC" w:rsidRPr="00A06F1E">
        <w:t>.</w:t>
      </w:r>
      <w:r w:rsidRPr="00A06F1E">
        <w:t xml:space="preserve"> </w:t>
      </w:r>
      <w:r w:rsidR="00CF4F71">
        <w:t>Fisher Hill</w:t>
      </w:r>
      <w:r w:rsidR="00F3532E" w:rsidRPr="00A06F1E">
        <w:t>:</w:t>
      </w:r>
      <w:r w:rsidRPr="00A06F1E">
        <w:t xml:space="preserve"> Next-Generation MCAS Mathematics Achievement by Student Group, Grades 3-8, 2022-2023</w:t>
      </w:r>
      <w:bookmarkEnd w:id="250"/>
      <w:bookmarkEnd w:id="251"/>
    </w:p>
    <w:tbl>
      <w:tblPr>
        <w:tblStyle w:val="MSVTable1"/>
        <w:tblW w:w="5000" w:type="pct"/>
        <w:tblLook w:val="0420" w:firstRow="1" w:lastRow="0" w:firstColumn="0" w:lastColumn="0" w:noHBand="0" w:noVBand="1"/>
      </w:tblPr>
      <w:tblGrid>
        <w:gridCol w:w="2820"/>
        <w:gridCol w:w="1057"/>
        <w:gridCol w:w="873"/>
        <w:gridCol w:w="872"/>
        <w:gridCol w:w="1276"/>
        <w:gridCol w:w="880"/>
        <w:gridCol w:w="880"/>
        <w:gridCol w:w="1263"/>
        <w:gridCol w:w="885"/>
        <w:gridCol w:w="888"/>
        <w:gridCol w:w="1250"/>
      </w:tblGrid>
      <w:tr w:rsidR="00B607BD" w:rsidRPr="00A06F1E" w14:paraId="41C4DD63" w14:textId="77777777" w:rsidTr="00AA3A77">
        <w:trPr>
          <w:cnfStyle w:val="100000000000" w:firstRow="1" w:lastRow="0" w:firstColumn="0" w:lastColumn="0" w:oddVBand="0" w:evenVBand="0" w:oddHBand="0" w:evenHBand="0" w:firstRowFirstColumn="0" w:firstRowLastColumn="0" w:lastRowFirstColumn="0" w:lastRowLastColumn="0"/>
          <w:tblHeader/>
        </w:trPr>
        <w:tc>
          <w:tcPr>
            <w:tcW w:w="1089" w:type="pct"/>
            <w:vMerge w:val="restart"/>
            <w:vAlign w:val="center"/>
          </w:tcPr>
          <w:p w14:paraId="1632A216" w14:textId="77777777" w:rsidR="00B607BD" w:rsidRPr="00A06F1E" w:rsidRDefault="00B607BD" w:rsidP="00AA3A77">
            <w:pPr>
              <w:pStyle w:val="TableColHeadingLeft"/>
              <w:spacing w:before="10" w:after="10"/>
              <w:jc w:val="center"/>
            </w:pPr>
            <w:r w:rsidRPr="00A06F1E">
              <w:t>Group</w:t>
            </w:r>
          </w:p>
        </w:tc>
        <w:tc>
          <w:tcPr>
            <w:tcW w:w="408" w:type="pct"/>
            <w:vMerge w:val="restart"/>
            <w:vAlign w:val="center"/>
          </w:tcPr>
          <w:p w14:paraId="2F80F5F1" w14:textId="73CF2068" w:rsidR="00B607BD" w:rsidRPr="00A06F1E" w:rsidRDefault="00B607BD" w:rsidP="00AA3A77">
            <w:pPr>
              <w:pStyle w:val="TableColHeadingCenter"/>
              <w:spacing w:before="10" w:after="10"/>
            </w:pPr>
            <w:r w:rsidRPr="00A06F1E">
              <w:t xml:space="preserve"># </w:t>
            </w:r>
            <w:r w:rsidR="004669DD" w:rsidRPr="00A06F1E">
              <w:t>i</w:t>
            </w:r>
            <w:r w:rsidRPr="00A06F1E">
              <w:t>ncluded (2023)</w:t>
            </w:r>
          </w:p>
        </w:tc>
        <w:tc>
          <w:tcPr>
            <w:tcW w:w="1167" w:type="pct"/>
            <w:gridSpan w:val="3"/>
            <w:vAlign w:val="bottom"/>
          </w:tcPr>
          <w:p w14:paraId="0167F120" w14:textId="6C1B2798" w:rsidR="00B607BD" w:rsidRPr="00A06F1E" w:rsidRDefault="00A228CB" w:rsidP="00AA3A77">
            <w:pPr>
              <w:pStyle w:val="TableColHeadingCenter"/>
              <w:spacing w:before="10" w:after="10"/>
            </w:pPr>
            <w:r w:rsidRPr="00A06F1E">
              <w:t>Percentage</w:t>
            </w:r>
            <w:r w:rsidR="00B607BD" w:rsidRPr="00A06F1E">
              <w:t xml:space="preserve"> meeting or exceeding expectations</w:t>
            </w:r>
          </w:p>
        </w:tc>
        <w:tc>
          <w:tcPr>
            <w:tcW w:w="1168" w:type="pct"/>
            <w:gridSpan w:val="3"/>
            <w:vAlign w:val="center"/>
          </w:tcPr>
          <w:p w14:paraId="0B9A128C" w14:textId="68CAEF1F" w:rsidR="00B607BD" w:rsidRPr="00A06F1E" w:rsidRDefault="00A228CB" w:rsidP="00AA3A77">
            <w:pPr>
              <w:pStyle w:val="TableColHeadingCenter"/>
              <w:spacing w:before="10" w:after="10"/>
            </w:pPr>
            <w:r w:rsidRPr="00A06F1E">
              <w:t>Percentage</w:t>
            </w:r>
            <w:r w:rsidR="00B607BD" w:rsidRPr="00A06F1E">
              <w:t xml:space="preserve"> partially meeting expectations</w:t>
            </w:r>
          </w:p>
        </w:tc>
        <w:tc>
          <w:tcPr>
            <w:tcW w:w="1168" w:type="pct"/>
            <w:gridSpan w:val="3"/>
            <w:vAlign w:val="center"/>
          </w:tcPr>
          <w:p w14:paraId="30C647FF" w14:textId="4C4470AC" w:rsidR="00B607BD" w:rsidRPr="00A06F1E" w:rsidRDefault="00A228CB" w:rsidP="00AA3A77">
            <w:pPr>
              <w:pStyle w:val="TableColHeadingCenter"/>
              <w:spacing w:before="10" w:after="10"/>
            </w:pPr>
            <w:r w:rsidRPr="00A06F1E">
              <w:t>Percentage</w:t>
            </w:r>
            <w:r w:rsidR="00B607BD" w:rsidRPr="00A06F1E">
              <w:t xml:space="preserve"> not meeting expectations</w:t>
            </w:r>
          </w:p>
        </w:tc>
      </w:tr>
      <w:tr w:rsidR="00AA3A77" w:rsidRPr="00A06F1E" w14:paraId="0A657808" w14:textId="77777777" w:rsidTr="00AA3A77">
        <w:trPr>
          <w:cnfStyle w:val="100000000000" w:firstRow="1" w:lastRow="0" w:firstColumn="0" w:lastColumn="0" w:oddVBand="0" w:evenVBand="0" w:oddHBand="0" w:evenHBand="0" w:firstRowFirstColumn="0" w:firstRowLastColumn="0" w:lastRowFirstColumn="0" w:lastRowLastColumn="0"/>
          <w:tblHeader/>
        </w:trPr>
        <w:tc>
          <w:tcPr>
            <w:tcW w:w="1089" w:type="pct"/>
            <w:vMerge/>
            <w:vAlign w:val="bottom"/>
          </w:tcPr>
          <w:p w14:paraId="386DF5B2" w14:textId="77777777" w:rsidR="00B607BD" w:rsidRPr="00A06F1E" w:rsidRDefault="00B607BD" w:rsidP="00AA3A77">
            <w:pPr>
              <w:pStyle w:val="TableColHeadingCenter"/>
              <w:spacing w:before="10" w:after="10"/>
            </w:pPr>
          </w:p>
        </w:tc>
        <w:tc>
          <w:tcPr>
            <w:tcW w:w="408" w:type="pct"/>
            <w:vMerge/>
            <w:vAlign w:val="bottom"/>
          </w:tcPr>
          <w:p w14:paraId="6D777DD6" w14:textId="77777777" w:rsidR="00B607BD" w:rsidRPr="00A06F1E" w:rsidRDefault="00B607BD" w:rsidP="00AA3A77">
            <w:pPr>
              <w:pStyle w:val="TableColHeadingCenter"/>
              <w:spacing w:before="10" w:after="10"/>
            </w:pPr>
          </w:p>
        </w:tc>
        <w:tc>
          <w:tcPr>
            <w:tcW w:w="337" w:type="pct"/>
            <w:vAlign w:val="center"/>
          </w:tcPr>
          <w:p w14:paraId="1C236238" w14:textId="77777777" w:rsidR="00B607BD" w:rsidRPr="00A06F1E" w:rsidRDefault="00B607BD" w:rsidP="00AA3A77">
            <w:pPr>
              <w:pStyle w:val="TableColHeadingCenter"/>
              <w:spacing w:before="10" w:after="10"/>
            </w:pPr>
            <w:r w:rsidRPr="00A06F1E">
              <w:t>2022</w:t>
            </w:r>
          </w:p>
        </w:tc>
        <w:tc>
          <w:tcPr>
            <w:tcW w:w="337" w:type="pct"/>
            <w:vAlign w:val="center"/>
          </w:tcPr>
          <w:p w14:paraId="147BD257" w14:textId="77777777" w:rsidR="00B607BD" w:rsidRPr="00A06F1E" w:rsidRDefault="00B607BD" w:rsidP="00AA3A77">
            <w:pPr>
              <w:pStyle w:val="TableColHeadingCenter"/>
              <w:spacing w:before="10" w:after="10"/>
            </w:pPr>
            <w:r w:rsidRPr="00A06F1E">
              <w:t>2023</w:t>
            </w:r>
          </w:p>
        </w:tc>
        <w:tc>
          <w:tcPr>
            <w:tcW w:w="493" w:type="pct"/>
            <w:vAlign w:val="center"/>
          </w:tcPr>
          <w:p w14:paraId="6D411ED5" w14:textId="77777777" w:rsidR="00B607BD" w:rsidRPr="00A06F1E" w:rsidRDefault="00B607BD" w:rsidP="00AA3A77">
            <w:pPr>
              <w:pStyle w:val="TableColHeadingCenter"/>
              <w:spacing w:before="10" w:after="10"/>
            </w:pPr>
            <w:r w:rsidRPr="00A06F1E">
              <w:t>State (2023)</w:t>
            </w:r>
          </w:p>
        </w:tc>
        <w:tc>
          <w:tcPr>
            <w:tcW w:w="340" w:type="pct"/>
            <w:vAlign w:val="center"/>
          </w:tcPr>
          <w:p w14:paraId="7648B94D" w14:textId="77777777" w:rsidR="00B607BD" w:rsidRPr="00A06F1E" w:rsidRDefault="00B607BD" w:rsidP="00AA3A77">
            <w:pPr>
              <w:pStyle w:val="TableColHeadingCenter"/>
              <w:spacing w:before="10" w:after="10"/>
            </w:pPr>
            <w:r w:rsidRPr="00A06F1E">
              <w:t>2022</w:t>
            </w:r>
          </w:p>
        </w:tc>
        <w:tc>
          <w:tcPr>
            <w:tcW w:w="340" w:type="pct"/>
            <w:vAlign w:val="center"/>
          </w:tcPr>
          <w:p w14:paraId="5EF9BCC7" w14:textId="77777777" w:rsidR="00B607BD" w:rsidRPr="00A06F1E" w:rsidRDefault="00B607BD" w:rsidP="00AA3A77">
            <w:pPr>
              <w:pStyle w:val="TableColHeadingCenter"/>
              <w:spacing w:before="10" w:after="10"/>
            </w:pPr>
            <w:r w:rsidRPr="00A06F1E">
              <w:t>2023</w:t>
            </w:r>
          </w:p>
        </w:tc>
        <w:tc>
          <w:tcPr>
            <w:tcW w:w="488" w:type="pct"/>
            <w:vAlign w:val="center"/>
          </w:tcPr>
          <w:p w14:paraId="2DCBF73C" w14:textId="77777777" w:rsidR="00B607BD" w:rsidRPr="00A06F1E" w:rsidRDefault="00B607BD" w:rsidP="00AA3A77">
            <w:pPr>
              <w:pStyle w:val="TableColHeadingCenter"/>
              <w:spacing w:before="10" w:after="10"/>
            </w:pPr>
            <w:r w:rsidRPr="00A06F1E">
              <w:t>State (2023)</w:t>
            </w:r>
          </w:p>
        </w:tc>
        <w:tc>
          <w:tcPr>
            <w:tcW w:w="342" w:type="pct"/>
            <w:vAlign w:val="center"/>
          </w:tcPr>
          <w:p w14:paraId="04D88394" w14:textId="77777777" w:rsidR="00B607BD" w:rsidRPr="00A06F1E" w:rsidRDefault="00B607BD" w:rsidP="00AA3A77">
            <w:pPr>
              <w:pStyle w:val="TableColHeadingCenter"/>
              <w:spacing w:before="10" w:after="10"/>
            </w:pPr>
            <w:r w:rsidRPr="00A06F1E">
              <w:t>2022</w:t>
            </w:r>
          </w:p>
        </w:tc>
        <w:tc>
          <w:tcPr>
            <w:tcW w:w="343" w:type="pct"/>
            <w:vAlign w:val="center"/>
          </w:tcPr>
          <w:p w14:paraId="013C82E3" w14:textId="77777777" w:rsidR="00B607BD" w:rsidRPr="00A06F1E" w:rsidRDefault="00B607BD" w:rsidP="00AA3A77">
            <w:pPr>
              <w:pStyle w:val="TableColHeadingCenter"/>
              <w:spacing w:before="10" w:after="10"/>
            </w:pPr>
            <w:r w:rsidRPr="00A06F1E">
              <w:t>2023</w:t>
            </w:r>
          </w:p>
        </w:tc>
        <w:tc>
          <w:tcPr>
            <w:tcW w:w="483" w:type="pct"/>
            <w:vAlign w:val="center"/>
          </w:tcPr>
          <w:p w14:paraId="0975E1D6" w14:textId="77777777" w:rsidR="00B607BD" w:rsidRPr="00A06F1E" w:rsidRDefault="00B607BD" w:rsidP="00AA3A77">
            <w:pPr>
              <w:pStyle w:val="TableColHeadingCenter"/>
              <w:spacing w:before="10" w:after="10"/>
            </w:pPr>
            <w:r w:rsidRPr="00A06F1E">
              <w:t>State (2023)</w:t>
            </w:r>
          </w:p>
        </w:tc>
      </w:tr>
      <w:tr w:rsidR="00AA3A77" w:rsidRPr="00A06F1E" w14:paraId="08E9FB26" w14:textId="77777777" w:rsidTr="00AA3A77">
        <w:trPr>
          <w:cnfStyle w:val="000000100000" w:firstRow="0" w:lastRow="0" w:firstColumn="0" w:lastColumn="0" w:oddVBand="0" w:evenVBand="0" w:oddHBand="1" w:evenHBand="0" w:firstRowFirstColumn="0" w:firstRowLastColumn="0" w:lastRowFirstColumn="0" w:lastRowLastColumn="0"/>
        </w:trPr>
        <w:tc>
          <w:tcPr>
            <w:tcW w:w="1089" w:type="pct"/>
          </w:tcPr>
          <w:p w14:paraId="71BA8D1A"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All</w:t>
            </w:r>
          </w:p>
        </w:tc>
        <w:tc>
          <w:tcPr>
            <w:tcW w:w="408" w:type="pct"/>
          </w:tcPr>
          <w:p w14:paraId="1CC41DD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283</w:t>
            </w:r>
          </w:p>
        </w:tc>
        <w:tc>
          <w:tcPr>
            <w:tcW w:w="337" w:type="pct"/>
          </w:tcPr>
          <w:p w14:paraId="2ABA697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15</w:t>
            </w:r>
          </w:p>
        </w:tc>
        <w:tc>
          <w:tcPr>
            <w:tcW w:w="337" w:type="pct"/>
          </w:tcPr>
          <w:p w14:paraId="4C6C232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15</w:t>
            </w:r>
          </w:p>
        </w:tc>
        <w:tc>
          <w:tcPr>
            <w:tcW w:w="493" w:type="pct"/>
          </w:tcPr>
          <w:p w14:paraId="6B8DD98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41</w:t>
            </w:r>
          </w:p>
        </w:tc>
        <w:tc>
          <w:tcPr>
            <w:tcW w:w="340" w:type="pct"/>
          </w:tcPr>
          <w:p w14:paraId="3BDFC12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41</w:t>
            </w:r>
          </w:p>
        </w:tc>
        <w:tc>
          <w:tcPr>
            <w:tcW w:w="340" w:type="pct"/>
          </w:tcPr>
          <w:p w14:paraId="1201C13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48</w:t>
            </w:r>
          </w:p>
        </w:tc>
        <w:tc>
          <w:tcPr>
            <w:tcW w:w="488" w:type="pct"/>
          </w:tcPr>
          <w:p w14:paraId="685E693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41</w:t>
            </w:r>
          </w:p>
        </w:tc>
        <w:tc>
          <w:tcPr>
            <w:tcW w:w="342" w:type="pct"/>
          </w:tcPr>
          <w:p w14:paraId="08F6739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44</w:t>
            </w:r>
          </w:p>
        </w:tc>
        <w:tc>
          <w:tcPr>
            <w:tcW w:w="343" w:type="pct"/>
          </w:tcPr>
          <w:p w14:paraId="71BC315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37</w:t>
            </w:r>
          </w:p>
        </w:tc>
        <w:tc>
          <w:tcPr>
            <w:tcW w:w="483" w:type="pct"/>
          </w:tcPr>
          <w:p w14:paraId="5BBD516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18</w:t>
            </w:r>
          </w:p>
        </w:tc>
      </w:tr>
      <w:tr w:rsidR="00AA3A77" w:rsidRPr="00A06F1E" w14:paraId="1A56778D" w14:textId="77777777" w:rsidTr="00AA3A77">
        <w:tc>
          <w:tcPr>
            <w:tcW w:w="1089" w:type="pct"/>
          </w:tcPr>
          <w:p w14:paraId="1354A2E5"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African American/Black</w:t>
            </w:r>
          </w:p>
        </w:tc>
        <w:tc>
          <w:tcPr>
            <w:tcW w:w="408" w:type="pct"/>
          </w:tcPr>
          <w:p w14:paraId="30F9E69C" w14:textId="78A34C5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tcPr>
          <w:p w14:paraId="7E10CA15" w14:textId="2BB4F8AE"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tcPr>
          <w:p w14:paraId="6525788B" w14:textId="58B4F8E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3" w:type="pct"/>
          </w:tcPr>
          <w:p w14:paraId="698E628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21</w:t>
            </w:r>
          </w:p>
        </w:tc>
        <w:tc>
          <w:tcPr>
            <w:tcW w:w="340" w:type="pct"/>
          </w:tcPr>
          <w:p w14:paraId="1665F24A" w14:textId="31BDEA5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tcPr>
          <w:p w14:paraId="600CCB49" w14:textId="5DD41ACB"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8" w:type="pct"/>
          </w:tcPr>
          <w:p w14:paraId="65DF978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47</w:t>
            </w:r>
          </w:p>
        </w:tc>
        <w:tc>
          <w:tcPr>
            <w:tcW w:w="342" w:type="pct"/>
          </w:tcPr>
          <w:p w14:paraId="4DC4A7A7" w14:textId="2D14BC02"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3" w:type="pct"/>
          </w:tcPr>
          <w:p w14:paraId="0C607F72" w14:textId="0F7D5F8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tcPr>
          <w:p w14:paraId="6D0600B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32</w:t>
            </w:r>
          </w:p>
        </w:tc>
      </w:tr>
      <w:tr w:rsidR="00AA3A77" w:rsidRPr="00A06F1E" w14:paraId="11C099C6" w14:textId="77777777" w:rsidTr="00AA3A77">
        <w:trPr>
          <w:cnfStyle w:val="000000100000" w:firstRow="0" w:lastRow="0" w:firstColumn="0" w:lastColumn="0" w:oddVBand="0" w:evenVBand="0" w:oddHBand="1" w:evenHBand="0" w:firstRowFirstColumn="0" w:firstRowLastColumn="0" w:lastRowFirstColumn="0" w:lastRowLastColumn="0"/>
        </w:trPr>
        <w:tc>
          <w:tcPr>
            <w:tcW w:w="1089" w:type="pct"/>
          </w:tcPr>
          <w:p w14:paraId="0235147F"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Asian</w:t>
            </w:r>
          </w:p>
        </w:tc>
        <w:tc>
          <w:tcPr>
            <w:tcW w:w="408" w:type="pct"/>
          </w:tcPr>
          <w:p w14:paraId="49600F6C" w14:textId="57C6D732"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tcPr>
          <w:p w14:paraId="053C806D" w14:textId="023A7D7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tcPr>
          <w:p w14:paraId="7D178613" w14:textId="18ED2CE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3" w:type="pct"/>
          </w:tcPr>
          <w:p w14:paraId="0A7F74C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71</w:t>
            </w:r>
          </w:p>
        </w:tc>
        <w:tc>
          <w:tcPr>
            <w:tcW w:w="340" w:type="pct"/>
          </w:tcPr>
          <w:p w14:paraId="56AEA850" w14:textId="5DE17E5A"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tcPr>
          <w:p w14:paraId="057BF89B" w14:textId="2EB9360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8" w:type="pct"/>
          </w:tcPr>
          <w:p w14:paraId="7FFD093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23</w:t>
            </w:r>
          </w:p>
        </w:tc>
        <w:tc>
          <w:tcPr>
            <w:tcW w:w="342" w:type="pct"/>
          </w:tcPr>
          <w:p w14:paraId="2957FBBE" w14:textId="1259D97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3" w:type="pct"/>
          </w:tcPr>
          <w:p w14:paraId="2F6183A9" w14:textId="1BF8BC45"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tcPr>
          <w:p w14:paraId="4B04C9D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w:t>
            </w:r>
          </w:p>
        </w:tc>
      </w:tr>
      <w:tr w:rsidR="00AA3A77" w:rsidRPr="00A06F1E" w14:paraId="172AE03E" w14:textId="77777777" w:rsidTr="00AA3A77">
        <w:tc>
          <w:tcPr>
            <w:tcW w:w="1089" w:type="pct"/>
          </w:tcPr>
          <w:p w14:paraId="24D7F1C9"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Hispanic/Latino</w:t>
            </w:r>
          </w:p>
        </w:tc>
        <w:tc>
          <w:tcPr>
            <w:tcW w:w="408" w:type="pct"/>
          </w:tcPr>
          <w:p w14:paraId="0B636FF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27</w:t>
            </w:r>
          </w:p>
        </w:tc>
        <w:tc>
          <w:tcPr>
            <w:tcW w:w="337" w:type="pct"/>
          </w:tcPr>
          <w:p w14:paraId="00CBC05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18</w:t>
            </w:r>
          </w:p>
        </w:tc>
        <w:tc>
          <w:tcPr>
            <w:tcW w:w="337" w:type="pct"/>
          </w:tcPr>
          <w:p w14:paraId="239F4A8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19</w:t>
            </w:r>
          </w:p>
        </w:tc>
        <w:tc>
          <w:tcPr>
            <w:tcW w:w="493" w:type="pct"/>
          </w:tcPr>
          <w:p w14:paraId="30FB3DB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19</w:t>
            </w:r>
          </w:p>
        </w:tc>
        <w:tc>
          <w:tcPr>
            <w:tcW w:w="340" w:type="pct"/>
          </w:tcPr>
          <w:p w14:paraId="317A7F1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47</w:t>
            </w:r>
          </w:p>
        </w:tc>
        <w:tc>
          <w:tcPr>
            <w:tcW w:w="340" w:type="pct"/>
          </w:tcPr>
          <w:p w14:paraId="43695D2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48</w:t>
            </w:r>
          </w:p>
        </w:tc>
        <w:tc>
          <w:tcPr>
            <w:tcW w:w="488" w:type="pct"/>
          </w:tcPr>
          <w:p w14:paraId="3C272BD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47</w:t>
            </w:r>
          </w:p>
        </w:tc>
        <w:tc>
          <w:tcPr>
            <w:tcW w:w="342" w:type="pct"/>
          </w:tcPr>
          <w:p w14:paraId="45C9E61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35</w:t>
            </w:r>
          </w:p>
        </w:tc>
        <w:tc>
          <w:tcPr>
            <w:tcW w:w="343" w:type="pct"/>
          </w:tcPr>
          <w:p w14:paraId="6D8C09E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33</w:t>
            </w:r>
          </w:p>
        </w:tc>
        <w:tc>
          <w:tcPr>
            <w:tcW w:w="483" w:type="pct"/>
          </w:tcPr>
          <w:p w14:paraId="3064695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34</w:t>
            </w:r>
          </w:p>
        </w:tc>
      </w:tr>
      <w:tr w:rsidR="00AA3A77" w:rsidRPr="00A06F1E" w14:paraId="13CAECFF" w14:textId="77777777" w:rsidTr="00AA3A77">
        <w:trPr>
          <w:cnfStyle w:val="000000100000" w:firstRow="0" w:lastRow="0" w:firstColumn="0" w:lastColumn="0" w:oddVBand="0" w:evenVBand="0" w:oddHBand="1" w:evenHBand="0" w:firstRowFirstColumn="0" w:firstRowLastColumn="0" w:lastRowFirstColumn="0" w:lastRowLastColumn="0"/>
        </w:trPr>
        <w:tc>
          <w:tcPr>
            <w:tcW w:w="1089" w:type="pct"/>
          </w:tcPr>
          <w:p w14:paraId="62E95AA0" w14:textId="77777777" w:rsidR="00B607BD" w:rsidRPr="00A06F1E" w:rsidRDefault="00B607BD" w:rsidP="00AA3A77">
            <w:pPr>
              <w:pStyle w:val="TableText"/>
              <w:spacing w:before="10" w:after="10"/>
              <w:rPr>
                <w:rFonts w:ascii="Franklin Gothic Book" w:hAnsi="Franklin Gothic Book"/>
                <w:spacing w:val="-2"/>
              </w:rPr>
            </w:pPr>
            <w:r w:rsidRPr="00A06F1E">
              <w:rPr>
                <w:rFonts w:ascii="Franklin Gothic Book" w:hAnsi="Franklin Gothic Book" w:cstheme="minorHAnsi"/>
                <w:spacing w:val="-2"/>
              </w:rPr>
              <w:t>Multi-Race, non-Hispanic/Latino</w:t>
            </w:r>
          </w:p>
        </w:tc>
        <w:tc>
          <w:tcPr>
            <w:tcW w:w="408" w:type="pct"/>
          </w:tcPr>
          <w:p w14:paraId="2D469D7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12</w:t>
            </w:r>
          </w:p>
        </w:tc>
        <w:tc>
          <w:tcPr>
            <w:tcW w:w="337" w:type="pct"/>
          </w:tcPr>
          <w:p w14:paraId="0914BDC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w:t>
            </w:r>
          </w:p>
        </w:tc>
        <w:tc>
          <w:tcPr>
            <w:tcW w:w="337" w:type="pct"/>
          </w:tcPr>
          <w:p w14:paraId="7BC1F87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17</w:t>
            </w:r>
          </w:p>
        </w:tc>
        <w:tc>
          <w:tcPr>
            <w:tcW w:w="493" w:type="pct"/>
          </w:tcPr>
          <w:p w14:paraId="5B66311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46</w:t>
            </w:r>
          </w:p>
        </w:tc>
        <w:tc>
          <w:tcPr>
            <w:tcW w:w="340" w:type="pct"/>
          </w:tcPr>
          <w:p w14:paraId="7A76385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57</w:t>
            </w:r>
          </w:p>
        </w:tc>
        <w:tc>
          <w:tcPr>
            <w:tcW w:w="340" w:type="pct"/>
          </w:tcPr>
          <w:p w14:paraId="245D2F0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50</w:t>
            </w:r>
          </w:p>
        </w:tc>
        <w:tc>
          <w:tcPr>
            <w:tcW w:w="488" w:type="pct"/>
          </w:tcPr>
          <w:p w14:paraId="25E251C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38</w:t>
            </w:r>
          </w:p>
        </w:tc>
        <w:tc>
          <w:tcPr>
            <w:tcW w:w="342" w:type="pct"/>
          </w:tcPr>
          <w:p w14:paraId="7668DDA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36</w:t>
            </w:r>
          </w:p>
        </w:tc>
        <w:tc>
          <w:tcPr>
            <w:tcW w:w="343" w:type="pct"/>
          </w:tcPr>
          <w:p w14:paraId="300CCBC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33</w:t>
            </w:r>
          </w:p>
        </w:tc>
        <w:tc>
          <w:tcPr>
            <w:tcW w:w="483" w:type="pct"/>
          </w:tcPr>
          <w:p w14:paraId="75F359D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16</w:t>
            </w:r>
          </w:p>
        </w:tc>
      </w:tr>
      <w:tr w:rsidR="00AA3A77" w:rsidRPr="00A06F1E" w14:paraId="587EBD69" w14:textId="77777777" w:rsidTr="00AA3A77">
        <w:tc>
          <w:tcPr>
            <w:tcW w:w="1089" w:type="pct"/>
          </w:tcPr>
          <w:p w14:paraId="6AF29C38"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Native American</w:t>
            </w:r>
          </w:p>
        </w:tc>
        <w:tc>
          <w:tcPr>
            <w:tcW w:w="408" w:type="pct"/>
          </w:tcPr>
          <w:p w14:paraId="78600946" w14:textId="305B573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tcPr>
          <w:p w14:paraId="1750C93A" w14:textId="3B2DC301"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tcPr>
          <w:p w14:paraId="11448739" w14:textId="659ED80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3" w:type="pct"/>
          </w:tcPr>
          <w:p w14:paraId="0D043E5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28</w:t>
            </w:r>
          </w:p>
        </w:tc>
        <w:tc>
          <w:tcPr>
            <w:tcW w:w="340" w:type="pct"/>
          </w:tcPr>
          <w:p w14:paraId="76D7947F" w14:textId="19D2562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tcPr>
          <w:p w14:paraId="4768BBA1" w14:textId="353F758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8" w:type="pct"/>
          </w:tcPr>
          <w:p w14:paraId="17F2F41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46</w:t>
            </w:r>
          </w:p>
        </w:tc>
        <w:tc>
          <w:tcPr>
            <w:tcW w:w="342" w:type="pct"/>
          </w:tcPr>
          <w:p w14:paraId="5E8BFA90" w14:textId="5E8B81D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3" w:type="pct"/>
          </w:tcPr>
          <w:p w14:paraId="3B185415" w14:textId="29012D3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tcPr>
          <w:p w14:paraId="2F5E877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26</w:t>
            </w:r>
          </w:p>
        </w:tc>
      </w:tr>
      <w:tr w:rsidR="00AA3A77" w:rsidRPr="00A06F1E" w14:paraId="54625BF8" w14:textId="77777777" w:rsidTr="00AA3A77">
        <w:trPr>
          <w:cnfStyle w:val="000000100000" w:firstRow="0" w:lastRow="0" w:firstColumn="0" w:lastColumn="0" w:oddVBand="0" w:evenVBand="0" w:oddHBand="1" w:evenHBand="0" w:firstRowFirstColumn="0" w:firstRowLastColumn="0" w:lastRowFirstColumn="0" w:lastRowLastColumn="0"/>
        </w:trPr>
        <w:tc>
          <w:tcPr>
            <w:tcW w:w="1089" w:type="pct"/>
          </w:tcPr>
          <w:p w14:paraId="11354A4D" w14:textId="77777777" w:rsidR="00B607BD" w:rsidRPr="00A06F1E" w:rsidRDefault="00B607BD" w:rsidP="00AA3A77">
            <w:pPr>
              <w:pStyle w:val="TableText"/>
              <w:spacing w:before="10" w:after="10"/>
              <w:rPr>
                <w:rFonts w:ascii="Franklin Gothic Book" w:hAnsi="Franklin Gothic Book"/>
                <w:spacing w:val="-4"/>
              </w:rPr>
            </w:pPr>
            <w:r w:rsidRPr="00A06F1E">
              <w:rPr>
                <w:rFonts w:ascii="Franklin Gothic Book" w:hAnsi="Franklin Gothic Book"/>
                <w:spacing w:val="-4"/>
              </w:rPr>
              <w:t>Native Hawaiian, Pacific Islander</w:t>
            </w:r>
          </w:p>
        </w:tc>
        <w:tc>
          <w:tcPr>
            <w:tcW w:w="408" w:type="pct"/>
          </w:tcPr>
          <w:p w14:paraId="447027B1" w14:textId="2D30401E"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tcPr>
          <w:p w14:paraId="1DAF823A" w14:textId="2F188E0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tcPr>
          <w:p w14:paraId="7123A523" w14:textId="5C0D4ED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3" w:type="pct"/>
          </w:tcPr>
          <w:p w14:paraId="7F83272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41</w:t>
            </w:r>
          </w:p>
        </w:tc>
        <w:tc>
          <w:tcPr>
            <w:tcW w:w="340" w:type="pct"/>
          </w:tcPr>
          <w:p w14:paraId="6581CB52" w14:textId="0595DBE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tcPr>
          <w:p w14:paraId="3F6205FF" w14:textId="6122124B"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8" w:type="pct"/>
          </w:tcPr>
          <w:p w14:paraId="2E8CCF1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43</w:t>
            </w:r>
          </w:p>
        </w:tc>
        <w:tc>
          <w:tcPr>
            <w:tcW w:w="342" w:type="pct"/>
          </w:tcPr>
          <w:p w14:paraId="6AF296AD" w14:textId="7324BE3B"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3" w:type="pct"/>
          </w:tcPr>
          <w:p w14:paraId="778B5073" w14:textId="63A2C85B"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tcPr>
          <w:p w14:paraId="369A314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16</w:t>
            </w:r>
          </w:p>
        </w:tc>
      </w:tr>
      <w:tr w:rsidR="00AA3A77" w:rsidRPr="00A06F1E" w14:paraId="561DE60D" w14:textId="77777777" w:rsidTr="00AA3A77">
        <w:tc>
          <w:tcPr>
            <w:tcW w:w="1089" w:type="pct"/>
          </w:tcPr>
          <w:p w14:paraId="5C6F22BE"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White</w:t>
            </w:r>
          </w:p>
        </w:tc>
        <w:tc>
          <w:tcPr>
            <w:tcW w:w="408" w:type="pct"/>
          </w:tcPr>
          <w:p w14:paraId="2E94B13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235</w:t>
            </w:r>
          </w:p>
        </w:tc>
        <w:tc>
          <w:tcPr>
            <w:tcW w:w="337" w:type="pct"/>
          </w:tcPr>
          <w:p w14:paraId="195F247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15</w:t>
            </w:r>
          </w:p>
        </w:tc>
        <w:tc>
          <w:tcPr>
            <w:tcW w:w="337" w:type="pct"/>
          </w:tcPr>
          <w:p w14:paraId="72066D0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15</w:t>
            </w:r>
          </w:p>
        </w:tc>
        <w:tc>
          <w:tcPr>
            <w:tcW w:w="493" w:type="pct"/>
          </w:tcPr>
          <w:p w14:paraId="7B926FA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49</w:t>
            </w:r>
          </w:p>
        </w:tc>
        <w:tc>
          <w:tcPr>
            <w:tcW w:w="340" w:type="pct"/>
          </w:tcPr>
          <w:p w14:paraId="3BD325A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39</w:t>
            </w:r>
          </w:p>
        </w:tc>
        <w:tc>
          <w:tcPr>
            <w:tcW w:w="340" w:type="pct"/>
          </w:tcPr>
          <w:p w14:paraId="2E5931F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48</w:t>
            </w:r>
          </w:p>
        </w:tc>
        <w:tc>
          <w:tcPr>
            <w:tcW w:w="488" w:type="pct"/>
          </w:tcPr>
          <w:p w14:paraId="2EDFB67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40</w:t>
            </w:r>
          </w:p>
        </w:tc>
        <w:tc>
          <w:tcPr>
            <w:tcW w:w="342" w:type="pct"/>
          </w:tcPr>
          <w:p w14:paraId="5766C65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46</w:t>
            </w:r>
          </w:p>
        </w:tc>
        <w:tc>
          <w:tcPr>
            <w:tcW w:w="343" w:type="pct"/>
          </w:tcPr>
          <w:p w14:paraId="1CD502A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37</w:t>
            </w:r>
          </w:p>
        </w:tc>
        <w:tc>
          <w:tcPr>
            <w:tcW w:w="483" w:type="pct"/>
          </w:tcPr>
          <w:p w14:paraId="32D2A55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11</w:t>
            </w:r>
          </w:p>
        </w:tc>
      </w:tr>
      <w:tr w:rsidR="00AA3A77" w:rsidRPr="00A06F1E" w14:paraId="111E24CA" w14:textId="77777777" w:rsidTr="00AA3A77">
        <w:trPr>
          <w:cnfStyle w:val="000000100000" w:firstRow="0" w:lastRow="0" w:firstColumn="0" w:lastColumn="0" w:oddVBand="0" w:evenVBand="0" w:oddHBand="1" w:evenHBand="0" w:firstRowFirstColumn="0" w:firstRowLastColumn="0" w:lastRowFirstColumn="0" w:lastRowLastColumn="0"/>
        </w:trPr>
        <w:tc>
          <w:tcPr>
            <w:tcW w:w="1089" w:type="pct"/>
          </w:tcPr>
          <w:p w14:paraId="540F6CB2"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High needs</w:t>
            </w:r>
          </w:p>
        </w:tc>
        <w:tc>
          <w:tcPr>
            <w:tcW w:w="408" w:type="pct"/>
          </w:tcPr>
          <w:p w14:paraId="6EC9B8A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237</w:t>
            </w:r>
          </w:p>
        </w:tc>
        <w:tc>
          <w:tcPr>
            <w:tcW w:w="337" w:type="pct"/>
          </w:tcPr>
          <w:p w14:paraId="4BBF117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10</w:t>
            </w:r>
          </w:p>
        </w:tc>
        <w:tc>
          <w:tcPr>
            <w:tcW w:w="337" w:type="pct"/>
          </w:tcPr>
          <w:p w14:paraId="7C0E518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11</w:t>
            </w:r>
          </w:p>
        </w:tc>
        <w:tc>
          <w:tcPr>
            <w:tcW w:w="493" w:type="pct"/>
          </w:tcPr>
          <w:p w14:paraId="4C5BA56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23</w:t>
            </w:r>
          </w:p>
        </w:tc>
        <w:tc>
          <w:tcPr>
            <w:tcW w:w="340" w:type="pct"/>
          </w:tcPr>
          <w:p w14:paraId="72E635B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40</w:t>
            </w:r>
          </w:p>
        </w:tc>
        <w:tc>
          <w:tcPr>
            <w:tcW w:w="340" w:type="pct"/>
          </w:tcPr>
          <w:p w14:paraId="04A795A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47</w:t>
            </w:r>
          </w:p>
        </w:tc>
        <w:tc>
          <w:tcPr>
            <w:tcW w:w="488" w:type="pct"/>
          </w:tcPr>
          <w:p w14:paraId="2C242DE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47</w:t>
            </w:r>
          </w:p>
        </w:tc>
        <w:tc>
          <w:tcPr>
            <w:tcW w:w="342" w:type="pct"/>
          </w:tcPr>
          <w:p w14:paraId="0302171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50</w:t>
            </w:r>
          </w:p>
        </w:tc>
        <w:tc>
          <w:tcPr>
            <w:tcW w:w="343" w:type="pct"/>
          </w:tcPr>
          <w:p w14:paraId="023D9AB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42</w:t>
            </w:r>
          </w:p>
        </w:tc>
        <w:tc>
          <w:tcPr>
            <w:tcW w:w="483" w:type="pct"/>
          </w:tcPr>
          <w:p w14:paraId="1065168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30</w:t>
            </w:r>
          </w:p>
        </w:tc>
      </w:tr>
      <w:tr w:rsidR="00AA3A77" w:rsidRPr="00A06F1E" w14:paraId="55E9B45B" w14:textId="77777777" w:rsidTr="00AA3A77">
        <w:tc>
          <w:tcPr>
            <w:tcW w:w="1089" w:type="pct"/>
          </w:tcPr>
          <w:p w14:paraId="4C760CE0"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Low income</w:t>
            </w:r>
          </w:p>
        </w:tc>
        <w:tc>
          <w:tcPr>
            <w:tcW w:w="408" w:type="pct"/>
          </w:tcPr>
          <w:p w14:paraId="67D8DD8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221</w:t>
            </w:r>
          </w:p>
        </w:tc>
        <w:tc>
          <w:tcPr>
            <w:tcW w:w="337" w:type="pct"/>
          </w:tcPr>
          <w:p w14:paraId="05B8AC1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11</w:t>
            </w:r>
          </w:p>
        </w:tc>
        <w:tc>
          <w:tcPr>
            <w:tcW w:w="337" w:type="pct"/>
          </w:tcPr>
          <w:p w14:paraId="18ADB7F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11</w:t>
            </w:r>
          </w:p>
        </w:tc>
        <w:tc>
          <w:tcPr>
            <w:tcW w:w="493" w:type="pct"/>
          </w:tcPr>
          <w:p w14:paraId="5B77EDA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21</w:t>
            </w:r>
          </w:p>
        </w:tc>
        <w:tc>
          <w:tcPr>
            <w:tcW w:w="340" w:type="pct"/>
          </w:tcPr>
          <w:p w14:paraId="22E5E95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42</w:t>
            </w:r>
          </w:p>
        </w:tc>
        <w:tc>
          <w:tcPr>
            <w:tcW w:w="340" w:type="pct"/>
          </w:tcPr>
          <w:p w14:paraId="693603E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49</w:t>
            </w:r>
          </w:p>
        </w:tc>
        <w:tc>
          <w:tcPr>
            <w:tcW w:w="488" w:type="pct"/>
          </w:tcPr>
          <w:p w14:paraId="584179F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48</w:t>
            </w:r>
          </w:p>
        </w:tc>
        <w:tc>
          <w:tcPr>
            <w:tcW w:w="342" w:type="pct"/>
          </w:tcPr>
          <w:p w14:paraId="62F0843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47</w:t>
            </w:r>
          </w:p>
        </w:tc>
        <w:tc>
          <w:tcPr>
            <w:tcW w:w="343" w:type="pct"/>
          </w:tcPr>
          <w:p w14:paraId="400C43F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40</w:t>
            </w:r>
          </w:p>
        </w:tc>
        <w:tc>
          <w:tcPr>
            <w:tcW w:w="483" w:type="pct"/>
          </w:tcPr>
          <w:p w14:paraId="319901E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31</w:t>
            </w:r>
          </w:p>
        </w:tc>
      </w:tr>
      <w:tr w:rsidR="00AA3A77" w:rsidRPr="00A06F1E" w14:paraId="4E3D327E" w14:textId="77777777" w:rsidTr="00AA3A77">
        <w:trPr>
          <w:cnfStyle w:val="000000100000" w:firstRow="0" w:lastRow="0" w:firstColumn="0" w:lastColumn="0" w:oddVBand="0" w:evenVBand="0" w:oddHBand="1" w:evenHBand="0" w:firstRowFirstColumn="0" w:firstRowLastColumn="0" w:lastRowFirstColumn="0" w:lastRowLastColumn="0"/>
        </w:trPr>
        <w:tc>
          <w:tcPr>
            <w:tcW w:w="1089" w:type="pct"/>
          </w:tcPr>
          <w:p w14:paraId="01B8F9EE" w14:textId="77777777" w:rsidR="00B607BD" w:rsidRPr="00A06F1E" w:rsidRDefault="00B607BD" w:rsidP="00AA3A77">
            <w:pPr>
              <w:pStyle w:val="TableText"/>
              <w:spacing w:before="10" w:after="10"/>
              <w:rPr>
                <w:rFonts w:ascii="Franklin Gothic Book" w:hAnsi="Franklin Gothic Book"/>
                <w:spacing w:val="-4"/>
              </w:rPr>
            </w:pPr>
            <w:r w:rsidRPr="00A06F1E">
              <w:rPr>
                <w:rFonts w:ascii="Franklin Gothic Book" w:hAnsi="Franklin Gothic Book"/>
                <w:spacing w:val="-4"/>
              </w:rPr>
              <w:t>ELs and former ELs</w:t>
            </w:r>
          </w:p>
        </w:tc>
        <w:tc>
          <w:tcPr>
            <w:tcW w:w="408" w:type="pct"/>
          </w:tcPr>
          <w:p w14:paraId="3058BE08" w14:textId="76ED2CB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tcPr>
          <w:p w14:paraId="577F16F1" w14:textId="03D84FC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tcPr>
          <w:p w14:paraId="41A00AD2" w14:textId="1C79583E"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3" w:type="pct"/>
          </w:tcPr>
          <w:p w14:paraId="33CBEA0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21</w:t>
            </w:r>
          </w:p>
        </w:tc>
        <w:tc>
          <w:tcPr>
            <w:tcW w:w="340" w:type="pct"/>
          </w:tcPr>
          <w:p w14:paraId="30DD591F" w14:textId="763AF8EB"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tcPr>
          <w:p w14:paraId="36B0C08C" w14:textId="4F6C4AA1"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8" w:type="pct"/>
          </w:tcPr>
          <w:p w14:paraId="35D77CD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44</w:t>
            </w:r>
          </w:p>
        </w:tc>
        <w:tc>
          <w:tcPr>
            <w:tcW w:w="342" w:type="pct"/>
          </w:tcPr>
          <w:p w14:paraId="26DE51D4" w14:textId="0877D4B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3" w:type="pct"/>
          </w:tcPr>
          <w:p w14:paraId="39F5EB30" w14:textId="7827216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tcPr>
          <w:p w14:paraId="2A4C5A9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34</w:t>
            </w:r>
          </w:p>
        </w:tc>
      </w:tr>
      <w:tr w:rsidR="00AA3A77" w:rsidRPr="00A06F1E" w14:paraId="50D1926D" w14:textId="77777777" w:rsidTr="00AA3A77">
        <w:tc>
          <w:tcPr>
            <w:tcW w:w="1089" w:type="pct"/>
          </w:tcPr>
          <w:p w14:paraId="1CC6F679"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Students w/disabilities</w:t>
            </w:r>
          </w:p>
        </w:tc>
        <w:tc>
          <w:tcPr>
            <w:tcW w:w="408" w:type="pct"/>
          </w:tcPr>
          <w:p w14:paraId="17EA4C9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102</w:t>
            </w:r>
          </w:p>
        </w:tc>
        <w:tc>
          <w:tcPr>
            <w:tcW w:w="337" w:type="pct"/>
          </w:tcPr>
          <w:p w14:paraId="1289CF8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w:t>
            </w:r>
          </w:p>
        </w:tc>
        <w:tc>
          <w:tcPr>
            <w:tcW w:w="337" w:type="pct"/>
          </w:tcPr>
          <w:p w14:paraId="4BEBDD4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w:t>
            </w:r>
          </w:p>
        </w:tc>
        <w:tc>
          <w:tcPr>
            <w:tcW w:w="493" w:type="pct"/>
          </w:tcPr>
          <w:p w14:paraId="329538E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13</w:t>
            </w:r>
          </w:p>
        </w:tc>
        <w:tc>
          <w:tcPr>
            <w:tcW w:w="340" w:type="pct"/>
          </w:tcPr>
          <w:p w14:paraId="21B4A14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25</w:t>
            </w:r>
          </w:p>
        </w:tc>
        <w:tc>
          <w:tcPr>
            <w:tcW w:w="340" w:type="pct"/>
          </w:tcPr>
          <w:p w14:paraId="299CE75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27</w:t>
            </w:r>
          </w:p>
        </w:tc>
        <w:tc>
          <w:tcPr>
            <w:tcW w:w="488" w:type="pct"/>
          </w:tcPr>
          <w:p w14:paraId="036371F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41</w:t>
            </w:r>
          </w:p>
        </w:tc>
        <w:tc>
          <w:tcPr>
            <w:tcW w:w="342" w:type="pct"/>
          </w:tcPr>
          <w:p w14:paraId="19189CA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73</w:t>
            </w:r>
          </w:p>
        </w:tc>
        <w:tc>
          <w:tcPr>
            <w:tcW w:w="343" w:type="pct"/>
          </w:tcPr>
          <w:p w14:paraId="603F614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70</w:t>
            </w:r>
          </w:p>
        </w:tc>
        <w:tc>
          <w:tcPr>
            <w:tcW w:w="483" w:type="pct"/>
          </w:tcPr>
          <w:p w14:paraId="7A84B99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46</w:t>
            </w:r>
          </w:p>
        </w:tc>
      </w:tr>
    </w:tbl>
    <w:p w14:paraId="678572A6" w14:textId="42E24D07" w:rsidR="00B607BD" w:rsidRPr="00A06F1E" w:rsidRDefault="00B607BD" w:rsidP="00B7722D">
      <w:pPr>
        <w:pStyle w:val="TabletitleSectionE"/>
        <w:spacing w:before="120"/>
      </w:pPr>
      <w:bookmarkStart w:id="252" w:name="_Toc170701952"/>
      <w:bookmarkStart w:id="253" w:name="_Toc171685789"/>
      <w:r w:rsidRPr="00A06F1E">
        <w:t>Table E</w:t>
      </w:r>
      <w:r w:rsidR="00423CF5" w:rsidRPr="00A06F1E">
        <w:t>3</w:t>
      </w:r>
      <w:r w:rsidR="000D346A">
        <w:t>b</w:t>
      </w:r>
      <w:r w:rsidR="007C4E08" w:rsidRPr="00A06F1E">
        <w:t xml:space="preserve">. </w:t>
      </w:r>
      <w:proofErr w:type="spellStart"/>
      <w:r w:rsidR="00652B48">
        <w:t>Petersham</w:t>
      </w:r>
      <w:proofErr w:type="spellEnd"/>
      <w:r w:rsidR="00652B48">
        <w:t xml:space="preserve"> Center</w:t>
      </w:r>
      <w:r w:rsidR="00F3532E" w:rsidRPr="00A06F1E">
        <w:t>:</w:t>
      </w:r>
      <w:r w:rsidRPr="00A06F1E">
        <w:t xml:space="preserve"> Next-Generation MCAS Mathematics Achievement by Student Group, Grades 3-8, 2022-2023</w:t>
      </w:r>
      <w:bookmarkEnd w:id="252"/>
      <w:bookmarkEnd w:id="253"/>
    </w:p>
    <w:tbl>
      <w:tblPr>
        <w:tblStyle w:val="MSVTable1"/>
        <w:tblW w:w="5000" w:type="pct"/>
        <w:tblLook w:val="0420" w:firstRow="1" w:lastRow="0" w:firstColumn="0" w:lastColumn="0" w:noHBand="0" w:noVBand="1"/>
      </w:tblPr>
      <w:tblGrid>
        <w:gridCol w:w="2823"/>
        <w:gridCol w:w="1056"/>
        <w:gridCol w:w="872"/>
        <w:gridCol w:w="872"/>
        <w:gridCol w:w="1279"/>
        <w:gridCol w:w="878"/>
        <w:gridCol w:w="880"/>
        <w:gridCol w:w="1266"/>
        <w:gridCol w:w="885"/>
        <w:gridCol w:w="885"/>
        <w:gridCol w:w="1248"/>
      </w:tblGrid>
      <w:tr w:rsidR="00B607BD" w:rsidRPr="00A06F1E" w14:paraId="2BD3D26A" w14:textId="77777777" w:rsidTr="00AA3A77">
        <w:trPr>
          <w:cnfStyle w:val="100000000000" w:firstRow="1" w:lastRow="0" w:firstColumn="0" w:lastColumn="0" w:oddVBand="0" w:evenVBand="0" w:oddHBand="0" w:evenHBand="0" w:firstRowFirstColumn="0" w:firstRowLastColumn="0" w:lastRowFirstColumn="0" w:lastRowLastColumn="0"/>
          <w:tblHeader/>
        </w:trPr>
        <w:tc>
          <w:tcPr>
            <w:tcW w:w="1090" w:type="pct"/>
            <w:vMerge w:val="restart"/>
            <w:vAlign w:val="center"/>
          </w:tcPr>
          <w:p w14:paraId="058C298B" w14:textId="77777777" w:rsidR="00B607BD" w:rsidRPr="00A06F1E" w:rsidRDefault="00B607BD" w:rsidP="00AA3A77">
            <w:pPr>
              <w:pStyle w:val="TableColHeadingLeft"/>
              <w:spacing w:before="10" w:after="10"/>
              <w:jc w:val="center"/>
            </w:pPr>
            <w:r w:rsidRPr="00A06F1E">
              <w:t>Group</w:t>
            </w:r>
          </w:p>
        </w:tc>
        <w:tc>
          <w:tcPr>
            <w:tcW w:w="408" w:type="pct"/>
            <w:vMerge w:val="restart"/>
            <w:vAlign w:val="center"/>
          </w:tcPr>
          <w:p w14:paraId="6D2267CD" w14:textId="3113A681" w:rsidR="00B607BD" w:rsidRPr="00A06F1E" w:rsidRDefault="00B607BD" w:rsidP="00AA3A77">
            <w:pPr>
              <w:pStyle w:val="TableColHeadingCenter"/>
              <w:spacing w:before="10" w:after="10"/>
            </w:pPr>
            <w:r w:rsidRPr="00A06F1E">
              <w:t xml:space="preserve"># </w:t>
            </w:r>
            <w:r w:rsidR="004669DD" w:rsidRPr="00A06F1E">
              <w:t>i</w:t>
            </w:r>
            <w:r w:rsidRPr="00A06F1E">
              <w:t>ncluded (2023)</w:t>
            </w:r>
          </w:p>
        </w:tc>
        <w:tc>
          <w:tcPr>
            <w:tcW w:w="1168" w:type="pct"/>
            <w:gridSpan w:val="3"/>
            <w:vAlign w:val="bottom"/>
          </w:tcPr>
          <w:p w14:paraId="5BF5070D" w14:textId="59E772F6" w:rsidR="00B607BD" w:rsidRPr="00A06F1E" w:rsidRDefault="00A228CB" w:rsidP="00AA3A77">
            <w:pPr>
              <w:pStyle w:val="TableColHeadingCenter"/>
              <w:spacing w:before="10" w:after="10"/>
            </w:pPr>
            <w:r w:rsidRPr="00A06F1E">
              <w:t>Percentage</w:t>
            </w:r>
            <w:r w:rsidR="00B607BD" w:rsidRPr="00A06F1E">
              <w:t xml:space="preserve"> meeting or exceeding expectations</w:t>
            </w:r>
          </w:p>
        </w:tc>
        <w:tc>
          <w:tcPr>
            <w:tcW w:w="1168" w:type="pct"/>
            <w:gridSpan w:val="3"/>
            <w:vAlign w:val="center"/>
          </w:tcPr>
          <w:p w14:paraId="621C66FF" w14:textId="1F3227E1" w:rsidR="00B607BD" w:rsidRPr="00A06F1E" w:rsidRDefault="00A228CB" w:rsidP="00AA3A77">
            <w:pPr>
              <w:pStyle w:val="TableColHeadingCenter"/>
              <w:spacing w:before="10" w:after="10"/>
            </w:pPr>
            <w:r w:rsidRPr="00A06F1E">
              <w:t>Percentage</w:t>
            </w:r>
            <w:r w:rsidR="00B607BD" w:rsidRPr="00A06F1E">
              <w:t xml:space="preserve"> partially meeting expectations</w:t>
            </w:r>
          </w:p>
        </w:tc>
        <w:tc>
          <w:tcPr>
            <w:tcW w:w="1166" w:type="pct"/>
            <w:gridSpan w:val="3"/>
            <w:vAlign w:val="center"/>
          </w:tcPr>
          <w:p w14:paraId="76A82657" w14:textId="6230946A" w:rsidR="00B607BD" w:rsidRPr="00A06F1E" w:rsidRDefault="00A228CB" w:rsidP="00AA3A77">
            <w:pPr>
              <w:pStyle w:val="TableColHeadingCenter"/>
              <w:spacing w:before="10" w:after="10"/>
            </w:pPr>
            <w:r w:rsidRPr="00A06F1E">
              <w:t>Percentage</w:t>
            </w:r>
            <w:r w:rsidR="00B607BD" w:rsidRPr="00A06F1E">
              <w:t xml:space="preserve"> not meeting expectations</w:t>
            </w:r>
          </w:p>
        </w:tc>
      </w:tr>
      <w:tr w:rsidR="00AA3A77" w:rsidRPr="00A06F1E" w14:paraId="0BBC5F36" w14:textId="77777777" w:rsidTr="00AA3A77">
        <w:trPr>
          <w:cnfStyle w:val="100000000000" w:firstRow="1" w:lastRow="0" w:firstColumn="0" w:lastColumn="0" w:oddVBand="0" w:evenVBand="0" w:oddHBand="0" w:evenHBand="0" w:firstRowFirstColumn="0" w:firstRowLastColumn="0" w:lastRowFirstColumn="0" w:lastRowLastColumn="0"/>
          <w:tblHeader/>
        </w:trPr>
        <w:tc>
          <w:tcPr>
            <w:tcW w:w="1090" w:type="pct"/>
            <w:vMerge/>
            <w:vAlign w:val="bottom"/>
          </w:tcPr>
          <w:p w14:paraId="783BFB41" w14:textId="77777777" w:rsidR="00B607BD" w:rsidRPr="00A06F1E" w:rsidRDefault="00B607BD" w:rsidP="00AA3A77">
            <w:pPr>
              <w:pStyle w:val="TableColHeadingCenter"/>
              <w:spacing w:before="10" w:after="10"/>
            </w:pPr>
          </w:p>
        </w:tc>
        <w:tc>
          <w:tcPr>
            <w:tcW w:w="408" w:type="pct"/>
            <w:vMerge/>
            <w:vAlign w:val="bottom"/>
          </w:tcPr>
          <w:p w14:paraId="3022E925" w14:textId="77777777" w:rsidR="00B607BD" w:rsidRPr="00A06F1E" w:rsidRDefault="00B607BD" w:rsidP="00AA3A77">
            <w:pPr>
              <w:pStyle w:val="TableColHeadingCenter"/>
              <w:spacing w:before="10" w:after="10"/>
            </w:pPr>
          </w:p>
        </w:tc>
        <w:tc>
          <w:tcPr>
            <w:tcW w:w="337" w:type="pct"/>
            <w:vAlign w:val="center"/>
          </w:tcPr>
          <w:p w14:paraId="46570616" w14:textId="77777777" w:rsidR="00B607BD" w:rsidRPr="00A06F1E" w:rsidRDefault="00B607BD" w:rsidP="00AA3A77">
            <w:pPr>
              <w:pStyle w:val="TableColHeadingCenter"/>
              <w:spacing w:before="10" w:after="10"/>
            </w:pPr>
            <w:r w:rsidRPr="00A06F1E">
              <w:t>2022</w:t>
            </w:r>
          </w:p>
        </w:tc>
        <w:tc>
          <w:tcPr>
            <w:tcW w:w="337" w:type="pct"/>
            <w:vAlign w:val="center"/>
          </w:tcPr>
          <w:p w14:paraId="13914513" w14:textId="77777777" w:rsidR="00B607BD" w:rsidRPr="00A06F1E" w:rsidRDefault="00B607BD" w:rsidP="00AA3A77">
            <w:pPr>
              <w:pStyle w:val="TableColHeadingCenter"/>
              <w:spacing w:before="10" w:after="10"/>
            </w:pPr>
            <w:r w:rsidRPr="00A06F1E">
              <w:t>2023</w:t>
            </w:r>
          </w:p>
        </w:tc>
        <w:tc>
          <w:tcPr>
            <w:tcW w:w="494" w:type="pct"/>
            <w:vAlign w:val="center"/>
          </w:tcPr>
          <w:p w14:paraId="47139D87" w14:textId="77777777" w:rsidR="00B607BD" w:rsidRPr="00A06F1E" w:rsidRDefault="00B607BD" w:rsidP="00AA3A77">
            <w:pPr>
              <w:pStyle w:val="TableColHeadingCenter"/>
              <w:spacing w:before="10" w:after="10"/>
            </w:pPr>
            <w:r w:rsidRPr="00A06F1E">
              <w:t>State (2023)</w:t>
            </w:r>
          </w:p>
        </w:tc>
        <w:tc>
          <w:tcPr>
            <w:tcW w:w="339" w:type="pct"/>
            <w:vAlign w:val="center"/>
          </w:tcPr>
          <w:p w14:paraId="568F23A7" w14:textId="77777777" w:rsidR="00B607BD" w:rsidRPr="00A06F1E" w:rsidRDefault="00B607BD" w:rsidP="00AA3A77">
            <w:pPr>
              <w:pStyle w:val="TableColHeadingCenter"/>
              <w:spacing w:before="10" w:after="10"/>
            </w:pPr>
            <w:r w:rsidRPr="00A06F1E">
              <w:t>2022</w:t>
            </w:r>
          </w:p>
        </w:tc>
        <w:tc>
          <w:tcPr>
            <w:tcW w:w="340" w:type="pct"/>
            <w:vAlign w:val="center"/>
          </w:tcPr>
          <w:p w14:paraId="4C578ED1" w14:textId="77777777" w:rsidR="00B607BD" w:rsidRPr="00A06F1E" w:rsidRDefault="00B607BD" w:rsidP="00AA3A77">
            <w:pPr>
              <w:pStyle w:val="TableColHeadingCenter"/>
              <w:spacing w:before="10" w:after="10"/>
            </w:pPr>
            <w:r w:rsidRPr="00A06F1E">
              <w:t>2023</w:t>
            </w:r>
          </w:p>
        </w:tc>
        <w:tc>
          <w:tcPr>
            <w:tcW w:w="489" w:type="pct"/>
            <w:vAlign w:val="center"/>
          </w:tcPr>
          <w:p w14:paraId="560EB6E6" w14:textId="77777777" w:rsidR="00B607BD" w:rsidRPr="00A06F1E" w:rsidRDefault="00B607BD" w:rsidP="00AA3A77">
            <w:pPr>
              <w:pStyle w:val="TableColHeadingCenter"/>
              <w:spacing w:before="10" w:after="10"/>
            </w:pPr>
            <w:r w:rsidRPr="00A06F1E">
              <w:t>State (2023)</w:t>
            </w:r>
          </w:p>
        </w:tc>
        <w:tc>
          <w:tcPr>
            <w:tcW w:w="342" w:type="pct"/>
            <w:vAlign w:val="center"/>
          </w:tcPr>
          <w:p w14:paraId="0D8B80A1" w14:textId="77777777" w:rsidR="00B607BD" w:rsidRPr="00A06F1E" w:rsidRDefault="00B607BD" w:rsidP="00AA3A77">
            <w:pPr>
              <w:pStyle w:val="TableColHeadingCenter"/>
              <w:spacing w:before="10" w:after="10"/>
            </w:pPr>
            <w:r w:rsidRPr="00A06F1E">
              <w:t>2022</w:t>
            </w:r>
          </w:p>
        </w:tc>
        <w:tc>
          <w:tcPr>
            <w:tcW w:w="342" w:type="pct"/>
            <w:vAlign w:val="center"/>
          </w:tcPr>
          <w:p w14:paraId="3BD2699E" w14:textId="77777777" w:rsidR="00B607BD" w:rsidRPr="00A06F1E" w:rsidRDefault="00B607BD" w:rsidP="00AA3A77">
            <w:pPr>
              <w:pStyle w:val="TableColHeadingCenter"/>
              <w:spacing w:before="10" w:after="10"/>
            </w:pPr>
            <w:r w:rsidRPr="00A06F1E">
              <w:t>2023</w:t>
            </w:r>
          </w:p>
        </w:tc>
        <w:tc>
          <w:tcPr>
            <w:tcW w:w="482" w:type="pct"/>
            <w:vAlign w:val="center"/>
          </w:tcPr>
          <w:p w14:paraId="122AB708" w14:textId="77777777" w:rsidR="00B607BD" w:rsidRPr="00A06F1E" w:rsidRDefault="00B607BD" w:rsidP="00AA3A77">
            <w:pPr>
              <w:pStyle w:val="TableColHeadingCenter"/>
              <w:spacing w:before="10" w:after="10"/>
            </w:pPr>
            <w:r w:rsidRPr="00A06F1E">
              <w:t>State (2023)</w:t>
            </w:r>
          </w:p>
        </w:tc>
      </w:tr>
      <w:tr w:rsidR="00AA3A77" w:rsidRPr="00A06F1E" w14:paraId="6D0A6349" w14:textId="77777777" w:rsidTr="00AA3A77">
        <w:trPr>
          <w:cnfStyle w:val="000000100000" w:firstRow="0" w:lastRow="0" w:firstColumn="0" w:lastColumn="0" w:oddVBand="0" w:evenVBand="0" w:oddHBand="1" w:evenHBand="0" w:firstRowFirstColumn="0" w:firstRowLastColumn="0" w:lastRowFirstColumn="0" w:lastRowLastColumn="0"/>
        </w:trPr>
        <w:tc>
          <w:tcPr>
            <w:tcW w:w="1090" w:type="pct"/>
          </w:tcPr>
          <w:p w14:paraId="549D6206"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All</w:t>
            </w:r>
          </w:p>
        </w:tc>
        <w:tc>
          <w:tcPr>
            <w:tcW w:w="408" w:type="pct"/>
            <w:vAlign w:val="center"/>
          </w:tcPr>
          <w:p w14:paraId="34C65DF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74</w:t>
            </w:r>
          </w:p>
        </w:tc>
        <w:tc>
          <w:tcPr>
            <w:tcW w:w="337" w:type="pct"/>
            <w:vAlign w:val="center"/>
          </w:tcPr>
          <w:p w14:paraId="39109CA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16</w:t>
            </w:r>
          </w:p>
        </w:tc>
        <w:tc>
          <w:tcPr>
            <w:tcW w:w="337" w:type="pct"/>
            <w:vAlign w:val="center"/>
          </w:tcPr>
          <w:p w14:paraId="4D55D80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31</w:t>
            </w:r>
          </w:p>
        </w:tc>
        <w:tc>
          <w:tcPr>
            <w:tcW w:w="494" w:type="pct"/>
            <w:vAlign w:val="center"/>
          </w:tcPr>
          <w:p w14:paraId="714C807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41</w:t>
            </w:r>
          </w:p>
        </w:tc>
        <w:tc>
          <w:tcPr>
            <w:tcW w:w="339" w:type="pct"/>
            <w:vAlign w:val="center"/>
          </w:tcPr>
          <w:p w14:paraId="1EE8665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66</w:t>
            </w:r>
          </w:p>
        </w:tc>
        <w:tc>
          <w:tcPr>
            <w:tcW w:w="340" w:type="pct"/>
            <w:vAlign w:val="center"/>
          </w:tcPr>
          <w:p w14:paraId="54AAD1A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55</w:t>
            </w:r>
          </w:p>
        </w:tc>
        <w:tc>
          <w:tcPr>
            <w:tcW w:w="489" w:type="pct"/>
            <w:vAlign w:val="center"/>
          </w:tcPr>
          <w:p w14:paraId="383AAAE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41</w:t>
            </w:r>
          </w:p>
        </w:tc>
        <w:tc>
          <w:tcPr>
            <w:tcW w:w="342" w:type="pct"/>
            <w:vAlign w:val="center"/>
          </w:tcPr>
          <w:p w14:paraId="3DBBE7B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18</w:t>
            </w:r>
          </w:p>
        </w:tc>
        <w:tc>
          <w:tcPr>
            <w:tcW w:w="342" w:type="pct"/>
            <w:vAlign w:val="center"/>
          </w:tcPr>
          <w:p w14:paraId="6CB62CD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14</w:t>
            </w:r>
          </w:p>
        </w:tc>
        <w:tc>
          <w:tcPr>
            <w:tcW w:w="482" w:type="pct"/>
            <w:vAlign w:val="center"/>
          </w:tcPr>
          <w:p w14:paraId="23E3965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18</w:t>
            </w:r>
          </w:p>
        </w:tc>
      </w:tr>
      <w:tr w:rsidR="00AA3A77" w:rsidRPr="00A06F1E" w14:paraId="2F4BFA37" w14:textId="77777777" w:rsidTr="00AA3A77">
        <w:tc>
          <w:tcPr>
            <w:tcW w:w="1090" w:type="pct"/>
          </w:tcPr>
          <w:p w14:paraId="428FDAC2"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African American/Black</w:t>
            </w:r>
          </w:p>
        </w:tc>
        <w:tc>
          <w:tcPr>
            <w:tcW w:w="408" w:type="pct"/>
            <w:vAlign w:val="center"/>
          </w:tcPr>
          <w:p w14:paraId="23C82C67" w14:textId="7CBA90C1"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515C42C9" w14:textId="1C502BA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5B7AEAEA" w14:textId="4AA89DE2"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4" w:type="pct"/>
            <w:vAlign w:val="center"/>
          </w:tcPr>
          <w:p w14:paraId="1593014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21</w:t>
            </w:r>
          </w:p>
        </w:tc>
        <w:tc>
          <w:tcPr>
            <w:tcW w:w="339" w:type="pct"/>
            <w:vAlign w:val="center"/>
          </w:tcPr>
          <w:p w14:paraId="43A5CF33" w14:textId="41BDC19D"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vAlign w:val="center"/>
          </w:tcPr>
          <w:p w14:paraId="4B0AA467" w14:textId="27B98E0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9" w:type="pct"/>
            <w:vAlign w:val="center"/>
          </w:tcPr>
          <w:p w14:paraId="7251EB3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47</w:t>
            </w:r>
          </w:p>
        </w:tc>
        <w:tc>
          <w:tcPr>
            <w:tcW w:w="342" w:type="pct"/>
            <w:vAlign w:val="center"/>
          </w:tcPr>
          <w:p w14:paraId="4BB8A698" w14:textId="148BB01E"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2" w:type="pct"/>
            <w:vAlign w:val="center"/>
          </w:tcPr>
          <w:p w14:paraId="05DBEF5D" w14:textId="4DF01A22"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2" w:type="pct"/>
            <w:vAlign w:val="center"/>
          </w:tcPr>
          <w:p w14:paraId="617A639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32</w:t>
            </w:r>
          </w:p>
        </w:tc>
      </w:tr>
      <w:tr w:rsidR="00AA3A77" w:rsidRPr="00A06F1E" w14:paraId="21FA219C" w14:textId="77777777" w:rsidTr="00AA3A77">
        <w:trPr>
          <w:cnfStyle w:val="000000100000" w:firstRow="0" w:lastRow="0" w:firstColumn="0" w:lastColumn="0" w:oddVBand="0" w:evenVBand="0" w:oddHBand="1" w:evenHBand="0" w:firstRowFirstColumn="0" w:firstRowLastColumn="0" w:lastRowFirstColumn="0" w:lastRowLastColumn="0"/>
        </w:trPr>
        <w:tc>
          <w:tcPr>
            <w:tcW w:w="1090" w:type="pct"/>
          </w:tcPr>
          <w:p w14:paraId="10CADFB5"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Asian</w:t>
            </w:r>
          </w:p>
        </w:tc>
        <w:tc>
          <w:tcPr>
            <w:tcW w:w="408" w:type="pct"/>
            <w:vAlign w:val="center"/>
          </w:tcPr>
          <w:p w14:paraId="51F4E06B" w14:textId="0F275CC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3A525585" w14:textId="741EEA4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03A79155" w14:textId="610E712B"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4" w:type="pct"/>
            <w:vAlign w:val="center"/>
          </w:tcPr>
          <w:p w14:paraId="4E7F1E5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71</w:t>
            </w:r>
          </w:p>
        </w:tc>
        <w:tc>
          <w:tcPr>
            <w:tcW w:w="339" w:type="pct"/>
            <w:vAlign w:val="center"/>
          </w:tcPr>
          <w:p w14:paraId="7DBB5C0C" w14:textId="021874A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vAlign w:val="center"/>
          </w:tcPr>
          <w:p w14:paraId="17C728E8" w14:textId="7F3F47E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9" w:type="pct"/>
            <w:vAlign w:val="center"/>
          </w:tcPr>
          <w:p w14:paraId="4E78F92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23</w:t>
            </w:r>
          </w:p>
        </w:tc>
        <w:tc>
          <w:tcPr>
            <w:tcW w:w="342" w:type="pct"/>
            <w:vAlign w:val="center"/>
          </w:tcPr>
          <w:p w14:paraId="11FB9288" w14:textId="39B6A66A"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2" w:type="pct"/>
            <w:vAlign w:val="center"/>
          </w:tcPr>
          <w:p w14:paraId="7B312FD0" w14:textId="2F1B092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2" w:type="pct"/>
            <w:vAlign w:val="center"/>
          </w:tcPr>
          <w:p w14:paraId="2904388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w:t>
            </w:r>
          </w:p>
        </w:tc>
      </w:tr>
      <w:tr w:rsidR="00AA3A77" w:rsidRPr="00A06F1E" w14:paraId="20AAE1F1" w14:textId="77777777" w:rsidTr="00AA3A77">
        <w:tc>
          <w:tcPr>
            <w:tcW w:w="1090" w:type="pct"/>
          </w:tcPr>
          <w:p w14:paraId="13E833D8"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Hispanic/Latino</w:t>
            </w:r>
          </w:p>
        </w:tc>
        <w:tc>
          <w:tcPr>
            <w:tcW w:w="408" w:type="pct"/>
            <w:vAlign w:val="center"/>
          </w:tcPr>
          <w:p w14:paraId="4E199499" w14:textId="3B3ACC1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46669516" w14:textId="59B3C38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68724F39" w14:textId="605FF41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4" w:type="pct"/>
            <w:vAlign w:val="center"/>
          </w:tcPr>
          <w:p w14:paraId="04561C9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19</w:t>
            </w:r>
          </w:p>
        </w:tc>
        <w:tc>
          <w:tcPr>
            <w:tcW w:w="339" w:type="pct"/>
            <w:vAlign w:val="center"/>
          </w:tcPr>
          <w:p w14:paraId="7692BEDD" w14:textId="5C241A7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vAlign w:val="center"/>
          </w:tcPr>
          <w:p w14:paraId="76B11C78" w14:textId="7017B6E5"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9" w:type="pct"/>
            <w:vAlign w:val="center"/>
          </w:tcPr>
          <w:p w14:paraId="039E0EE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47</w:t>
            </w:r>
          </w:p>
        </w:tc>
        <w:tc>
          <w:tcPr>
            <w:tcW w:w="342" w:type="pct"/>
            <w:vAlign w:val="center"/>
          </w:tcPr>
          <w:p w14:paraId="61AF39CA" w14:textId="58D0587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2" w:type="pct"/>
            <w:vAlign w:val="center"/>
          </w:tcPr>
          <w:p w14:paraId="1A48F438" w14:textId="4BDEAF0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2" w:type="pct"/>
            <w:vAlign w:val="center"/>
          </w:tcPr>
          <w:p w14:paraId="7BCDC92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34</w:t>
            </w:r>
          </w:p>
        </w:tc>
      </w:tr>
      <w:tr w:rsidR="00AA3A77" w:rsidRPr="00A06F1E" w14:paraId="6FFB0AD2" w14:textId="77777777" w:rsidTr="00AA3A77">
        <w:trPr>
          <w:cnfStyle w:val="000000100000" w:firstRow="0" w:lastRow="0" w:firstColumn="0" w:lastColumn="0" w:oddVBand="0" w:evenVBand="0" w:oddHBand="1" w:evenHBand="0" w:firstRowFirstColumn="0" w:firstRowLastColumn="0" w:lastRowFirstColumn="0" w:lastRowLastColumn="0"/>
        </w:trPr>
        <w:tc>
          <w:tcPr>
            <w:tcW w:w="1090" w:type="pct"/>
          </w:tcPr>
          <w:p w14:paraId="56AAAF4B" w14:textId="77777777" w:rsidR="00B607BD" w:rsidRPr="00A06F1E" w:rsidRDefault="00B607BD" w:rsidP="00AA3A77">
            <w:pPr>
              <w:pStyle w:val="TableText"/>
              <w:spacing w:before="10" w:after="10"/>
              <w:rPr>
                <w:rFonts w:ascii="Franklin Gothic Book" w:hAnsi="Franklin Gothic Book"/>
                <w:spacing w:val="-2"/>
              </w:rPr>
            </w:pPr>
            <w:r w:rsidRPr="00A06F1E">
              <w:rPr>
                <w:rFonts w:ascii="Franklin Gothic Book" w:hAnsi="Franklin Gothic Book" w:cstheme="minorHAnsi"/>
                <w:spacing w:val="-2"/>
              </w:rPr>
              <w:t>Multi-Race, non-Hispanic/Latino</w:t>
            </w:r>
          </w:p>
        </w:tc>
        <w:tc>
          <w:tcPr>
            <w:tcW w:w="408" w:type="pct"/>
            <w:vAlign w:val="center"/>
          </w:tcPr>
          <w:p w14:paraId="6D13BACB" w14:textId="38ECE181"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28F1E2D3" w14:textId="7293DC6A"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629793D7" w14:textId="2D7BC472"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4" w:type="pct"/>
            <w:vAlign w:val="center"/>
          </w:tcPr>
          <w:p w14:paraId="6C0F7B1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46</w:t>
            </w:r>
          </w:p>
        </w:tc>
        <w:tc>
          <w:tcPr>
            <w:tcW w:w="339" w:type="pct"/>
            <w:vAlign w:val="center"/>
          </w:tcPr>
          <w:p w14:paraId="28F309D6" w14:textId="002C1FA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vAlign w:val="center"/>
          </w:tcPr>
          <w:p w14:paraId="0ECD2BCA" w14:textId="37C74C7E"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9" w:type="pct"/>
            <w:vAlign w:val="center"/>
          </w:tcPr>
          <w:p w14:paraId="70159E1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38</w:t>
            </w:r>
          </w:p>
        </w:tc>
        <w:tc>
          <w:tcPr>
            <w:tcW w:w="342" w:type="pct"/>
            <w:vAlign w:val="center"/>
          </w:tcPr>
          <w:p w14:paraId="085E39DD" w14:textId="73CE5D2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2" w:type="pct"/>
            <w:vAlign w:val="center"/>
          </w:tcPr>
          <w:p w14:paraId="21DE899C" w14:textId="4ED8B88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2" w:type="pct"/>
            <w:vAlign w:val="center"/>
          </w:tcPr>
          <w:p w14:paraId="7151F39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16</w:t>
            </w:r>
          </w:p>
        </w:tc>
      </w:tr>
      <w:tr w:rsidR="00AA3A77" w:rsidRPr="00A06F1E" w14:paraId="7BC300CD" w14:textId="77777777" w:rsidTr="00AA3A77">
        <w:tc>
          <w:tcPr>
            <w:tcW w:w="1090" w:type="pct"/>
          </w:tcPr>
          <w:p w14:paraId="0CDB1D31"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Native American</w:t>
            </w:r>
          </w:p>
        </w:tc>
        <w:tc>
          <w:tcPr>
            <w:tcW w:w="408" w:type="pct"/>
            <w:vAlign w:val="center"/>
          </w:tcPr>
          <w:p w14:paraId="4CFBA0DD" w14:textId="6B2BC33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6C5723BC" w14:textId="08ED33A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6602E140" w14:textId="0EE4694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4" w:type="pct"/>
            <w:vAlign w:val="center"/>
          </w:tcPr>
          <w:p w14:paraId="17883B2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28</w:t>
            </w:r>
          </w:p>
        </w:tc>
        <w:tc>
          <w:tcPr>
            <w:tcW w:w="339" w:type="pct"/>
            <w:vAlign w:val="center"/>
          </w:tcPr>
          <w:p w14:paraId="60512386" w14:textId="6BA6FB0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vAlign w:val="center"/>
          </w:tcPr>
          <w:p w14:paraId="23CCB0E9" w14:textId="7FF8B3D2"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9" w:type="pct"/>
            <w:vAlign w:val="center"/>
          </w:tcPr>
          <w:p w14:paraId="7EAB9D5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46</w:t>
            </w:r>
          </w:p>
        </w:tc>
        <w:tc>
          <w:tcPr>
            <w:tcW w:w="342" w:type="pct"/>
            <w:vAlign w:val="center"/>
          </w:tcPr>
          <w:p w14:paraId="18BF92AF" w14:textId="03178AB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2" w:type="pct"/>
            <w:vAlign w:val="center"/>
          </w:tcPr>
          <w:p w14:paraId="086AFE19" w14:textId="3932031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2" w:type="pct"/>
            <w:vAlign w:val="center"/>
          </w:tcPr>
          <w:p w14:paraId="0BA2B33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26</w:t>
            </w:r>
          </w:p>
        </w:tc>
      </w:tr>
      <w:tr w:rsidR="00AA3A77" w:rsidRPr="00A06F1E" w14:paraId="76836D37" w14:textId="77777777" w:rsidTr="00AA3A77">
        <w:trPr>
          <w:cnfStyle w:val="000000100000" w:firstRow="0" w:lastRow="0" w:firstColumn="0" w:lastColumn="0" w:oddVBand="0" w:evenVBand="0" w:oddHBand="1" w:evenHBand="0" w:firstRowFirstColumn="0" w:firstRowLastColumn="0" w:lastRowFirstColumn="0" w:lastRowLastColumn="0"/>
        </w:trPr>
        <w:tc>
          <w:tcPr>
            <w:tcW w:w="1090" w:type="pct"/>
          </w:tcPr>
          <w:p w14:paraId="0302A9EB" w14:textId="77777777" w:rsidR="00B607BD" w:rsidRPr="00A06F1E" w:rsidRDefault="00B607BD" w:rsidP="00AA3A77">
            <w:pPr>
              <w:pStyle w:val="TableText"/>
              <w:spacing w:before="10" w:after="10"/>
              <w:rPr>
                <w:rFonts w:ascii="Franklin Gothic Book" w:hAnsi="Franklin Gothic Book"/>
                <w:spacing w:val="-4"/>
              </w:rPr>
            </w:pPr>
            <w:r w:rsidRPr="00A06F1E">
              <w:rPr>
                <w:rFonts w:ascii="Franklin Gothic Book" w:hAnsi="Franklin Gothic Book"/>
                <w:spacing w:val="-4"/>
              </w:rPr>
              <w:t>Native Hawaiian, Pacific Islander</w:t>
            </w:r>
          </w:p>
        </w:tc>
        <w:tc>
          <w:tcPr>
            <w:tcW w:w="408" w:type="pct"/>
            <w:vAlign w:val="center"/>
          </w:tcPr>
          <w:p w14:paraId="183D5026" w14:textId="4EAE984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033888FE" w14:textId="1B14A85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2AEC31D2" w14:textId="028C106B"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4" w:type="pct"/>
            <w:vAlign w:val="center"/>
          </w:tcPr>
          <w:p w14:paraId="42400BF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41</w:t>
            </w:r>
          </w:p>
        </w:tc>
        <w:tc>
          <w:tcPr>
            <w:tcW w:w="339" w:type="pct"/>
            <w:vAlign w:val="center"/>
          </w:tcPr>
          <w:p w14:paraId="2E173EC6" w14:textId="525E8C6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vAlign w:val="center"/>
          </w:tcPr>
          <w:p w14:paraId="4CCFEF12" w14:textId="103DE3E1"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9" w:type="pct"/>
            <w:vAlign w:val="center"/>
          </w:tcPr>
          <w:p w14:paraId="601367C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43</w:t>
            </w:r>
          </w:p>
        </w:tc>
        <w:tc>
          <w:tcPr>
            <w:tcW w:w="342" w:type="pct"/>
            <w:vAlign w:val="center"/>
          </w:tcPr>
          <w:p w14:paraId="6380CF6C" w14:textId="315BF4A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2" w:type="pct"/>
            <w:vAlign w:val="center"/>
          </w:tcPr>
          <w:p w14:paraId="5FA260C9" w14:textId="2FC549D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2" w:type="pct"/>
            <w:vAlign w:val="center"/>
          </w:tcPr>
          <w:p w14:paraId="7367F73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16</w:t>
            </w:r>
          </w:p>
        </w:tc>
      </w:tr>
      <w:tr w:rsidR="00AA3A77" w:rsidRPr="00A06F1E" w14:paraId="2BAE1344" w14:textId="77777777" w:rsidTr="00AA3A77">
        <w:tc>
          <w:tcPr>
            <w:tcW w:w="1090" w:type="pct"/>
          </w:tcPr>
          <w:p w14:paraId="2B01C367"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White</w:t>
            </w:r>
          </w:p>
        </w:tc>
        <w:tc>
          <w:tcPr>
            <w:tcW w:w="408" w:type="pct"/>
            <w:vAlign w:val="center"/>
          </w:tcPr>
          <w:p w14:paraId="7DB219F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63</w:t>
            </w:r>
          </w:p>
        </w:tc>
        <w:tc>
          <w:tcPr>
            <w:tcW w:w="337" w:type="pct"/>
            <w:vAlign w:val="center"/>
          </w:tcPr>
          <w:p w14:paraId="349AE08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19</w:t>
            </w:r>
          </w:p>
        </w:tc>
        <w:tc>
          <w:tcPr>
            <w:tcW w:w="337" w:type="pct"/>
            <w:vAlign w:val="center"/>
          </w:tcPr>
          <w:p w14:paraId="34A3DC0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35</w:t>
            </w:r>
          </w:p>
        </w:tc>
        <w:tc>
          <w:tcPr>
            <w:tcW w:w="494" w:type="pct"/>
            <w:vAlign w:val="center"/>
          </w:tcPr>
          <w:p w14:paraId="0D3CDB9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49</w:t>
            </w:r>
          </w:p>
        </w:tc>
        <w:tc>
          <w:tcPr>
            <w:tcW w:w="339" w:type="pct"/>
            <w:vAlign w:val="center"/>
          </w:tcPr>
          <w:p w14:paraId="72C15B5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60</w:t>
            </w:r>
          </w:p>
        </w:tc>
        <w:tc>
          <w:tcPr>
            <w:tcW w:w="340" w:type="pct"/>
            <w:vAlign w:val="center"/>
          </w:tcPr>
          <w:p w14:paraId="7EDAF65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51</w:t>
            </w:r>
          </w:p>
        </w:tc>
        <w:tc>
          <w:tcPr>
            <w:tcW w:w="489" w:type="pct"/>
            <w:vAlign w:val="center"/>
          </w:tcPr>
          <w:p w14:paraId="312A707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40</w:t>
            </w:r>
          </w:p>
        </w:tc>
        <w:tc>
          <w:tcPr>
            <w:tcW w:w="342" w:type="pct"/>
            <w:vAlign w:val="center"/>
          </w:tcPr>
          <w:p w14:paraId="4428F92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21</w:t>
            </w:r>
          </w:p>
        </w:tc>
        <w:tc>
          <w:tcPr>
            <w:tcW w:w="342" w:type="pct"/>
            <w:vAlign w:val="center"/>
          </w:tcPr>
          <w:p w14:paraId="72EBB71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14</w:t>
            </w:r>
          </w:p>
        </w:tc>
        <w:tc>
          <w:tcPr>
            <w:tcW w:w="482" w:type="pct"/>
            <w:vAlign w:val="center"/>
          </w:tcPr>
          <w:p w14:paraId="57DBF0B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11</w:t>
            </w:r>
          </w:p>
        </w:tc>
      </w:tr>
      <w:tr w:rsidR="00AA3A77" w:rsidRPr="00A06F1E" w14:paraId="63476295" w14:textId="77777777" w:rsidTr="00AA3A77">
        <w:trPr>
          <w:cnfStyle w:val="000000100000" w:firstRow="0" w:lastRow="0" w:firstColumn="0" w:lastColumn="0" w:oddVBand="0" w:evenVBand="0" w:oddHBand="1" w:evenHBand="0" w:firstRowFirstColumn="0" w:firstRowLastColumn="0" w:lastRowFirstColumn="0" w:lastRowLastColumn="0"/>
        </w:trPr>
        <w:tc>
          <w:tcPr>
            <w:tcW w:w="1090" w:type="pct"/>
          </w:tcPr>
          <w:p w14:paraId="5025E46E"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High needs</w:t>
            </w:r>
          </w:p>
        </w:tc>
        <w:tc>
          <w:tcPr>
            <w:tcW w:w="408" w:type="pct"/>
            <w:vAlign w:val="center"/>
          </w:tcPr>
          <w:p w14:paraId="58B929C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35</w:t>
            </w:r>
          </w:p>
        </w:tc>
        <w:tc>
          <w:tcPr>
            <w:tcW w:w="337" w:type="pct"/>
            <w:vAlign w:val="center"/>
          </w:tcPr>
          <w:p w14:paraId="52856F2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9</w:t>
            </w:r>
          </w:p>
        </w:tc>
        <w:tc>
          <w:tcPr>
            <w:tcW w:w="337" w:type="pct"/>
            <w:vAlign w:val="center"/>
          </w:tcPr>
          <w:p w14:paraId="6405B7D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20</w:t>
            </w:r>
          </w:p>
        </w:tc>
        <w:tc>
          <w:tcPr>
            <w:tcW w:w="494" w:type="pct"/>
            <w:vAlign w:val="center"/>
          </w:tcPr>
          <w:p w14:paraId="4A6A349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23</w:t>
            </w:r>
          </w:p>
        </w:tc>
        <w:tc>
          <w:tcPr>
            <w:tcW w:w="339" w:type="pct"/>
            <w:vAlign w:val="center"/>
          </w:tcPr>
          <w:p w14:paraId="6770EA0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68</w:t>
            </w:r>
          </w:p>
        </w:tc>
        <w:tc>
          <w:tcPr>
            <w:tcW w:w="340" w:type="pct"/>
            <w:vAlign w:val="center"/>
          </w:tcPr>
          <w:p w14:paraId="71D033C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60</w:t>
            </w:r>
          </w:p>
        </w:tc>
        <w:tc>
          <w:tcPr>
            <w:tcW w:w="489" w:type="pct"/>
            <w:vAlign w:val="center"/>
          </w:tcPr>
          <w:p w14:paraId="5B5FAD4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47</w:t>
            </w:r>
          </w:p>
        </w:tc>
        <w:tc>
          <w:tcPr>
            <w:tcW w:w="342" w:type="pct"/>
            <w:vAlign w:val="center"/>
          </w:tcPr>
          <w:p w14:paraId="0086DE4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24</w:t>
            </w:r>
          </w:p>
        </w:tc>
        <w:tc>
          <w:tcPr>
            <w:tcW w:w="342" w:type="pct"/>
            <w:vAlign w:val="center"/>
          </w:tcPr>
          <w:p w14:paraId="510AE63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20</w:t>
            </w:r>
          </w:p>
        </w:tc>
        <w:tc>
          <w:tcPr>
            <w:tcW w:w="482" w:type="pct"/>
            <w:vAlign w:val="center"/>
          </w:tcPr>
          <w:p w14:paraId="2A2EDFA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30</w:t>
            </w:r>
          </w:p>
        </w:tc>
      </w:tr>
      <w:tr w:rsidR="00AA3A77" w:rsidRPr="00A06F1E" w14:paraId="60B80F83" w14:textId="77777777" w:rsidTr="00AA3A77">
        <w:tc>
          <w:tcPr>
            <w:tcW w:w="1090" w:type="pct"/>
          </w:tcPr>
          <w:p w14:paraId="449DE890"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Low income</w:t>
            </w:r>
          </w:p>
        </w:tc>
        <w:tc>
          <w:tcPr>
            <w:tcW w:w="408" w:type="pct"/>
            <w:vAlign w:val="center"/>
          </w:tcPr>
          <w:p w14:paraId="78EFAE8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28</w:t>
            </w:r>
          </w:p>
        </w:tc>
        <w:tc>
          <w:tcPr>
            <w:tcW w:w="337" w:type="pct"/>
            <w:vAlign w:val="center"/>
          </w:tcPr>
          <w:p w14:paraId="1E06950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12</w:t>
            </w:r>
          </w:p>
        </w:tc>
        <w:tc>
          <w:tcPr>
            <w:tcW w:w="337" w:type="pct"/>
            <w:vAlign w:val="center"/>
          </w:tcPr>
          <w:p w14:paraId="7D902BA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18</w:t>
            </w:r>
          </w:p>
        </w:tc>
        <w:tc>
          <w:tcPr>
            <w:tcW w:w="494" w:type="pct"/>
            <w:vAlign w:val="center"/>
          </w:tcPr>
          <w:p w14:paraId="1EE74DA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21</w:t>
            </w:r>
          </w:p>
        </w:tc>
        <w:tc>
          <w:tcPr>
            <w:tcW w:w="339" w:type="pct"/>
            <w:vAlign w:val="center"/>
          </w:tcPr>
          <w:p w14:paraId="2A9BE60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62</w:t>
            </w:r>
          </w:p>
        </w:tc>
        <w:tc>
          <w:tcPr>
            <w:tcW w:w="340" w:type="pct"/>
            <w:vAlign w:val="center"/>
          </w:tcPr>
          <w:p w14:paraId="39D5526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64</w:t>
            </w:r>
          </w:p>
        </w:tc>
        <w:tc>
          <w:tcPr>
            <w:tcW w:w="489" w:type="pct"/>
            <w:vAlign w:val="center"/>
          </w:tcPr>
          <w:p w14:paraId="47C6C61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48</w:t>
            </w:r>
          </w:p>
        </w:tc>
        <w:tc>
          <w:tcPr>
            <w:tcW w:w="342" w:type="pct"/>
            <w:vAlign w:val="center"/>
          </w:tcPr>
          <w:p w14:paraId="2FA9E1D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27</w:t>
            </w:r>
          </w:p>
        </w:tc>
        <w:tc>
          <w:tcPr>
            <w:tcW w:w="342" w:type="pct"/>
            <w:vAlign w:val="center"/>
          </w:tcPr>
          <w:p w14:paraId="234A5A5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18</w:t>
            </w:r>
          </w:p>
        </w:tc>
        <w:tc>
          <w:tcPr>
            <w:tcW w:w="482" w:type="pct"/>
            <w:vAlign w:val="center"/>
          </w:tcPr>
          <w:p w14:paraId="76777B0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31</w:t>
            </w:r>
          </w:p>
        </w:tc>
      </w:tr>
      <w:tr w:rsidR="00AA3A77" w:rsidRPr="00A06F1E" w14:paraId="790550D9" w14:textId="77777777" w:rsidTr="00AA3A77">
        <w:trPr>
          <w:cnfStyle w:val="000000100000" w:firstRow="0" w:lastRow="0" w:firstColumn="0" w:lastColumn="0" w:oddVBand="0" w:evenVBand="0" w:oddHBand="1" w:evenHBand="0" w:firstRowFirstColumn="0" w:firstRowLastColumn="0" w:lastRowFirstColumn="0" w:lastRowLastColumn="0"/>
        </w:trPr>
        <w:tc>
          <w:tcPr>
            <w:tcW w:w="1090" w:type="pct"/>
          </w:tcPr>
          <w:p w14:paraId="10380F8D" w14:textId="77777777" w:rsidR="00B607BD" w:rsidRPr="00A06F1E" w:rsidRDefault="00B607BD" w:rsidP="00AA3A77">
            <w:pPr>
              <w:pStyle w:val="TableText"/>
              <w:spacing w:before="10" w:after="10"/>
              <w:rPr>
                <w:rFonts w:ascii="Franklin Gothic Book" w:hAnsi="Franklin Gothic Book"/>
                <w:spacing w:val="-4"/>
              </w:rPr>
            </w:pPr>
            <w:r w:rsidRPr="00A06F1E">
              <w:rPr>
                <w:rFonts w:ascii="Franklin Gothic Book" w:hAnsi="Franklin Gothic Book"/>
                <w:spacing w:val="-4"/>
              </w:rPr>
              <w:t>ELs and former ELs</w:t>
            </w:r>
          </w:p>
        </w:tc>
        <w:tc>
          <w:tcPr>
            <w:tcW w:w="408" w:type="pct"/>
            <w:vAlign w:val="center"/>
          </w:tcPr>
          <w:p w14:paraId="51B94A78" w14:textId="3EAE862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4C6ACAEA" w14:textId="485DB08E"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37F74D5F" w14:textId="4D4B135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4" w:type="pct"/>
            <w:vAlign w:val="center"/>
          </w:tcPr>
          <w:p w14:paraId="2560119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21</w:t>
            </w:r>
          </w:p>
        </w:tc>
        <w:tc>
          <w:tcPr>
            <w:tcW w:w="339" w:type="pct"/>
            <w:vAlign w:val="center"/>
          </w:tcPr>
          <w:p w14:paraId="718FFD7C" w14:textId="543310E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vAlign w:val="center"/>
          </w:tcPr>
          <w:p w14:paraId="3BFC7542" w14:textId="461C759D"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9" w:type="pct"/>
            <w:vAlign w:val="center"/>
          </w:tcPr>
          <w:p w14:paraId="5F2B3E8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44</w:t>
            </w:r>
          </w:p>
        </w:tc>
        <w:tc>
          <w:tcPr>
            <w:tcW w:w="342" w:type="pct"/>
            <w:vAlign w:val="center"/>
          </w:tcPr>
          <w:p w14:paraId="190A2A1E" w14:textId="4CD8E00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2" w:type="pct"/>
            <w:vAlign w:val="center"/>
          </w:tcPr>
          <w:p w14:paraId="35FE8469" w14:textId="3716434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2" w:type="pct"/>
            <w:vAlign w:val="center"/>
          </w:tcPr>
          <w:p w14:paraId="002A7CE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34</w:t>
            </w:r>
          </w:p>
        </w:tc>
      </w:tr>
      <w:tr w:rsidR="00AA3A77" w:rsidRPr="00A06F1E" w14:paraId="53233C6D" w14:textId="77777777" w:rsidTr="00AA3A77">
        <w:tc>
          <w:tcPr>
            <w:tcW w:w="1090" w:type="pct"/>
          </w:tcPr>
          <w:p w14:paraId="5BFB8CDE"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Students w/disabilities</w:t>
            </w:r>
          </w:p>
        </w:tc>
        <w:tc>
          <w:tcPr>
            <w:tcW w:w="408" w:type="pct"/>
            <w:vAlign w:val="center"/>
          </w:tcPr>
          <w:p w14:paraId="5C58086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16</w:t>
            </w:r>
          </w:p>
        </w:tc>
        <w:tc>
          <w:tcPr>
            <w:tcW w:w="337" w:type="pct"/>
            <w:vAlign w:val="center"/>
          </w:tcPr>
          <w:p w14:paraId="3848070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0</w:t>
            </w:r>
          </w:p>
        </w:tc>
        <w:tc>
          <w:tcPr>
            <w:tcW w:w="337" w:type="pct"/>
            <w:vAlign w:val="center"/>
          </w:tcPr>
          <w:p w14:paraId="3E4271A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13</w:t>
            </w:r>
          </w:p>
        </w:tc>
        <w:tc>
          <w:tcPr>
            <w:tcW w:w="494" w:type="pct"/>
            <w:vAlign w:val="center"/>
          </w:tcPr>
          <w:p w14:paraId="16100DC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13</w:t>
            </w:r>
          </w:p>
        </w:tc>
        <w:tc>
          <w:tcPr>
            <w:tcW w:w="339" w:type="pct"/>
            <w:vAlign w:val="center"/>
          </w:tcPr>
          <w:p w14:paraId="00EC946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71</w:t>
            </w:r>
          </w:p>
        </w:tc>
        <w:tc>
          <w:tcPr>
            <w:tcW w:w="340" w:type="pct"/>
            <w:vAlign w:val="center"/>
          </w:tcPr>
          <w:p w14:paraId="0F05435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50</w:t>
            </w:r>
          </w:p>
        </w:tc>
        <w:tc>
          <w:tcPr>
            <w:tcW w:w="489" w:type="pct"/>
            <w:vAlign w:val="center"/>
          </w:tcPr>
          <w:p w14:paraId="57F4AB2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41</w:t>
            </w:r>
          </w:p>
        </w:tc>
        <w:tc>
          <w:tcPr>
            <w:tcW w:w="342" w:type="pct"/>
            <w:vAlign w:val="center"/>
          </w:tcPr>
          <w:p w14:paraId="6057FBD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29</w:t>
            </w:r>
          </w:p>
        </w:tc>
        <w:tc>
          <w:tcPr>
            <w:tcW w:w="342" w:type="pct"/>
            <w:vAlign w:val="center"/>
          </w:tcPr>
          <w:p w14:paraId="2A65F78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38</w:t>
            </w:r>
          </w:p>
        </w:tc>
        <w:tc>
          <w:tcPr>
            <w:tcW w:w="482" w:type="pct"/>
            <w:vAlign w:val="center"/>
          </w:tcPr>
          <w:p w14:paraId="24D67A6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46</w:t>
            </w:r>
          </w:p>
        </w:tc>
      </w:tr>
    </w:tbl>
    <w:p w14:paraId="09D20E79" w14:textId="7DC9D1B9" w:rsidR="00B607BD" w:rsidRPr="00A06F1E" w:rsidRDefault="00B607BD" w:rsidP="00B7722D">
      <w:pPr>
        <w:pStyle w:val="TabletitleSectionE"/>
      </w:pPr>
      <w:bookmarkStart w:id="254" w:name="_Toc170701953"/>
      <w:bookmarkStart w:id="255" w:name="_Toc171685790"/>
      <w:r w:rsidRPr="00A06F1E">
        <w:lastRenderedPageBreak/>
        <w:t>Table E3</w:t>
      </w:r>
      <w:r w:rsidR="008D4613">
        <w:t>c</w:t>
      </w:r>
      <w:r w:rsidR="00A228CB" w:rsidRPr="00A06F1E">
        <w:t xml:space="preserve"> Mahar Regional</w:t>
      </w:r>
      <w:r w:rsidR="00F3532E" w:rsidRPr="00A06F1E">
        <w:t>:</w:t>
      </w:r>
      <w:r w:rsidRPr="00A06F1E">
        <w:t xml:space="preserve"> Next-Generation MCAS Mathematics Achievement by Student Group, Grades 3-8, 2022-2023</w:t>
      </w:r>
      <w:bookmarkEnd w:id="254"/>
      <w:bookmarkEnd w:id="255"/>
    </w:p>
    <w:tbl>
      <w:tblPr>
        <w:tblStyle w:val="MSVTable1"/>
        <w:tblW w:w="5000" w:type="pct"/>
        <w:tblLook w:val="0420" w:firstRow="1" w:lastRow="0" w:firstColumn="0" w:lastColumn="0" w:noHBand="0" w:noVBand="1"/>
      </w:tblPr>
      <w:tblGrid>
        <w:gridCol w:w="2820"/>
        <w:gridCol w:w="1057"/>
        <w:gridCol w:w="873"/>
        <w:gridCol w:w="872"/>
        <w:gridCol w:w="1276"/>
        <w:gridCol w:w="880"/>
        <w:gridCol w:w="880"/>
        <w:gridCol w:w="1263"/>
        <w:gridCol w:w="885"/>
        <w:gridCol w:w="888"/>
        <w:gridCol w:w="1250"/>
      </w:tblGrid>
      <w:tr w:rsidR="00B607BD" w:rsidRPr="00A06F1E" w14:paraId="3D663D6A" w14:textId="77777777" w:rsidTr="00AA3A77">
        <w:trPr>
          <w:cnfStyle w:val="100000000000" w:firstRow="1" w:lastRow="0" w:firstColumn="0" w:lastColumn="0" w:oddVBand="0" w:evenVBand="0" w:oddHBand="0" w:evenHBand="0" w:firstRowFirstColumn="0" w:firstRowLastColumn="0" w:lastRowFirstColumn="0" w:lastRowLastColumn="0"/>
          <w:tblHeader/>
        </w:trPr>
        <w:tc>
          <w:tcPr>
            <w:tcW w:w="1089" w:type="pct"/>
            <w:vMerge w:val="restart"/>
            <w:vAlign w:val="center"/>
          </w:tcPr>
          <w:p w14:paraId="5A81E882" w14:textId="77777777" w:rsidR="00B607BD" w:rsidRPr="00DF7902" w:rsidRDefault="00B607BD" w:rsidP="00AA3A77">
            <w:pPr>
              <w:pStyle w:val="TableColHeadingLeft"/>
              <w:spacing w:before="10" w:after="10"/>
              <w:jc w:val="center"/>
            </w:pPr>
            <w:r w:rsidRPr="00DF7902">
              <w:t>Group</w:t>
            </w:r>
          </w:p>
        </w:tc>
        <w:tc>
          <w:tcPr>
            <w:tcW w:w="408" w:type="pct"/>
            <w:vMerge w:val="restart"/>
            <w:vAlign w:val="center"/>
          </w:tcPr>
          <w:p w14:paraId="44C1B80A" w14:textId="4865AC28" w:rsidR="00B607BD" w:rsidRPr="00A06F1E" w:rsidRDefault="00B607BD" w:rsidP="00AA3A77">
            <w:pPr>
              <w:pStyle w:val="TableColHeadingCenter"/>
              <w:spacing w:before="10" w:after="10"/>
            </w:pPr>
            <w:r w:rsidRPr="00A06F1E">
              <w:t xml:space="preserve"># </w:t>
            </w:r>
            <w:r w:rsidR="004669DD" w:rsidRPr="00A06F1E">
              <w:t>i</w:t>
            </w:r>
            <w:r w:rsidRPr="00A06F1E">
              <w:t>ncluded (2023)</w:t>
            </w:r>
          </w:p>
        </w:tc>
        <w:tc>
          <w:tcPr>
            <w:tcW w:w="1167" w:type="pct"/>
            <w:gridSpan w:val="3"/>
            <w:vAlign w:val="bottom"/>
          </w:tcPr>
          <w:p w14:paraId="56BE384A" w14:textId="7F8A5245" w:rsidR="00B607BD" w:rsidRPr="00A06F1E" w:rsidRDefault="00A228CB" w:rsidP="00AA3A77">
            <w:pPr>
              <w:pStyle w:val="TableColHeadingCenter"/>
              <w:spacing w:before="10" w:after="10"/>
            </w:pPr>
            <w:r w:rsidRPr="00A06F1E">
              <w:t>Percentage</w:t>
            </w:r>
            <w:r w:rsidR="00B607BD" w:rsidRPr="00A06F1E">
              <w:t xml:space="preserve"> meeting or exceeding expectations</w:t>
            </w:r>
          </w:p>
        </w:tc>
        <w:tc>
          <w:tcPr>
            <w:tcW w:w="1168" w:type="pct"/>
            <w:gridSpan w:val="3"/>
            <w:vAlign w:val="center"/>
          </w:tcPr>
          <w:p w14:paraId="5A8254DC" w14:textId="788315CD" w:rsidR="00B607BD" w:rsidRPr="00A06F1E" w:rsidRDefault="00A228CB" w:rsidP="00AA3A77">
            <w:pPr>
              <w:pStyle w:val="TableColHeadingCenter"/>
              <w:spacing w:before="10" w:after="10"/>
            </w:pPr>
            <w:r w:rsidRPr="00A06F1E">
              <w:t>Percentage</w:t>
            </w:r>
            <w:r w:rsidR="00B607BD" w:rsidRPr="00A06F1E">
              <w:t xml:space="preserve"> partially meeting expectations</w:t>
            </w:r>
          </w:p>
        </w:tc>
        <w:tc>
          <w:tcPr>
            <w:tcW w:w="1168" w:type="pct"/>
            <w:gridSpan w:val="3"/>
            <w:vAlign w:val="center"/>
          </w:tcPr>
          <w:p w14:paraId="54FE5DED" w14:textId="57E859AD" w:rsidR="00B607BD" w:rsidRPr="00A06F1E" w:rsidRDefault="00A228CB" w:rsidP="00AA3A77">
            <w:pPr>
              <w:pStyle w:val="TableColHeadingCenter"/>
              <w:spacing w:before="10" w:after="10"/>
            </w:pPr>
            <w:r w:rsidRPr="00A06F1E">
              <w:t>Percentage</w:t>
            </w:r>
            <w:r w:rsidR="00B607BD" w:rsidRPr="00A06F1E">
              <w:t xml:space="preserve"> not meeting expectations</w:t>
            </w:r>
          </w:p>
        </w:tc>
      </w:tr>
      <w:tr w:rsidR="00AA3A77" w:rsidRPr="00A06F1E" w14:paraId="31C7F3CD" w14:textId="77777777" w:rsidTr="00AA3A77">
        <w:trPr>
          <w:cnfStyle w:val="100000000000" w:firstRow="1" w:lastRow="0" w:firstColumn="0" w:lastColumn="0" w:oddVBand="0" w:evenVBand="0" w:oddHBand="0" w:evenHBand="0" w:firstRowFirstColumn="0" w:firstRowLastColumn="0" w:lastRowFirstColumn="0" w:lastRowLastColumn="0"/>
          <w:tblHeader/>
        </w:trPr>
        <w:tc>
          <w:tcPr>
            <w:tcW w:w="1089" w:type="pct"/>
            <w:vMerge/>
            <w:vAlign w:val="bottom"/>
          </w:tcPr>
          <w:p w14:paraId="164EF010" w14:textId="77777777" w:rsidR="00B607BD" w:rsidRPr="00A06F1E" w:rsidRDefault="00B607BD" w:rsidP="00AA3A77">
            <w:pPr>
              <w:pStyle w:val="TableColHeadingCenter"/>
              <w:spacing w:before="10" w:after="10"/>
            </w:pPr>
          </w:p>
        </w:tc>
        <w:tc>
          <w:tcPr>
            <w:tcW w:w="408" w:type="pct"/>
            <w:vMerge/>
            <w:vAlign w:val="bottom"/>
          </w:tcPr>
          <w:p w14:paraId="6D5C6682" w14:textId="77777777" w:rsidR="00B607BD" w:rsidRPr="00A06F1E" w:rsidRDefault="00B607BD" w:rsidP="00AA3A77">
            <w:pPr>
              <w:pStyle w:val="TableColHeadingCenter"/>
              <w:spacing w:before="10" w:after="10"/>
            </w:pPr>
          </w:p>
        </w:tc>
        <w:tc>
          <w:tcPr>
            <w:tcW w:w="337" w:type="pct"/>
            <w:vAlign w:val="center"/>
          </w:tcPr>
          <w:p w14:paraId="0CD57B1F" w14:textId="77777777" w:rsidR="00B607BD" w:rsidRPr="00A06F1E" w:rsidRDefault="00B607BD" w:rsidP="00AA3A77">
            <w:pPr>
              <w:pStyle w:val="TableColHeadingCenter"/>
              <w:spacing w:before="10" w:after="10"/>
            </w:pPr>
            <w:r w:rsidRPr="00A06F1E">
              <w:t>2022</w:t>
            </w:r>
          </w:p>
        </w:tc>
        <w:tc>
          <w:tcPr>
            <w:tcW w:w="337" w:type="pct"/>
            <w:vAlign w:val="center"/>
          </w:tcPr>
          <w:p w14:paraId="74E10B55" w14:textId="77777777" w:rsidR="00B607BD" w:rsidRPr="00A06F1E" w:rsidRDefault="00B607BD" w:rsidP="00AA3A77">
            <w:pPr>
              <w:pStyle w:val="TableColHeadingCenter"/>
              <w:spacing w:before="10" w:after="10"/>
            </w:pPr>
            <w:r w:rsidRPr="00A06F1E">
              <w:t>2023</w:t>
            </w:r>
          </w:p>
        </w:tc>
        <w:tc>
          <w:tcPr>
            <w:tcW w:w="493" w:type="pct"/>
            <w:vAlign w:val="center"/>
          </w:tcPr>
          <w:p w14:paraId="787CA91F" w14:textId="77777777" w:rsidR="00B607BD" w:rsidRPr="00A06F1E" w:rsidRDefault="00B607BD" w:rsidP="00AA3A77">
            <w:pPr>
              <w:pStyle w:val="TableColHeadingCenter"/>
              <w:spacing w:before="10" w:after="10"/>
            </w:pPr>
            <w:r w:rsidRPr="00A06F1E">
              <w:t>State (2023)</w:t>
            </w:r>
          </w:p>
        </w:tc>
        <w:tc>
          <w:tcPr>
            <w:tcW w:w="340" w:type="pct"/>
            <w:vAlign w:val="center"/>
          </w:tcPr>
          <w:p w14:paraId="6171042B" w14:textId="77777777" w:rsidR="00B607BD" w:rsidRPr="00A06F1E" w:rsidRDefault="00B607BD" w:rsidP="00AA3A77">
            <w:pPr>
              <w:pStyle w:val="TableColHeadingCenter"/>
              <w:spacing w:before="10" w:after="10"/>
            </w:pPr>
            <w:r w:rsidRPr="00A06F1E">
              <w:t>2022</w:t>
            </w:r>
          </w:p>
        </w:tc>
        <w:tc>
          <w:tcPr>
            <w:tcW w:w="340" w:type="pct"/>
            <w:vAlign w:val="center"/>
          </w:tcPr>
          <w:p w14:paraId="47B9D3D7" w14:textId="77777777" w:rsidR="00B607BD" w:rsidRPr="00A06F1E" w:rsidRDefault="00B607BD" w:rsidP="00AA3A77">
            <w:pPr>
              <w:pStyle w:val="TableColHeadingCenter"/>
              <w:spacing w:before="10" w:after="10"/>
            </w:pPr>
            <w:r w:rsidRPr="00A06F1E">
              <w:t>2023</w:t>
            </w:r>
          </w:p>
        </w:tc>
        <w:tc>
          <w:tcPr>
            <w:tcW w:w="488" w:type="pct"/>
            <w:vAlign w:val="center"/>
          </w:tcPr>
          <w:p w14:paraId="3F00C05D" w14:textId="77777777" w:rsidR="00B607BD" w:rsidRPr="00A06F1E" w:rsidRDefault="00B607BD" w:rsidP="00AA3A77">
            <w:pPr>
              <w:pStyle w:val="TableColHeadingCenter"/>
              <w:spacing w:before="10" w:after="10"/>
            </w:pPr>
            <w:r w:rsidRPr="00A06F1E">
              <w:t>State (2023)</w:t>
            </w:r>
          </w:p>
        </w:tc>
        <w:tc>
          <w:tcPr>
            <w:tcW w:w="342" w:type="pct"/>
            <w:vAlign w:val="center"/>
          </w:tcPr>
          <w:p w14:paraId="1AE080C9" w14:textId="77777777" w:rsidR="00B607BD" w:rsidRPr="00A06F1E" w:rsidRDefault="00B607BD" w:rsidP="00AA3A77">
            <w:pPr>
              <w:pStyle w:val="TableColHeadingCenter"/>
              <w:spacing w:before="10" w:after="10"/>
            </w:pPr>
            <w:r w:rsidRPr="00A06F1E">
              <w:t>2022</w:t>
            </w:r>
          </w:p>
        </w:tc>
        <w:tc>
          <w:tcPr>
            <w:tcW w:w="343" w:type="pct"/>
            <w:vAlign w:val="center"/>
          </w:tcPr>
          <w:p w14:paraId="31B9600F" w14:textId="77777777" w:rsidR="00B607BD" w:rsidRPr="00A06F1E" w:rsidRDefault="00B607BD" w:rsidP="00AA3A77">
            <w:pPr>
              <w:pStyle w:val="TableColHeadingCenter"/>
              <w:spacing w:before="10" w:after="10"/>
            </w:pPr>
            <w:r w:rsidRPr="00A06F1E">
              <w:t>2023</w:t>
            </w:r>
          </w:p>
        </w:tc>
        <w:tc>
          <w:tcPr>
            <w:tcW w:w="483" w:type="pct"/>
            <w:vAlign w:val="center"/>
          </w:tcPr>
          <w:p w14:paraId="2FA6EC67" w14:textId="77777777" w:rsidR="00B607BD" w:rsidRPr="00A06F1E" w:rsidRDefault="00B607BD" w:rsidP="00AA3A77">
            <w:pPr>
              <w:pStyle w:val="TableColHeadingCenter"/>
              <w:spacing w:before="10" w:after="10"/>
            </w:pPr>
            <w:r w:rsidRPr="00A06F1E">
              <w:t>State (2023)</w:t>
            </w:r>
          </w:p>
        </w:tc>
      </w:tr>
      <w:tr w:rsidR="00AA3A77" w:rsidRPr="00A06F1E" w14:paraId="54EDA66F" w14:textId="77777777" w:rsidTr="00AA3A77">
        <w:trPr>
          <w:cnfStyle w:val="000000100000" w:firstRow="0" w:lastRow="0" w:firstColumn="0" w:lastColumn="0" w:oddVBand="0" w:evenVBand="0" w:oddHBand="1" w:evenHBand="0" w:firstRowFirstColumn="0" w:firstRowLastColumn="0" w:lastRowFirstColumn="0" w:lastRowLastColumn="0"/>
        </w:trPr>
        <w:tc>
          <w:tcPr>
            <w:tcW w:w="1089" w:type="pct"/>
          </w:tcPr>
          <w:p w14:paraId="5EE0C4C8"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All</w:t>
            </w:r>
          </w:p>
        </w:tc>
        <w:tc>
          <w:tcPr>
            <w:tcW w:w="408" w:type="pct"/>
            <w:vAlign w:val="center"/>
          </w:tcPr>
          <w:p w14:paraId="6FEA072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188</w:t>
            </w:r>
          </w:p>
        </w:tc>
        <w:tc>
          <w:tcPr>
            <w:tcW w:w="337" w:type="pct"/>
            <w:vAlign w:val="center"/>
          </w:tcPr>
          <w:p w14:paraId="0021E6A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26</w:t>
            </w:r>
          </w:p>
        </w:tc>
        <w:tc>
          <w:tcPr>
            <w:tcW w:w="337" w:type="pct"/>
            <w:vAlign w:val="center"/>
          </w:tcPr>
          <w:p w14:paraId="2F9A22A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32</w:t>
            </w:r>
          </w:p>
        </w:tc>
        <w:tc>
          <w:tcPr>
            <w:tcW w:w="493" w:type="pct"/>
            <w:vAlign w:val="center"/>
          </w:tcPr>
          <w:p w14:paraId="473145C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41</w:t>
            </w:r>
          </w:p>
        </w:tc>
        <w:tc>
          <w:tcPr>
            <w:tcW w:w="340" w:type="pct"/>
            <w:vAlign w:val="center"/>
          </w:tcPr>
          <w:p w14:paraId="484EBFF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49</w:t>
            </w:r>
          </w:p>
        </w:tc>
        <w:tc>
          <w:tcPr>
            <w:tcW w:w="340" w:type="pct"/>
            <w:vAlign w:val="center"/>
          </w:tcPr>
          <w:p w14:paraId="1027CE1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47</w:t>
            </w:r>
          </w:p>
        </w:tc>
        <w:tc>
          <w:tcPr>
            <w:tcW w:w="488" w:type="pct"/>
            <w:vAlign w:val="center"/>
          </w:tcPr>
          <w:p w14:paraId="621ADE6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41</w:t>
            </w:r>
          </w:p>
        </w:tc>
        <w:tc>
          <w:tcPr>
            <w:tcW w:w="342" w:type="pct"/>
            <w:vAlign w:val="center"/>
          </w:tcPr>
          <w:p w14:paraId="3BD364F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25</w:t>
            </w:r>
          </w:p>
        </w:tc>
        <w:tc>
          <w:tcPr>
            <w:tcW w:w="343" w:type="pct"/>
            <w:vAlign w:val="center"/>
          </w:tcPr>
          <w:p w14:paraId="37D55D7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21</w:t>
            </w:r>
          </w:p>
        </w:tc>
        <w:tc>
          <w:tcPr>
            <w:tcW w:w="483" w:type="pct"/>
            <w:vAlign w:val="center"/>
          </w:tcPr>
          <w:p w14:paraId="0F6FF3E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18</w:t>
            </w:r>
          </w:p>
        </w:tc>
      </w:tr>
      <w:tr w:rsidR="00AA3A77" w:rsidRPr="00A06F1E" w14:paraId="41B9E4D6" w14:textId="77777777" w:rsidTr="00AA3A77">
        <w:tc>
          <w:tcPr>
            <w:tcW w:w="1089" w:type="pct"/>
          </w:tcPr>
          <w:p w14:paraId="3C16DA46"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African American/Black</w:t>
            </w:r>
          </w:p>
        </w:tc>
        <w:tc>
          <w:tcPr>
            <w:tcW w:w="408" w:type="pct"/>
            <w:vAlign w:val="center"/>
          </w:tcPr>
          <w:p w14:paraId="53C08320" w14:textId="07C5139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1B733858" w14:textId="2E8D8E9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2E455A04" w14:textId="07A38DE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3" w:type="pct"/>
            <w:vAlign w:val="center"/>
          </w:tcPr>
          <w:p w14:paraId="359B215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21</w:t>
            </w:r>
          </w:p>
        </w:tc>
        <w:tc>
          <w:tcPr>
            <w:tcW w:w="340" w:type="pct"/>
            <w:vAlign w:val="center"/>
          </w:tcPr>
          <w:p w14:paraId="1B5A26C6" w14:textId="2886702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vAlign w:val="center"/>
          </w:tcPr>
          <w:p w14:paraId="6C8E478E" w14:textId="4888DD8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8" w:type="pct"/>
            <w:vAlign w:val="center"/>
          </w:tcPr>
          <w:p w14:paraId="295BF35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47</w:t>
            </w:r>
          </w:p>
        </w:tc>
        <w:tc>
          <w:tcPr>
            <w:tcW w:w="342" w:type="pct"/>
            <w:vAlign w:val="center"/>
          </w:tcPr>
          <w:p w14:paraId="47925772" w14:textId="45A79D0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3" w:type="pct"/>
            <w:vAlign w:val="center"/>
          </w:tcPr>
          <w:p w14:paraId="54319544" w14:textId="4A40ABC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center"/>
          </w:tcPr>
          <w:p w14:paraId="0D383E4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32</w:t>
            </w:r>
          </w:p>
        </w:tc>
      </w:tr>
      <w:tr w:rsidR="00AA3A77" w:rsidRPr="00A06F1E" w14:paraId="329A9CC4" w14:textId="77777777" w:rsidTr="00AA3A77">
        <w:trPr>
          <w:cnfStyle w:val="000000100000" w:firstRow="0" w:lastRow="0" w:firstColumn="0" w:lastColumn="0" w:oddVBand="0" w:evenVBand="0" w:oddHBand="1" w:evenHBand="0" w:firstRowFirstColumn="0" w:firstRowLastColumn="0" w:lastRowFirstColumn="0" w:lastRowLastColumn="0"/>
        </w:trPr>
        <w:tc>
          <w:tcPr>
            <w:tcW w:w="1089" w:type="pct"/>
          </w:tcPr>
          <w:p w14:paraId="138CC4AE"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Asian</w:t>
            </w:r>
          </w:p>
        </w:tc>
        <w:tc>
          <w:tcPr>
            <w:tcW w:w="408" w:type="pct"/>
            <w:vAlign w:val="center"/>
          </w:tcPr>
          <w:p w14:paraId="1A620002" w14:textId="2E09CF2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3CA71A6D" w14:textId="495CBBF2"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71ADAF4C" w14:textId="05A3164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3" w:type="pct"/>
            <w:vAlign w:val="center"/>
          </w:tcPr>
          <w:p w14:paraId="2F2ADF6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71</w:t>
            </w:r>
          </w:p>
        </w:tc>
        <w:tc>
          <w:tcPr>
            <w:tcW w:w="340" w:type="pct"/>
            <w:vAlign w:val="center"/>
          </w:tcPr>
          <w:p w14:paraId="1ACA83A9" w14:textId="5C9A295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vAlign w:val="center"/>
          </w:tcPr>
          <w:p w14:paraId="6629B82B" w14:textId="2131958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8" w:type="pct"/>
            <w:vAlign w:val="center"/>
          </w:tcPr>
          <w:p w14:paraId="698B384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23</w:t>
            </w:r>
          </w:p>
        </w:tc>
        <w:tc>
          <w:tcPr>
            <w:tcW w:w="342" w:type="pct"/>
            <w:vAlign w:val="center"/>
          </w:tcPr>
          <w:p w14:paraId="1CFB5397" w14:textId="06420D2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3" w:type="pct"/>
            <w:vAlign w:val="center"/>
          </w:tcPr>
          <w:p w14:paraId="70C28020" w14:textId="2EFE3721"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center"/>
          </w:tcPr>
          <w:p w14:paraId="70BA354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w:t>
            </w:r>
          </w:p>
        </w:tc>
      </w:tr>
      <w:tr w:rsidR="00AA3A77" w:rsidRPr="00A06F1E" w14:paraId="7BBAEFEB" w14:textId="77777777" w:rsidTr="00AA3A77">
        <w:tc>
          <w:tcPr>
            <w:tcW w:w="1089" w:type="pct"/>
          </w:tcPr>
          <w:p w14:paraId="707CD90D"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Hispanic/Latino</w:t>
            </w:r>
          </w:p>
        </w:tc>
        <w:tc>
          <w:tcPr>
            <w:tcW w:w="408" w:type="pct"/>
            <w:vAlign w:val="center"/>
          </w:tcPr>
          <w:p w14:paraId="009FBD5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21</w:t>
            </w:r>
          </w:p>
        </w:tc>
        <w:tc>
          <w:tcPr>
            <w:tcW w:w="337" w:type="pct"/>
            <w:vAlign w:val="center"/>
          </w:tcPr>
          <w:p w14:paraId="0B30532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11</w:t>
            </w:r>
          </w:p>
        </w:tc>
        <w:tc>
          <w:tcPr>
            <w:tcW w:w="337" w:type="pct"/>
            <w:vAlign w:val="center"/>
          </w:tcPr>
          <w:p w14:paraId="57F2EC1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14</w:t>
            </w:r>
          </w:p>
        </w:tc>
        <w:tc>
          <w:tcPr>
            <w:tcW w:w="493" w:type="pct"/>
            <w:vAlign w:val="center"/>
          </w:tcPr>
          <w:p w14:paraId="1D58FDE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19</w:t>
            </w:r>
          </w:p>
        </w:tc>
        <w:tc>
          <w:tcPr>
            <w:tcW w:w="340" w:type="pct"/>
            <w:vAlign w:val="center"/>
          </w:tcPr>
          <w:p w14:paraId="7A121FB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67</w:t>
            </w:r>
          </w:p>
        </w:tc>
        <w:tc>
          <w:tcPr>
            <w:tcW w:w="340" w:type="pct"/>
            <w:vAlign w:val="center"/>
          </w:tcPr>
          <w:p w14:paraId="2458DA8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52</w:t>
            </w:r>
          </w:p>
        </w:tc>
        <w:tc>
          <w:tcPr>
            <w:tcW w:w="488" w:type="pct"/>
            <w:vAlign w:val="center"/>
          </w:tcPr>
          <w:p w14:paraId="7FC31A9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47</w:t>
            </w:r>
          </w:p>
        </w:tc>
        <w:tc>
          <w:tcPr>
            <w:tcW w:w="342" w:type="pct"/>
            <w:vAlign w:val="center"/>
          </w:tcPr>
          <w:p w14:paraId="7ADF241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22</w:t>
            </w:r>
          </w:p>
        </w:tc>
        <w:tc>
          <w:tcPr>
            <w:tcW w:w="343" w:type="pct"/>
            <w:vAlign w:val="center"/>
          </w:tcPr>
          <w:p w14:paraId="5D7934B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33</w:t>
            </w:r>
          </w:p>
        </w:tc>
        <w:tc>
          <w:tcPr>
            <w:tcW w:w="483" w:type="pct"/>
            <w:vAlign w:val="center"/>
          </w:tcPr>
          <w:p w14:paraId="0DE7412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34</w:t>
            </w:r>
          </w:p>
        </w:tc>
      </w:tr>
      <w:tr w:rsidR="00AA3A77" w:rsidRPr="00A06F1E" w14:paraId="4A54B116" w14:textId="77777777" w:rsidTr="00AA3A77">
        <w:trPr>
          <w:cnfStyle w:val="000000100000" w:firstRow="0" w:lastRow="0" w:firstColumn="0" w:lastColumn="0" w:oddVBand="0" w:evenVBand="0" w:oddHBand="1" w:evenHBand="0" w:firstRowFirstColumn="0" w:firstRowLastColumn="0" w:lastRowFirstColumn="0" w:lastRowLastColumn="0"/>
        </w:trPr>
        <w:tc>
          <w:tcPr>
            <w:tcW w:w="1089" w:type="pct"/>
          </w:tcPr>
          <w:p w14:paraId="4D931583" w14:textId="77777777" w:rsidR="00B607BD" w:rsidRPr="00A06F1E" w:rsidRDefault="00B607BD" w:rsidP="00AA3A77">
            <w:pPr>
              <w:pStyle w:val="TableText"/>
              <w:spacing w:before="10" w:after="10"/>
              <w:rPr>
                <w:rFonts w:ascii="Franklin Gothic Book" w:hAnsi="Franklin Gothic Book"/>
                <w:spacing w:val="-2"/>
              </w:rPr>
            </w:pPr>
            <w:r w:rsidRPr="00A06F1E">
              <w:rPr>
                <w:rFonts w:ascii="Franklin Gothic Book" w:hAnsi="Franklin Gothic Book" w:cstheme="minorHAnsi"/>
                <w:spacing w:val="-2"/>
              </w:rPr>
              <w:t>Multi-Race, non-Hispanic/Latino</w:t>
            </w:r>
          </w:p>
        </w:tc>
        <w:tc>
          <w:tcPr>
            <w:tcW w:w="408" w:type="pct"/>
            <w:vAlign w:val="center"/>
          </w:tcPr>
          <w:p w14:paraId="1EAD2845" w14:textId="6995B0C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73EEA532" w14:textId="2EAC6AB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25446FF8" w14:textId="2786917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3" w:type="pct"/>
            <w:vAlign w:val="center"/>
          </w:tcPr>
          <w:p w14:paraId="4D8839D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46</w:t>
            </w:r>
          </w:p>
        </w:tc>
        <w:tc>
          <w:tcPr>
            <w:tcW w:w="340" w:type="pct"/>
            <w:vAlign w:val="center"/>
          </w:tcPr>
          <w:p w14:paraId="7E2092AC" w14:textId="7087A22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vAlign w:val="center"/>
          </w:tcPr>
          <w:p w14:paraId="42A7C3F3" w14:textId="1E63974B"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8" w:type="pct"/>
            <w:vAlign w:val="center"/>
          </w:tcPr>
          <w:p w14:paraId="391517A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38</w:t>
            </w:r>
          </w:p>
        </w:tc>
        <w:tc>
          <w:tcPr>
            <w:tcW w:w="342" w:type="pct"/>
            <w:vAlign w:val="center"/>
          </w:tcPr>
          <w:p w14:paraId="7939E584" w14:textId="6DAFE0D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3" w:type="pct"/>
            <w:vAlign w:val="center"/>
          </w:tcPr>
          <w:p w14:paraId="3D26F675" w14:textId="0F51E56A"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center"/>
          </w:tcPr>
          <w:p w14:paraId="1AC9C9F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16</w:t>
            </w:r>
          </w:p>
        </w:tc>
      </w:tr>
      <w:tr w:rsidR="00AA3A77" w:rsidRPr="00A06F1E" w14:paraId="067685B1" w14:textId="77777777" w:rsidTr="00AA3A77">
        <w:tc>
          <w:tcPr>
            <w:tcW w:w="1089" w:type="pct"/>
          </w:tcPr>
          <w:p w14:paraId="2E1A7BF9"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Native American</w:t>
            </w:r>
          </w:p>
        </w:tc>
        <w:tc>
          <w:tcPr>
            <w:tcW w:w="408" w:type="pct"/>
            <w:vAlign w:val="center"/>
          </w:tcPr>
          <w:p w14:paraId="4912D746" w14:textId="53DABB4B"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72D96DC5" w14:textId="0950176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1A551A80" w14:textId="609E4DCA"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3" w:type="pct"/>
            <w:vAlign w:val="center"/>
          </w:tcPr>
          <w:p w14:paraId="4DE664C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28</w:t>
            </w:r>
          </w:p>
        </w:tc>
        <w:tc>
          <w:tcPr>
            <w:tcW w:w="340" w:type="pct"/>
            <w:vAlign w:val="center"/>
          </w:tcPr>
          <w:p w14:paraId="1AB45287" w14:textId="341B1EE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vAlign w:val="center"/>
          </w:tcPr>
          <w:p w14:paraId="12CEB5AD" w14:textId="0F7CE8D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8" w:type="pct"/>
            <w:vAlign w:val="center"/>
          </w:tcPr>
          <w:p w14:paraId="1F1C5CE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46</w:t>
            </w:r>
          </w:p>
        </w:tc>
        <w:tc>
          <w:tcPr>
            <w:tcW w:w="342" w:type="pct"/>
            <w:vAlign w:val="center"/>
          </w:tcPr>
          <w:p w14:paraId="1E24E675" w14:textId="45FE76E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3" w:type="pct"/>
            <w:vAlign w:val="center"/>
          </w:tcPr>
          <w:p w14:paraId="08A9D67F" w14:textId="4E241EC2"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center"/>
          </w:tcPr>
          <w:p w14:paraId="76967E4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26</w:t>
            </w:r>
          </w:p>
        </w:tc>
      </w:tr>
      <w:tr w:rsidR="00AA3A77" w:rsidRPr="00A06F1E" w14:paraId="4FCB60A1" w14:textId="77777777" w:rsidTr="00AA3A77">
        <w:trPr>
          <w:cnfStyle w:val="000000100000" w:firstRow="0" w:lastRow="0" w:firstColumn="0" w:lastColumn="0" w:oddVBand="0" w:evenVBand="0" w:oddHBand="1" w:evenHBand="0" w:firstRowFirstColumn="0" w:firstRowLastColumn="0" w:lastRowFirstColumn="0" w:lastRowLastColumn="0"/>
        </w:trPr>
        <w:tc>
          <w:tcPr>
            <w:tcW w:w="1089" w:type="pct"/>
          </w:tcPr>
          <w:p w14:paraId="0BF3975E" w14:textId="77777777" w:rsidR="00B607BD" w:rsidRPr="00A06F1E" w:rsidRDefault="00B607BD" w:rsidP="00AA3A77">
            <w:pPr>
              <w:pStyle w:val="TableText"/>
              <w:spacing w:before="10" w:after="10"/>
              <w:rPr>
                <w:rFonts w:ascii="Franklin Gothic Book" w:hAnsi="Franklin Gothic Book"/>
                <w:spacing w:val="-4"/>
              </w:rPr>
            </w:pPr>
            <w:r w:rsidRPr="00A06F1E">
              <w:rPr>
                <w:rFonts w:ascii="Franklin Gothic Book" w:hAnsi="Franklin Gothic Book"/>
                <w:spacing w:val="-4"/>
              </w:rPr>
              <w:t>Native Hawaiian, Pacific Islander</w:t>
            </w:r>
          </w:p>
        </w:tc>
        <w:tc>
          <w:tcPr>
            <w:tcW w:w="408" w:type="pct"/>
            <w:vAlign w:val="center"/>
          </w:tcPr>
          <w:p w14:paraId="1B02B03E" w14:textId="5ABCE41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512FEBC0" w14:textId="1B86807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36740B8D" w14:textId="11FA839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3" w:type="pct"/>
            <w:vAlign w:val="center"/>
          </w:tcPr>
          <w:p w14:paraId="1CEC022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41</w:t>
            </w:r>
          </w:p>
        </w:tc>
        <w:tc>
          <w:tcPr>
            <w:tcW w:w="340" w:type="pct"/>
            <w:vAlign w:val="center"/>
          </w:tcPr>
          <w:p w14:paraId="251B7B85" w14:textId="5295DF3D"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vAlign w:val="center"/>
          </w:tcPr>
          <w:p w14:paraId="2A5E5FA1" w14:textId="5AA1FC4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8" w:type="pct"/>
            <w:vAlign w:val="center"/>
          </w:tcPr>
          <w:p w14:paraId="018773D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43</w:t>
            </w:r>
          </w:p>
        </w:tc>
        <w:tc>
          <w:tcPr>
            <w:tcW w:w="342" w:type="pct"/>
            <w:vAlign w:val="center"/>
          </w:tcPr>
          <w:p w14:paraId="4472C19D" w14:textId="135816D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3" w:type="pct"/>
            <w:vAlign w:val="center"/>
          </w:tcPr>
          <w:p w14:paraId="017A6FB8" w14:textId="357046C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center"/>
          </w:tcPr>
          <w:p w14:paraId="511C8FF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16</w:t>
            </w:r>
          </w:p>
        </w:tc>
      </w:tr>
      <w:tr w:rsidR="00AA3A77" w:rsidRPr="00A06F1E" w14:paraId="0B31879F" w14:textId="77777777" w:rsidTr="00AA3A77">
        <w:tc>
          <w:tcPr>
            <w:tcW w:w="1089" w:type="pct"/>
          </w:tcPr>
          <w:p w14:paraId="4846CF63"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White</w:t>
            </w:r>
          </w:p>
        </w:tc>
        <w:tc>
          <w:tcPr>
            <w:tcW w:w="408" w:type="pct"/>
            <w:vAlign w:val="center"/>
          </w:tcPr>
          <w:p w14:paraId="5F8EED1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156</w:t>
            </w:r>
          </w:p>
        </w:tc>
        <w:tc>
          <w:tcPr>
            <w:tcW w:w="337" w:type="pct"/>
            <w:vAlign w:val="center"/>
          </w:tcPr>
          <w:p w14:paraId="092998C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27</w:t>
            </w:r>
          </w:p>
        </w:tc>
        <w:tc>
          <w:tcPr>
            <w:tcW w:w="337" w:type="pct"/>
            <w:vAlign w:val="center"/>
          </w:tcPr>
          <w:p w14:paraId="1BD761A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35</w:t>
            </w:r>
          </w:p>
        </w:tc>
        <w:tc>
          <w:tcPr>
            <w:tcW w:w="493" w:type="pct"/>
            <w:vAlign w:val="center"/>
          </w:tcPr>
          <w:p w14:paraId="30C9856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49</w:t>
            </w:r>
          </w:p>
        </w:tc>
        <w:tc>
          <w:tcPr>
            <w:tcW w:w="340" w:type="pct"/>
            <w:vAlign w:val="center"/>
          </w:tcPr>
          <w:p w14:paraId="3E0F9C6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48</w:t>
            </w:r>
          </w:p>
        </w:tc>
        <w:tc>
          <w:tcPr>
            <w:tcW w:w="340" w:type="pct"/>
            <w:vAlign w:val="center"/>
          </w:tcPr>
          <w:p w14:paraId="77F103E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44</w:t>
            </w:r>
          </w:p>
        </w:tc>
        <w:tc>
          <w:tcPr>
            <w:tcW w:w="488" w:type="pct"/>
            <w:vAlign w:val="center"/>
          </w:tcPr>
          <w:p w14:paraId="742F638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40</w:t>
            </w:r>
          </w:p>
        </w:tc>
        <w:tc>
          <w:tcPr>
            <w:tcW w:w="342" w:type="pct"/>
            <w:vAlign w:val="center"/>
          </w:tcPr>
          <w:p w14:paraId="5909E4E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25</w:t>
            </w:r>
          </w:p>
        </w:tc>
        <w:tc>
          <w:tcPr>
            <w:tcW w:w="343" w:type="pct"/>
            <w:vAlign w:val="center"/>
          </w:tcPr>
          <w:p w14:paraId="6B9FF21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21</w:t>
            </w:r>
          </w:p>
        </w:tc>
        <w:tc>
          <w:tcPr>
            <w:tcW w:w="483" w:type="pct"/>
            <w:vAlign w:val="center"/>
          </w:tcPr>
          <w:p w14:paraId="7217840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11</w:t>
            </w:r>
          </w:p>
        </w:tc>
      </w:tr>
      <w:tr w:rsidR="00AA3A77" w:rsidRPr="00A06F1E" w14:paraId="1C2AA517" w14:textId="77777777" w:rsidTr="00AA3A77">
        <w:trPr>
          <w:cnfStyle w:val="000000100000" w:firstRow="0" w:lastRow="0" w:firstColumn="0" w:lastColumn="0" w:oddVBand="0" w:evenVBand="0" w:oddHBand="1" w:evenHBand="0" w:firstRowFirstColumn="0" w:firstRowLastColumn="0" w:lastRowFirstColumn="0" w:lastRowLastColumn="0"/>
        </w:trPr>
        <w:tc>
          <w:tcPr>
            <w:tcW w:w="1089" w:type="pct"/>
          </w:tcPr>
          <w:p w14:paraId="062C885A"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High needs</w:t>
            </w:r>
          </w:p>
        </w:tc>
        <w:tc>
          <w:tcPr>
            <w:tcW w:w="408" w:type="pct"/>
            <w:vAlign w:val="center"/>
          </w:tcPr>
          <w:p w14:paraId="757790E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126</w:t>
            </w:r>
          </w:p>
        </w:tc>
        <w:tc>
          <w:tcPr>
            <w:tcW w:w="337" w:type="pct"/>
            <w:vAlign w:val="center"/>
          </w:tcPr>
          <w:p w14:paraId="06FECE3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17</w:t>
            </w:r>
          </w:p>
        </w:tc>
        <w:tc>
          <w:tcPr>
            <w:tcW w:w="337" w:type="pct"/>
            <w:vAlign w:val="center"/>
          </w:tcPr>
          <w:p w14:paraId="7839641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21</w:t>
            </w:r>
          </w:p>
        </w:tc>
        <w:tc>
          <w:tcPr>
            <w:tcW w:w="493" w:type="pct"/>
            <w:vAlign w:val="center"/>
          </w:tcPr>
          <w:p w14:paraId="4CC210A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23</w:t>
            </w:r>
          </w:p>
        </w:tc>
        <w:tc>
          <w:tcPr>
            <w:tcW w:w="340" w:type="pct"/>
            <w:vAlign w:val="center"/>
          </w:tcPr>
          <w:p w14:paraId="4C060DB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49</w:t>
            </w:r>
          </w:p>
        </w:tc>
        <w:tc>
          <w:tcPr>
            <w:tcW w:w="340" w:type="pct"/>
            <w:vAlign w:val="center"/>
          </w:tcPr>
          <w:p w14:paraId="1F491C0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50</w:t>
            </w:r>
          </w:p>
        </w:tc>
        <w:tc>
          <w:tcPr>
            <w:tcW w:w="488" w:type="pct"/>
            <w:vAlign w:val="center"/>
          </w:tcPr>
          <w:p w14:paraId="52C4ACE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47</w:t>
            </w:r>
          </w:p>
        </w:tc>
        <w:tc>
          <w:tcPr>
            <w:tcW w:w="342" w:type="pct"/>
            <w:vAlign w:val="center"/>
          </w:tcPr>
          <w:p w14:paraId="5E2AFA6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34</w:t>
            </w:r>
          </w:p>
        </w:tc>
        <w:tc>
          <w:tcPr>
            <w:tcW w:w="343" w:type="pct"/>
            <w:vAlign w:val="center"/>
          </w:tcPr>
          <w:p w14:paraId="31D445D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29</w:t>
            </w:r>
          </w:p>
        </w:tc>
        <w:tc>
          <w:tcPr>
            <w:tcW w:w="483" w:type="pct"/>
            <w:vAlign w:val="center"/>
          </w:tcPr>
          <w:p w14:paraId="3788F4F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30</w:t>
            </w:r>
          </w:p>
        </w:tc>
      </w:tr>
      <w:tr w:rsidR="00AA3A77" w:rsidRPr="00A06F1E" w14:paraId="280C4FAB" w14:textId="77777777" w:rsidTr="00AA3A77">
        <w:tc>
          <w:tcPr>
            <w:tcW w:w="1089" w:type="pct"/>
          </w:tcPr>
          <w:p w14:paraId="2B0C1269"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Low income</w:t>
            </w:r>
          </w:p>
        </w:tc>
        <w:tc>
          <w:tcPr>
            <w:tcW w:w="408" w:type="pct"/>
            <w:vAlign w:val="center"/>
          </w:tcPr>
          <w:p w14:paraId="092B22A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110</w:t>
            </w:r>
          </w:p>
        </w:tc>
        <w:tc>
          <w:tcPr>
            <w:tcW w:w="337" w:type="pct"/>
            <w:vAlign w:val="center"/>
          </w:tcPr>
          <w:p w14:paraId="56DE539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17</w:t>
            </w:r>
          </w:p>
        </w:tc>
        <w:tc>
          <w:tcPr>
            <w:tcW w:w="337" w:type="pct"/>
            <w:vAlign w:val="center"/>
          </w:tcPr>
          <w:p w14:paraId="2A3899C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22</w:t>
            </w:r>
          </w:p>
        </w:tc>
        <w:tc>
          <w:tcPr>
            <w:tcW w:w="493" w:type="pct"/>
            <w:vAlign w:val="center"/>
          </w:tcPr>
          <w:p w14:paraId="587102D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21</w:t>
            </w:r>
          </w:p>
        </w:tc>
        <w:tc>
          <w:tcPr>
            <w:tcW w:w="340" w:type="pct"/>
            <w:vAlign w:val="center"/>
          </w:tcPr>
          <w:p w14:paraId="028618B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51</w:t>
            </w:r>
          </w:p>
        </w:tc>
        <w:tc>
          <w:tcPr>
            <w:tcW w:w="340" w:type="pct"/>
            <w:vAlign w:val="center"/>
          </w:tcPr>
          <w:p w14:paraId="6D6F09E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52</w:t>
            </w:r>
          </w:p>
        </w:tc>
        <w:tc>
          <w:tcPr>
            <w:tcW w:w="488" w:type="pct"/>
            <w:vAlign w:val="center"/>
          </w:tcPr>
          <w:p w14:paraId="57DCED6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48</w:t>
            </w:r>
          </w:p>
        </w:tc>
        <w:tc>
          <w:tcPr>
            <w:tcW w:w="342" w:type="pct"/>
            <w:vAlign w:val="center"/>
          </w:tcPr>
          <w:p w14:paraId="518CF95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32</w:t>
            </w:r>
          </w:p>
        </w:tc>
        <w:tc>
          <w:tcPr>
            <w:tcW w:w="343" w:type="pct"/>
            <w:vAlign w:val="center"/>
          </w:tcPr>
          <w:p w14:paraId="28454AE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26</w:t>
            </w:r>
          </w:p>
        </w:tc>
        <w:tc>
          <w:tcPr>
            <w:tcW w:w="483" w:type="pct"/>
            <w:vAlign w:val="center"/>
          </w:tcPr>
          <w:p w14:paraId="0558504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31</w:t>
            </w:r>
          </w:p>
        </w:tc>
      </w:tr>
      <w:tr w:rsidR="00AA3A77" w:rsidRPr="00A06F1E" w14:paraId="0D8655F4" w14:textId="77777777" w:rsidTr="00AA3A77">
        <w:trPr>
          <w:cnfStyle w:val="000000100000" w:firstRow="0" w:lastRow="0" w:firstColumn="0" w:lastColumn="0" w:oddVBand="0" w:evenVBand="0" w:oddHBand="1" w:evenHBand="0" w:firstRowFirstColumn="0" w:firstRowLastColumn="0" w:lastRowFirstColumn="0" w:lastRowLastColumn="0"/>
        </w:trPr>
        <w:tc>
          <w:tcPr>
            <w:tcW w:w="1089" w:type="pct"/>
          </w:tcPr>
          <w:p w14:paraId="7B591C79" w14:textId="77777777" w:rsidR="00B607BD" w:rsidRPr="00A06F1E" w:rsidRDefault="00B607BD" w:rsidP="00AA3A77">
            <w:pPr>
              <w:pStyle w:val="TableText"/>
              <w:spacing w:before="10" w:after="10"/>
              <w:rPr>
                <w:rFonts w:ascii="Franklin Gothic Book" w:hAnsi="Franklin Gothic Book"/>
                <w:spacing w:val="-4"/>
              </w:rPr>
            </w:pPr>
            <w:r w:rsidRPr="00A06F1E">
              <w:rPr>
                <w:rFonts w:ascii="Franklin Gothic Book" w:hAnsi="Franklin Gothic Book"/>
                <w:spacing w:val="-4"/>
              </w:rPr>
              <w:t>ELs and former ELs</w:t>
            </w:r>
          </w:p>
        </w:tc>
        <w:tc>
          <w:tcPr>
            <w:tcW w:w="408" w:type="pct"/>
            <w:vAlign w:val="center"/>
          </w:tcPr>
          <w:p w14:paraId="24A6477E" w14:textId="2F5783D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1A11783B" w14:textId="4B691F7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2B3E1F8A" w14:textId="1AE86AE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3" w:type="pct"/>
            <w:vAlign w:val="center"/>
          </w:tcPr>
          <w:p w14:paraId="094CBC2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21</w:t>
            </w:r>
          </w:p>
        </w:tc>
        <w:tc>
          <w:tcPr>
            <w:tcW w:w="340" w:type="pct"/>
            <w:vAlign w:val="center"/>
          </w:tcPr>
          <w:p w14:paraId="5FDA5DBC" w14:textId="6159D78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vAlign w:val="center"/>
          </w:tcPr>
          <w:p w14:paraId="574AD906" w14:textId="4EADB44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8" w:type="pct"/>
            <w:vAlign w:val="center"/>
          </w:tcPr>
          <w:p w14:paraId="6D74B25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44</w:t>
            </w:r>
          </w:p>
        </w:tc>
        <w:tc>
          <w:tcPr>
            <w:tcW w:w="342" w:type="pct"/>
            <w:vAlign w:val="center"/>
          </w:tcPr>
          <w:p w14:paraId="30E99FEC" w14:textId="78E8D82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3" w:type="pct"/>
            <w:vAlign w:val="center"/>
          </w:tcPr>
          <w:p w14:paraId="0DA8FA21" w14:textId="17B97FBA"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center"/>
          </w:tcPr>
          <w:p w14:paraId="26906BD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34</w:t>
            </w:r>
          </w:p>
        </w:tc>
      </w:tr>
      <w:tr w:rsidR="00AA3A77" w:rsidRPr="00A06F1E" w14:paraId="0C3A6E9B" w14:textId="77777777" w:rsidTr="00AA3A77">
        <w:tc>
          <w:tcPr>
            <w:tcW w:w="1089" w:type="pct"/>
          </w:tcPr>
          <w:p w14:paraId="759C1740"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Students w/disabilities</w:t>
            </w:r>
          </w:p>
        </w:tc>
        <w:tc>
          <w:tcPr>
            <w:tcW w:w="408" w:type="pct"/>
            <w:vAlign w:val="center"/>
          </w:tcPr>
          <w:p w14:paraId="0034F98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51</w:t>
            </w:r>
          </w:p>
        </w:tc>
        <w:tc>
          <w:tcPr>
            <w:tcW w:w="337" w:type="pct"/>
            <w:vAlign w:val="center"/>
          </w:tcPr>
          <w:p w14:paraId="0B5451B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w:t>
            </w:r>
          </w:p>
        </w:tc>
        <w:tc>
          <w:tcPr>
            <w:tcW w:w="337" w:type="pct"/>
            <w:vAlign w:val="center"/>
          </w:tcPr>
          <w:p w14:paraId="3CD04F8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w:t>
            </w:r>
          </w:p>
        </w:tc>
        <w:tc>
          <w:tcPr>
            <w:tcW w:w="493" w:type="pct"/>
            <w:vAlign w:val="center"/>
          </w:tcPr>
          <w:p w14:paraId="1E88833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13</w:t>
            </w:r>
          </w:p>
        </w:tc>
        <w:tc>
          <w:tcPr>
            <w:tcW w:w="340" w:type="pct"/>
            <w:vAlign w:val="center"/>
          </w:tcPr>
          <w:p w14:paraId="761DDB7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28</w:t>
            </w:r>
          </w:p>
        </w:tc>
        <w:tc>
          <w:tcPr>
            <w:tcW w:w="340" w:type="pct"/>
            <w:vAlign w:val="center"/>
          </w:tcPr>
          <w:p w14:paraId="72788CC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41</w:t>
            </w:r>
          </w:p>
        </w:tc>
        <w:tc>
          <w:tcPr>
            <w:tcW w:w="488" w:type="pct"/>
            <w:vAlign w:val="center"/>
          </w:tcPr>
          <w:p w14:paraId="15BDFC4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41</w:t>
            </w:r>
          </w:p>
        </w:tc>
        <w:tc>
          <w:tcPr>
            <w:tcW w:w="342" w:type="pct"/>
            <w:vAlign w:val="center"/>
          </w:tcPr>
          <w:p w14:paraId="3483C9A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66</w:t>
            </w:r>
          </w:p>
        </w:tc>
        <w:tc>
          <w:tcPr>
            <w:tcW w:w="343" w:type="pct"/>
            <w:vAlign w:val="center"/>
          </w:tcPr>
          <w:p w14:paraId="3EDB8BF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55</w:t>
            </w:r>
          </w:p>
        </w:tc>
        <w:tc>
          <w:tcPr>
            <w:tcW w:w="483" w:type="pct"/>
            <w:vAlign w:val="center"/>
          </w:tcPr>
          <w:p w14:paraId="0795787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46</w:t>
            </w:r>
          </w:p>
        </w:tc>
      </w:tr>
    </w:tbl>
    <w:p w14:paraId="1BA4A5E2" w14:textId="5664153B" w:rsidR="00B607BD" w:rsidRPr="00A06F1E" w:rsidRDefault="00B607BD" w:rsidP="00B7722D">
      <w:pPr>
        <w:pStyle w:val="TabletitleSectionE"/>
        <w:spacing w:before="120"/>
      </w:pPr>
      <w:bookmarkStart w:id="256" w:name="_Toc170701954"/>
      <w:bookmarkStart w:id="257" w:name="_Toc171685791"/>
      <w:r w:rsidRPr="00A06F1E">
        <w:t>Table E4</w:t>
      </w:r>
      <w:r w:rsidR="00A228CB" w:rsidRPr="00A06F1E">
        <w:t>. Mahar Regional</w:t>
      </w:r>
      <w:r w:rsidR="00F3532E" w:rsidRPr="00A06F1E">
        <w:t>:</w:t>
      </w:r>
      <w:r w:rsidRPr="00A06F1E">
        <w:t xml:space="preserve"> Next-Generation MCAS Mathematics Achievement by Student Group, Grade 10, 2022-2023</w:t>
      </w:r>
      <w:bookmarkEnd w:id="256"/>
      <w:bookmarkEnd w:id="257"/>
    </w:p>
    <w:tbl>
      <w:tblPr>
        <w:tblStyle w:val="MSVTable1"/>
        <w:tblW w:w="5000" w:type="pct"/>
        <w:tblLook w:val="0420" w:firstRow="1" w:lastRow="0" w:firstColumn="0" w:lastColumn="0" w:noHBand="0" w:noVBand="1"/>
      </w:tblPr>
      <w:tblGrid>
        <w:gridCol w:w="2820"/>
        <w:gridCol w:w="1057"/>
        <w:gridCol w:w="872"/>
        <w:gridCol w:w="872"/>
        <w:gridCol w:w="1279"/>
        <w:gridCol w:w="878"/>
        <w:gridCol w:w="880"/>
        <w:gridCol w:w="1266"/>
        <w:gridCol w:w="885"/>
        <w:gridCol w:w="885"/>
        <w:gridCol w:w="1250"/>
      </w:tblGrid>
      <w:tr w:rsidR="00B607BD" w:rsidRPr="00A06F1E" w14:paraId="162E58D2" w14:textId="77777777" w:rsidTr="00AA3A77">
        <w:trPr>
          <w:cnfStyle w:val="100000000000" w:firstRow="1" w:lastRow="0" w:firstColumn="0" w:lastColumn="0" w:oddVBand="0" w:evenVBand="0" w:oddHBand="0" w:evenHBand="0" w:firstRowFirstColumn="0" w:firstRowLastColumn="0" w:lastRowFirstColumn="0" w:lastRowLastColumn="0"/>
          <w:tblHeader/>
        </w:trPr>
        <w:tc>
          <w:tcPr>
            <w:tcW w:w="1089" w:type="pct"/>
            <w:vMerge w:val="restart"/>
            <w:vAlign w:val="center"/>
          </w:tcPr>
          <w:p w14:paraId="167C952A" w14:textId="77777777" w:rsidR="00B607BD" w:rsidRPr="00A06F1E" w:rsidRDefault="00B607BD" w:rsidP="00AA3A77">
            <w:pPr>
              <w:pStyle w:val="TableColHeadingLeft"/>
              <w:spacing w:before="10" w:after="10"/>
              <w:jc w:val="center"/>
            </w:pPr>
            <w:r w:rsidRPr="00A06F1E">
              <w:t>Group</w:t>
            </w:r>
          </w:p>
        </w:tc>
        <w:tc>
          <w:tcPr>
            <w:tcW w:w="408" w:type="pct"/>
            <w:vMerge w:val="restart"/>
            <w:vAlign w:val="center"/>
          </w:tcPr>
          <w:p w14:paraId="4473195D" w14:textId="554DD206" w:rsidR="00B607BD" w:rsidRPr="00A06F1E" w:rsidRDefault="00B607BD" w:rsidP="00AA3A77">
            <w:pPr>
              <w:pStyle w:val="TableColHeadingCenter"/>
              <w:spacing w:before="10" w:after="10"/>
            </w:pPr>
            <w:r w:rsidRPr="00A06F1E">
              <w:t xml:space="preserve"># </w:t>
            </w:r>
            <w:r w:rsidR="004669DD" w:rsidRPr="00A06F1E">
              <w:t>i</w:t>
            </w:r>
            <w:r w:rsidRPr="00A06F1E">
              <w:t>ncluded (2023)</w:t>
            </w:r>
          </w:p>
        </w:tc>
        <w:tc>
          <w:tcPr>
            <w:tcW w:w="1168" w:type="pct"/>
            <w:gridSpan w:val="3"/>
            <w:vAlign w:val="bottom"/>
          </w:tcPr>
          <w:p w14:paraId="0EA0EBF7" w14:textId="257F225F" w:rsidR="00B607BD" w:rsidRPr="00A06F1E" w:rsidRDefault="00A228CB" w:rsidP="00AA3A77">
            <w:pPr>
              <w:pStyle w:val="TableColHeadingCenter"/>
              <w:spacing w:before="10" w:after="10"/>
            </w:pPr>
            <w:r w:rsidRPr="00A06F1E">
              <w:t>Percentage</w:t>
            </w:r>
            <w:r w:rsidR="00B607BD" w:rsidRPr="00A06F1E">
              <w:t xml:space="preserve"> meeting or exceeding expectations</w:t>
            </w:r>
          </w:p>
        </w:tc>
        <w:tc>
          <w:tcPr>
            <w:tcW w:w="1168" w:type="pct"/>
            <w:gridSpan w:val="3"/>
            <w:vAlign w:val="center"/>
          </w:tcPr>
          <w:p w14:paraId="4E891AC7" w14:textId="19566976" w:rsidR="00B607BD" w:rsidRPr="00A06F1E" w:rsidRDefault="00A228CB" w:rsidP="00AA3A77">
            <w:pPr>
              <w:pStyle w:val="TableColHeadingCenter"/>
              <w:spacing w:before="10" w:after="10"/>
            </w:pPr>
            <w:r w:rsidRPr="00A06F1E">
              <w:t>Percentage</w:t>
            </w:r>
            <w:r w:rsidR="00B607BD" w:rsidRPr="00A06F1E">
              <w:t xml:space="preserve"> partially meeting expectations</w:t>
            </w:r>
          </w:p>
        </w:tc>
        <w:tc>
          <w:tcPr>
            <w:tcW w:w="1167" w:type="pct"/>
            <w:gridSpan w:val="3"/>
            <w:vAlign w:val="center"/>
          </w:tcPr>
          <w:p w14:paraId="7CD51909" w14:textId="23188A44" w:rsidR="00B607BD" w:rsidRPr="00A06F1E" w:rsidRDefault="00A228CB" w:rsidP="00AA3A77">
            <w:pPr>
              <w:pStyle w:val="TableColHeadingCenter"/>
              <w:spacing w:before="10" w:after="10"/>
            </w:pPr>
            <w:r w:rsidRPr="00A06F1E">
              <w:t>Percentage</w:t>
            </w:r>
            <w:r w:rsidR="00B607BD" w:rsidRPr="00A06F1E">
              <w:t xml:space="preserve"> not meeting expectations</w:t>
            </w:r>
          </w:p>
        </w:tc>
      </w:tr>
      <w:tr w:rsidR="00AA3A77" w:rsidRPr="00A06F1E" w14:paraId="6FFC6A45" w14:textId="77777777" w:rsidTr="00AA3A77">
        <w:trPr>
          <w:cnfStyle w:val="100000000000" w:firstRow="1" w:lastRow="0" w:firstColumn="0" w:lastColumn="0" w:oddVBand="0" w:evenVBand="0" w:oddHBand="0" w:evenHBand="0" w:firstRowFirstColumn="0" w:firstRowLastColumn="0" w:lastRowFirstColumn="0" w:lastRowLastColumn="0"/>
          <w:tblHeader/>
        </w:trPr>
        <w:tc>
          <w:tcPr>
            <w:tcW w:w="1089" w:type="pct"/>
            <w:vMerge/>
            <w:vAlign w:val="bottom"/>
          </w:tcPr>
          <w:p w14:paraId="0B122F28" w14:textId="77777777" w:rsidR="00B607BD" w:rsidRPr="00A06F1E" w:rsidRDefault="00B607BD" w:rsidP="00AA3A77">
            <w:pPr>
              <w:pStyle w:val="TableColHeadingCenter"/>
              <w:spacing w:before="10" w:after="10"/>
            </w:pPr>
          </w:p>
        </w:tc>
        <w:tc>
          <w:tcPr>
            <w:tcW w:w="408" w:type="pct"/>
            <w:vMerge/>
            <w:vAlign w:val="bottom"/>
          </w:tcPr>
          <w:p w14:paraId="53A7D437" w14:textId="77777777" w:rsidR="00B607BD" w:rsidRPr="00A06F1E" w:rsidRDefault="00B607BD" w:rsidP="00AA3A77">
            <w:pPr>
              <w:pStyle w:val="TableColHeadingCenter"/>
              <w:spacing w:before="10" w:after="10"/>
            </w:pPr>
          </w:p>
        </w:tc>
        <w:tc>
          <w:tcPr>
            <w:tcW w:w="337" w:type="pct"/>
            <w:vAlign w:val="center"/>
          </w:tcPr>
          <w:p w14:paraId="68853525" w14:textId="77777777" w:rsidR="00B607BD" w:rsidRPr="00A06F1E" w:rsidRDefault="00B607BD" w:rsidP="00AA3A77">
            <w:pPr>
              <w:pStyle w:val="TableColHeadingCenter"/>
              <w:spacing w:before="10" w:after="10"/>
            </w:pPr>
            <w:r w:rsidRPr="00A06F1E">
              <w:t>2022</w:t>
            </w:r>
          </w:p>
        </w:tc>
        <w:tc>
          <w:tcPr>
            <w:tcW w:w="337" w:type="pct"/>
            <w:vAlign w:val="center"/>
          </w:tcPr>
          <w:p w14:paraId="5954AD3F" w14:textId="77777777" w:rsidR="00B607BD" w:rsidRPr="00A06F1E" w:rsidRDefault="00B607BD" w:rsidP="00AA3A77">
            <w:pPr>
              <w:pStyle w:val="TableColHeadingCenter"/>
              <w:spacing w:before="10" w:after="10"/>
            </w:pPr>
            <w:r w:rsidRPr="00A06F1E">
              <w:t>2023</w:t>
            </w:r>
          </w:p>
        </w:tc>
        <w:tc>
          <w:tcPr>
            <w:tcW w:w="494" w:type="pct"/>
            <w:vAlign w:val="center"/>
          </w:tcPr>
          <w:p w14:paraId="20873DCE" w14:textId="77777777" w:rsidR="00B607BD" w:rsidRPr="00A06F1E" w:rsidRDefault="00B607BD" w:rsidP="00AA3A77">
            <w:pPr>
              <w:pStyle w:val="TableColHeadingCenter"/>
              <w:spacing w:before="10" w:after="10"/>
            </w:pPr>
            <w:r w:rsidRPr="00A06F1E">
              <w:t>State (2023)</w:t>
            </w:r>
          </w:p>
        </w:tc>
        <w:tc>
          <w:tcPr>
            <w:tcW w:w="339" w:type="pct"/>
            <w:vAlign w:val="center"/>
          </w:tcPr>
          <w:p w14:paraId="7F5ABB3C" w14:textId="77777777" w:rsidR="00B607BD" w:rsidRPr="00A06F1E" w:rsidRDefault="00B607BD" w:rsidP="00AA3A77">
            <w:pPr>
              <w:pStyle w:val="TableColHeadingCenter"/>
              <w:spacing w:before="10" w:after="10"/>
            </w:pPr>
            <w:r w:rsidRPr="00A06F1E">
              <w:t>2022</w:t>
            </w:r>
          </w:p>
        </w:tc>
        <w:tc>
          <w:tcPr>
            <w:tcW w:w="340" w:type="pct"/>
            <w:vAlign w:val="center"/>
          </w:tcPr>
          <w:p w14:paraId="56CDDDDD" w14:textId="77777777" w:rsidR="00B607BD" w:rsidRPr="00A06F1E" w:rsidRDefault="00B607BD" w:rsidP="00AA3A77">
            <w:pPr>
              <w:pStyle w:val="TableColHeadingCenter"/>
              <w:spacing w:before="10" w:after="10"/>
            </w:pPr>
            <w:r w:rsidRPr="00A06F1E">
              <w:t>2023</w:t>
            </w:r>
          </w:p>
        </w:tc>
        <w:tc>
          <w:tcPr>
            <w:tcW w:w="489" w:type="pct"/>
            <w:vAlign w:val="center"/>
          </w:tcPr>
          <w:p w14:paraId="32C544DF" w14:textId="77777777" w:rsidR="00B607BD" w:rsidRPr="00A06F1E" w:rsidRDefault="00B607BD" w:rsidP="00AA3A77">
            <w:pPr>
              <w:pStyle w:val="TableColHeadingCenter"/>
              <w:spacing w:before="10" w:after="10"/>
            </w:pPr>
            <w:r w:rsidRPr="00A06F1E">
              <w:t>State (2023)</w:t>
            </w:r>
          </w:p>
        </w:tc>
        <w:tc>
          <w:tcPr>
            <w:tcW w:w="342" w:type="pct"/>
            <w:vAlign w:val="center"/>
          </w:tcPr>
          <w:p w14:paraId="54EFF3D4" w14:textId="77777777" w:rsidR="00B607BD" w:rsidRPr="00A06F1E" w:rsidRDefault="00B607BD" w:rsidP="00AA3A77">
            <w:pPr>
              <w:pStyle w:val="TableColHeadingCenter"/>
              <w:spacing w:before="10" w:after="10"/>
            </w:pPr>
            <w:r w:rsidRPr="00A06F1E">
              <w:t>2022</w:t>
            </w:r>
          </w:p>
        </w:tc>
        <w:tc>
          <w:tcPr>
            <w:tcW w:w="342" w:type="pct"/>
            <w:vAlign w:val="center"/>
          </w:tcPr>
          <w:p w14:paraId="1469FD89" w14:textId="77777777" w:rsidR="00B607BD" w:rsidRPr="00A06F1E" w:rsidRDefault="00B607BD" w:rsidP="00AA3A77">
            <w:pPr>
              <w:pStyle w:val="TableColHeadingCenter"/>
              <w:spacing w:before="10" w:after="10"/>
            </w:pPr>
            <w:r w:rsidRPr="00A06F1E">
              <w:t>2023</w:t>
            </w:r>
          </w:p>
        </w:tc>
        <w:tc>
          <w:tcPr>
            <w:tcW w:w="483" w:type="pct"/>
            <w:vAlign w:val="center"/>
          </w:tcPr>
          <w:p w14:paraId="41302B5D" w14:textId="77777777" w:rsidR="00B607BD" w:rsidRPr="00A06F1E" w:rsidRDefault="00B607BD" w:rsidP="00AA3A77">
            <w:pPr>
              <w:pStyle w:val="TableColHeadingCenter"/>
              <w:spacing w:before="10" w:after="10"/>
            </w:pPr>
            <w:r w:rsidRPr="00A06F1E">
              <w:t>State (2023)</w:t>
            </w:r>
          </w:p>
        </w:tc>
      </w:tr>
      <w:tr w:rsidR="00AA3A77" w:rsidRPr="00A06F1E" w14:paraId="5547071B" w14:textId="77777777" w:rsidTr="00AA3A77">
        <w:trPr>
          <w:cnfStyle w:val="000000100000" w:firstRow="0" w:lastRow="0" w:firstColumn="0" w:lastColumn="0" w:oddVBand="0" w:evenVBand="0" w:oddHBand="1" w:evenHBand="0" w:firstRowFirstColumn="0" w:firstRowLastColumn="0" w:lastRowFirstColumn="0" w:lastRowLastColumn="0"/>
        </w:trPr>
        <w:tc>
          <w:tcPr>
            <w:tcW w:w="1089" w:type="pct"/>
          </w:tcPr>
          <w:p w14:paraId="4185D0F4"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All</w:t>
            </w:r>
          </w:p>
        </w:tc>
        <w:tc>
          <w:tcPr>
            <w:tcW w:w="408" w:type="pct"/>
            <w:vAlign w:val="center"/>
          </w:tcPr>
          <w:p w14:paraId="45ADEC1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77</w:t>
            </w:r>
          </w:p>
        </w:tc>
        <w:tc>
          <w:tcPr>
            <w:tcW w:w="337" w:type="pct"/>
            <w:vAlign w:val="center"/>
          </w:tcPr>
          <w:p w14:paraId="3C472B3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40</w:t>
            </w:r>
          </w:p>
        </w:tc>
        <w:tc>
          <w:tcPr>
            <w:tcW w:w="337" w:type="pct"/>
            <w:vAlign w:val="center"/>
          </w:tcPr>
          <w:p w14:paraId="11509B7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35</w:t>
            </w:r>
          </w:p>
        </w:tc>
        <w:tc>
          <w:tcPr>
            <w:tcW w:w="494" w:type="pct"/>
            <w:vAlign w:val="center"/>
          </w:tcPr>
          <w:p w14:paraId="5C68111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50</w:t>
            </w:r>
          </w:p>
        </w:tc>
        <w:tc>
          <w:tcPr>
            <w:tcW w:w="339" w:type="pct"/>
            <w:vAlign w:val="center"/>
          </w:tcPr>
          <w:p w14:paraId="1F63C34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40</w:t>
            </w:r>
          </w:p>
        </w:tc>
        <w:tc>
          <w:tcPr>
            <w:tcW w:w="340" w:type="pct"/>
            <w:vAlign w:val="center"/>
          </w:tcPr>
          <w:p w14:paraId="5146FED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55</w:t>
            </w:r>
          </w:p>
        </w:tc>
        <w:tc>
          <w:tcPr>
            <w:tcW w:w="489" w:type="pct"/>
            <w:vAlign w:val="center"/>
          </w:tcPr>
          <w:p w14:paraId="2BAB509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42</w:t>
            </w:r>
          </w:p>
        </w:tc>
        <w:tc>
          <w:tcPr>
            <w:tcW w:w="342" w:type="pct"/>
            <w:vAlign w:val="center"/>
          </w:tcPr>
          <w:p w14:paraId="663FFD4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19</w:t>
            </w:r>
          </w:p>
        </w:tc>
        <w:tc>
          <w:tcPr>
            <w:tcW w:w="342" w:type="pct"/>
            <w:vAlign w:val="center"/>
          </w:tcPr>
          <w:p w14:paraId="3FE3BA9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10</w:t>
            </w:r>
          </w:p>
        </w:tc>
        <w:tc>
          <w:tcPr>
            <w:tcW w:w="483" w:type="pct"/>
            <w:vAlign w:val="bottom"/>
          </w:tcPr>
          <w:p w14:paraId="1E7A4F7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9</w:t>
            </w:r>
          </w:p>
        </w:tc>
      </w:tr>
      <w:tr w:rsidR="00AA3A77" w:rsidRPr="00A06F1E" w14:paraId="17DCF6F3" w14:textId="77777777" w:rsidTr="00AA3A77">
        <w:tc>
          <w:tcPr>
            <w:tcW w:w="1089" w:type="pct"/>
          </w:tcPr>
          <w:p w14:paraId="20E87B37"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African American/Black</w:t>
            </w:r>
          </w:p>
        </w:tc>
        <w:tc>
          <w:tcPr>
            <w:tcW w:w="408" w:type="pct"/>
            <w:vAlign w:val="center"/>
          </w:tcPr>
          <w:p w14:paraId="11CBAFBF" w14:textId="7F7D279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4E21DFCB" w14:textId="7F64EAB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04934B70" w14:textId="5D8CD83A"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4" w:type="pct"/>
            <w:vAlign w:val="center"/>
          </w:tcPr>
          <w:p w14:paraId="21C1AF4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27</w:t>
            </w:r>
          </w:p>
        </w:tc>
        <w:tc>
          <w:tcPr>
            <w:tcW w:w="339" w:type="pct"/>
            <w:vAlign w:val="center"/>
          </w:tcPr>
          <w:p w14:paraId="1E6D007F" w14:textId="7F500501"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vAlign w:val="center"/>
          </w:tcPr>
          <w:p w14:paraId="56B8BE3C" w14:textId="3BDCF2B2"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9" w:type="pct"/>
            <w:vAlign w:val="center"/>
          </w:tcPr>
          <w:p w14:paraId="0866E32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58</w:t>
            </w:r>
          </w:p>
        </w:tc>
        <w:tc>
          <w:tcPr>
            <w:tcW w:w="342" w:type="pct"/>
            <w:vAlign w:val="center"/>
          </w:tcPr>
          <w:p w14:paraId="6E263E50" w14:textId="26576FE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2" w:type="pct"/>
            <w:vAlign w:val="center"/>
          </w:tcPr>
          <w:p w14:paraId="4C3184C3" w14:textId="036CD79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bottom"/>
          </w:tcPr>
          <w:p w14:paraId="22BF16D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15</w:t>
            </w:r>
          </w:p>
        </w:tc>
      </w:tr>
      <w:tr w:rsidR="00AA3A77" w:rsidRPr="00A06F1E" w14:paraId="096184A3" w14:textId="77777777" w:rsidTr="00AA3A77">
        <w:trPr>
          <w:cnfStyle w:val="000000100000" w:firstRow="0" w:lastRow="0" w:firstColumn="0" w:lastColumn="0" w:oddVBand="0" w:evenVBand="0" w:oddHBand="1" w:evenHBand="0" w:firstRowFirstColumn="0" w:firstRowLastColumn="0" w:lastRowFirstColumn="0" w:lastRowLastColumn="0"/>
        </w:trPr>
        <w:tc>
          <w:tcPr>
            <w:tcW w:w="1089" w:type="pct"/>
          </w:tcPr>
          <w:p w14:paraId="12FA99E1"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Asian</w:t>
            </w:r>
          </w:p>
        </w:tc>
        <w:tc>
          <w:tcPr>
            <w:tcW w:w="408" w:type="pct"/>
            <w:vAlign w:val="center"/>
          </w:tcPr>
          <w:p w14:paraId="32EDF8CC" w14:textId="0196D00A"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6E6E7C74" w14:textId="11B7B48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1FA95FE2" w14:textId="4F94541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4" w:type="pct"/>
            <w:vAlign w:val="center"/>
          </w:tcPr>
          <w:p w14:paraId="3FD030C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80</w:t>
            </w:r>
          </w:p>
        </w:tc>
        <w:tc>
          <w:tcPr>
            <w:tcW w:w="339" w:type="pct"/>
            <w:vAlign w:val="center"/>
          </w:tcPr>
          <w:p w14:paraId="30EB12D0" w14:textId="0869CCA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vAlign w:val="center"/>
          </w:tcPr>
          <w:p w14:paraId="453D7FF7" w14:textId="5DDE0FB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9" w:type="pct"/>
            <w:vAlign w:val="center"/>
          </w:tcPr>
          <w:p w14:paraId="63630EB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17</w:t>
            </w:r>
          </w:p>
        </w:tc>
        <w:tc>
          <w:tcPr>
            <w:tcW w:w="342" w:type="pct"/>
            <w:vAlign w:val="center"/>
          </w:tcPr>
          <w:p w14:paraId="6A38FA44" w14:textId="2B0DDDE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2" w:type="pct"/>
            <w:vAlign w:val="center"/>
          </w:tcPr>
          <w:p w14:paraId="26E5F6D8" w14:textId="4E06115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bottom"/>
          </w:tcPr>
          <w:p w14:paraId="5F3B84C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w:t>
            </w:r>
          </w:p>
        </w:tc>
      </w:tr>
      <w:tr w:rsidR="00AA3A77" w:rsidRPr="00A06F1E" w14:paraId="7CFBD12F" w14:textId="77777777" w:rsidTr="00AA3A77">
        <w:tc>
          <w:tcPr>
            <w:tcW w:w="1089" w:type="pct"/>
          </w:tcPr>
          <w:p w14:paraId="7D2A197C"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Hispanic/Latino</w:t>
            </w:r>
          </w:p>
        </w:tc>
        <w:tc>
          <w:tcPr>
            <w:tcW w:w="408" w:type="pct"/>
            <w:vAlign w:val="center"/>
          </w:tcPr>
          <w:p w14:paraId="532093B2" w14:textId="59D472E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23CEF200" w14:textId="4648CD2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5526B7C6" w14:textId="71F324B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4" w:type="pct"/>
            <w:vAlign w:val="center"/>
          </w:tcPr>
          <w:p w14:paraId="4965159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25</w:t>
            </w:r>
          </w:p>
        </w:tc>
        <w:tc>
          <w:tcPr>
            <w:tcW w:w="339" w:type="pct"/>
            <w:vAlign w:val="center"/>
          </w:tcPr>
          <w:p w14:paraId="45FA7349" w14:textId="17D4484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vAlign w:val="center"/>
          </w:tcPr>
          <w:p w14:paraId="34259628" w14:textId="45E50CC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9" w:type="pct"/>
            <w:vAlign w:val="center"/>
          </w:tcPr>
          <w:p w14:paraId="20FE3FD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57</w:t>
            </w:r>
          </w:p>
        </w:tc>
        <w:tc>
          <w:tcPr>
            <w:tcW w:w="342" w:type="pct"/>
            <w:vAlign w:val="center"/>
          </w:tcPr>
          <w:p w14:paraId="54E3131C" w14:textId="7F28115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2" w:type="pct"/>
            <w:vAlign w:val="center"/>
          </w:tcPr>
          <w:p w14:paraId="2660FF60" w14:textId="3F2E621E"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bottom"/>
          </w:tcPr>
          <w:p w14:paraId="7231D66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18</w:t>
            </w:r>
          </w:p>
        </w:tc>
      </w:tr>
      <w:tr w:rsidR="00AA3A77" w:rsidRPr="00A06F1E" w14:paraId="347BE4B5" w14:textId="77777777" w:rsidTr="00AA3A77">
        <w:trPr>
          <w:cnfStyle w:val="000000100000" w:firstRow="0" w:lastRow="0" w:firstColumn="0" w:lastColumn="0" w:oddVBand="0" w:evenVBand="0" w:oddHBand="1" w:evenHBand="0" w:firstRowFirstColumn="0" w:firstRowLastColumn="0" w:lastRowFirstColumn="0" w:lastRowLastColumn="0"/>
        </w:trPr>
        <w:tc>
          <w:tcPr>
            <w:tcW w:w="1089" w:type="pct"/>
          </w:tcPr>
          <w:p w14:paraId="63950443" w14:textId="77777777" w:rsidR="00B607BD" w:rsidRPr="00A06F1E" w:rsidRDefault="00B607BD" w:rsidP="00AA3A77">
            <w:pPr>
              <w:pStyle w:val="TableText"/>
              <w:spacing w:before="10" w:after="10"/>
              <w:rPr>
                <w:rFonts w:ascii="Franklin Gothic Book" w:hAnsi="Franklin Gothic Book"/>
                <w:spacing w:val="-2"/>
              </w:rPr>
            </w:pPr>
            <w:r w:rsidRPr="00A06F1E">
              <w:rPr>
                <w:rFonts w:ascii="Franklin Gothic Book" w:hAnsi="Franklin Gothic Book" w:cstheme="minorHAnsi"/>
                <w:spacing w:val="-2"/>
              </w:rPr>
              <w:t>Multi-Race, non-Hispanic/Latino</w:t>
            </w:r>
          </w:p>
        </w:tc>
        <w:tc>
          <w:tcPr>
            <w:tcW w:w="408" w:type="pct"/>
            <w:vAlign w:val="center"/>
          </w:tcPr>
          <w:p w14:paraId="66D178D8" w14:textId="7176EA31"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0D15F600" w14:textId="7A035D12"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1E8B1753" w14:textId="6E1684BB"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4" w:type="pct"/>
            <w:vAlign w:val="center"/>
          </w:tcPr>
          <w:p w14:paraId="590A7CE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54</w:t>
            </w:r>
          </w:p>
        </w:tc>
        <w:tc>
          <w:tcPr>
            <w:tcW w:w="339" w:type="pct"/>
            <w:vAlign w:val="center"/>
          </w:tcPr>
          <w:p w14:paraId="02669B24" w14:textId="70EEEA4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vAlign w:val="center"/>
          </w:tcPr>
          <w:p w14:paraId="355A52CD" w14:textId="189D7DE2"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9" w:type="pct"/>
            <w:vAlign w:val="center"/>
          </w:tcPr>
          <w:p w14:paraId="6527481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39</w:t>
            </w:r>
          </w:p>
        </w:tc>
        <w:tc>
          <w:tcPr>
            <w:tcW w:w="342" w:type="pct"/>
            <w:vAlign w:val="center"/>
          </w:tcPr>
          <w:p w14:paraId="2F0534A8" w14:textId="6CF2F87A"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2" w:type="pct"/>
            <w:vAlign w:val="center"/>
          </w:tcPr>
          <w:p w14:paraId="75C1E180" w14:textId="4033550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bottom"/>
          </w:tcPr>
          <w:p w14:paraId="29F4EED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8</w:t>
            </w:r>
          </w:p>
        </w:tc>
      </w:tr>
      <w:tr w:rsidR="00AA3A77" w:rsidRPr="00A06F1E" w14:paraId="60AC4C13" w14:textId="77777777" w:rsidTr="00AA3A77">
        <w:tc>
          <w:tcPr>
            <w:tcW w:w="1089" w:type="pct"/>
          </w:tcPr>
          <w:p w14:paraId="1001C07C"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Native American</w:t>
            </w:r>
          </w:p>
        </w:tc>
        <w:tc>
          <w:tcPr>
            <w:tcW w:w="408" w:type="pct"/>
            <w:vAlign w:val="center"/>
          </w:tcPr>
          <w:p w14:paraId="2E420886" w14:textId="0C52FA4B"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364DCE5A" w14:textId="6658BA8D"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61F22C15" w14:textId="74F9B2F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4" w:type="pct"/>
            <w:vAlign w:val="center"/>
          </w:tcPr>
          <w:p w14:paraId="2292163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32</w:t>
            </w:r>
          </w:p>
        </w:tc>
        <w:tc>
          <w:tcPr>
            <w:tcW w:w="339" w:type="pct"/>
            <w:vAlign w:val="center"/>
          </w:tcPr>
          <w:p w14:paraId="596B2E18" w14:textId="2A53EF0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vAlign w:val="center"/>
          </w:tcPr>
          <w:p w14:paraId="7FD4410E" w14:textId="71066B1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9" w:type="pct"/>
            <w:vAlign w:val="center"/>
          </w:tcPr>
          <w:p w14:paraId="0CD0BD5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59</w:t>
            </w:r>
          </w:p>
        </w:tc>
        <w:tc>
          <w:tcPr>
            <w:tcW w:w="342" w:type="pct"/>
            <w:vAlign w:val="center"/>
          </w:tcPr>
          <w:p w14:paraId="3EFC3A79" w14:textId="1E48038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2" w:type="pct"/>
            <w:vAlign w:val="center"/>
          </w:tcPr>
          <w:p w14:paraId="6D5C1091" w14:textId="4BBB999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bottom"/>
          </w:tcPr>
          <w:p w14:paraId="7FF477F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10</w:t>
            </w:r>
          </w:p>
        </w:tc>
      </w:tr>
      <w:tr w:rsidR="00AA3A77" w:rsidRPr="00A06F1E" w14:paraId="6C38580A" w14:textId="77777777" w:rsidTr="00AA3A77">
        <w:trPr>
          <w:cnfStyle w:val="000000100000" w:firstRow="0" w:lastRow="0" w:firstColumn="0" w:lastColumn="0" w:oddVBand="0" w:evenVBand="0" w:oddHBand="1" w:evenHBand="0" w:firstRowFirstColumn="0" w:firstRowLastColumn="0" w:lastRowFirstColumn="0" w:lastRowLastColumn="0"/>
        </w:trPr>
        <w:tc>
          <w:tcPr>
            <w:tcW w:w="1089" w:type="pct"/>
          </w:tcPr>
          <w:p w14:paraId="4CEF5808" w14:textId="77777777" w:rsidR="00B607BD" w:rsidRPr="00A06F1E" w:rsidRDefault="00B607BD" w:rsidP="00AA3A77">
            <w:pPr>
              <w:pStyle w:val="TableText"/>
              <w:spacing w:before="10" w:after="10"/>
              <w:rPr>
                <w:rFonts w:ascii="Franklin Gothic Book" w:hAnsi="Franklin Gothic Book"/>
                <w:spacing w:val="-4"/>
              </w:rPr>
            </w:pPr>
            <w:r w:rsidRPr="00A06F1E">
              <w:rPr>
                <w:rFonts w:ascii="Franklin Gothic Book" w:hAnsi="Franklin Gothic Book"/>
                <w:spacing w:val="-4"/>
              </w:rPr>
              <w:t>Native Hawaiian, Pacific Islander</w:t>
            </w:r>
          </w:p>
        </w:tc>
        <w:tc>
          <w:tcPr>
            <w:tcW w:w="408" w:type="pct"/>
            <w:vAlign w:val="center"/>
          </w:tcPr>
          <w:p w14:paraId="151110A9" w14:textId="77014B3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4AB8F07F" w14:textId="07AF70C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33EF0E75" w14:textId="70851B4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4" w:type="pct"/>
            <w:vAlign w:val="center"/>
          </w:tcPr>
          <w:p w14:paraId="750A5B9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36</w:t>
            </w:r>
          </w:p>
        </w:tc>
        <w:tc>
          <w:tcPr>
            <w:tcW w:w="339" w:type="pct"/>
            <w:vAlign w:val="center"/>
          </w:tcPr>
          <w:p w14:paraId="2967CB4E" w14:textId="3D74BFC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vAlign w:val="center"/>
          </w:tcPr>
          <w:p w14:paraId="0DEF2C1B" w14:textId="42EECDC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9" w:type="pct"/>
            <w:vAlign w:val="center"/>
          </w:tcPr>
          <w:p w14:paraId="2B7BC73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57</w:t>
            </w:r>
          </w:p>
        </w:tc>
        <w:tc>
          <w:tcPr>
            <w:tcW w:w="342" w:type="pct"/>
            <w:vAlign w:val="center"/>
          </w:tcPr>
          <w:p w14:paraId="4695BCA1" w14:textId="5E58140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2" w:type="pct"/>
            <w:vAlign w:val="center"/>
          </w:tcPr>
          <w:p w14:paraId="797242CD" w14:textId="7404D26A"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bottom"/>
          </w:tcPr>
          <w:p w14:paraId="2F79BC4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w:t>
            </w:r>
          </w:p>
        </w:tc>
      </w:tr>
      <w:tr w:rsidR="00AA3A77" w:rsidRPr="00A06F1E" w14:paraId="68C9A1EF" w14:textId="77777777" w:rsidTr="00AA3A77">
        <w:tc>
          <w:tcPr>
            <w:tcW w:w="1089" w:type="pct"/>
          </w:tcPr>
          <w:p w14:paraId="48966195"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White</w:t>
            </w:r>
          </w:p>
        </w:tc>
        <w:tc>
          <w:tcPr>
            <w:tcW w:w="408" w:type="pct"/>
            <w:vAlign w:val="center"/>
          </w:tcPr>
          <w:p w14:paraId="4C2A64F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63</w:t>
            </w:r>
          </w:p>
        </w:tc>
        <w:tc>
          <w:tcPr>
            <w:tcW w:w="337" w:type="pct"/>
            <w:vAlign w:val="center"/>
          </w:tcPr>
          <w:p w14:paraId="1170881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40</w:t>
            </w:r>
          </w:p>
        </w:tc>
        <w:tc>
          <w:tcPr>
            <w:tcW w:w="337" w:type="pct"/>
            <w:vAlign w:val="center"/>
          </w:tcPr>
          <w:p w14:paraId="25228A5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38</w:t>
            </w:r>
          </w:p>
        </w:tc>
        <w:tc>
          <w:tcPr>
            <w:tcW w:w="494" w:type="pct"/>
            <w:vAlign w:val="center"/>
          </w:tcPr>
          <w:p w14:paraId="3922023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60</w:t>
            </w:r>
          </w:p>
        </w:tc>
        <w:tc>
          <w:tcPr>
            <w:tcW w:w="339" w:type="pct"/>
            <w:vAlign w:val="center"/>
          </w:tcPr>
          <w:p w14:paraId="68BC1DA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40</w:t>
            </w:r>
          </w:p>
        </w:tc>
        <w:tc>
          <w:tcPr>
            <w:tcW w:w="340" w:type="pct"/>
            <w:vAlign w:val="center"/>
          </w:tcPr>
          <w:p w14:paraId="13CA341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54</w:t>
            </w:r>
          </w:p>
        </w:tc>
        <w:tc>
          <w:tcPr>
            <w:tcW w:w="489" w:type="pct"/>
            <w:vAlign w:val="center"/>
          </w:tcPr>
          <w:p w14:paraId="4F3CEE1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36</w:t>
            </w:r>
          </w:p>
        </w:tc>
        <w:tc>
          <w:tcPr>
            <w:tcW w:w="342" w:type="pct"/>
            <w:vAlign w:val="center"/>
          </w:tcPr>
          <w:p w14:paraId="6F8771E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20</w:t>
            </w:r>
          </w:p>
        </w:tc>
        <w:tc>
          <w:tcPr>
            <w:tcW w:w="342" w:type="pct"/>
            <w:vAlign w:val="center"/>
          </w:tcPr>
          <w:p w14:paraId="3A297A9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8</w:t>
            </w:r>
          </w:p>
        </w:tc>
        <w:tc>
          <w:tcPr>
            <w:tcW w:w="483" w:type="pct"/>
            <w:vAlign w:val="bottom"/>
          </w:tcPr>
          <w:p w14:paraId="644FE9C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w:t>
            </w:r>
          </w:p>
        </w:tc>
      </w:tr>
      <w:tr w:rsidR="00AA3A77" w:rsidRPr="00A06F1E" w14:paraId="23F79D83" w14:textId="77777777" w:rsidTr="00AA3A77">
        <w:trPr>
          <w:cnfStyle w:val="000000100000" w:firstRow="0" w:lastRow="0" w:firstColumn="0" w:lastColumn="0" w:oddVBand="0" w:evenVBand="0" w:oddHBand="1" w:evenHBand="0" w:firstRowFirstColumn="0" w:firstRowLastColumn="0" w:lastRowFirstColumn="0" w:lastRowLastColumn="0"/>
        </w:trPr>
        <w:tc>
          <w:tcPr>
            <w:tcW w:w="1089" w:type="pct"/>
          </w:tcPr>
          <w:p w14:paraId="1A5631B5"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High needs</w:t>
            </w:r>
          </w:p>
        </w:tc>
        <w:tc>
          <w:tcPr>
            <w:tcW w:w="408" w:type="pct"/>
            <w:vAlign w:val="center"/>
          </w:tcPr>
          <w:p w14:paraId="77BDA51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49</w:t>
            </w:r>
          </w:p>
        </w:tc>
        <w:tc>
          <w:tcPr>
            <w:tcW w:w="337" w:type="pct"/>
            <w:vAlign w:val="center"/>
          </w:tcPr>
          <w:p w14:paraId="4173A0B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21</w:t>
            </w:r>
          </w:p>
        </w:tc>
        <w:tc>
          <w:tcPr>
            <w:tcW w:w="337" w:type="pct"/>
            <w:vAlign w:val="center"/>
          </w:tcPr>
          <w:p w14:paraId="0BE8CD2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24</w:t>
            </w:r>
          </w:p>
        </w:tc>
        <w:tc>
          <w:tcPr>
            <w:tcW w:w="494" w:type="pct"/>
            <w:vAlign w:val="center"/>
          </w:tcPr>
          <w:p w14:paraId="7D13B1C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27</w:t>
            </w:r>
          </w:p>
        </w:tc>
        <w:tc>
          <w:tcPr>
            <w:tcW w:w="339" w:type="pct"/>
            <w:vAlign w:val="center"/>
          </w:tcPr>
          <w:p w14:paraId="7798F4B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49</w:t>
            </w:r>
          </w:p>
        </w:tc>
        <w:tc>
          <w:tcPr>
            <w:tcW w:w="340" w:type="pct"/>
            <w:vAlign w:val="center"/>
          </w:tcPr>
          <w:p w14:paraId="41F1ECD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63</w:t>
            </w:r>
          </w:p>
        </w:tc>
        <w:tc>
          <w:tcPr>
            <w:tcW w:w="489" w:type="pct"/>
            <w:vAlign w:val="center"/>
          </w:tcPr>
          <w:p w14:paraId="79171F5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57</w:t>
            </w:r>
          </w:p>
        </w:tc>
        <w:tc>
          <w:tcPr>
            <w:tcW w:w="342" w:type="pct"/>
            <w:vAlign w:val="center"/>
          </w:tcPr>
          <w:p w14:paraId="071AFBE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31</w:t>
            </w:r>
          </w:p>
        </w:tc>
        <w:tc>
          <w:tcPr>
            <w:tcW w:w="342" w:type="pct"/>
            <w:vAlign w:val="center"/>
          </w:tcPr>
          <w:p w14:paraId="313F24A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12</w:t>
            </w:r>
          </w:p>
        </w:tc>
        <w:tc>
          <w:tcPr>
            <w:tcW w:w="483" w:type="pct"/>
            <w:vAlign w:val="bottom"/>
          </w:tcPr>
          <w:p w14:paraId="5E6D58E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16</w:t>
            </w:r>
          </w:p>
        </w:tc>
      </w:tr>
      <w:tr w:rsidR="00AA3A77" w:rsidRPr="00A06F1E" w14:paraId="19B666E6" w14:textId="77777777" w:rsidTr="00AA3A77">
        <w:tc>
          <w:tcPr>
            <w:tcW w:w="1089" w:type="pct"/>
          </w:tcPr>
          <w:p w14:paraId="6D626209"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Low income</w:t>
            </w:r>
          </w:p>
        </w:tc>
        <w:tc>
          <w:tcPr>
            <w:tcW w:w="408" w:type="pct"/>
            <w:vAlign w:val="center"/>
          </w:tcPr>
          <w:p w14:paraId="7257DCF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41</w:t>
            </w:r>
          </w:p>
        </w:tc>
        <w:tc>
          <w:tcPr>
            <w:tcW w:w="337" w:type="pct"/>
            <w:vAlign w:val="center"/>
          </w:tcPr>
          <w:p w14:paraId="2FC5E18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23</w:t>
            </w:r>
          </w:p>
        </w:tc>
        <w:tc>
          <w:tcPr>
            <w:tcW w:w="337" w:type="pct"/>
            <w:vAlign w:val="center"/>
          </w:tcPr>
          <w:p w14:paraId="5568D4A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27</w:t>
            </w:r>
          </w:p>
        </w:tc>
        <w:tc>
          <w:tcPr>
            <w:tcW w:w="494" w:type="pct"/>
            <w:vAlign w:val="center"/>
          </w:tcPr>
          <w:p w14:paraId="31B1D1E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27</w:t>
            </w:r>
          </w:p>
        </w:tc>
        <w:tc>
          <w:tcPr>
            <w:tcW w:w="339" w:type="pct"/>
            <w:vAlign w:val="center"/>
          </w:tcPr>
          <w:p w14:paraId="0DCE1AE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49</w:t>
            </w:r>
          </w:p>
        </w:tc>
        <w:tc>
          <w:tcPr>
            <w:tcW w:w="340" w:type="pct"/>
            <w:vAlign w:val="center"/>
          </w:tcPr>
          <w:p w14:paraId="36E9F7A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61</w:t>
            </w:r>
          </w:p>
        </w:tc>
        <w:tc>
          <w:tcPr>
            <w:tcW w:w="489" w:type="pct"/>
            <w:vAlign w:val="center"/>
          </w:tcPr>
          <w:p w14:paraId="48CF0B0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57</w:t>
            </w:r>
          </w:p>
        </w:tc>
        <w:tc>
          <w:tcPr>
            <w:tcW w:w="342" w:type="pct"/>
            <w:vAlign w:val="center"/>
          </w:tcPr>
          <w:p w14:paraId="49E5DB7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29</w:t>
            </w:r>
          </w:p>
        </w:tc>
        <w:tc>
          <w:tcPr>
            <w:tcW w:w="342" w:type="pct"/>
            <w:vAlign w:val="center"/>
          </w:tcPr>
          <w:p w14:paraId="12211D4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12</w:t>
            </w:r>
          </w:p>
        </w:tc>
        <w:tc>
          <w:tcPr>
            <w:tcW w:w="483" w:type="pct"/>
            <w:vAlign w:val="bottom"/>
          </w:tcPr>
          <w:p w14:paraId="1B6C02D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16</w:t>
            </w:r>
          </w:p>
        </w:tc>
      </w:tr>
      <w:tr w:rsidR="00AA3A77" w:rsidRPr="00A06F1E" w14:paraId="16770431" w14:textId="77777777" w:rsidTr="00AA3A77">
        <w:trPr>
          <w:cnfStyle w:val="000000100000" w:firstRow="0" w:lastRow="0" w:firstColumn="0" w:lastColumn="0" w:oddVBand="0" w:evenVBand="0" w:oddHBand="1" w:evenHBand="0" w:firstRowFirstColumn="0" w:firstRowLastColumn="0" w:lastRowFirstColumn="0" w:lastRowLastColumn="0"/>
        </w:trPr>
        <w:tc>
          <w:tcPr>
            <w:tcW w:w="1089" w:type="pct"/>
          </w:tcPr>
          <w:p w14:paraId="05964925" w14:textId="77777777" w:rsidR="00B607BD" w:rsidRPr="00A06F1E" w:rsidRDefault="00B607BD" w:rsidP="00AA3A77">
            <w:pPr>
              <w:pStyle w:val="TableText"/>
              <w:spacing w:before="10" w:after="10"/>
              <w:rPr>
                <w:rFonts w:ascii="Franklin Gothic Book" w:hAnsi="Franklin Gothic Book"/>
                <w:spacing w:val="-4"/>
              </w:rPr>
            </w:pPr>
            <w:r w:rsidRPr="00A06F1E">
              <w:rPr>
                <w:rFonts w:ascii="Franklin Gothic Book" w:hAnsi="Franklin Gothic Book"/>
                <w:spacing w:val="-4"/>
              </w:rPr>
              <w:t>ELs and former ELs</w:t>
            </w:r>
          </w:p>
        </w:tc>
        <w:tc>
          <w:tcPr>
            <w:tcW w:w="408" w:type="pct"/>
            <w:vAlign w:val="center"/>
          </w:tcPr>
          <w:p w14:paraId="7180BDC5" w14:textId="78091B1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72FD2AA5" w14:textId="1061922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7" w:type="pct"/>
            <w:vAlign w:val="center"/>
          </w:tcPr>
          <w:p w14:paraId="7559F459" w14:textId="0A31D18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4" w:type="pct"/>
            <w:vAlign w:val="center"/>
          </w:tcPr>
          <w:p w14:paraId="16FFF6A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14</w:t>
            </w:r>
          </w:p>
        </w:tc>
        <w:tc>
          <w:tcPr>
            <w:tcW w:w="339" w:type="pct"/>
            <w:vAlign w:val="center"/>
          </w:tcPr>
          <w:p w14:paraId="74A5B23D" w14:textId="34408B6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0" w:type="pct"/>
            <w:vAlign w:val="center"/>
          </w:tcPr>
          <w:p w14:paraId="13B3C500" w14:textId="2B2FBF7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9" w:type="pct"/>
            <w:vAlign w:val="center"/>
          </w:tcPr>
          <w:p w14:paraId="729947C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58</w:t>
            </w:r>
          </w:p>
        </w:tc>
        <w:tc>
          <w:tcPr>
            <w:tcW w:w="342" w:type="pct"/>
            <w:vAlign w:val="center"/>
          </w:tcPr>
          <w:p w14:paraId="7D63484C" w14:textId="61D0E6A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2" w:type="pct"/>
            <w:vAlign w:val="center"/>
          </w:tcPr>
          <w:p w14:paraId="64D99600" w14:textId="262EB91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bottom"/>
          </w:tcPr>
          <w:p w14:paraId="0A5C6AB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28</w:t>
            </w:r>
          </w:p>
        </w:tc>
      </w:tr>
      <w:tr w:rsidR="00AA3A77" w:rsidRPr="00A06F1E" w14:paraId="54380DA8" w14:textId="77777777" w:rsidTr="00AA3A77">
        <w:tc>
          <w:tcPr>
            <w:tcW w:w="1089" w:type="pct"/>
          </w:tcPr>
          <w:p w14:paraId="6EE87C21"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Students w/disabilities</w:t>
            </w:r>
          </w:p>
        </w:tc>
        <w:tc>
          <w:tcPr>
            <w:tcW w:w="408" w:type="pct"/>
            <w:vAlign w:val="center"/>
          </w:tcPr>
          <w:p w14:paraId="67EEDDE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25</w:t>
            </w:r>
          </w:p>
        </w:tc>
        <w:tc>
          <w:tcPr>
            <w:tcW w:w="337" w:type="pct"/>
            <w:vAlign w:val="center"/>
          </w:tcPr>
          <w:p w14:paraId="51C3873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0</w:t>
            </w:r>
          </w:p>
        </w:tc>
        <w:tc>
          <w:tcPr>
            <w:tcW w:w="337" w:type="pct"/>
            <w:vAlign w:val="center"/>
          </w:tcPr>
          <w:p w14:paraId="5527077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12</w:t>
            </w:r>
          </w:p>
        </w:tc>
        <w:tc>
          <w:tcPr>
            <w:tcW w:w="494" w:type="pct"/>
            <w:vAlign w:val="center"/>
          </w:tcPr>
          <w:p w14:paraId="5556732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16</w:t>
            </w:r>
          </w:p>
        </w:tc>
        <w:tc>
          <w:tcPr>
            <w:tcW w:w="339" w:type="pct"/>
            <w:vAlign w:val="center"/>
          </w:tcPr>
          <w:p w14:paraId="708CF3A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33</w:t>
            </w:r>
          </w:p>
        </w:tc>
        <w:tc>
          <w:tcPr>
            <w:tcW w:w="340" w:type="pct"/>
            <w:vAlign w:val="center"/>
          </w:tcPr>
          <w:p w14:paraId="6A6C9FB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64</w:t>
            </w:r>
          </w:p>
        </w:tc>
        <w:tc>
          <w:tcPr>
            <w:tcW w:w="489" w:type="pct"/>
            <w:vAlign w:val="center"/>
          </w:tcPr>
          <w:p w14:paraId="6437288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59</w:t>
            </w:r>
          </w:p>
        </w:tc>
        <w:tc>
          <w:tcPr>
            <w:tcW w:w="342" w:type="pct"/>
            <w:vAlign w:val="center"/>
          </w:tcPr>
          <w:p w14:paraId="331AE47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67</w:t>
            </w:r>
          </w:p>
        </w:tc>
        <w:tc>
          <w:tcPr>
            <w:tcW w:w="342" w:type="pct"/>
            <w:vAlign w:val="center"/>
          </w:tcPr>
          <w:p w14:paraId="29BA804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24</w:t>
            </w:r>
          </w:p>
        </w:tc>
        <w:tc>
          <w:tcPr>
            <w:tcW w:w="483" w:type="pct"/>
            <w:vAlign w:val="bottom"/>
          </w:tcPr>
          <w:p w14:paraId="72D799E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25</w:t>
            </w:r>
          </w:p>
        </w:tc>
      </w:tr>
    </w:tbl>
    <w:p w14:paraId="0570BEAD" w14:textId="5C919997" w:rsidR="00B607BD" w:rsidRPr="00A06F1E" w:rsidRDefault="00B607BD" w:rsidP="00B7722D">
      <w:pPr>
        <w:pStyle w:val="TabletitleSectionE"/>
      </w:pPr>
      <w:bookmarkStart w:id="258" w:name="_Toc170701955"/>
      <w:bookmarkStart w:id="259" w:name="_Toc171685792"/>
      <w:r w:rsidRPr="00A06F1E">
        <w:lastRenderedPageBreak/>
        <w:t>Table E5</w:t>
      </w:r>
      <w:r w:rsidR="008D4613">
        <w:t>a</w:t>
      </w:r>
      <w:r w:rsidR="00CE00AC" w:rsidRPr="00A06F1E">
        <w:t>.</w:t>
      </w:r>
      <w:r w:rsidRPr="00A06F1E">
        <w:t xml:space="preserve"> </w:t>
      </w:r>
      <w:r w:rsidR="00CF4F71">
        <w:t>Fisher Hill</w:t>
      </w:r>
      <w:r w:rsidR="00F3532E" w:rsidRPr="00A06F1E">
        <w:t>:</w:t>
      </w:r>
      <w:r w:rsidRPr="00A06F1E">
        <w:t xml:space="preserve"> Next-Generation MCAS Science Achievement by Student Group, Grades 5 and 8, 2022-2023</w:t>
      </w:r>
      <w:bookmarkEnd w:id="258"/>
      <w:bookmarkEnd w:id="259"/>
    </w:p>
    <w:tbl>
      <w:tblPr>
        <w:tblStyle w:val="MSVTable1"/>
        <w:tblW w:w="5003" w:type="pct"/>
        <w:tblLook w:val="0420" w:firstRow="1" w:lastRow="0" w:firstColumn="0" w:lastColumn="0" w:noHBand="0" w:noVBand="1"/>
      </w:tblPr>
      <w:tblGrid>
        <w:gridCol w:w="2844"/>
        <w:gridCol w:w="1065"/>
        <w:gridCol w:w="878"/>
        <w:gridCol w:w="878"/>
        <w:gridCol w:w="1365"/>
        <w:gridCol w:w="894"/>
        <w:gridCol w:w="894"/>
        <w:gridCol w:w="1334"/>
        <w:gridCol w:w="772"/>
        <w:gridCol w:w="772"/>
        <w:gridCol w:w="1256"/>
      </w:tblGrid>
      <w:tr w:rsidR="00B607BD" w:rsidRPr="00A06F1E" w14:paraId="014CD26D"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1098" w:type="pct"/>
            <w:vMerge w:val="restart"/>
            <w:vAlign w:val="center"/>
          </w:tcPr>
          <w:p w14:paraId="514FA1C1" w14:textId="77777777" w:rsidR="00B607BD" w:rsidRPr="00A06F1E" w:rsidRDefault="00B607BD" w:rsidP="00AA3A77">
            <w:pPr>
              <w:pStyle w:val="TableColHeadingLeft"/>
              <w:spacing w:before="10" w:after="10"/>
              <w:jc w:val="center"/>
            </w:pPr>
            <w:r w:rsidRPr="00A06F1E">
              <w:t>Group</w:t>
            </w:r>
          </w:p>
        </w:tc>
        <w:tc>
          <w:tcPr>
            <w:tcW w:w="411" w:type="pct"/>
            <w:vMerge w:val="restart"/>
            <w:vAlign w:val="center"/>
          </w:tcPr>
          <w:p w14:paraId="76FD37B6" w14:textId="419B940A" w:rsidR="00B607BD" w:rsidRPr="00A06F1E" w:rsidRDefault="00B607BD" w:rsidP="00AA3A77">
            <w:pPr>
              <w:pStyle w:val="TableColHeadingCenter"/>
              <w:spacing w:before="10" w:after="10"/>
            </w:pPr>
            <w:r w:rsidRPr="00A06F1E">
              <w:t xml:space="preserve"># </w:t>
            </w:r>
            <w:r w:rsidR="004669DD" w:rsidRPr="00A06F1E">
              <w:t>i</w:t>
            </w:r>
            <w:r w:rsidRPr="00A06F1E">
              <w:t>ncluded (2023)</w:t>
            </w:r>
          </w:p>
        </w:tc>
        <w:tc>
          <w:tcPr>
            <w:tcW w:w="1205" w:type="pct"/>
            <w:gridSpan w:val="3"/>
            <w:vAlign w:val="bottom"/>
          </w:tcPr>
          <w:p w14:paraId="6B4F2FB6" w14:textId="088B2B0A" w:rsidR="00B607BD" w:rsidRPr="00A06F1E" w:rsidRDefault="00A228CB" w:rsidP="00AA3A77">
            <w:pPr>
              <w:pStyle w:val="TableColHeadingCenter"/>
              <w:spacing w:before="10" w:after="10"/>
            </w:pPr>
            <w:r w:rsidRPr="00A06F1E">
              <w:t>Percentage</w:t>
            </w:r>
            <w:r w:rsidR="00B607BD" w:rsidRPr="00A06F1E">
              <w:t xml:space="preserve"> meeting or exceeding expectations</w:t>
            </w:r>
          </w:p>
        </w:tc>
        <w:tc>
          <w:tcPr>
            <w:tcW w:w="1205" w:type="pct"/>
            <w:gridSpan w:val="3"/>
            <w:vAlign w:val="center"/>
          </w:tcPr>
          <w:p w14:paraId="57E636DA" w14:textId="5DFEC538" w:rsidR="00B607BD" w:rsidRPr="00A06F1E" w:rsidRDefault="00A228CB" w:rsidP="00AA3A77">
            <w:pPr>
              <w:pStyle w:val="TableColHeadingCenter"/>
              <w:spacing w:before="10" w:after="10"/>
            </w:pPr>
            <w:r w:rsidRPr="00A06F1E">
              <w:t>Percentage</w:t>
            </w:r>
            <w:r w:rsidR="00B607BD" w:rsidRPr="00A06F1E">
              <w:t xml:space="preserve"> partially meeting expectations</w:t>
            </w:r>
          </w:p>
        </w:tc>
        <w:tc>
          <w:tcPr>
            <w:tcW w:w="1081" w:type="pct"/>
            <w:gridSpan w:val="3"/>
            <w:vAlign w:val="center"/>
          </w:tcPr>
          <w:p w14:paraId="35D32C07" w14:textId="11E0E417" w:rsidR="00B607BD" w:rsidRPr="00A06F1E" w:rsidRDefault="00A228CB" w:rsidP="00AA3A77">
            <w:pPr>
              <w:pStyle w:val="TableColHeadingCenter"/>
              <w:spacing w:before="10" w:after="10"/>
            </w:pPr>
            <w:r w:rsidRPr="00A06F1E">
              <w:t>Percentage</w:t>
            </w:r>
            <w:r w:rsidR="00B607BD" w:rsidRPr="00A06F1E">
              <w:t xml:space="preserve"> not meeting expectations</w:t>
            </w:r>
          </w:p>
        </w:tc>
      </w:tr>
      <w:tr w:rsidR="00AA3A77" w:rsidRPr="00A06F1E" w14:paraId="5A90E687"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1098" w:type="pct"/>
            <w:vMerge/>
            <w:vAlign w:val="bottom"/>
          </w:tcPr>
          <w:p w14:paraId="7B3156D1" w14:textId="77777777" w:rsidR="00B607BD" w:rsidRPr="00A06F1E" w:rsidRDefault="00B607BD" w:rsidP="00AA3A77">
            <w:pPr>
              <w:pStyle w:val="TableColHeadingCenter"/>
              <w:spacing w:before="10" w:after="10"/>
            </w:pPr>
          </w:p>
        </w:tc>
        <w:tc>
          <w:tcPr>
            <w:tcW w:w="411" w:type="pct"/>
            <w:vMerge/>
            <w:vAlign w:val="bottom"/>
          </w:tcPr>
          <w:p w14:paraId="2EDC8B1C" w14:textId="77777777" w:rsidR="00B607BD" w:rsidRPr="00A06F1E" w:rsidRDefault="00B607BD" w:rsidP="00AA3A77">
            <w:pPr>
              <w:pStyle w:val="TableColHeadingCenter"/>
              <w:spacing w:before="10" w:after="10"/>
            </w:pPr>
          </w:p>
        </w:tc>
        <w:tc>
          <w:tcPr>
            <w:tcW w:w="339" w:type="pct"/>
            <w:vAlign w:val="center"/>
          </w:tcPr>
          <w:p w14:paraId="5DD187DD" w14:textId="77777777" w:rsidR="00B607BD" w:rsidRPr="00A06F1E" w:rsidRDefault="00B607BD" w:rsidP="00AA3A77">
            <w:pPr>
              <w:pStyle w:val="TableColHeadingCenter"/>
              <w:spacing w:before="10" w:after="10"/>
            </w:pPr>
            <w:r w:rsidRPr="00A06F1E">
              <w:t>2022</w:t>
            </w:r>
          </w:p>
        </w:tc>
        <w:tc>
          <w:tcPr>
            <w:tcW w:w="339" w:type="pct"/>
            <w:vAlign w:val="center"/>
          </w:tcPr>
          <w:p w14:paraId="4A560931" w14:textId="77777777" w:rsidR="00B607BD" w:rsidRPr="00A06F1E" w:rsidRDefault="00B607BD" w:rsidP="00AA3A77">
            <w:pPr>
              <w:pStyle w:val="TableColHeadingCenter"/>
              <w:spacing w:before="10" w:after="10"/>
            </w:pPr>
            <w:r w:rsidRPr="00A06F1E">
              <w:t>2023</w:t>
            </w:r>
          </w:p>
        </w:tc>
        <w:tc>
          <w:tcPr>
            <w:tcW w:w="527" w:type="pct"/>
            <w:vAlign w:val="center"/>
          </w:tcPr>
          <w:p w14:paraId="61AB89D2" w14:textId="77777777" w:rsidR="00B607BD" w:rsidRPr="00A06F1E" w:rsidRDefault="00B607BD" w:rsidP="00AA3A77">
            <w:pPr>
              <w:pStyle w:val="TableColHeadingCenter"/>
              <w:spacing w:before="10" w:after="10"/>
            </w:pPr>
            <w:r w:rsidRPr="00A06F1E">
              <w:t>State (2023)</w:t>
            </w:r>
          </w:p>
        </w:tc>
        <w:tc>
          <w:tcPr>
            <w:tcW w:w="345" w:type="pct"/>
            <w:vAlign w:val="center"/>
          </w:tcPr>
          <w:p w14:paraId="0CD32225" w14:textId="77777777" w:rsidR="00B607BD" w:rsidRPr="00A06F1E" w:rsidRDefault="00B607BD" w:rsidP="00AA3A77">
            <w:pPr>
              <w:pStyle w:val="TableColHeadingCenter"/>
              <w:spacing w:before="10" w:after="10"/>
            </w:pPr>
            <w:r w:rsidRPr="00A06F1E">
              <w:t>2022</w:t>
            </w:r>
          </w:p>
        </w:tc>
        <w:tc>
          <w:tcPr>
            <w:tcW w:w="345" w:type="pct"/>
            <w:vAlign w:val="center"/>
          </w:tcPr>
          <w:p w14:paraId="1AD1ABA7" w14:textId="77777777" w:rsidR="00B607BD" w:rsidRPr="00A06F1E" w:rsidRDefault="00B607BD" w:rsidP="00AA3A77">
            <w:pPr>
              <w:pStyle w:val="TableColHeadingCenter"/>
              <w:spacing w:before="10" w:after="10"/>
            </w:pPr>
            <w:r w:rsidRPr="00A06F1E">
              <w:t>2023</w:t>
            </w:r>
          </w:p>
        </w:tc>
        <w:tc>
          <w:tcPr>
            <w:tcW w:w="515" w:type="pct"/>
            <w:vAlign w:val="center"/>
          </w:tcPr>
          <w:p w14:paraId="78B2E0B5" w14:textId="77777777" w:rsidR="00B607BD" w:rsidRPr="00A06F1E" w:rsidRDefault="00B607BD" w:rsidP="00AA3A77">
            <w:pPr>
              <w:pStyle w:val="TableColHeadingCenter"/>
              <w:spacing w:before="10" w:after="10"/>
            </w:pPr>
            <w:r w:rsidRPr="00A06F1E">
              <w:t>State (2023)</w:t>
            </w:r>
          </w:p>
        </w:tc>
        <w:tc>
          <w:tcPr>
            <w:tcW w:w="298" w:type="pct"/>
            <w:vAlign w:val="center"/>
          </w:tcPr>
          <w:p w14:paraId="0163850E" w14:textId="77777777" w:rsidR="00B607BD" w:rsidRPr="00A06F1E" w:rsidRDefault="00B607BD" w:rsidP="00AA3A77">
            <w:pPr>
              <w:pStyle w:val="TableColHeadingCenter"/>
              <w:spacing w:before="10" w:after="10"/>
            </w:pPr>
            <w:r w:rsidRPr="00A06F1E">
              <w:t>2022</w:t>
            </w:r>
          </w:p>
        </w:tc>
        <w:tc>
          <w:tcPr>
            <w:tcW w:w="298" w:type="pct"/>
            <w:vAlign w:val="center"/>
          </w:tcPr>
          <w:p w14:paraId="61F422F4" w14:textId="77777777" w:rsidR="00B607BD" w:rsidRPr="00A06F1E" w:rsidRDefault="00B607BD" w:rsidP="00AA3A77">
            <w:pPr>
              <w:pStyle w:val="TableColHeadingCenter"/>
              <w:spacing w:before="10" w:after="10"/>
            </w:pPr>
            <w:r w:rsidRPr="00A06F1E">
              <w:t>2023</w:t>
            </w:r>
          </w:p>
        </w:tc>
        <w:tc>
          <w:tcPr>
            <w:tcW w:w="484" w:type="pct"/>
            <w:vAlign w:val="center"/>
          </w:tcPr>
          <w:p w14:paraId="6DEDE5AC" w14:textId="77777777" w:rsidR="00B607BD" w:rsidRPr="00A06F1E" w:rsidRDefault="00B607BD" w:rsidP="00AA3A77">
            <w:pPr>
              <w:pStyle w:val="TableColHeadingCenter"/>
              <w:spacing w:before="10" w:after="10"/>
            </w:pPr>
            <w:r w:rsidRPr="00A06F1E">
              <w:t>State (2023)</w:t>
            </w:r>
          </w:p>
        </w:tc>
      </w:tr>
      <w:tr w:rsidR="00AA3A77" w:rsidRPr="00A06F1E" w14:paraId="5CC6B772" w14:textId="77777777" w:rsidTr="006D2709">
        <w:trPr>
          <w:cnfStyle w:val="000000100000" w:firstRow="0" w:lastRow="0" w:firstColumn="0" w:lastColumn="0" w:oddVBand="0" w:evenVBand="0" w:oddHBand="1" w:evenHBand="0" w:firstRowFirstColumn="0" w:firstRowLastColumn="0" w:lastRowFirstColumn="0" w:lastRowLastColumn="0"/>
        </w:trPr>
        <w:tc>
          <w:tcPr>
            <w:tcW w:w="1098" w:type="pct"/>
          </w:tcPr>
          <w:p w14:paraId="03E8AA61"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All</w:t>
            </w:r>
          </w:p>
        </w:tc>
        <w:tc>
          <w:tcPr>
            <w:tcW w:w="411" w:type="pct"/>
          </w:tcPr>
          <w:p w14:paraId="0FDCFCD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70</w:t>
            </w:r>
          </w:p>
        </w:tc>
        <w:tc>
          <w:tcPr>
            <w:tcW w:w="339" w:type="pct"/>
          </w:tcPr>
          <w:p w14:paraId="2BDCA76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9</w:t>
            </w:r>
          </w:p>
        </w:tc>
        <w:tc>
          <w:tcPr>
            <w:tcW w:w="339" w:type="pct"/>
          </w:tcPr>
          <w:p w14:paraId="4B0E4E4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20</w:t>
            </w:r>
          </w:p>
        </w:tc>
        <w:tc>
          <w:tcPr>
            <w:tcW w:w="527" w:type="pct"/>
          </w:tcPr>
          <w:p w14:paraId="7EDE581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41</w:t>
            </w:r>
          </w:p>
        </w:tc>
        <w:tc>
          <w:tcPr>
            <w:tcW w:w="345" w:type="pct"/>
          </w:tcPr>
          <w:p w14:paraId="32E6DAE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44</w:t>
            </w:r>
          </w:p>
        </w:tc>
        <w:tc>
          <w:tcPr>
            <w:tcW w:w="345" w:type="pct"/>
          </w:tcPr>
          <w:p w14:paraId="5D679FE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43</w:t>
            </w:r>
          </w:p>
        </w:tc>
        <w:tc>
          <w:tcPr>
            <w:tcW w:w="515" w:type="pct"/>
          </w:tcPr>
          <w:p w14:paraId="6B6E93F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40</w:t>
            </w:r>
          </w:p>
        </w:tc>
        <w:tc>
          <w:tcPr>
            <w:tcW w:w="298" w:type="pct"/>
          </w:tcPr>
          <w:p w14:paraId="0C307C2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47</w:t>
            </w:r>
          </w:p>
        </w:tc>
        <w:tc>
          <w:tcPr>
            <w:tcW w:w="298" w:type="pct"/>
          </w:tcPr>
          <w:p w14:paraId="3B168D0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37</w:t>
            </w:r>
          </w:p>
        </w:tc>
        <w:tc>
          <w:tcPr>
            <w:tcW w:w="484" w:type="pct"/>
          </w:tcPr>
          <w:p w14:paraId="6B2DF2C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19</w:t>
            </w:r>
          </w:p>
        </w:tc>
      </w:tr>
      <w:tr w:rsidR="00AA3A77" w:rsidRPr="00A06F1E" w14:paraId="6AEA37ED" w14:textId="77777777" w:rsidTr="006D2709">
        <w:tc>
          <w:tcPr>
            <w:tcW w:w="1098" w:type="pct"/>
          </w:tcPr>
          <w:p w14:paraId="4E786874"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African American/Black</w:t>
            </w:r>
          </w:p>
        </w:tc>
        <w:tc>
          <w:tcPr>
            <w:tcW w:w="411" w:type="pct"/>
          </w:tcPr>
          <w:p w14:paraId="7C4C1463" w14:textId="7B9B0BA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9" w:type="pct"/>
          </w:tcPr>
          <w:p w14:paraId="0DB70989" w14:textId="061B534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9" w:type="pct"/>
          </w:tcPr>
          <w:p w14:paraId="41F59214" w14:textId="6156681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527" w:type="pct"/>
          </w:tcPr>
          <w:p w14:paraId="04F1E3C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21</w:t>
            </w:r>
          </w:p>
        </w:tc>
        <w:tc>
          <w:tcPr>
            <w:tcW w:w="345" w:type="pct"/>
          </w:tcPr>
          <w:p w14:paraId="4EBC3351" w14:textId="4AE41505"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5" w:type="pct"/>
          </w:tcPr>
          <w:p w14:paraId="25098517" w14:textId="2B07326A"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515" w:type="pct"/>
          </w:tcPr>
          <w:p w14:paraId="794394F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47</w:t>
            </w:r>
          </w:p>
        </w:tc>
        <w:tc>
          <w:tcPr>
            <w:tcW w:w="298" w:type="pct"/>
          </w:tcPr>
          <w:p w14:paraId="30B62710" w14:textId="4E25DEEE"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98" w:type="pct"/>
          </w:tcPr>
          <w:p w14:paraId="57056328" w14:textId="1DE622C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4" w:type="pct"/>
          </w:tcPr>
          <w:p w14:paraId="04B9E74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32</w:t>
            </w:r>
          </w:p>
        </w:tc>
      </w:tr>
      <w:tr w:rsidR="00AA3A77" w:rsidRPr="00A06F1E" w14:paraId="7585225B" w14:textId="77777777" w:rsidTr="006D2709">
        <w:trPr>
          <w:cnfStyle w:val="000000100000" w:firstRow="0" w:lastRow="0" w:firstColumn="0" w:lastColumn="0" w:oddVBand="0" w:evenVBand="0" w:oddHBand="1" w:evenHBand="0" w:firstRowFirstColumn="0" w:firstRowLastColumn="0" w:lastRowFirstColumn="0" w:lastRowLastColumn="0"/>
        </w:trPr>
        <w:tc>
          <w:tcPr>
            <w:tcW w:w="1098" w:type="pct"/>
          </w:tcPr>
          <w:p w14:paraId="36707496"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Asian</w:t>
            </w:r>
          </w:p>
        </w:tc>
        <w:tc>
          <w:tcPr>
            <w:tcW w:w="411" w:type="pct"/>
          </w:tcPr>
          <w:p w14:paraId="13357124" w14:textId="20D22A9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9" w:type="pct"/>
          </w:tcPr>
          <w:p w14:paraId="044232F8" w14:textId="39B83F4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9" w:type="pct"/>
          </w:tcPr>
          <w:p w14:paraId="7AAA131B" w14:textId="6C5FE2D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527" w:type="pct"/>
          </w:tcPr>
          <w:p w14:paraId="69ABE9C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65</w:t>
            </w:r>
          </w:p>
        </w:tc>
        <w:tc>
          <w:tcPr>
            <w:tcW w:w="345" w:type="pct"/>
          </w:tcPr>
          <w:p w14:paraId="0334FBAC" w14:textId="358DB1AA"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5" w:type="pct"/>
          </w:tcPr>
          <w:p w14:paraId="22A7B0AE" w14:textId="17E587B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515" w:type="pct"/>
          </w:tcPr>
          <w:p w14:paraId="1631C9B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27</w:t>
            </w:r>
          </w:p>
        </w:tc>
        <w:tc>
          <w:tcPr>
            <w:tcW w:w="298" w:type="pct"/>
          </w:tcPr>
          <w:p w14:paraId="0F1485C4" w14:textId="5B948A3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98" w:type="pct"/>
          </w:tcPr>
          <w:p w14:paraId="215C7597" w14:textId="6C86464D"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4" w:type="pct"/>
          </w:tcPr>
          <w:p w14:paraId="7317DCF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8</w:t>
            </w:r>
          </w:p>
        </w:tc>
      </w:tr>
      <w:tr w:rsidR="00AA3A77" w:rsidRPr="00A06F1E" w14:paraId="0928A51F" w14:textId="77777777" w:rsidTr="006D2709">
        <w:tc>
          <w:tcPr>
            <w:tcW w:w="1098" w:type="pct"/>
          </w:tcPr>
          <w:p w14:paraId="0F83FE77"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Hispanic/Latino</w:t>
            </w:r>
          </w:p>
        </w:tc>
        <w:tc>
          <w:tcPr>
            <w:tcW w:w="411" w:type="pct"/>
          </w:tcPr>
          <w:p w14:paraId="55C5C304" w14:textId="7643E34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9" w:type="pct"/>
          </w:tcPr>
          <w:p w14:paraId="1ED75B9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0</w:t>
            </w:r>
          </w:p>
        </w:tc>
        <w:tc>
          <w:tcPr>
            <w:tcW w:w="339" w:type="pct"/>
          </w:tcPr>
          <w:p w14:paraId="46E1F30B" w14:textId="2572AC1A"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527" w:type="pct"/>
          </w:tcPr>
          <w:p w14:paraId="6535CD8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20</w:t>
            </w:r>
          </w:p>
        </w:tc>
        <w:tc>
          <w:tcPr>
            <w:tcW w:w="345" w:type="pct"/>
          </w:tcPr>
          <w:p w14:paraId="5C19A5E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20</w:t>
            </w:r>
          </w:p>
        </w:tc>
        <w:tc>
          <w:tcPr>
            <w:tcW w:w="345" w:type="pct"/>
          </w:tcPr>
          <w:p w14:paraId="5EFE792A" w14:textId="3B4139C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515" w:type="pct"/>
          </w:tcPr>
          <w:p w14:paraId="637B2FD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45</w:t>
            </w:r>
          </w:p>
        </w:tc>
        <w:tc>
          <w:tcPr>
            <w:tcW w:w="298" w:type="pct"/>
          </w:tcPr>
          <w:p w14:paraId="07E69D4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80</w:t>
            </w:r>
          </w:p>
        </w:tc>
        <w:tc>
          <w:tcPr>
            <w:tcW w:w="298" w:type="pct"/>
          </w:tcPr>
          <w:p w14:paraId="352B73CC" w14:textId="5052B3C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4" w:type="pct"/>
          </w:tcPr>
          <w:p w14:paraId="5F0620E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35</w:t>
            </w:r>
          </w:p>
        </w:tc>
      </w:tr>
      <w:tr w:rsidR="00AA3A77" w:rsidRPr="00A06F1E" w14:paraId="1520BC3C" w14:textId="77777777" w:rsidTr="006D2709">
        <w:trPr>
          <w:cnfStyle w:val="000000100000" w:firstRow="0" w:lastRow="0" w:firstColumn="0" w:lastColumn="0" w:oddVBand="0" w:evenVBand="0" w:oddHBand="1" w:evenHBand="0" w:firstRowFirstColumn="0" w:firstRowLastColumn="0" w:lastRowFirstColumn="0" w:lastRowLastColumn="0"/>
        </w:trPr>
        <w:tc>
          <w:tcPr>
            <w:tcW w:w="1098" w:type="pct"/>
          </w:tcPr>
          <w:p w14:paraId="77534504"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cstheme="minorHAnsi"/>
              </w:rPr>
              <w:t>Multi-Race, non-Hispanic/Latino</w:t>
            </w:r>
          </w:p>
        </w:tc>
        <w:tc>
          <w:tcPr>
            <w:tcW w:w="411" w:type="pct"/>
          </w:tcPr>
          <w:p w14:paraId="508B917B" w14:textId="0FC7B861"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9" w:type="pct"/>
          </w:tcPr>
          <w:p w14:paraId="1558EC3C" w14:textId="7BF927F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9" w:type="pct"/>
          </w:tcPr>
          <w:p w14:paraId="0F6B7764" w14:textId="207F40EB"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527" w:type="pct"/>
          </w:tcPr>
          <w:p w14:paraId="28CFF6A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47</w:t>
            </w:r>
          </w:p>
        </w:tc>
        <w:tc>
          <w:tcPr>
            <w:tcW w:w="345" w:type="pct"/>
          </w:tcPr>
          <w:p w14:paraId="4D35DE13" w14:textId="4CEA398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5" w:type="pct"/>
          </w:tcPr>
          <w:p w14:paraId="26955958" w14:textId="50ADFF2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515" w:type="pct"/>
          </w:tcPr>
          <w:p w14:paraId="4A9141A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37</w:t>
            </w:r>
          </w:p>
        </w:tc>
        <w:tc>
          <w:tcPr>
            <w:tcW w:w="298" w:type="pct"/>
          </w:tcPr>
          <w:p w14:paraId="4190CF2E" w14:textId="3E2278D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98" w:type="pct"/>
          </w:tcPr>
          <w:p w14:paraId="6B68E8EE" w14:textId="4B820195"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4" w:type="pct"/>
          </w:tcPr>
          <w:p w14:paraId="32BCEEC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15</w:t>
            </w:r>
          </w:p>
        </w:tc>
      </w:tr>
      <w:tr w:rsidR="00AA3A77" w:rsidRPr="00A06F1E" w14:paraId="43FE8EB7" w14:textId="77777777" w:rsidTr="006D2709">
        <w:tc>
          <w:tcPr>
            <w:tcW w:w="1098" w:type="pct"/>
          </w:tcPr>
          <w:p w14:paraId="23E1F3E9"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Native American</w:t>
            </w:r>
          </w:p>
        </w:tc>
        <w:tc>
          <w:tcPr>
            <w:tcW w:w="411" w:type="pct"/>
          </w:tcPr>
          <w:p w14:paraId="2E56E845" w14:textId="55837D2E"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9" w:type="pct"/>
          </w:tcPr>
          <w:p w14:paraId="57196280" w14:textId="3066359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9" w:type="pct"/>
          </w:tcPr>
          <w:p w14:paraId="03E4B4A0" w14:textId="5C21A5B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527" w:type="pct"/>
          </w:tcPr>
          <w:p w14:paraId="77F215B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31</w:t>
            </w:r>
          </w:p>
        </w:tc>
        <w:tc>
          <w:tcPr>
            <w:tcW w:w="345" w:type="pct"/>
          </w:tcPr>
          <w:p w14:paraId="1D382B82" w14:textId="11DF0D2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5" w:type="pct"/>
          </w:tcPr>
          <w:p w14:paraId="0EE9D0DA" w14:textId="3507BF4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515" w:type="pct"/>
          </w:tcPr>
          <w:p w14:paraId="3AFDFEA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44</w:t>
            </w:r>
          </w:p>
        </w:tc>
        <w:tc>
          <w:tcPr>
            <w:tcW w:w="298" w:type="pct"/>
          </w:tcPr>
          <w:p w14:paraId="3D1E529C" w14:textId="0541A5D1"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98" w:type="pct"/>
          </w:tcPr>
          <w:p w14:paraId="4F5408A2" w14:textId="4282FE0B"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4" w:type="pct"/>
          </w:tcPr>
          <w:p w14:paraId="65DC002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25</w:t>
            </w:r>
          </w:p>
        </w:tc>
      </w:tr>
      <w:tr w:rsidR="00AA3A77" w:rsidRPr="00A06F1E" w14:paraId="7338BF46" w14:textId="77777777" w:rsidTr="006D2709">
        <w:trPr>
          <w:cnfStyle w:val="000000100000" w:firstRow="0" w:lastRow="0" w:firstColumn="0" w:lastColumn="0" w:oddVBand="0" w:evenVBand="0" w:oddHBand="1" w:evenHBand="0" w:firstRowFirstColumn="0" w:firstRowLastColumn="0" w:lastRowFirstColumn="0" w:lastRowLastColumn="0"/>
        </w:trPr>
        <w:tc>
          <w:tcPr>
            <w:tcW w:w="1098" w:type="pct"/>
          </w:tcPr>
          <w:p w14:paraId="17B5E550" w14:textId="77777777" w:rsidR="00B607BD" w:rsidRPr="00A06F1E" w:rsidRDefault="00B607BD" w:rsidP="00AA3A77">
            <w:pPr>
              <w:pStyle w:val="TableText"/>
              <w:spacing w:before="10" w:after="10"/>
              <w:rPr>
                <w:rFonts w:ascii="Franklin Gothic Book" w:hAnsi="Franklin Gothic Book"/>
                <w:spacing w:val="-4"/>
              </w:rPr>
            </w:pPr>
            <w:r w:rsidRPr="00A06F1E">
              <w:rPr>
                <w:rFonts w:ascii="Franklin Gothic Book" w:hAnsi="Franklin Gothic Book"/>
                <w:spacing w:val="-4"/>
              </w:rPr>
              <w:t>Native Hawaiian, Pacific Islander</w:t>
            </w:r>
          </w:p>
        </w:tc>
        <w:tc>
          <w:tcPr>
            <w:tcW w:w="411" w:type="pct"/>
          </w:tcPr>
          <w:p w14:paraId="382AF7F1" w14:textId="3658D1E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9" w:type="pct"/>
          </w:tcPr>
          <w:p w14:paraId="6376B622" w14:textId="08793F9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9" w:type="pct"/>
          </w:tcPr>
          <w:p w14:paraId="5C363188" w14:textId="2E89784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527" w:type="pct"/>
          </w:tcPr>
          <w:p w14:paraId="26171FE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43</w:t>
            </w:r>
          </w:p>
        </w:tc>
        <w:tc>
          <w:tcPr>
            <w:tcW w:w="345" w:type="pct"/>
          </w:tcPr>
          <w:p w14:paraId="603081B1" w14:textId="6AD8B96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5" w:type="pct"/>
          </w:tcPr>
          <w:p w14:paraId="3FEC3ECA" w14:textId="174E5ED2"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515" w:type="pct"/>
          </w:tcPr>
          <w:p w14:paraId="65319CE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41</w:t>
            </w:r>
          </w:p>
        </w:tc>
        <w:tc>
          <w:tcPr>
            <w:tcW w:w="298" w:type="pct"/>
          </w:tcPr>
          <w:p w14:paraId="3B5D3BBC" w14:textId="3498580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98" w:type="pct"/>
          </w:tcPr>
          <w:p w14:paraId="02C971C5" w14:textId="5377130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4" w:type="pct"/>
          </w:tcPr>
          <w:p w14:paraId="051E373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16</w:t>
            </w:r>
          </w:p>
        </w:tc>
      </w:tr>
      <w:tr w:rsidR="00AA3A77" w:rsidRPr="00A06F1E" w14:paraId="6C9F0197" w14:textId="77777777" w:rsidTr="006D2709">
        <w:tc>
          <w:tcPr>
            <w:tcW w:w="1098" w:type="pct"/>
          </w:tcPr>
          <w:p w14:paraId="630EDB27"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White</w:t>
            </w:r>
          </w:p>
        </w:tc>
        <w:tc>
          <w:tcPr>
            <w:tcW w:w="411" w:type="pct"/>
          </w:tcPr>
          <w:p w14:paraId="4BFA461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57</w:t>
            </w:r>
          </w:p>
        </w:tc>
        <w:tc>
          <w:tcPr>
            <w:tcW w:w="339" w:type="pct"/>
          </w:tcPr>
          <w:p w14:paraId="5B60329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10</w:t>
            </w:r>
          </w:p>
        </w:tc>
        <w:tc>
          <w:tcPr>
            <w:tcW w:w="339" w:type="pct"/>
          </w:tcPr>
          <w:p w14:paraId="1482320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16</w:t>
            </w:r>
          </w:p>
        </w:tc>
        <w:tc>
          <w:tcPr>
            <w:tcW w:w="527" w:type="pct"/>
          </w:tcPr>
          <w:p w14:paraId="61C55E6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50</w:t>
            </w:r>
          </w:p>
        </w:tc>
        <w:tc>
          <w:tcPr>
            <w:tcW w:w="345" w:type="pct"/>
          </w:tcPr>
          <w:p w14:paraId="6BC4646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48</w:t>
            </w:r>
          </w:p>
        </w:tc>
        <w:tc>
          <w:tcPr>
            <w:tcW w:w="345" w:type="pct"/>
          </w:tcPr>
          <w:p w14:paraId="684D617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44</w:t>
            </w:r>
          </w:p>
        </w:tc>
        <w:tc>
          <w:tcPr>
            <w:tcW w:w="515" w:type="pct"/>
          </w:tcPr>
          <w:p w14:paraId="7BA20C1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38</w:t>
            </w:r>
          </w:p>
        </w:tc>
        <w:tc>
          <w:tcPr>
            <w:tcW w:w="298" w:type="pct"/>
          </w:tcPr>
          <w:p w14:paraId="12B6CF1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41</w:t>
            </w:r>
          </w:p>
        </w:tc>
        <w:tc>
          <w:tcPr>
            <w:tcW w:w="298" w:type="pct"/>
          </w:tcPr>
          <w:p w14:paraId="0A3334D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40</w:t>
            </w:r>
          </w:p>
        </w:tc>
        <w:tc>
          <w:tcPr>
            <w:tcW w:w="484" w:type="pct"/>
          </w:tcPr>
          <w:p w14:paraId="697FF32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11</w:t>
            </w:r>
          </w:p>
        </w:tc>
      </w:tr>
      <w:tr w:rsidR="00AA3A77" w:rsidRPr="00A06F1E" w14:paraId="50178F1B" w14:textId="77777777" w:rsidTr="006D2709">
        <w:trPr>
          <w:cnfStyle w:val="000000100000" w:firstRow="0" w:lastRow="0" w:firstColumn="0" w:lastColumn="0" w:oddVBand="0" w:evenVBand="0" w:oddHBand="1" w:evenHBand="0" w:firstRowFirstColumn="0" w:firstRowLastColumn="0" w:lastRowFirstColumn="0" w:lastRowLastColumn="0"/>
        </w:trPr>
        <w:tc>
          <w:tcPr>
            <w:tcW w:w="1098" w:type="pct"/>
          </w:tcPr>
          <w:p w14:paraId="2B0CFE6F"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High needs</w:t>
            </w:r>
          </w:p>
        </w:tc>
        <w:tc>
          <w:tcPr>
            <w:tcW w:w="411" w:type="pct"/>
          </w:tcPr>
          <w:p w14:paraId="2C89B67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57</w:t>
            </w:r>
          </w:p>
        </w:tc>
        <w:tc>
          <w:tcPr>
            <w:tcW w:w="339" w:type="pct"/>
          </w:tcPr>
          <w:p w14:paraId="3A2A2B1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w:t>
            </w:r>
          </w:p>
        </w:tc>
        <w:tc>
          <w:tcPr>
            <w:tcW w:w="339" w:type="pct"/>
          </w:tcPr>
          <w:p w14:paraId="7EC47AE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16</w:t>
            </w:r>
          </w:p>
        </w:tc>
        <w:tc>
          <w:tcPr>
            <w:tcW w:w="527" w:type="pct"/>
          </w:tcPr>
          <w:p w14:paraId="52ABF6C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23</w:t>
            </w:r>
          </w:p>
        </w:tc>
        <w:tc>
          <w:tcPr>
            <w:tcW w:w="345" w:type="pct"/>
          </w:tcPr>
          <w:p w14:paraId="2A277B6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42</w:t>
            </w:r>
          </w:p>
        </w:tc>
        <w:tc>
          <w:tcPr>
            <w:tcW w:w="345" w:type="pct"/>
          </w:tcPr>
          <w:p w14:paraId="47B6C87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42</w:t>
            </w:r>
          </w:p>
        </w:tc>
        <w:tc>
          <w:tcPr>
            <w:tcW w:w="515" w:type="pct"/>
          </w:tcPr>
          <w:p w14:paraId="4A36064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46</w:t>
            </w:r>
          </w:p>
        </w:tc>
        <w:tc>
          <w:tcPr>
            <w:tcW w:w="298" w:type="pct"/>
          </w:tcPr>
          <w:p w14:paraId="159AB0D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53</w:t>
            </w:r>
          </w:p>
        </w:tc>
        <w:tc>
          <w:tcPr>
            <w:tcW w:w="298" w:type="pct"/>
          </w:tcPr>
          <w:p w14:paraId="6A7F486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42</w:t>
            </w:r>
          </w:p>
        </w:tc>
        <w:tc>
          <w:tcPr>
            <w:tcW w:w="484" w:type="pct"/>
          </w:tcPr>
          <w:p w14:paraId="3008790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31</w:t>
            </w:r>
          </w:p>
        </w:tc>
      </w:tr>
      <w:tr w:rsidR="00AA3A77" w:rsidRPr="00A06F1E" w14:paraId="47EA809B" w14:textId="77777777" w:rsidTr="006D2709">
        <w:tc>
          <w:tcPr>
            <w:tcW w:w="1098" w:type="pct"/>
          </w:tcPr>
          <w:p w14:paraId="32D9D3EE"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Low income</w:t>
            </w:r>
          </w:p>
        </w:tc>
        <w:tc>
          <w:tcPr>
            <w:tcW w:w="411" w:type="pct"/>
          </w:tcPr>
          <w:p w14:paraId="69A4121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51</w:t>
            </w:r>
          </w:p>
        </w:tc>
        <w:tc>
          <w:tcPr>
            <w:tcW w:w="339" w:type="pct"/>
          </w:tcPr>
          <w:p w14:paraId="5658261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w:t>
            </w:r>
          </w:p>
        </w:tc>
        <w:tc>
          <w:tcPr>
            <w:tcW w:w="339" w:type="pct"/>
          </w:tcPr>
          <w:p w14:paraId="0EBA6A1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18</w:t>
            </w:r>
          </w:p>
        </w:tc>
        <w:tc>
          <w:tcPr>
            <w:tcW w:w="527" w:type="pct"/>
          </w:tcPr>
          <w:p w14:paraId="2083F7F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22</w:t>
            </w:r>
          </w:p>
        </w:tc>
        <w:tc>
          <w:tcPr>
            <w:tcW w:w="345" w:type="pct"/>
          </w:tcPr>
          <w:p w14:paraId="01CCF79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42</w:t>
            </w:r>
          </w:p>
        </w:tc>
        <w:tc>
          <w:tcPr>
            <w:tcW w:w="345" w:type="pct"/>
          </w:tcPr>
          <w:p w14:paraId="2F42C6B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45</w:t>
            </w:r>
          </w:p>
        </w:tc>
        <w:tc>
          <w:tcPr>
            <w:tcW w:w="515" w:type="pct"/>
          </w:tcPr>
          <w:p w14:paraId="2FCE9ED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46</w:t>
            </w:r>
          </w:p>
        </w:tc>
        <w:tc>
          <w:tcPr>
            <w:tcW w:w="298" w:type="pct"/>
          </w:tcPr>
          <w:p w14:paraId="24B19E9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53</w:t>
            </w:r>
          </w:p>
        </w:tc>
        <w:tc>
          <w:tcPr>
            <w:tcW w:w="298" w:type="pct"/>
          </w:tcPr>
          <w:p w14:paraId="4D1CD41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37</w:t>
            </w:r>
          </w:p>
        </w:tc>
        <w:tc>
          <w:tcPr>
            <w:tcW w:w="484" w:type="pct"/>
          </w:tcPr>
          <w:p w14:paraId="6600CDF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32</w:t>
            </w:r>
          </w:p>
        </w:tc>
      </w:tr>
      <w:tr w:rsidR="00AA3A77" w:rsidRPr="00A06F1E" w14:paraId="12769C63" w14:textId="77777777" w:rsidTr="006D2709">
        <w:trPr>
          <w:cnfStyle w:val="000000100000" w:firstRow="0" w:lastRow="0" w:firstColumn="0" w:lastColumn="0" w:oddVBand="0" w:evenVBand="0" w:oddHBand="1" w:evenHBand="0" w:firstRowFirstColumn="0" w:firstRowLastColumn="0" w:lastRowFirstColumn="0" w:lastRowLastColumn="0"/>
        </w:trPr>
        <w:tc>
          <w:tcPr>
            <w:tcW w:w="1098" w:type="pct"/>
          </w:tcPr>
          <w:p w14:paraId="0A54882A" w14:textId="77777777" w:rsidR="00B607BD" w:rsidRPr="00A06F1E" w:rsidRDefault="00B607BD" w:rsidP="00AA3A77">
            <w:pPr>
              <w:pStyle w:val="TableText"/>
              <w:spacing w:before="10" w:after="10"/>
              <w:rPr>
                <w:rFonts w:ascii="Franklin Gothic Book" w:hAnsi="Franklin Gothic Book"/>
                <w:spacing w:val="-4"/>
              </w:rPr>
            </w:pPr>
            <w:r w:rsidRPr="00A06F1E">
              <w:rPr>
                <w:rFonts w:ascii="Franklin Gothic Book" w:hAnsi="Franklin Gothic Book"/>
                <w:spacing w:val="-4"/>
              </w:rPr>
              <w:t>ELs and former ELs</w:t>
            </w:r>
          </w:p>
        </w:tc>
        <w:tc>
          <w:tcPr>
            <w:tcW w:w="411" w:type="pct"/>
          </w:tcPr>
          <w:p w14:paraId="67F85C2B" w14:textId="1A213295"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9" w:type="pct"/>
          </w:tcPr>
          <w:p w14:paraId="3DF4BE34" w14:textId="069E457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39" w:type="pct"/>
          </w:tcPr>
          <w:p w14:paraId="7131AFE6" w14:textId="00DB96B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527" w:type="pct"/>
          </w:tcPr>
          <w:p w14:paraId="1A35F0A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18</w:t>
            </w:r>
          </w:p>
        </w:tc>
        <w:tc>
          <w:tcPr>
            <w:tcW w:w="345" w:type="pct"/>
          </w:tcPr>
          <w:p w14:paraId="225F333B" w14:textId="03318B9A"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5" w:type="pct"/>
          </w:tcPr>
          <w:p w14:paraId="393D271D" w14:textId="1EC5515D"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515" w:type="pct"/>
          </w:tcPr>
          <w:p w14:paraId="7A1264B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43</w:t>
            </w:r>
          </w:p>
        </w:tc>
        <w:tc>
          <w:tcPr>
            <w:tcW w:w="298" w:type="pct"/>
          </w:tcPr>
          <w:p w14:paraId="2EAEB0E0" w14:textId="12CF278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98" w:type="pct"/>
          </w:tcPr>
          <w:p w14:paraId="7EC44688" w14:textId="302C1CDB"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4" w:type="pct"/>
          </w:tcPr>
          <w:p w14:paraId="4AD2C25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39</w:t>
            </w:r>
          </w:p>
        </w:tc>
      </w:tr>
      <w:tr w:rsidR="00AA3A77" w:rsidRPr="00A06F1E" w14:paraId="16CA2BE0" w14:textId="77777777" w:rsidTr="006D2709">
        <w:tc>
          <w:tcPr>
            <w:tcW w:w="1098" w:type="pct"/>
          </w:tcPr>
          <w:p w14:paraId="6B5A4373"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Students w/disabilities</w:t>
            </w:r>
          </w:p>
        </w:tc>
        <w:tc>
          <w:tcPr>
            <w:tcW w:w="411" w:type="pct"/>
          </w:tcPr>
          <w:p w14:paraId="00DA898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26</w:t>
            </w:r>
          </w:p>
        </w:tc>
        <w:tc>
          <w:tcPr>
            <w:tcW w:w="339" w:type="pct"/>
          </w:tcPr>
          <w:p w14:paraId="5ADB493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0</w:t>
            </w:r>
          </w:p>
        </w:tc>
        <w:tc>
          <w:tcPr>
            <w:tcW w:w="339" w:type="pct"/>
          </w:tcPr>
          <w:p w14:paraId="2995049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w:t>
            </w:r>
          </w:p>
        </w:tc>
        <w:tc>
          <w:tcPr>
            <w:tcW w:w="527" w:type="pct"/>
          </w:tcPr>
          <w:p w14:paraId="54DE2E4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14</w:t>
            </w:r>
          </w:p>
        </w:tc>
        <w:tc>
          <w:tcPr>
            <w:tcW w:w="345" w:type="pct"/>
          </w:tcPr>
          <w:p w14:paraId="6AA3668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29</w:t>
            </w:r>
          </w:p>
        </w:tc>
        <w:tc>
          <w:tcPr>
            <w:tcW w:w="345" w:type="pct"/>
          </w:tcPr>
          <w:p w14:paraId="19A18DC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38</w:t>
            </w:r>
          </w:p>
        </w:tc>
        <w:tc>
          <w:tcPr>
            <w:tcW w:w="515" w:type="pct"/>
          </w:tcPr>
          <w:p w14:paraId="65C9F13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40</w:t>
            </w:r>
          </w:p>
        </w:tc>
        <w:tc>
          <w:tcPr>
            <w:tcW w:w="298" w:type="pct"/>
          </w:tcPr>
          <w:p w14:paraId="0F380C4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71</w:t>
            </w:r>
          </w:p>
        </w:tc>
        <w:tc>
          <w:tcPr>
            <w:tcW w:w="298" w:type="pct"/>
          </w:tcPr>
          <w:p w14:paraId="743C8B5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58</w:t>
            </w:r>
          </w:p>
        </w:tc>
        <w:tc>
          <w:tcPr>
            <w:tcW w:w="484" w:type="pct"/>
          </w:tcPr>
          <w:p w14:paraId="51BB3AC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45</w:t>
            </w:r>
          </w:p>
        </w:tc>
      </w:tr>
    </w:tbl>
    <w:p w14:paraId="15D984FF" w14:textId="686DE85A" w:rsidR="00B607BD" w:rsidRPr="00A06F1E" w:rsidRDefault="00B607BD" w:rsidP="00B7722D">
      <w:pPr>
        <w:pStyle w:val="TabletitleSectionE"/>
        <w:spacing w:before="120"/>
      </w:pPr>
      <w:bookmarkStart w:id="260" w:name="_Toc170701956"/>
      <w:bookmarkStart w:id="261" w:name="_Toc171685793"/>
      <w:r w:rsidRPr="00A06F1E">
        <w:t>Table E5</w:t>
      </w:r>
      <w:r w:rsidR="008D4613">
        <w:t>b</w:t>
      </w:r>
      <w:r w:rsidR="007C4E08" w:rsidRPr="00A06F1E">
        <w:t xml:space="preserve">. </w:t>
      </w:r>
      <w:proofErr w:type="spellStart"/>
      <w:r w:rsidR="00652B48">
        <w:t>Petersham</w:t>
      </w:r>
      <w:proofErr w:type="spellEnd"/>
      <w:r w:rsidR="00652B48">
        <w:t xml:space="preserve"> Center</w:t>
      </w:r>
      <w:r w:rsidR="00F3532E" w:rsidRPr="00A06F1E">
        <w:t>:</w:t>
      </w:r>
      <w:r w:rsidRPr="00A06F1E">
        <w:t xml:space="preserve"> Next-Generation MCAS Science Achievement by Student Group, Grades 5 and 8, 2022-2023</w:t>
      </w:r>
      <w:bookmarkEnd w:id="260"/>
      <w:bookmarkEnd w:id="261"/>
    </w:p>
    <w:tbl>
      <w:tblPr>
        <w:tblStyle w:val="MSVTable1"/>
        <w:tblW w:w="5003" w:type="pct"/>
        <w:tblLook w:val="0420" w:firstRow="1" w:lastRow="0" w:firstColumn="0" w:lastColumn="0" w:noHBand="0" w:noVBand="1"/>
      </w:tblPr>
      <w:tblGrid>
        <w:gridCol w:w="2843"/>
        <w:gridCol w:w="1066"/>
        <w:gridCol w:w="922"/>
        <w:gridCol w:w="922"/>
        <w:gridCol w:w="1274"/>
        <w:gridCol w:w="938"/>
        <w:gridCol w:w="938"/>
        <w:gridCol w:w="1246"/>
        <w:gridCol w:w="824"/>
        <w:gridCol w:w="720"/>
        <w:gridCol w:w="1259"/>
      </w:tblGrid>
      <w:tr w:rsidR="00B607BD" w:rsidRPr="00A06F1E" w14:paraId="4772D272"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1097" w:type="pct"/>
            <w:vMerge w:val="restart"/>
            <w:vAlign w:val="center"/>
          </w:tcPr>
          <w:p w14:paraId="54CFF677" w14:textId="77777777" w:rsidR="00B607BD" w:rsidRPr="00A06F1E" w:rsidRDefault="00B607BD" w:rsidP="00AA3A77">
            <w:pPr>
              <w:pStyle w:val="TableColHeadingLeft"/>
              <w:spacing w:before="10" w:after="10"/>
              <w:jc w:val="center"/>
            </w:pPr>
            <w:r w:rsidRPr="00A06F1E">
              <w:t>Group</w:t>
            </w:r>
          </w:p>
        </w:tc>
        <w:tc>
          <w:tcPr>
            <w:tcW w:w="411" w:type="pct"/>
            <w:vMerge w:val="restart"/>
            <w:vAlign w:val="center"/>
          </w:tcPr>
          <w:p w14:paraId="492F062D" w14:textId="7A8081F8" w:rsidR="00B607BD" w:rsidRPr="00A06F1E" w:rsidRDefault="00B607BD" w:rsidP="00AA3A77">
            <w:pPr>
              <w:pStyle w:val="TableColHeadingCenter"/>
              <w:spacing w:before="10" w:after="10"/>
            </w:pPr>
            <w:r w:rsidRPr="00A06F1E">
              <w:t xml:space="preserve"># </w:t>
            </w:r>
            <w:r w:rsidR="00043517" w:rsidRPr="00A06F1E">
              <w:t>i</w:t>
            </w:r>
            <w:r w:rsidRPr="00A06F1E">
              <w:t>ncluded (2023)</w:t>
            </w:r>
          </w:p>
        </w:tc>
        <w:tc>
          <w:tcPr>
            <w:tcW w:w="1204" w:type="pct"/>
            <w:gridSpan w:val="3"/>
            <w:vAlign w:val="bottom"/>
          </w:tcPr>
          <w:p w14:paraId="2C0CC91C" w14:textId="2F06FFE1" w:rsidR="00B607BD" w:rsidRPr="00A06F1E" w:rsidRDefault="00A228CB" w:rsidP="00AA3A77">
            <w:pPr>
              <w:pStyle w:val="TableColHeadingCenter"/>
              <w:spacing w:before="10" w:after="10"/>
            </w:pPr>
            <w:r w:rsidRPr="00A06F1E">
              <w:t>Percentage</w:t>
            </w:r>
            <w:r w:rsidR="00B607BD" w:rsidRPr="00A06F1E">
              <w:t xml:space="preserve"> meeting or exceeding expectations</w:t>
            </w:r>
          </w:p>
        </w:tc>
        <w:tc>
          <w:tcPr>
            <w:tcW w:w="1205" w:type="pct"/>
            <w:gridSpan w:val="3"/>
            <w:vAlign w:val="center"/>
          </w:tcPr>
          <w:p w14:paraId="018C0C12" w14:textId="3A932D16" w:rsidR="00B607BD" w:rsidRPr="00A06F1E" w:rsidRDefault="00A228CB" w:rsidP="00AA3A77">
            <w:pPr>
              <w:pStyle w:val="TableColHeadingCenter"/>
              <w:spacing w:before="10" w:after="10"/>
            </w:pPr>
            <w:r w:rsidRPr="00A06F1E">
              <w:t>Percentage</w:t>
            </w:r>
            <w:r w:rsidR="00B607BD" w:rsidRPr="00A06F1E">
              <w:t xml:space="preserve"> partially meeting expectations</w:t>
            </w:r>
          </w:p>
        </w:tc>
        <w:tc>
          <w:tcPr>
            <w:tcW w:w="1082" w:type="pct"/>
            <w:gridSpan w:val="3"/>
            <w:vAlign w:val="center"/>
          </w:tcPr>
          <w:p w14:paraId="74B7BA4B" w14:textId="3B35705F" w:rsidR="00B607BD" w:rsidRPr="00A06F1E" w:rsidRDefault="00A228CB" w:rsidP="00AA3A77">
            <w:pPr>
              <w:pStyle w:val="TableColHeadingCenter"/>
              <w:spacing w:before="10" w:after="10"/>
            </w:pPr>
            <w:r w:rsidRPr="00A06F1E">
              <w:t>Percentage</w:t>
            </w:r>
            <w:r w:rsidR="00B607BD" w:rsidRPr="00A06F1E">
              <w:t xml:space="preserve"> not meeting expectations</w:t>
            </w:r>
          </w:p>
        </w:tc>
      </w:tr>
      <w:tr w:rsidR="00AA3A77" w:rsidRPr="00A06F1E" w14:paraId="3A45F228"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1097" w:type="pct"/>
            <w:vMerge/>
            <w:vAlign w:val="bottom"/>
          </w:tcPr>
          <w:p w14:paraId="1B0046E5" w14:textId="77777777" w:rsidR="00B607BD" w:rsidRPr="00A06F1E" w:rsidRDefault="00B607BD" w:rsidP="00AA3A77">
            <w:pPr>
              <w:pStyle w:val="TableColHeadingCenter"/>
              <w:spacing w:before="10" w:after="10"/>
            </w:pPr>
          </w:p>
        </w:tc>
        <w:tc>
          <w:tcPr>
            <w:tcW w:w="411" w:type="pct"/>
            <w:vMerge/>
            <w:vAlign w:val="bottom"/>
          </w:tcPr>
          <w:p w14:paraId="74AC6CBF" w14:textId="77777777" w:rsidR="00B607BD" w:rsidRPr="00A06F1E" w:rsidRDefault="00B607BD" w:rsidP="00AA3A77">
            <w:pPr>
              <w:pStyle w:val="TableColHeadingCenter"/>
              <w:spacing w:before="10" w:after="10"/>
            </w:pPr>
          </w:p>
        </w:tc>
        <w:tc>
          <w:tcPr>
            <w:tcW w:w="356" w:type="pct"/>
            <w:vAlign w:val="center"/>
          </w:tcPr>
          <w:p w14:paraId="15D4C603" w14:textId="77777777" w:rsidR="00B607BD" w:rsidRPr="00A06F1E" w:rsidRDefault="00B607BD" w:rsidP="00AA3A77">
            <w:pPr>
              <w:pStyle w:val="TableColHeadingCenter"/>
              <w:spacing w:before="10" w:after="10"/>
            </w:pPr>
            <w:r w:rsidRPr="00A06F1E">
              <w:t>2022</w:t>
            </w:r>
          </w:p>
        </w:tc>
        <w:tc>
          <w:tcPr>
            <w:tcW w:w="356" w:type="pct"/>
            <w:vAlign w:val="center"/>
          </w:tcPr>
          <w:p w14:paraId="1EBD26DA" w14:textId="77777777" w:rsidR="00B607BD" w:rsidRPr="00A06F1E" w:rsidRDefault="00B607BD" w:rsidP="00AA3A77">
            <w:pPr>
              <w:pStyle w:val="TableColHeadingCenter"/>
              <w:spacing w:before="10" w:after="10"/>
            </w:pPr>
            <w:r w:rsidRPr="00A06F1E">
              <w:t>2023</w:t>
            </w:r>
          </w:p>
        </w:tc>
        <w:tc>
          <w:tcPr>
            <w:tcW w:w="491" w:type="pct"/>
            <w:vAlign w:val="center"/>
          </w:tcPr>
          <w:p w14:paraId="598830CA" w14:textId="77777777" w:rsidR="00B607BD" w:rsidRPr="00A06F1E" w:rsidRDefault="00B607BD" w:rsidP="00AA3A77">
            <w:pPr>
              <w:pStyle w:val="TableColHeadingCenter"/>
              <w:spacing w:before="10" w:after="10"/>
            </w:pPr>
            <w:r w:rsidRPr="00A06F1E">
              <w:t>State (2023)</w:t>
            </w:r>
          </w:p>
        </w:tc>
        <w:tc>
          <w:tcPr>
            <w:tcW w:w="362" w:type="pct"/>
            <w:vAlign w:val="center"/>
          </w:tcPr>
          <w:p w14:paraId="58C4AD0B" w14:textId="77777777" w:rsidR="00B607BD" w:rsidRPr="00A06F1E" w:rsidRDefault="00B607BD" w:rsidP="00AA3A77">
            <w:pPr>
              <w:pStyle w:val="TableColHeadingCenter"/>
              <w:spacing w:before="10" w:after="10"/>
            </w:pPr>
            <w:r w:rsidRPr="00A06F1E">
              <w:t>2022</w:t>
            </w:r>
          </w:p>
        </w:tc>
        <w:tc>
          <w:tcPr>
            <w:tcW w:w="362" w:type="pct"/>
            <w:vAlign w:val="center"/>
          </w:tcPr>
          <w:p w14:paraId="0C2F5BE9" w14:textId="77777777" w:rsidR="00B607BD" w:rsidRPr="00A06F1E" w:rsidRDefault="00B607BD" w:rsidP="00AA3A77">
            <w:pPr>
              <w:pStyle w:val="TableColHeadingCenter"/>
              <w:spacing w:before="10" w:after="10"/>
            </w:pPr>
            <w:r w:rsidRPr="00A06F1E">
              <w:t>2023</w:t>
            </w:r>
          </w:p>
        </w:tc>
        <w:tc>
          <w:tcPr>
            <w:tcW w:w="480" w:type="pct"/>
            <w:vAlign w:val="center"/>
          </w:tcPr>
          <w:p w14:paraId="0FE5B61D" w14:textId="77777777" w:rsidR="00B607BD" w:rsidRPr="00A06F1E" w:rsidRDefault="00B607BD" w:rsidP="00AA3A77">
            <w:pPr>
              <w:pStyle w:val="TableColHeadingCenter"/>
              <w:spacing w:before="10" w:after="10"/>
            </w:pPr>
            <w:r w:rsidRPr="00A06F1E">
              <w:t>State (2023)</w:t>
            </w:r>
          </w:p>
        </w:tc>
        <w:tc>
          <w:tcPr>
            <w:tcW w:w="318" w:type="pct"/>
            <w:vAlign w:val="center"/>
          </w:tcPr>
          <w:p w14:paraId="7A884069" w14:textId="77777777" w:rsidR="00B607BD" w:rsidRPr="00A06F1E" w:rsidRDefault="00B607BD" w:rsidP="00AA3A77">
            <w:pPr>
              <w:pStyle w:val="TableColHeadingCenter"/>
              <w:spacing w:before="10" w:after="10"/>
            </w:pPr>
            <w:r w:rsidRPr="00A06F1E">
              <w:t>2022</w:t>
            </w:r>
          </w:p>
        </w:tc>
        <w:tc>
          <w:tcPr>
            <w:tcW w:w="278" w:type="pct"/>
            <w:vAlign w:val="center"/>
          </w:tcPr>
          <w:p w14:paraId="581C0018" w14:textId="77777777" w:rsidR="00B607BD" w:rsidRPr="00A06F1E" w:rsidRDefault="00B607BD" w:rsidP="00AA3A77">
            <w:pPr>
              <w:pStyle w:val="TableColHeadingCenter"/>
              <w:spacing w:before="10" w:after="10"/>
            </w:pPr>
            <w:r w:rsidRPr="00A06F1E">
              <w:t>2023</w:t>
            </w:r>
          </w:p>
        </w:tc>
        <w:tc>
          <w:tcPr>
            <w:tcW w:w="486" w:type="pct"/>
            <w:vAlign w:val="center"/>
          </w:tcPr>
          <w:p w14:paraId="453C6D9D" w14:textId="77777777" w:rsidR="00B607BD" w:rsidRPr="00A06F1E" w:rsidRDefault="00B607BD" w:rsidP="00AA3A77">
            <w:pPr>
              <w:pStyle w:val="TableColHeadingCenter"/>
              <w:spacing w:before="10" w:after="10"/>
            </w:pPr>
            <w:r w:rsidRPr="00A06F1E">
              <w:t>State (2023)</w:t>
            </w:r>
          </w:p>
        </w:tc>
      </w:tr>
      <w:tr w:rsidR="00AA3A77" w:rsidRPr="00A06F1E" w14:paraId="106DBCC6" w14:textId="77777777" w:rsidTr="006D2709">
        <w:trPr>
          <w:cnfStyle w:val="000000100000" w:firstRow="0" w:lastRow="0" w:firstColumn="0" w:lastColumn="0" w:oddVBand="0" w:evenVBand="0" w:oddHBand="1" w:evenHBand="0" w:firstRowFirstColumn="0" w:firstRowLastColumn="0" w:lastRowFirstColumn="0" w:lastRowLastColumn="0"/>
        </w:trPr>
        <w:tc>
          <w:tcPr>
            <w:tcW w:w="1097" w:type="pct"/>
          </w:tcPr>
          <w:p w14:paraId="2867C55F"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All</w:t>
            </w:r>
          </w:p>
        </w:tc>
        <w:tc>
          <w:tcPr>
            <w:tcW w:w="411" w:type="pct"/>
            <w:vAlign w:val="center"/>
          </w:tcPr>
          <w:p w14:paraId="300B830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12</w:t>
            </w:r>
          </w:p>
        </w:tc>
        <w:tc>
          <w:tcPr>
            <w:tcW w:w="356" w:type="pct"/>
            <w:vAlign w:val="center"/>
          </w:tcPr>
          <w:p w14:paraId="44ADD81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50</w:t>
            </w:r>
          </w:p>
        </w:tc>
        <w:tc>
          <w:tcPr>
            <w:tcW w:w="356" w:type="pct"/>
            <w:vAlign w:val="center"/>
          </w:tcPr>
          <w:p w14:paraId="5C47C79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33</w:t>
            </w:r>
          </w:p>
        </w:tc>
        <w:tc>
          <w:tcPr>
            <w:tcW w:w="491" w:type="pct"/>
            <w:vAlign w:val="center"/>
          </w:tcPr>
          <w:p w14:paraId="48BFDE0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41</w:t>
            </w:r>
          </w:p>
        </w:tc>
        <w:tc>
          <w:tcPr>
            <w:tcW w:w="362" w:type="pct"/>
            <w:vAlign w:val="center"/>
          </w:tcPr>
          <w:p w14:paraId="03B51F3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44</w:t>
            </w:r>
          </w:p>
        </w:tc>
        <w:tc>
          <w:tcPr>
            <w:tcW w:w="362" w:type="pct"/>
            <w:vAlign w:val="center"/>
          </w:tcPr>
          <w:p w14:paraId="567B39B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50</w:t>
            </w:r>
          </w:p>
        </w:tc>
        <w:tc>
          <w:tcPr>
            <w:tcW w:w="480" w:type="pct"/>
            <w:vAlign w:val="center"/>
          </w:tcPr>
          <w:p w14:paraId="5061751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40</w:t>
            </w:r>
          </w:p>
        </w:tc>
        <w:tc>
          <w:tcPr>
            <w:tcW w:w="318" w:type="pct"/>
            <w:vAlign w:val="center"/>
          </w:tcPr>
          <w:p w14:paraId="45D7121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w:t>
            </w:r>
          </w:p>
        </w:tc>
        <w:tc>
          <w:tcPr>
            <w:tcW w:w="278" w:type="pct"/>
            <w:vAlign w:val="center"/>
          </w:tcPr>
          <w:p w14:paraId="66DD981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17</w:t>
            </w:r>
          </w:p>
        </w:tc>
        <w:tc>
          <w:tcPr>
            <w:tcW w:w="486" w:type="pct"/>
            <w:vAlign w:val="bottom"/>
          </w:tcPr>
          <w:p w14:paraId="5E20190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19</w:t>
            </w:r>
          </w:p>
        </w:tc>
      </w:tr>
      <w:tr w:rsidR="006D2709" w:rsidRPr="00A06F1E" w14:paraId="0102C92E" w14:textId="77777777" w:rsidTr="006D2709">
        <w:tc>
          <w:tcPr>
            <w:tcW w:w="1097" w:type="pct"/>
          </w:tcPr>
          <w:p w14:paraId="5CEFC27B"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African American/Black</w:t>
            </w:r>
          </w:p>
        </w:tc>
        <w:tc>
          <w:tcPr>
            <w:tcW w:w="411" w:type="pct"/>
            <w:vAlign w:val="center"/>
          </w:tcPr>
          <w:p w14:paraId="7504DE9E" w14:textId="0C24BC0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56DD4FDA" w14:textId="784D8E3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034D532A" w14:textId="5255A6A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1" w:type="pct"/>
            <w:vAlign w:val="center"/>
          </w:tcPr>
          <w:p w14:paraId="487C142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21</w:t>
            </w:r>
          </w:p>
        </w:tc>
        <w:tc>
          <w:tcPr>
            <w:tcW w:w="362" w:type="pct"/>
            <w:vAlign w:val="center"/>
          </w:tcPr>
          <w:p w14:paraId="5B1CED5C" w14:textId="3AE62F7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62" w:type="pct"/>
            <w:vAlign w:val="center"/>
          </w:tcPr>
          <w:p w14:paraId="7FCADC2D" w14:textId="2BB73B2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0" w:type="pct"/>
            <w:vAlign w:val="center"/>
          </w:tcPr>
          <w:p w14:paraId="246DB0E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47</w:t>
            </w:r>
          </w:p>
        </w:tc>
        <w:tc>
          <w:tcPr>
            <w:tcW w:w="318" w:type="pct"/>
            <w:vAlign w:val="center"/>
          </w:tcPr>
          <w:p w14:paraId="1F2909E7" w14:textId="2F640721"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78" w:type="pct"/>
            <w:vAlign w:val="center"/>
          </w:tcPr>
          <w:p w14:paraId="046DB74B" w14:textId="2B7241ED"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bottom"/>
          </w:tcPr>
          <w:p w14:paraId="001D599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32</w:t>
            </w:r>
          </w:p>
        </w:tc>
      </w:tr>
      <w:tr w:rsidR="00AA3A77" w:rsidRPr="00A06F1E" w14:paraId="4EAA127F" w14:textId="77777777" w:rsidTr="006D2709">
        <w:trPr>
          <w:cnfStyle w:val="000000100000" w:firstRow="0" w:lastRow="0" w:firstColumn="0" w:lastColumn="0" w:oddVBand="0" w:evenVBand="0" w:oddHBand="1" w:evenHBand="0" w:firstRowFirstColumn="0" w:firstRowLastColumn="0" w:lastRowFirstColumn="0" w:lastRowLastColumn="0"/>
        </w:trPr>
        <w:tc>
          <w:tcPr>
            <w:tcW w:w="1097" w:type="pct"/>
          </w:tcPr>
          <w:p w14:paraId="62EC9C96"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Asian</w:t>
            </w:r>
          </w:p>
        </w:tc>
        <w:tc>
          <w:tcPr>
            <w:tcW w:w="411" w:type="pct"/>
            <w:vAlign w:val="center"/>
          </w:tcPr>
          <w:p w14:paraId="2A401B85" w14:textId="5957D8C5"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786C8120" w14:textId="1A23D5D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75A29139" w14:textId="6BCF252B"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1" w:type="pct"/>
            <w:vAlign w:val="center"/>
          </w:tcPr>
          <w:p w14:paraId="78AA276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65</w:t>
            </w:r>
          </w:p>
        </w:tc>
        <w:tc>
          <w:tcPr>
            <w:tcW w:w="362" w:type="pct"/>
            <w:vAlign w:val="center"/>
          </w:tcPr>
          <w:p w14:paraId="32B753D8" w14:textId="04D1C5D5"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62" w:type="pct"/>
            <w:vAlign w:val="center"/>
          </w:tcPr>
          <w:p w14:paraId="3E1857D1" w14:textId="7E9F1C5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0" w:type="pct"/>
            <w:vAlign w:val="center"/>
          </w:tcPr>
          <w:p w14:paraId="46EDB84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27</w:t>
            </w:r>
          </w:p>
        </w:tc>
        <w:tc>
          <w:tcPr>
            <w:tcW w:w="318" w:type="pct"/>
            <w:vAlign w:val="center"/>
          </w:tcPr>
          <w:p w14:paraId="28C457D6" w14:textId="391057DB"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78" w:type="pct"/>
            <w:vAlign w:val="center"/>
          </w:tcPr>
          <w:p w14:paraId="0F6A7BDF" w14:textId="4307436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bottom"/>
          </w:tcPr>
          <w:p w14:paraId="031EC64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8</w:t>
            </w:r>
          </w:p>
        </w:tc>
      </w:tr>
      <w:tr w:rsidR="006D2709" w:rsidRPr="00A06F1E" w14:paraId="5F1C3680" w14:textId="77777777" w:rsidTr="006D2709">
        <w:tc>
          <w:tcPr>
            <w:tcW w:w="1097" w:type="pct"/>
          </w:tcPr>
          <w:p w14:paraId="6D947784"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Hispanic/Latino</w:t>
            </w:r>
          </w:p>
        </w:tc>
        <w:tc>
          <w:tcPr>
            <w:tcW w:w="411" w:type="pct"/>
            <w:vAlign w:val="center"/>
          </w:tcPr>
          <w:p w14:paraId="73B9EA93" w14:textId="08B18DE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3E6911B3" w14:textId="1E9D955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5FD8C316" w14:textId="1E76C37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1" w:type="pct"/>
            <w:vAlign w:val="center"/>
          </w:tcPr>
          <w:p w14:paraId="19C112A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20</w:t>
            </w:r>
          </w:p>
        </w:tc>
        <w:tc>
          <w:tcPr>
            <w:tcW w:w="362" w:type="pct"/>
            <w:vAlign w:val="center"/>
          </w:tcPr>
          <w:p w14:paraId="1EF4C36B" w14:textId="4D362B3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62" w:type="pct"/>
            <w:vAlign w:val="center"/>
          </w:tcPr>
          <w:p w14:paraId="2EF9AF4C" w14:textId="3224952E"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0" w:type="pct"/>
            <w:vAlign w:val="center"/>
          </w:tcPr>
          <w:p w14:paraId="3BC6BEC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45</w:t>
            </w:r>
          </w:p>
        </w:tc>
        <w:tc>
          <w:tcPr>
            <w:tcW w:w="318" w:type="pct"/>
            <w:vAlign w:val="center"/>
          </w:tcPr>
          <w:p w14:paraId="52913BF8" w14:textId="407BC20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78" w:type="pct"/>
            <w:vAlign w:val="center"/>
          </w:tcPr>
          <w:p w14:paraId="28B67FF9" w14:textId="66CF68D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bottom"/>
          </w:tcPr>
          <w:p w14:paraId="7C5835F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35</w:t>
            </w:r>
          </w:p>
        </w:tc>
      </w:tr>
      <w:tr w:rsidR="00AA3A77" w:rsidRPr="00A06F1E" w14:paraId="43E2AFA6" w14:textId="77777777" w:rsidTr="006D2709">
        <w:trPr>
          <w:cnfStyle w:val="000000100000" w:firstRow="0" w:lastRow="0" w:firstColumn="0" w:lastColumn="0" w:oddVBand="0" w:evenVBand="0" w:oddHBand="1" w:evenHBand="0" w:firstRowFirstColumn="0" w:firstRowLastColumn="0" w:lastRowFirstColumn="0" w:lastRowLastColumn="0"/>
        </w:trPr>
        <w:tc>
          <w:tcPr>
            <w:tcW w:w="1097" w:type="pct"/>
          </w:tcPr>
          <w:p w14:paraId="5863B5A0"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cstheme="minorHAnsi"/>
              </w:rPr>
              <w:t>Multi-Race, non-Hispanic/Latino</w:t>
            </w:r>
          </w:p>
        </w:tc>
        <w:tc>
          <w:tcPr>
            <w:tcW w:w="411" w:type="pct"/>
            <w:vAlign w:val="center"/>
          </w:tcPr>
          <w:p w14:paraId="043B8EE6" w14:textId="3DF632A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7BE5C3E0" w14:textId="2902517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38985CAA" w14:textId="58FC146D"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1" w:type="pct"/>
            <w:vAlign w:val="center"/>
          </w:tcPr>
          <w:p w14:paraId="4827BC0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47</w:t>
            </w:r>
          </w:p>
        </w:tc>
        <w:tc>
          <w:tcPr>
            <w:tcW w:w="362" w:type="pct"/>
            <w:vAlign w:val="center"/>
          </w:tcPr>
          <w:p w14:paraId="37642876" w14:textId="59A87D6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62" w:type="pct"/>
            <w:vAlign w:val="center"/>
          </w:tcPr>
          <w:p w14:paraId="18711641" w14:textId="2FDFB02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0" w:type="pct"/>
            <w:vAlign w:val="center"/>
          </w:tcPr>
          <w:p w14:paraId="456F77D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37</w:t>
            </w:r>
          </w:p>
        </w:tc>
        <w:tc>
          <w:tcPr>
            <w:tcW w:w="318" w:type="pct"/>
            <w:vAlign w:val="center"/>
          </w:tcPr>
          <w:p w14:paraId="6055E7E5" w14:textId="3375E345"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78" w:type="pct"/>
            <w:vAlign w:val="center"/>
          </w:tcPr>
          <w:p w14:paraId="5AAE2624" w14:textId="4C9CA7C1"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bottom"/>
          </w:tcPr>
          <w:p w14:paraId="65FA06C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15</w:t>
            </w:r>
          </w:p>
        </w:tc>
      </w:tr>
      <w:tr w:rsidR="006D2709" w:rsidRPr="00A06F1E" w14:paraId="7D423738" w14:textId="77777777" w:rsidTr="006D2709">
        <w:tc>
          <w:tcPr>
            <w:tcW w:w="1097" w:type="pct"/>
          </w:tcPr>
          <w:p w14:paraId="6A794559"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Native American</w:t>
            </w:r>
          </w:p>
        </w:tc>
        <w:tc>
          <w:tcPr>
            <w:tcW w:w="411" w:type="pct"/>
            <w:vAlign w:val="center"/>
          </w:tcPr>
          <w:p w14:paraId="49666390" w14:textId="30DC813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78066B4B" w14:textId="1655D64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294F103D" w14:textId="760922B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1" w:type="pct"/>
            <w:vAlign w:val="center"/>
          </w:tcPr>
          <w:p w14:paraId="592EAE8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31</w:t>
            </w:r>
          </w:p>
        </w:tc>
        <w:tc>
          <w:tcPr>
            <w:tcW w:w="362" w:type="pct"/>
            <w:vAlign w:val="center"/>
          </w:tcPr>
          <w:p w14:paraId="6EEA5DFC" w14:textId="57860C5D"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62" w:type="pct"/>
            <w:vAlign w:val="center"/>
          </w:tcPr>
          <w:p w14:paraId="302490CC" w14:textId="4C95410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0" w:type="pct"/>
            <w:vAlign w:val="center"/>
          </w:tcPr>
          <w:p w14:paraId="05D3AC8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44</w:t>
            </w:r>
          </w:p>
        </w:tc>
        <w:tc>
          <w:tcPr>
            <w:tcW w:w="318" w:type="pct"/>
            <w:vAlign w:val="center"/>
          </w:tcPr>
          <w:p w14:paraId="248E0598" w14:textId="14ED4D7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78" w:type="pct"/>
            <w:vAlign w:val="center"/>
          </w:tcPr>
          <w:p w14:paraId="77795030" w14:textId="6EC19B7B"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bottom"/>
          </w:tcPr>
          <w:p w14:paraId="0406359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25</w:t>
            </w:r>
          </w:p>
        </w:tc>
      </w:tr>
      <w:tr w:rsidR="00AA3A77" w:rsidRPr="00A06F1E" w14:paraId="23BB06A6" w14:textId="77777777" w:rsidTr="006D2709">
        <w:trPr>
          <w:cnfStyle w:val="000000100000" w:firstRow="0" w:lastRow="0" w:firstColumn="0" w:lastColumn="0" w:oddVBand="0" w:evenVBand="0" w:oddHBand="1" w:evenHBand="0" w:firstRowFirstColumn="0" w:firstRowLastColumn="0" w:lastRowFirstColumn="0" w:lastRowLastColumn="0"/>
        </w:trPr>
        <w:tc>
          <w:tcPr>
            <w:tcW w:w="1097" w:type="pct"/>
          </w:tcPr>
          <w:p w14:paraId="704D51FB" w14:textId="77777777" w:rsidR="00B607BD" w:rsidRPr="00A06F1E" w:rsidRDefault="00B607BD" w:rsidP="00AA3A77">
            <w:pPr>
              <w:pStyle w:val="TableText"/>
              <w:spacing w:before="10" w:after="10"/>
              <w:rPr>
                <w:rFonts w:ascii="Franklin Gothic Book" w:hAnsi="Franklin Gothic Book"/>
                <w:spacing w:val="-4"/>
              </w:rPr>
            </w:pPr>
            <w:r w:rsidRPr="00A06F1E">
              <w:rPr>
                <w:rFonts w:ascii="Franklin Gothic Book" w:hAnsi="Franklin Gothic Book"/>
                <w:spacing w:val="-4"/>
              </w:rPr>
              <w:t>Native Hawaiian, Pacific Islander</w:t>
            </w:r>
          </w:p>
        </w:tc>
        <w:tc>
          <w:tcPr>
            <w:tcW w:w="411" w:type="pct"/>
            <w:vAlign w:val="center"/>
          </w:tcPr>
          <w:p w14:paraId="614F0716" w14:textId="1476A1F1"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2FCFCF67" w14:textId="262F4F8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52547849" w14:textId="000AB1A2"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1" w:type="pct"/>
            <w:vAlign w:val="center"/>
          </w:tcPr>
          <w:p w14:paraId="0D97688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43</w:t>
            </w:r>
          </w:p>
        </w:tc>
        <w:tc>
          <w:tcPr>
            <w:tcW w:w="362" w:type="pct"/>
            <w:vAlign w:val="center"/>
          </w:tcPr>
          <w:p w14:paraId="0490EA7E" w14:textId="354D412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62" w:type="pct"/>
            <w:vAlign w:val="center"/>
          </w:tcPr>
          <w:p w14:paraId="46809E24" w14:textId="6FCA7DCA"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0" w:type="pct"/>
            <w:vAlign w:val="center"/>
          </w:tcPr>
          <w:p w14:paraId="4F3FB80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41</w:t>
            </w:r>
          </w:p>
        </w:tc>
        <w:tc>
          <w:tcPr>
            <w:tcW w:w="318" w:type="pct"/>
            <w:vAlign w:val="center"/>
          </w:tcPr>
          <w:p w14:paraId="5A839C10" w14:textId="4648B46E"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78" w:type="pct"/>
            <w:vAlign w:val="center"/>
          </w:tcPr>
          <w:p w14:paraId="06070282" w14:textId="6E3EB82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bottom"/>
          </w:tcPr>
          <w:p w14:paraId="55F7EFE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16</w:t>
            </w:r>
          </w:p>
        </w:tc>
      </w:tr>
      <w:tr w:rsidR="006D2709" w:rsidRPr="00A06F1E" w14:paraId="249CBE2D" w14:textId="77777777" w:rsidTr="006D2709">
        <w:tc>
          <w:tcPr>
            <w:tcW w:w="1097" w:type="pct"/>
          </w:tcPr>
          <w:p w14:paraId="58FADBB4"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White</w:t>
            </w:r>
          </w:p>
        </w:tc>
        <w:tc>
          <w:tcPr>
            <w:tcW w:w="411" w:type="pct"/>
            <w:vAlign w:val="center"/>
          </w:tcPr>
          <w:p w14:paraId="2ACB7A95" w14:textId="772B81FD"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5B2A791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53</w:t>
            </w:r>
          </w:p>
        </w:tc>
        <w:tc>
          <w:tcPr>
            <w:tcW w:w="356" w:type="pct"/>
            <w:vAlign w:val="center"/>
          </w:tcPr>
          <w:p w14:paraId="0773AAAB" w14:textId="5B26AE3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1" w:type="pct"/>
            <w:vAlign w:val="center"/>
          </w:tcPr>
          <w:p w14:paraId="7B6710A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50</w:t>
            </w:r>
          </w:p>
        </w:tc>
        <w:tc>
          <w:tcPr>
            <w:tcW w:w="362" w:type="pct"/>
            <w:vAlign w:val="center"/>
          </w:tcPr>
          <w:p w14:paraId="3BF6A8C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40</w:t>
            </w:r>
          </w:p>
        </w:tc>
        <w:tc>
          <w:tcPr>
            <w:tcW w:w="362" w:type="pct"/>
            <w:vAlign w:val="center"/>
          </w:tcPr>
          <w:p w14:paraId="00B62A39" w14:textId="75F7203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0" w:type="pct"/>
            <w:vAlign w:val="center"/>
          </w:tcPr>
          <w:p w14:paraId="677E823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38</w:t>
            </w:r>
          </w:p>
        </w:tc>
        <w:tc>
          <w:tcPr>
            <w:tcW w:w="318" w:type="pct"/>
            <w:vAlign w:val="center"/>
          </w:tcPr>
          <w:p w14:paraId="7B55F94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w:t>
            </w:r>
          </w:p>
        </w:tc>
        <w:tc>
          <w:tcPr>
            <w:tcW w:w="278" w:type="pct"/>
            <w:vAlign w:val="center"/>
          </w:tcPr>
          <w:p w14:paraId="2C481B4A" w14:textId="249BD7D1"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bottom"/>
          </w:tcPr>
          <w:p w14:paraId="654BB64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11</w:t>
            </w:r>
          </w:p>
        </w:tc>
      </w:tr>
      <w:tr w:rsidR="00AA3A77" w:rsidRPr="00A06F1E" w14:paraId="22CA7F08" w14:textId="77777777" w:rsidTr="006D2709">
        <w:trPr>
          <w:cnfStyle w:val="000000100000" w:firstRow="0" w:lastRow="0" w:firstColumn="0" w:lastColumn="0" w:oddVBand="0" w:evenVBand="0" w:oddHBand="1" w:evenHBand="0" w:firstRowFirstColumn="0" w:firstRowLastColumn="0" w:lastRowFirstColumn="0" w:lastRowLastColumn="0"/>
        </w:trPr>
        <w:tc>
          <w:tcPr>
            <w:tcW w:w="1097" w:type="pct"/>
          </w:tcPr>
          <w:p w14:paraId="2C388BE8"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High needs</w:t>
            </w:r>
          </w:p>
        </w:tc>
        <w:tc>
          <w:tcPr>
            <w:tcW w:w="411" w:type="pct"/>
            <w:vAlign w:val="center"/>
          </w:tcPr>
          <w:p w14:paraId="105C08AB" w14:textId="09B32DE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35C5433E" w14:textId="39F449D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6BB1610F" w14:textId="6BC07D1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1" w:type="pct"/>
            <w:vAlign w:val="center"/>
          </w:tcPr>
          <w:p w14:paraId="0EE57DD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23</w:t>
            </w:r>
          </w:p>
        </w:tc>
        <w:tc>
          <w:tcPr>
            <w:tcW w:w="362" w:type="pct"/>
            <w:vAlign w:val="center"/>
          </w:tcPr>
          <w:p w14:paraId="1519E259" w14:textId="528ABA1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62" w:type="pct"/>
            <w:vAlign w:val="center"/>
          </w:tcPr>
          <w:p w14:paraId="1D0D351E" w14:textId="2F12A235"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0" w:type="pct"/>
            <w:vAlign w:val="center"/>
          </w:tcPr>
          <w:p w14:paraId="1EBB900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46</w:t>
            </w:r>
          </w:p>
        </w:tc>
        <w:tc>
          <w:tcPr>
            <w:tcW w:w="318" w:type="pct"/>
            <w:vAlign w:val="center"/>
          </w:tcPr>
          <w:p w14:paraId="1C900A26" w14:textId="78E5A38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78" w:type="pct"/>
            <w:vAlign w:val="center"/>
          </w:tcPr>
          <w:p w14:paraId="5CE2057B" w14:textId="1CBEFE1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bottom"/>
          </w:tcPr>
          <w:p w14:paraId="65F929E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31</w:t>
            </w:r>
          </w:p>
        </w:tc>
      </w:tr>
      <w:tr w:rsidR="006D2709" w:rsidRPr="00A06F1E" w14:paraId="77D618FB" w14:textId="77777777" w:rsidTr="006D2709">
        <w:tc>
          <w:tcPr>
            <w:tcW w:w="1097" w:type="pct"/>
          </w:tcPr>
          <w:p w14:paraId="4D781B24"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Low income</w:t>
            </w:r>
          </w:p>
        </w:tc>
        <w:tc>
          <w:tcPr>
            <w:tcW w:w="411" w:type="pct"/>
            <w:vAlign w:val="center"/>
          </w:tcPr>
          <w:p w14:paraId="13B607A0" w14:textId="6627351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494F4CE8" w14:textId="092C80A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02463A93" w14:textId="0B517E7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1" w:type="pct"/>
            <w:vAlign w:val="center"/>
          </w:tcPr>
          <w:p w14:paraId="5B41C82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22</w:t>
            </w:r>
          </w:p>
        </w:tc>
        <w:tc>
          <w:tcPr>
            <w:tcW w:w="362" w:type="pct"/>
            <w:vAlign w:val="center"/>
          </w:tcPr>
          <w:p w14:paraId="05A88D90" w14:textId="506C3F6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62" w:type="pct"/>
            <w:vAlign w:val="center"/>
          </w:tcPr>
          <w:p w14:paraId="2E4B8E6D" w14:textId="63C8BBB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0" w:type="pct"/>
            <w:vAlign w:val="center"/>
          </w:tcPr>
          <w:p w14:paraId="23A3BF8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46</w:t>
            </w:r>
          </w:p>
        </w:tc>
        <w:tc>
          <w:tcPr>
            <w:tcW w:w="318" w:type="pct"/>
            <w:vAlign w:val="center"/>
          </w:tcPr>
          <w:p w14:paraId="5BF71593" w14:textId="26D633E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78" w:type="pct"/>
            <w:vAlign w:val="center"/>
          </w:tcPr>
          <w:p w14:paraId="31039473" w14:textId="0291BEE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bottom"/>
          </w:tcPr>
          <w:p w14:paraId="7162D6C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32</w:t>
            </w:r>
          </w:p>
        </w:tc>
      </w:tr>
      <w:tr w:rsidR="00AA3A77" w:rsidRPr="00A06F1E" w14:paraId="3FA85274" w14:textId="77777777" w:rsidTr="006D2709">
        <w:trPr>
          <w:cnfStyle w:val="000000100000" w:firstRow="0" w:lastRow="0" w:firstColumn="0" w:lastColumn="0" w:oddVBand="0" w:evenVBand="0" w:oddHBand="1" w:evenHBand="0" w:firstRowFirstColumn="0" w:firstRowLastColumn="0" w:lastRowFirstColumn="0" w:lastRowLastColumn="0"/>
        </w:trPr>
        <w:tc>
          <w:tcPr>
            <w:tcW w:w="1097" w:type="pct"/>
          </w:tcPr>
          <w:p w14:paraId="6B895815" w14:textId="77777777" w:rsidR="00B607BD" w:rsidRPr="00A06F1E" w:rsidRDefault="00B607BD" w:rsidP="00AA3A77">
            <w:pPr>
              <w:pStyle w:val="TableText"/>
              <w:spacing w:before="10" w:after="10"/>
              <w:rPr>
                <w:rFonts w:ascii="Franklin Gothic Book" w:hAnsi="Franklin Gothic Book"/>
                <w:spacing w:val="-4"/>
              </w:rPr>
            </w:pPr>
            <w:r w:rsidRPr="00A06F1E">
              <w:rPr>
                <w:rFonts w:ascii="Franklin Gothic Book" w:hAnsi="Franklin Gothic Book"/>
                <w:spacing w:val="-4"/>
              </w:rPr>
              <w:t>ELs and former ELs</w:t>
            </w:r>
          </w:p>
        </w:tc>
        <w:tc>
          <w:tcPr>
            <w:tcW w:w="411" w:type="pct"/>
            <w:vAlign w:val="center"/>
          </w:tcPr>
          <w:p w14:paraId="0F05040F" w14:textId="2C56185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4E79729D" w14:textId="7DF0625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242ECF99" w14:textId="09F9EFA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1" w:type="pct"/>
            <w:vAlign w:val="center"/>
          </w:tcPr>
          <w:p w14:paraId="32DEDCE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18</w:t>
            </w:r>
          </w:p>
        </w:tc>
        <w:tc>
          <w:tcPr>
            <w:tcW w:w="362" w:type="pct"/>
            <w:vAlign w:val="center"/>
          </w:tcPr>
          <w:p w14:paraId="2ACD45DD" w14:textId="546B0B11"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62" w:type="pct"/>
            <w:vAlign w:val="center"/>
          </w:tcPr>
          <w:p w14:paraId="1FFDEEC0" w14:textId="299476A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0" w:type="pct"/>
            <w:vAlign w:val="center"/>
          </w:tcPr>
          <w:p w14:paraId="6BBD0FD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43</w:t>
            </w:r>
          </w:p>
        </w:tc>
        <w:tc>
          <w:tcPr>
            <w:tcW w:w="318" w:type="pct"/>
            <w:vAlign w:val="center"/>
          </w:tcPr>
          <w:p w14:paraId="4F14BD7C" w14:textId="3F979DB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78" w:type="pct"/>
            <w:vAlign w:val="center"/>
          </w:tcPr>
          <w:p w14:paraId="69B621ED" w14:textId="368B0552"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bottom"/>
          </w:tcPr>
          <w:p w14:paraId="0B405FD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39</w:t>
            </w:r>
          </w:p>
        </w:tc>
      </w:tr>
      <w:tr w:rsidR="006D2709" w:rsidRPr="00A06F1E" w14:paraId="13DC5595" w14:textId="77777777" w:rsidTr="006D2709">
        <w:tc>
          <w:tcPr>
            <w:tcW w:w="1097" w:type="pct"/>
          </w:tcPr>
          <w:p w14:paraId="37700635"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Students w/disabilities</w:t>
            </w:r>
          </w:p>
        </w:tc>
        <w:tc>
          <w:tcPr>
            <w:tcW w:w="411" w:type="pct"/>
            <w:vAlign w:val="center"/>
          </w:tcPr>
          <w:p w14:paraId="5FAADF77" w14:textId="0E57F455"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394BCB9F" w14:textId="5F4516AD"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56" w:type="pct"/>
            <w:vAlign w:val="center"/>
          </w:tcPr>
          <w:p w14:paraId="2BCF621D" w14:textId="7883D4B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1" w:type="pct"/>
            <w:vAlign w:val="center"/>
          </w:tcPr>
          <w:p w14:paraId="4DF3B3B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14</w:t>
            </w:r>
          </w:p>
        </w:tc>
        <w:tc>
          <w:tcPr>
            <w:tcW w:w="362" w:type="pct"/>
            <w:vAlign w:val="center"/>
          </w:tcPr>
          <w:p w14:paraId="19429B19" w14:textId="748489EE"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62" w:type="pct"/>
            <w:vAlign w:val="center"/>
          </w:tcPr>
          <w:p w14:paraId="2B44CE39" w14:textId="1BAC6FAA"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0" w:type="pct"/>
            <w:vAlign w:val="center"/>
          </w:tcPr>
          <w:p w14:paraId="09A826C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40</w:t>
            </w:r>
          </w:p>
        </w:tc>
        <w:tc>
          <w:tcPr>
            <w:tcW w:w="318" w:type="pct"/>
            <w:vAlign w:val="center"/>
          </w:tcPr>
          <w:p w14:paraId="12E400AD" w14:textId="41449E81"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78" w:type="pct"/>
            <w:vAlign w:val="center"/>
          </w:tcPr>
          <w:p w14:paraId="4FFAADA9" w14:textId="00819B3A"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6" w:type="pct"/>
            <w:vAlign w:val="bottom"/>
          </w:tcPr>
          <w:p w14:paraId="5EE50AC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45</w:t>
            </w:r>
          </w:p>
        </w:tc>
      </w:tr>
    </w:tbl>
    <w:p w14:paraId="06CBF951" w14:textId="0B03A2CF" w:rsidR="00B607BD" w:rsidRPr="00A06F1E" w:rsidRDefault="00B607BD" w:rsidP="00B7722D">
      <w:pPr>
        <w:pStyle w:val="TabletitleSectionE"/>
      </w:pPr>
      <w:bookmarkStart w:id="262" w:name="_Toc170701957"/>
      <w:bookmarkStart w:id="263" w:name="_Toc171685794"/>
      <w:r w:rsidRPr="00A06F1E">
        <w:lastRenderedPageBreak/>
        <w:t>Table E5</w:t>
      </w:r>
      <w:r w:rsidR="008D4613">
        <w:t>c</w:t>
      </w:r>
      <w:r w:rsidR="00A228CB" w:rsidRPr="00A06F1E">
        <w:t xml:space="preserve"> Mahar Regional</w:t>
      </w:r>
      <w:r w:rsidR="00F3532E" w:rsidRPr="00A06F1E">
        <w:t>:</w:t>
      </w:r>
      <w:r w:rsidRPr="00A06F1E">
        <w:t xml:space="preserve"> Next-Generation MCAS Science Achievement by Student Group, Grades 5 and 8, 2022-2023</w:t>
      </w:r>
      <w:bookmarkEnd w:id="262"/>
      <w:bookmarkEnd w:id="263"/>
    </w:p>
    <w:tbl>
      <w:tblPr>
        <w:tblStyle w:val="MSVTable1"/>
        <w:tblW w:w="5003" w:type="pct"/>
        <w:tblLook w:val="0420" w:firstRow="1" w:lastRow="0" w:firstColumn="0" w:lastColumn="0" w:noHBand="0" w:noVBand="1"/>
      </w:tblPr>
      <w:tblGrid>
        <w:gridCol w:w="2839"/>
        <w:gridCol w:w="1065"/>
        <w:gridCol w:w="987"/>
        <w:gridCol w:w="987"/>
        <w:gridCol w:w="1313"/>
        <w:gridCol w:w="829"/>
        <w:gridCol w:w="891"/>
        <w:gridCol w:w="1251"/>
        <w:gridCol w:w="767"/>
        <w:gridCol w:w="767"/>
        <w:gridCol w:w="1256"/>
      </w:tblGrid>
      <w:tr w:rsidR="00B607BD" w:rsidRPr="00A06F1E" w14:paraId="165511D4"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1096" w:type="pct"/>
            <w:vMerge w:val="restart"/>
            <w:vAlign w:val="center"/>
          </w:tcPr>
          <w:p w14:paraId="5A285724" w14:textId="77777777" w:rsidR="00B607BD" w:rsidRPr="00A06F1E" w:rsidRDefault="00B607BD" w:rsidP="00AA3A77">
            <w:pPr>
              <w:pStyle w:val="TableColHeadingLeft"/>
              <w:spacing w:before="10" w:after="10"/>
              <w:jc w:val="center"/>
            </w:pPr>
            <w:r w:rsidRPr="00A06F1E">
              <w:t>Group</w:t>
            </w:r>
          </w:p>
        </w:tc>
        <w:tc>
          <w:tcPr>
            <w:tcW w:w="411" w:type="pct"/>
            <w:vMerge w:val="restart"/>
            <w:vAlign w:val="center"/>
          </w:tcPr>
          <w:p w14:paraId="58A3DB31" w14:textId="4F7B3D94" w:rsidR="00B607BD" w:rsidRPr="00A06F1E" w:rsidRDefault="00B607BD" w:rsidP="00AA3A77">
            <w:pPr>
              <w:pStyle w:val="TableColHeadingCenter"/>
              <w:spacing w:before="10" w:after="10"/>
            </w:pPr>
            <w:r w:rsidRPr="00A06F1E">
              <w:t xml:space="preserve"># </w:t>
            </w:r>
            <w:r w:rsidR="00043517" w:rsidRPr="00A06F1E">
              <w:t>i</w:t>
            </w:r>
            <w:r w:rsidRPr="00A06F1E">
              <w:t>ncluded (2023)</w:t>
            </w:r>
          </w:p>
        </w:tc>
        <w:tc>
          <w:tcPr>
            <w:tcW w:w="1269" w:type="pct"/>
            <w:gridSpan w:val="3"/>
            <w:vAlign w:val="bottom"/>
          </w:tcPr>
          <w:p w14:paraId="211CBBD9" w14:textId="45F632DB" w:rsidR="00B607BD" w:rsidRPr="00A06F1E" w:rsidRDefault="00A228CB" w:rsidP="00AA3A77">
            <w:pPr>
              <w:pStyle w:val="TableColHeadingCenter"/>
              <w:spacing w:before="10" w:after="10"/>
            </w:pPr>
            <w:r w:rsidRPr="00A06F1E">
              <w:t>Percentage</w:t>
            </w:r>
            <w:r w:rsidR="00B607BD" w:rsidRPr="00A06F1E">
              <w:t xml:space="preserve"> meeting or exceeding expectations</w:t>
            </w:r>
          </w:p>
        </w:tc>
        <w:tc>
          <w:tcPr>
            <w:tcW w:w="1147" w:type="pct"/>
            <w:gridSpan w:val="3"/>
            <w:vAlign w:val="center"/>
          </w:tcPr>
          <w:p w14:paraId="665F2D86" w14:textId="1109C391" w:rsidR="00B607BD" w:rsidRPr="00A06F1E" w:rsidRDefault="00A228CB" w:rsidP="00AA3A77">
            <w:pPr>
              <w:pStyle w:val="TableColHeadingCenter"/>
              <w:spacing w:before="10" w:after="10"/>
            </w:pPr>
            <w:r w:rsidRPr="00A06F1E">
              <w:t>Percentage</w:t>
            </w:r>
            <w:r w:rsidR="00B607BD" w:rsidRPr="00A06F1E">
              <w:t xml:space="preserve"> partially meeting expectations</w:t>
            </w:r>
          </w:p>
        </w:tc>
        <w:tc>
          <w:tcPr>
            <w:tcW w:w="1077" w:type="pct"/>
            <w:gridSpan w:val="3"/>
            <w:vAlign w:val="center"/>
          </w:tcPr>
          <w:p w14:paraId="6C6268A2" w14:textId="3EA05A82" w:rsidR="00B607BD" w:rsidRPr="00A06F1E" w:rsidRDefault="00A228CB" w:rsidP="00AA3A77">
            <w:pPr>
              <w:pStyle w:val="TableColHeadingCenter"/>
              <w:spacing w:before="10" w:after="10"/>
            </w:pPr>
            <w:r w:rsidRPr="00A06F1E">
              <w:t>Percentage</w:t>
            </w:r>
            <w:r w:rsidR="00B607BD" w:rsidRPr="00A06F1E">
              <w:t xml:space="preserve"> not meeting expectations</w:t>
            </w:r>
          </w:p>
        </w:tc>
      </w:tr>
      <w:tr w:rsidR="006D2709" w:rsidRPr="00A06F1E" w14:paraId="3143CF0D"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1096" w:type="pct"/>
            <w:vMerge/>
            <w:vAlign w:val="bottom"/>
          </w:tcPr>
          <w:p w14:paraId="5899B8F9" w14:textId="77777777" w:rsidR="00B607BD" w:rsidRPr="00A06F1E" w:rsidRDefault="00B607BD" w:rsidP="00AA3A77">
            <w:pPr>
              <w:pStyle w:val="TableColHeadingCenter"/>
              <w:spacing w:before="10" w:after="10"/>
            </w:pPr>
          </w:p>
        </w:tc>
        <w:tc>
          <w:tcPr>
            <w:tcW w:w="411" w:type="pct"/>
            <w:vMerge/>
            <w:vAlign w:val="bottom"/>
          </w:tcPr>
          <w:p w14:paraId="1C5A02D3" w14:textId="77777777" w:rsidR="00B607BD" w:rsidRPr="00A06F1E" w:rsidRDefault="00B607BD" w:rsidP="00AA3A77">
            <w:pPr>
              <w:pStyle w:val="TableColHeadingCenter"/>
              <w:spacing w:before="10" w:after="10"/>
            </w:pPr>
          </w:p>
        </w:tc>
        <w:tc>
          <w:tcPr>
            <w:tcW w:w="381" w:type="pct"/>
            <w:vAlign w:val="center"/>
          </w:tcPr>
          <w:p w14:paraId="442B0E60" w14:textId="77777777" w:rsidR="00B607BD" w:rsidRPr="00A06F1E" w:rsidRDefault="00B607BD" w:rsidP="00AA3A77">
            <w:pPr>
              <w:pStyle w:val="TableColHeadingCenter"/>
              <w:spacing w:before="10" w:after="10"/>
            </w:pPr>
            <w:r w:rsidRPr="00A06F1E">
              <w:t>2022</w:t>
            </w:r>
          </w:p>
        </w:tc>
        <w:tc>
          <w:tcPr>
            <w:tcW w:w="381" w:type="pct"/>
            <w:vAlign w:val="center"/>
          </w:tcPr>
          <w:p w14:paraId="42D35BC8" w14:textId="77777777" w:rsidR="00B607BD" w:rsidRPr="00A06F1E" w:rsidRDefault="00B607BD" w:rsidP="00AA3A77">
            <w:pPr>
              <w:pStyle w:val="TableColHeadingCenter"/>
              <w:spacing w:before="10" w:after="10"/>
            </w:pPr>
            <w:r w:rsidRPr="00A06F1E">
              <w:t>2023</w:t>
            </w:r>
          </w:p>
        </w:tc>
        <w:tc>
          <w:tcPr>
            <w:tcW w:w="507" w:type="pct"/>
            <w:vAlign w:val="center"/>
          </w:tcPr>
          <w:p w14:paraId="4174D881" w14:textId="77777777" w:rsidR="00B607BD" w:rsidRPr="00A06F1E" w:rsidRDefault="00B607BD" w:rsidP="00AA3A77">
            <w:pPr>
              <w:pStyle w:val="TableColHeadingCenter"/>
              <w:spacing w:before="10" w:after="10"/>
            </w:pPr>
            <w:r w:rsidRPr="00A06F1E">
              <w:t>State (2023)</w:t>
            </w:r>
          </w:p>
        </w:tc>
        <w:tc>
          <w:tcPr>
            <w:tcW w:w="320" w:type="pct"/>
            <w:vAlign w:val="center"/>
          </w:tcPr>
          <w:p w14:paraId="3AA2A654" w14:textId="77777777" w:rsidR="00B607BD" w:rsidRPr="00A06F1E" w:rsidRDefault="00B607BD" w:rsidP="00AA3A77">
            <w:pPr>
              <w:pStyle w:val="TableColHeadingCenter"/>
              <w:spacing w:before="10" w:after="10"/>
            </w:pPr>
            <w:r w:rsidRPr="00A06F1E">
              <w:t>2022</w:t>
            </w:r>
          </w:p>
        </w:tc>
        <w:tc>
          <w:tcPr>
            <w:tcW w:w="344" w:type="pct"/>
            <w:vAlign w:val="center"/>
          </w:tcPr>
          <w:p w14:paraId="0CD3B9B6" w14:textId="77777777" w:rsidR="00B607BD" w:rsidRPr="00A06F1E" w:rsidRDefault="00B607BD" w:rsidP="00AA3A77">
            <w:pPr>
              <w:pStyle w:val="TableColHeadingCenter"/>
              <w:spacing w:before="10" w:after="10"/>
            </w:pPr>
            <w:r w:rsidRPr="00A06F1E">
              <w:t>2023</w:t>
            </w:r>
          </w:p>
        </w:tc>
        <w:tc>
          <w:tcPr>
            <w:tcW w:w="483" w:type="pct"/>
            <w:vAlign w:val="center"/>
          </w:tcPr>
          <w:p w14:paraId="318842C0" w14:textId="77777777" w:rsidR="00B607BD" w:rsidRPr="00A06F1E" w:rsidRDefault="00B607BD" w:rsidP="00AA3A77">
            <w:pPr>
              <w:pStyle w:val="TableColHeadingCenter"/>
              <w:spacing w:before="10" w:after="10"/>
            </w:pPr>
            <w:r w:rsidRPr="00A06F1E">
              <w:t>State (2023)</w:t>
            </w:r>
          </w:p>
        </w:tc>
        <w:tc>
          <w:tcPr>
            <w:tcW w:w="296" w:type="pct"/>
            <w:vAlign w:val="center"/>
          </w:tcPr>
          <w:p w14:paraId="53758C1A" w14:textId="77777777" w:rsidR="00B607BD" w:rsidRPr="00A06F1E" w:rsidRDefault="00B607BD" w:rsidP="00AA3A77">
            <w:pPr>
              <w:pStyle w:val="TableColHeadingCenter"/>
              <w:spacing w:before="10" w:after="10"/>
            </w:pPr>
            <w:r w:rsidRPr="00A06F1E">
              <w:t>2022</w:t>
            </w:r>
          </w:p>
        </w:tc>
        <w:tc>
          <w:tcPr>
            <w:tcW w:w="296" w:type="pct"/>
            <w:vAlign w:val="center"/>
          </w:tcPr>
          <w:p w14:paraId="5F8C9ECE" w14:textId="77777777" w:rsidR="00B607BD" w:rsidRPr="00A06F1E" w:rsidRDefault="00B607BD" w:rsidP="00AA3A77">
            <w:pPr>
              <w:pStyle w:val="TableColHeadingCenter"/>
              <w:spacing w:before="10" w:after="10"/>
            </w:pPr>
            <w:r w:rsidRPr="00A06F1E">
              <w:t>2023</w:t>
            </w:r>
          </w:p>
        </w:tc>
        <w:tc>
          <w:tcPr>
            <w:tcW w:w="485" w:type="pct"/>
            <w:vAlign w:val="center"/>
          </w:tcPr>
          <w:p w14:paraId="30B52B1D" w14:textId="77777777" w:rsidR="00B607BD" w:rsidRPr="00A06F1E" w:rsidRDefault="00B607BD" w:rsidP="00AA3A77">
            <w:pPr>
              <w:pStyle w:val="TableColHeadingCenter"/>
              <w:spacing w:before="10" w:after="10"/>
            </w:pPr>
            <w:r w:rsidRPr="00A06F1E">
              <w:t>State (2023)</w:t>
            </w:r>
          </w:p>
        </w:tc>
      </w:tr>
      <w:tr w:rsidR="006D2709" w:rsidRPr="00A06F1E" w14:paraId="62EEB3E9" w14:textId="77777777" w:rsidTr="006D2709">
        <w:trPr>
          <w:cnfStyle w:val="000000100000" w:firstRow="0" w:lastRow="0" w:firstColumn="0" w:lastColumn="0" w:oddVBand="0" w:evenVBand="0" w:oddHBand="1" w:evenHBand="0" w:firstRowFirstColumn="0" w:firstRowLastColumn="0" w:lastRowFirstColumn="0" w:lastRowLastColumn="0"/>
        </w:trPr>
        <w:tc>
          <w:tcPr>
            <w:tcW w:w="1096" w:type="pct"/>
          </w:tcPr>
          <w:p w14:paraId="116B058F"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All</w:t>
            </w:r>
          </w:p>
        </w:tc>
        <w:tc>
          <w:tcPr>
            <w:tcW w:w="411" w:type="pct"/>
            <w:vAlign w:val="center"/>
          </w:tcPr>
          <w:p w14:paraId="51C0FEA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97</w:t>
            </w:r>
          </w:p>
        </w:tc>
        <w:tc>
          <w:tcPr>
            <w:tcW w:w="381" w:type="pct"/>
            <w:vAlign w:val="center"/>
          </w:tcPr>
          <w:p w14:paraId="73F59C3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37</w:t>
            </w:r>
          </w:p>
        </w:tc>
        <w:tc>
          <w:tcPr>
            <w:tcW w:w="381" w:type="pct"/>
            <w:vAlign w:val="center"/>
          </w:tcPr>
          <w:p w14:paraId="3075C9A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45</w:t>
            </w:r>
          </w:p>
        </w:tc>
        <w:tc>
          <w:tcPr>
            <w:tcW w:w="507" w:type="pct"/>
            <w:vAlign w:val="center"/>
          </w:tcPr>
          <w:p w14:paraId="31C530C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41</w:t>
            </w:r>
          </w:p>
        </w:tc>
        <w:tc>
          <w:tcPr>
            <w:tcW w:w="320" w:type="pct"/>
            <w:vAlign w:val="center"/>
          </w:tcPr>
          <w:p w14:paraId="74ED35D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42</w:t>
            </w:r>
          </w:p>
        </w:tc>
        <w:tc>
          <w:tcPr>
            <w:tcW w:w="344" w:type="pct"/>
            <w:vAlign w:val="center"/>
          </w:tcPr>
          <w:p w14:paraId="4B3709A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38</w:t>
            </w:r>
          </w:p>
        </w:tc>
        <w:tc>
          <w:tcPr>
            <w:tcW w:w="483" w:type="pct"/>
            <w:vAlign w:val="center"/>
          </w:tcPr>
          <w:p w14:paraId="197A9E2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40</w:t>
            </w:r>
          </w:p>
        </w:tc>
        <w:tc>
          <w:tcPr>
            <w:tcW w:w="296" w:type="pct"/>
            <w:vAlign w:val="center"/>
          </w:tcPr>
          <w:p w14:paraId="1011ADB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21</w:t>
            </w:r>
          </w:p>
        </w:tc>
        <w:tc>
          <w:tcPr>
            <w:tcW w:w="296" w:type="pct"/>
            <w:vAlign w:val="center"/>
          </w:tcPr>
          <w:p w14:paraId="1140EDE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16</w:t>
            </w:r>
          </w:p>
        </w:tc>
        <w:tc>
          <w:tcPr>
            <w:tcW w:w="485" w:type="pct"/>
            <w:vAlign w:val="bottom"/>
          </w:tcPr>
          <w:p w14:paraId="02F3ED9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19</w:t>
            </w:r>
          </w:p>
        </w:tc>
      </w:tr>
      <w:tr w:rsidR="006D2709" w:rsidRPr="00A06F1E" w14:paraId="768C1B3F" w14:textId="77777777" w:rsidTr="006D2709">
        <w:tc>
          <w:tcPr>
            <w:tcW w:w="1096" w:type="pct"/>
          </w:tcPr>
          <w:p w14:paraId="7A78EDBA"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African American/Black</w:t>
            </w:r>
          </w:p>
        </w:tc>
        <w:tc>
          <w:tcPr>
            <w:tcW w:w="411" w:type="pct"/>
            <w:vAlign w:val="center"/>
          </w:tcPr>
          <w:p w14:paraId="0C44E1A0" w14:textId="28BCF5F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49905DB6" w14:textId="74358655"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4267FDDD" w14:textId="446F572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507" w:type="pct"/>
            <w:vAlign w:val="center"/>
          </w:tcPr>
          <w:p w14:paraId="2A82CC9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21</w:t>
            </w:r>
          </w:p>
        </w:tc>
        <w:tc>
          <w:tcPr>
            <w:tcW w:w="320" w:type="pct"/>
            <w:vAlign w:val="center"/>
          </w:tcPr>
          <w:p w14:paraId="76EFBDBB" w14:textId="7E6F38C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4" w:type="pct"/>
            <w:vAlign w:val="center"/>
          </w:tcPr>
          <w:p w14:paraId="664E98F5" w14:textId="0BE1FA52"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center"/>
          </w:tcPr>
          <w:p w14:paraId="704EC9B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47</w:t>
            </w:r>
          </w:p>
        </w:tc>
        <w:tc>
          <w:tcPr>
            <w:tcW w:w="296" w:type="pct"/>
            <w:vAlign w:val="center"/>
          </w:tcPr>
          <w:p w14:paraId="199E5697" w14:textId="774CCEF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96" w:type="pct"/>
            <w:vAlign w:val="center"/>
          </w:tcPr>
          <w:p w14:paraId="6A6CAD4E" w14:textId="58ACB5E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5" w:type="pct"/>
            <w:vAlign w:val="bottom"/>
          </w:tcPr>
          <w:p w14:paraId="664169F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32</w:t>
            </w:r>
          </w:p>
        </w:tc>
      </w:tr>
      <w:tr w:rsidR="006D2709" w:rsidRPr="00A06F1E" w14:paraId="1D979A88" w14:textId="77777777" w:rsidTr="006D2709">
        <w:trPr>
          <w:cnfStyle w:val="000000100000" w:firstRow="0" w:lastRow="0" w:firstColumn="0" w:lastColumn="0" w:oddVBand="0" w:evenVBand="0" w:oddHBand="1" w:evenHBand="0" w:firstRowFirstColumn="0" w:firstRowLastColumn="0" w:lastRowFirstColumn="0" w:lastRowLastColumn="0"/>
        </w:trPr>
        <w:tc>
          <w:tcPr>
            <w:tcW w:w="1096" w:type="pct"/>
          </w:tcPr>
          <w:p w14:paraId="77FE4841"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Asian</w:t>
            </w:r>
          </w:p>
        </w:tc>
        <w:tc>
          <w:tcPr>
            <w:tcW w:w="411" w:type="pct"/>
            <w:vAlign w:val="center"/>
          </w:tcPr>
          <w:p w14:paraId="7126D5EE" w14:textId="74CAD5D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79E9F016" w14:textId="247AE6D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1EAC7A19" w14:textId="19F757A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507" w:type="pct"/>
            <w:vAlign w:val="center"/>
          </w:tcPr>
          <w:p w14:paraId="59D4DF8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65</w:t>
            </w:r>
          </w:p>
        </w:tc>
        <w:tc>
          <w:tcPr>
            <w:tcW w:w="320" w:type="pct"/>
            <w:vAlign w:val="center"/>
          </w:tcPr>
          <w:p w14:paraId="56904510" w14:textId="40EB1B7B"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4" w:type="pct"/>
            <w:vAlign w:val="center"/>
          </w:tcPr>
          <w:p w14:paraId="77B65CC9" w14:textId="168A07CA"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center"/>
          </w:tcPr>
          <w:p w14:paraId="2A12936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27</w:t>
            </w:r>
          </w:p>
        </w:tc>
        <w:tc>
          <w:tcPr>
            <w:tcW w:w="296" w:type="pct"/>
            <w:vAlign w:val="center"/>
          </w:tcPr>
          <w:p w14:paraId="25AD2D49" w14:textId="48599C8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96" w:type="pct"/>
            <w:vAlign w:val="center"/>
          </w:tcPr>
          <w:p w14:paraId="7FAF07B5" w14:textId="30D6160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5" w:type="pct"/>
            <w:vAlign w:val="bottom"/>
          </w:tcPr>
          <w:p w14:paraId="78C7A1D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8</w:t>
            </w:r>
          </w:p>
        </w:tc>
      </w:tr>
      <w:tr w:rsidR="006D2709" w:rsidRPr="00A06F1E" w14:paraId="6E47F8DD" w14:textId="77777777" w:rsidTr="006D2709">
        <w:tc>
          <w:tcPr>
            <w:tcW w:w="1096" w:type="pct"/>
          </w:tcPr>
          <w:p w14:paraId="5C101185"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Hispanic/Latino</w:t>
            </w:r>
          </w:p>
        </w:tc>
        <w:tc>
          <w:tcPr>
            <w:tcW w:w="411" w:type="pct"/>
            <w:vAlign w:val="center"/>
          </w:tcPr>
          <w:p w14:paraId="6F7D0B68" w14:textId="201896A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2B2B8AC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30</w:t>
            </w:r>
          </w:p>
        </w:tc>
        <w:tc>
          <w:tcPr>
            <w:tcW w:w="381" w:type="pct"/>
            <w:vAlign w:val="center"/>
          </w:tcPr>
          <w:p w14:paraId="40786AE2" w14:textId="6A57C19B"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507" w:type="pct"/>
            <w:vAlign w:val="center"/>
          </w:tcPr>
          <w:p w14:paraId="66A9317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20</w:t>
            </w:r>
          </w:p>
        </w:tc>
        <w:tc>
          <w:tcPr>
            <w:tcW w:w="320" w:type="pct"/>
            <w:vAlign w:val="center"/>
          </w:tcPr>
          <w:p w14:paraId="03DBD2D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40</w:t>
            </w:r>
          </w:p>
        </w:tc>
        <w:tc>
          <w:tcPr>
            <w:tcW w:w="344" w:type="pct"/>
            <w:vAlign w:val="center"/>
          </w:tcPr>
          <w:p w14:paraId="23343A74" w14:textId="43AB41B5"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center"/>
          </w:tcPr>
          <w:p w14:paraId="25B33E6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45</w:t>
            </w:r>
          </w:p>
        </w:tc>
        <w:tc>
          <w:tcPr>
            <w:tcW w:w="296" w:type="pct"/>
            <w:vAlign w:val="center"/>
          </w:tcPr>
          <w:p w14:paraId="686D82C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30</w:t>
            </w:r>
          </w:p>
        </w:tc>
        <w:tc>
          <w:tcPr>
            <w:tcW w:w="296" w:type="pct"/>
            <w:vAlign w:val="center"/>
          </w:tcPr>
          <w:p w14:paraId="4C3E0CB1" w14:textId="1C0493E6"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5" w:type="pct"/>
            <w:vAlign w:val="bottom"/>
          </w:tcPr>
          <w:p w14:paraId="0379AF5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35</w:t>
            </w:r>
          </w:p>
        </w:tc>
      </w:tr>
      <w:tr w:rsidR="006D2709" w:rsidRPr="00A06F1E" w14:paraId="5CEA8820" w14:textId="77777777" w:rsidTr="006D2709">
        <w:trPr>
          <w:cnfStyle w:val="000000100000" w:firstRow="0" w:lastRow="0" w:firstColumn="0" w:lastColumn="0" w:oddVBand="0" w:evenVBand="0" w:oddHBand="1" w:evenHBand="0" w:firstRowFirstColumn="0" w:firstRowLastColumn="0" w:lastRowFirstColumn="0" w:lastRowLastColumn="0"/>
        </w:trPr>
        <w:tc>
          <w:tcPr>
            <w:tcW w:w="1096" w:type="pct"/>
          </w:tcPr>
          <w:p w14:paraId="5A231DD6"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cstheme="minorHAnsi"/>
              </w:rPr>
              <w:t>Multi-Race, non-Hispanic/Latino</w:t>
            </w:r>
          </w:p>
        </w:tc>
        <w:tc>
          <w:tcPr>
            <w:tcW w:w="411" w:type="pct"/>
            <w:vAlign w:val="center"/>
          </w:tcPr>
          <w:p w14:paraId="103C75C9" w14:textId="76AA9B8B"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7A7F47BA" w14:textId="0A1E1E2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7FEFB51C" w14:textId="4077A55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507" w:type="pct"/>
            <w:vAlign w:val="center"/>
          </w:tcPr>
          <w:p w14:paraId="2A03EDD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47</w:t>
            </w:r>
          </w:p>
        </w:tc>
        <w:tc>
          <w:tcPr>
            <w:tcW w:w="320" w:type="pct"/>
            <w:vAlign w:val="center"/>
          </w:tcPr>
          <w:p w14:paraId="73C7C530" w14:textId="490EFF61"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4" w:type="pct"/>
            <w:vAlign w:val="center"/>
          </w:tcPr>
          <w:p w14:paraId="51E4C736" w14:textId="5F6800FB"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center"/>
          </w:tcPr>
          <w:p w14:paraId="50BB375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37</w:t>
            </w:r>
          </w:p>
        </w:tc>
        <w:tc>
          <w:tcPr>
            <w:tcW w:w="296" w:type="pct"/>
            <w:vAlign w:val="center"/>
          </w:tcPr>
          <w:p w14:paraId="3947AEF8" w14:textId="33FA87B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96" w:type="pct"/>
            <w:vAlign w:val="center"/>
          </w:tcPr>
          <w:p w14:paraId="0E10452D" w14:textId="2D35F60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5" w:type="pct"/>
            <w:vAlign w:val="bottom"/>
          </w:tcPr>
          <w:p w14:paraId="213A841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15</w:t>
            </w:r>
          </w:p>
        </w:tc>
      </w:tr>
      <w:tr w:rsidR="006D2709" w:rsidRPr="00A06F1E" w14:paraId="2E2247E2" w14:textId="77777777" w:rsidTr="006D2709">
        <w:tc>
          <w:tcPr>
            <w:tcW w:w="1096" w:type="pct"/>
          </w:tcPr>
          <w:p w14:paraId="2C7513AF"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Native American</w:t>
            </w:r>
          </w:p>
        </w:tc>
        <w:tc>
          <w:tcPr>
            <w:tcW w:w="411" w:type="pct"/>
            <w:vAlign w:val="center"/>
          </w:tcPr>
          <w:p w14:paraId="2280F52C" w14:textId="0A2BAC35"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484A4F3B" w14:textId="487A1BE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65CE77C1" w14:textId="0F8E7FE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507" w:type="pct"/>
            <w:vAlign w:val="center"/>
          </w:tcPr>
          <w:p w14:paraId="3CD5017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31</w:t>
            </w:r>
          </w:p>
        </w:tc>
        <w:tc>
          <w:tcPr>
            <w:tcW w:w="320" w:type="pct"/>
            <w:vAlign w:val="center"/>
          </w:tcPr>
          <w:p w14:paraId="52A68168" w14:textId="68CCD5B2"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4" w:type="pct"/>
            <w:vAlign w:val="center"/>
          </w:tcPr>
          <w:p w14:paraId="58BF55AF" w14:textId="152EEA4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center"/>
          </w:tcPr>
          <w:p w14:paraId="3F4711C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44</w:t>
            </w:r>
          </w:p>
        </w:tc>
        <w:tc>
          <w:tcPr>
            <w:tcW w:w="296" w:type="pct"/>
            <w:vAlign w:val="center"/>
          </w:tcPr>
          <w:p w14:paraId="2482257C" w14:textId="43DE6CC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96" w:type="pct"/>
            <w:vAlign w:val="center"/>
          </w:tcPr>
          <w:p w14:paraId="2FE4DB3E" w14:textId="46FEDC1D"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5" w:type="pct"/>
            <w:vAlign w:val="bottom"/>
          </w:tcPr>
          <w:p w14:paraId="79BBA12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25</w:t>
            </w:r>
          </w:p>
        </w:tc>
      </w:tr>
      <w:tr w:rsidR="006D2709" w:rsidRPr="00A06F1E" w14:paraId="75B3FE15" w14:textId="77777777" w:rsidTr="006D2709">
        <w:trPr>
          <w:cnfStyle w:val="000000100000" w:firstRow="0" w:lastRow="0" w:firstColumn="0" w:lastColumn="0" w:oddVBand="0" w:evenVBand="0" w:oddHBand="1" w:evenHBand="0" w:firstRowFirstColumn="0" w:firstRowLastColumn="0" w:lastRowFirstColumn="0" w:lastRowLastColumn="0"/>
        </w:trPr>
        <w:tc>
          <w:tcPr>
            <w:tcW w:w="1096" w:type="pct"/>
          </w:tcPr>
          <w:p w14:paraId="742C8689" w14:textId="77777777" w:rsidR="00B607BD" w:rsidRPr="00A06F1E" w:rsidRDefault="00B607BD" w:rsidP="00AA3A77">
            <w:pPr>
              <w:pStyle w:val="TableText"/>
              <w:spacing w:before="10" w:after="10"/>
              <w:rPr>
                <w:rFonts w:ascii="Franklin Gothic Book" w:hAnsi="Franklin Gothic Book"/>
                <w:spacing w:val="-4"/>
              </w:rPr>
            </w:pPr>
            <w:r w:rsidRPr="00A06F1E">
              <w:rPr>
                <w:rFonts w:ascii="Franklin Gothic Book" w:hAnsi="Franklin Gothic Book"/>
                <w:spacing w:val="-4"/>
              </w:rPr>
              <w:t>Native Hawaiian, Pacific Islander</w:t>
            </w:r>
          </w:p>
        </w:tc>
        <w:tc>
          <w:tcPr>
            <w:tcW w:w="411" w:type="pct"/>
            <w:vAlign w:val="center"/>
          </w:tcPr>
          <w:p w14:paraId="6B322303" w14:textId="3A4F209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7D7623FF" w14:textId="08A356A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384FDBDB" w14:textId="7D40AEF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507" w:type="pct"/>
            <w:vAlign w:val="center"/>
          </w:tcPr>
          <w:p w14:paraId="6AB241E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43</w:t>
            </w:r>
          </w:p>
        </w:tc>
        <w:tc>
          <w:tcPr>
            <w:tcW w:w="320" w:type="pct"/>
            <w:vAlign w:val="center"/>
          </w:tcPr>
          <w:p w14:paraId="53969FCB" w14:textId="3585398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4" w:type="pct"/>
            <w:vAlign w:val="center"/>
          </w:tcPr>
          <w:p w14:paraId="547D1206" w14:textId="52FDF84B"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center"/>
          </w:tcPr>
          <w:p w14:paraId="5D2963D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41</w:t>
            </w:r>
          </w:p>
        </w:tc>
        <w:tc>
          <w:tcPr>
            <w:tcW w:w="296" w:type="pct"/>
            <w:vAlign w:val="center"/>
          </w:tcPr>
          <w:p w14:paraId="17E926E0" w14:textId="742B2AD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96" w:type="pct"/>
            <w:vAlign w:val="center"/>
          </w:tcPr>
          <w:p w14:paraId="66851014" w14:textId="3716580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5" w:type="pct"/>
            <w:vAlign w:val="bottom"/>
          </w:tcPr>
          <w:p w14:paraId="19C6ABA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16</w:t>
            </w:r>
          </w:p>
        </w:tc>
      </w:tr>
      <w:tr w:rsidR="006D2709" w:rsidRPr="00A06F1E" w14:paraId="2D794146" w14:textId="77777777" w:rsidTr="006D2709">
        <w:tc>
          <w:tcPr>
            <w:tcW w:w="1096" w:type="pct"/>
          </w:tcPr>
          <w:p w14:paraId="1527525C"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White</w:t>
            </w:r>
          </w:p>
        </w:tc>
        <w:tc>
          <w:tcPr>
            <w:tcW w:w="411" w:type="pct"/>
            <w:vAlign w:val="center"/>
          </w:tcPr>
          <w:p w14:paraId="208F481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85</w:t>
            </w:r>
          </w:p>
        </w:tc>
        <w:tc>
          <w:tcPr>
            <w:tcW w:w="381" w:type="pct"/>
            <w:vAlign w:val="center"/>
          </w:tcPr>
          <w:p w14:paraId="33CDB52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38</w:t>
            </w:r>
          </w:p>
        </w:tc>
        <w:tc>
          <w:tcPr>
            <w:tcW w:w="381" w:type="pct"/>
            <w:vAlign w:val="center"/>
          </w:tcPr>
          <w:p w14:paraId="75ABA3B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48</w:t>
            </w:r>
          </w:p>
        </w:tc>
        <w:tc>
          <w:tcPr>
            <w:tcW w:w="507" w:type="pct"/>
            <w:vAlign w:val="center"/>
          </w:tcPr>
          <w:p w14:paraId="54B4515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50</w:t>
            </w:r>
          </w:p>
        </w:tc>
        <w:tc>
          <w:tcPr>
            <w:tcW w:w="320" w:type="pct"/>
            <w:vAlign w:val="center"/>
          </w:tcPr>
          <w:p w14:paraId="24A1306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40</w:t>
            </w:r>
          </w:p>
        </w:tc>
        <w:tc>
          <w:tcPr>
            <w:tcW w:w="344" w:type="pct"/>
            <w:vAlign w:val="center"/>
          </w:tcPr>
          <w:p w14:paraId="56C9AE7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36</w:t>
            </w:r>
          </w:p>
        </w:tc>
        <w:tc>
          <w:tcPr>
            <w:tcW w:w="483" w:type="pct"/>
            <w:vAlign w:val="center"/>
          </w:tcPr>
          <w:p w14:paraId="1235D72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38</w:t>
            </w:r>
          </w:p>
        </w:tc>
        <w:tc>
          <w:tcPr>
            <w:tcW w:w="296" w:type="pct"/>
            <w:vAlign w:val="center"/>
          </w:tcPr>
          <w:p w14:paraId="368CC70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22</w:t>
            </w:r>
          </w:p>
        </w:tc>
        <w:tc>
          <w:tcPr>
            <w:tcW w:w="296" w:type="pct"/>
            <w:vAlign w:val="center"/>
          </w:tcPr>
          <w:p w14:paraId="51BCC7D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15</w:t>
            </w:r>
          </w:p>
        </w:tc>
        <w:tc>
          <w:tcPr>
            <w:tcW w:w="485" w:type="pct"/>
            <w:vAlign w:val="bottom"/>
          </w:tcPr>
          <w:p w14:paraId="524B4A9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11</w:t>
            </w:r>
          </w:p>
        </w:tc>
      </w:tr>
      <w:tr w:rsidR="006D2709" w:rsidRPr="00A06F1E" w14:paraId="04416CD9" w14:textId="77777777" w:rsidTr="006D2709">
        <w:trPr>
          <w:cnfStyle w:val="000000100000" w:firstRow="0" w:lastRow="0" w:firstColumn="0" w:lastColumn="0" w:oddVBand="0" w:evenVBand="0" w:oddHBand="1" w:evenHBand="0" w:firstRowFirstColumn="0" w:firstRowLastColumn="0" w:lastRowFirstColumn="0" w:lastRowLastColumn="0"/>
        </w:trPr>
        <w:tc>
          <w:tcPr>
            <w:tcW w:w="1096" w:type="pct"/>
          </w:tcPr>
          <w:p w14:paraId="1FC9D9AC"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High needs</w:t>
            </w:r>
          </w:p>
        </w:tc>
        <w:tc>
          <w:tcPr>
            <w:tcW w:w="411" w:type="pct"/>
            <w:vAlign w:val="center"/>
          </w:tcPr>
          <w:p w14:paraId="1DB05AA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59</w:t>
            </w:r>
          </w:p>
        </w:tc>
        <w:tc>
          <w:tcPr>
            <w:tcW w:w="381" w:type="pct"/>
            <w:vAlign w:val="center"/>
          </w:tcPr>
          <w:p w14:paraId="119270D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31</w:t>
            </w:r>
          </w:p>
        </w:tc>
        <w:tc>
          <w:tcPr>
            <w:tcW w:w="381" w:type="pct"/>
            <w:vAlign w:val="center"/>
          </w:tcPr>
          <w:p w14:paraId="3A00B0F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32</w:t>
            </w:r>
          </w:p>
        </w:tc>
        <w:tc>
          <w:tcPr>
            <w:tcW w:w="507" w:type="pct"/>
            <w:vAlign w:val="center"/>
          </w:tcPr>
          <w:p w14:paraId="4791D60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23</w:t>
            </w:r>
          </w:p>
        </w:tc>
        <w:tc>
          <w:tcPr>
            <w:tcW w:w="320" w:type="pct"/>
            <w:vAlign w:val="center"/>
          </w:tcPr>
          <w:p w14:paraId="40CCFD1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40</w:t>
            </w:r>
          </w:p>
        </w:tc>
        <w:tc>
          <w:tcPr>
            <w:tcW w:w="344" w:type="pct"/>
            <w:vAlign w:val="center"/>
          </w:tcPr>
          <w:p w14:paraId="13167C2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42</w:t>
            </w:r>
          </w:p>
        </w:tc>
        <w:tc>
          <w:tcPr>
            <w:tcW w:w="483" w:type="pct"/>
            <w:vAlign w:val="center"/>
          </w:tcPr>
          <w:p w14:paraId="60A5B65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46</w:t>
            </w:r>
          </w:p>
        </w:tc>
        <w:tc>
          <w:tcPr>
            <w:tcW w:w="296" w:type="pct"/>
            <w:vAlign w:val="center"/>
          </w:tcPr>
          <w:p w14:paraId="5051F19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30</w:t>
            </w:r>
          </w:p>
        </w:tc>
        <w:tc>
          <w:tcPr>
            <w:tcW w:w="296" w:type="pct"/>
            <w:vAlign w:val="center"/>
          </w:tcPr>
          <w:p w14:paraId="72AE059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25</w:t>
            </w:r>
          </w:p>
        </w:tc>
        <w:tc>
          <w:tcPr>
            <w:tcW w:w="485" w:type="pct"/>
            <w:vAlign w:val="bottom"/>
          </w:tcPr>
          <w:p w14:paraId="19198CF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31</w:t>
            </w:r>
          </w:p>
        </w:tc>
      </w:tr>
      <w:tr w:rsidR="006D2709" w:rsidRPr="00A06F1E" w14:paraId="2A7CC731" w14:textId="77777777" w:rsidTr="006D2709">
        <w:tc>
          <w:tcPr>
            <w:tcW w:w="1096" w:type="pct"/>
          </w:tcPr>
          <w:p w14:paraId="5CF96C24"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Low income</w:t>
            </w:r>
          </w:p>
        </w:tc>
        <w:tc>
          <w:tcPr>
            <w:tcW w:w="411" w:type="pct"/>
            <w:vAlign w:val="center"/>
          </w:tcPr>
          <w:p w14:paraId="67B67A7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50</w:t>
            </w:r>
          </w:p>
        </w:tc>
        <w:tc>
          <w:tcPr>
            <w:tcW w:w="381" w:type="pct"/>
            <w:vAlign w:val="center"/>
          </w:tcPr>
          <w:p w14:paraId="5E851BD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32</w:t>
            </w:r>
          </w:p>
        </w:tc>
        <w:tc>
          <w:tcPr>
            <w:tcW w:w="381" w:type="pct"/>
            <w:vAlign w:val="center"/>
          </w:tcPr>
          <w:p w14:paraId="3389130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36</w:t>
            </w:r>
          </w:p>
        </w:tc>
        <w:tc>
          <w:tcPr>
            <w:tcW w:w="507" w:type="pct"/>
            <w:vAlign w:val="center"/>
          </w:tcPr>
          <w:p w14:paraId="2CAC58F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22</w:t>
            </w:r>
          </w:p>
        </w:tc>
        <w:tc>
          <w:tcPr>
            <w:tcW w:w="320" w:type="pct"/>
            <w:vAlign w:val="center"/>
          </w:tcPr>
          <w:p w14:paraId="6ADE295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40</w:t>
            </w:r>
          </w:p>
        </w:tc>
        <w:tc>
          <w:tcPr>
            <w:tcW w:w="344" w:type="pct"/>
            <w:vAlign w:val="center"/>
          </w:tcPr>
          <w:p w14:paraId="67E4C31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42</w:t>
            </w:r>
          </w:p>
        </w:tc>
        <w:tc>
          <w:tcPr>
            <w:tcW w:w="483" w:type="pct"/>
            <w:vAlign w:val="center"/>
          </w:tcPr>
          <w:p w14:paraId="4E1E784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46</w:t>
            </w:r>
          </w:p>
        </w:tc>
        <w:tc>
          <w:tcPr>
            <w:tcW w:w="296" w:type="pct"/>
            <w:vAlign w:val="center"/>
          </w:tcPr>
          <w:p w14:paraId="01F8BA2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28</w:t>
            </w:r>
          </w:p>
        </w:tc>
        <w:tc>
          <w:tcPr>
            <w:tcW w:w="296" w:type="pct"/>
            <w:vAlign w:val="center"/>
          </w:tcPr>
          <w:p w14:paraId="3E09F76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22</w:t>
            </w:r>
          </w:p>
        </w:tc>
        <w:tc>
          <w:tcPr>
            <w:tcW w:w="485" w:type="pct"/>
            <w:vAlign w:val="bottom"/>
          </w:tcPr>
          <w:p w14:paraId="1F66169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32</w:t>
            </w:r>
          </w:p>
        </w:tc>
      </w:tr>
      <w:tr w:rsidR="006D2709" w:rsidRPr="00A06F1E" w14:paraId="3EF0DE40" w14:textId="77777777" w:rsidTr="006D2709">
        <w:trPr>
          <w:cnfStyle w:val="000000100000" w:firstRow="0" w:lastRow="0" w:firstColumn="0" w:lastColumn="0" w:oddVBand="0" w:evenVBand="0" w:oddHBand="1" w:evenHBand="0" w:firstRowFirstColumn="0" w:firstRowLastColumn="0" w:lastRowFirstColumn="0" w:lastRowLastColumn="0"/>
        </w:trPr>
        <w:tc>
          <w:tcPr>
            <w:tcW w:w="1096" w:type="pct"/>
          </w:tcPr>
          <w:p w14:paraId="0FF268B6" w14:textId="77777777" w:rsidR="00B607BD" w:rsidRPr="00A06F1E" w:rsidRDefault="00B607BD" w:rsidP="00AA3A77">
            <w:pPr>
              <w:pStyle w:val="TableText"/>
              <w:spacing w:before="10" w:after="10"/>
              <w:rPr>
                <w:rFonts w:ascii="Franklin Gothic Book" w:hAnsi="Franklin Gothic Book"/>
                <w:spacing w:val="-4"/>
              </w:rPr>
            </w:pPr>
            <w:r w:rsidRPr="00A06F1E">
              <w:rPr>
                <w:rFonts w:ascii="Franklin Gothic Book" w:hAnsi="Franklin Gothic Book"/>
                <w:spacing w:val="-4"/>
              </w:rPr>
              <w:t>ELs and former ELs</w:t>
            </w:r>
          </w:p>
        </w:tc>
        <w:tc>
          <w:tcPr>
            <w:tcW w:w="411" w:type="pct"/>
            <w:vAlign w:val="center"/>
          </w:tcPr>
          <w:p w14:paraId="61A7D3A6" w14:textId="6F3C2F7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7E6F76B8" w14:textId="72F55B5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152A74DF" w14:textId="49BE0F8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507" w:type="pct"/>
            <w:vAlign w:val="center"/>
          </w:tcPr>
          <w:p w14:paraId="18D2449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18</w:t>
            </w:r>
          </w:p>
        </w:tc>
        <w:tc>
          <w:tcPr>
            <w:tcW w:w="320" w:type="pct"/>
            <w:vAlign w:val="center"/>
          </w:tcPr>
          <w:p w14:paraId="559E0376" w14:textId="1B661EF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4" w:type="pct"/>
            <w:vAlign w:val="center"/>
          </w:tcPr>
          <w:p w14:paraId="29F79EF5" w14:textId="37BF6FD5"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center"/>
          </w:tcPr>
          <w:p w14:paraId="1B99F5B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43</w:t>
            </w:r>
          </w:p>
        </w:tc>
        <w:tc>
          <w:tcPr>
            <w:tcW w:w="296" w:type="pct"/>
            <w:vAlign w:val="center"/>
          </w:tcPr>
          <w:p w14:paraId="7C747014" w14:textId="4632006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96" w:type="pct"/>
            <w:vAlign w:val="center"/>
          </w:tcPr>
          <w:p w14:paraId="19FCA01C" w14:textId="0745D725"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5" w:type="pct"/>
            <w:vAlign w:val="bottom"/>
          </w:tcPr>
          <w:p w14:paraId="0B971AE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39</w:t>
            </w:r>
          </w:p>
        </w:tc>
      </w:tr>
      <w:tr w:rsidR="006D2709" w:rsidRPr="00A06F1E" w14:paraId="2B9F7048" w14:textId="77777777" w:rsidTr="006D2709">
        <w:tc>
          <w:tcPr>
            <w:tcW w:w="1096" w:type="pct"/>
          </w:tcPr>
          <w:p w14:paraId="398B0329"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Students w/disabilities</w:t>
            </w:r>
          </w:p>
        </w:tc>
        <w:tc>
          <w:tcPr>
            <w:tcW w:w="411" w:type="pct"/>
            <w:vAlign w:val="center"/>
          </w:tcPr>
          <w:p w14:paraId="2505016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24</w:t>
            </w:r>
          </w:p>
        </w:tc>
        <w:tc>
          <w:tcPr>
            <w:tcW w:w="381" w:type="pct"/>
            <w:vAlign w:val="center"/>
          </w:tcPr>
          <w:p w14:paraId="4C14A20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11</w:t>
            </w:r>
          </w:p>
        </w:tc>
        <w:tc>
          <w:tcPr>
            <w:tcW w:w="381" w:type="pct"/>
            <w:vAlign w:val="center"/>
          </w:tcPr>
          <w:p w14:paraId="4E98511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8</w:t>
            </w:r>
          </w:p>
        </w:tc>
        <w:tc>
          <w:tcPr>
            <w:tcW w:w="507" w:type="pct"/>
            <w:vAlign w:val="center"/>
          </w:tcPr>
          <w:p w14:paraId="446CA15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14</w:t>
            </w:r>
          </w:p>
        </w:tc>
        <w:tc>
          <w:tcPr>
            <w:tcW w:w="320" w:type="pct"/>
            <w:vAlign w:val="center"/>
          </w:tcPr>
          <w:p w14:paraId="1675B43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26</w:t>
            </w:r>
          </w:p>
        </w:tc>
        <w:tc>
          <w:tcPr>
            <w:tcW w:w="344" w:type="pct"/>
            <w:vAlign w:val="center"/>
          </w:tcPr>
          <w:p w14:paraId="3C8E506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38</w:t>
            </w:r>
          </w:p>
        </w:tc>
        <w:tc>
          <w:tcPr>
            <w:tcW w:w="483" w:type="pct"/>
            <w:vAlign w:val="center"/>
          </w:tcPr>
          <w:p w14:paraId="3AAF7DB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40</w:t>
            </w:r>
          </w:p>
        </w:tc>
        <w:tc>
          <w:tcPr>
            <w:tcW w:w="296" w:type="pct"/>
            <w:vAlign w:val="center"/>
          </w:tcPr>
          <w:p w14:paraId="7977EBA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63</w:t>
            </w:r>
          </w:p>
        </w:tc>
        <w:tc>
          <w:tcPr>
            <w:tcW w:w="296" w:type="pct"/>
            <w:vAlign w:val="center"/>
          </w:tcPr>
          <w:p w14:paraId="0898CC7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54</w:t>
            </w:r>
          </w:p>
        </w:tc>
        <w:tc>
          <w:tcPr>
            <w:tcW w:w="485" w:type="pct"/>
            <w:vAlign w:val="bottom"/>
          </w:tcPr>
          <w:p w14:paraId="68E81CA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45</w:t>
            </w:r>
          </w:p>
        </w:tc>
      </w:tr>
    </w:tbl>
    <w:p w14:paraId="7B3BEAE8" w14:textId="556FD437" w:rsidR="00B607BD" w:rsidRPr="00A06F1E" w:rsidRDefault="00B607BD" w:rsidP="00B7722D">
      <w:pPr>
        <w:pStyle w:val="TabletitleSectionE"/>
        <w:spacing w:before="120"/>
      </w:pPr>
      <w:bookmarkStart w:id="264" w:name="_Toc170701958"/>
      <w:bookmarkStart w:id="265" w:name="_Toc171685795"/>
      <w:bookmarkStart w:id="266" w:name="_Hlk138323146"/>
      <w:r w:rsidRPr="00A06F1E">
        <w:t>Table E6</w:t>
      </w:r>
      <w:r w:rsidR="00A228CB" w:rsidRPr="00A06F1E">
        <w:t>. Mahar Regional</w:t>
      </w:r>
      <w:r w:rsidR="00F3532E" w:rsidRPr="00A06F1E">
        <w:t>:</w:t>
      </w:r>
      <w:r w:rsidRPr="00A06F1E">
        <w:t xml:space="preserve"> Next-Generation MCAS Science Achievement by Student Group, Grade 10, 2022-2023</w:t>
      </w:r>
      <w:bookmarkEnd w:id="264"/>
      <w:bookmarkEnd w:id="265"/>
    </w:p>
    <w:tbl>
      <w:tblPr>
        <w:tblStyle w:val="MSVTable1"/>
        <w:tblW w:w="5003" w:type="pct"/>
        <w:tblLook w:val="0420" w:firstRow="1" w:lastRow="0" w:firstColumn="0" w:lastColumn="0" w:noHBand="0" w:noVBand="1"/>
      </w:tblPr>
      <w:tblGrid>
        <w:gridCol w:w="2842"/>
        <w:gridCol w:w="1065"/>
        <w:gridCol w:w="987"/>
        <w:gridCol w:w="987"/>
        <w:gridCol w:w="1269"/>
        <w:gridCol w:w="873"/>
        <w:gridCol w:w="891"/>
        <w:gridCol w:w="1251"/>
        <w:gridCol w:w="764"/>
        <w:gridCol w:w="767"/>
        <w:gridCol w:w="1256"/>
      </w:tblGrid>
      <w:tr w:rsidR="00B607BD" w:rsidRPr="00A06F1E" w14:paraId="19779115"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1097" w:type="pct"/>
            <w:vMerge w:val="restart"/>
            <w:vAlign w:val="center"/>
          </w:tcPr>
          <w:p w14:paraId="44AFD35F" w14:textId="77777777" w:rsidR="00B607BD" w:rsidRPr="00A06F1E" w:rsidRDefault="00B607BD" w:rsidP="00AA3A77">
            <w:pPr>
              <w:pStyle w:val="TableColHeadingLeft"/>
              <w:spacing w:before="10" w:after="10"/>
              <w:jc w:val="center"/>
            </w:pPr>
            <w:r w:rsidRPr="00A06F1E">
              <w:t>Group</w:t>
            </w:r>
          </w:p>
        </w:tc>
        <w:tc>
          <w:tcPr>
            <w:tcW w:w="411" w:type="pct"/>
            <w:vMerge w:val="restart"/>
            <w:vAlign w:val="center"/>
          </w:tcPr>
          <w:p w14:paraId="284CBE8D" w14:textId="3E2D1514" w:rsidR="00B607BD" w:rsidRPr="00A06F1E" w:rsidRDefault="00B607BD" w:rsidP="00AA3A77">
            <w:pPr>
              <w:pStyle w:val="TableColHeadingCenter"/>
              <w:spacing w:before="10" w:after="10"/>
            </w:pPr>
            <w:r w:rsidRPr="00A06F1E">
              <w:t xml:space="preserve"># </w:t>
            </w:r>
            <w:r w:rsidR="00043517" w:rsidRPr="00A06F1E">
              <w:t>i</w:t>
            </w:r>
            <w:r w:rsidRPr="00A06F1E">
              <w:t>ncluded (2023)</w:t>
            </w:r>
          </w:p>
        </w:tc>
        <w:tc>
          <w:tcPr>
            <w:tcW w:w="1252" w:type="pct"/>
            <w:gridSpan w:val="3"/>
            <w:vAlign w:val="bottom"/>
          </w:tcPr>
          <w:p w14:paraId="2336F54D" w14:textId="628E6499" w:rsidR="00B607BD" w:rsidRPr="00A06F1E" w:rsidRDefault="00A228CB" w:rsidP="00AA3A77">
            <w:pPr>
              <w:pStyle w:val="TableColHeadingCenter"/>
              <w:spacing w:before="10" w:after="10"/>
            </w:pPr>
            <w:r w:rsidRPr="00A06F1E">
              <w:t>Percentage</w:t>
            </w:r>
            <w:r w:rsidR="00B607BD" w:rsidRPr="00A06F1E">
              <w:t xml:space="preserve"> meeting or exceeding expectations</w:t>
            </w:r>
          </w:p>
        </w:tc>
        <w:tc>
          <w:tcPr>
            <w:tcW w:w="1164" w:type="pct"/>
            <w:gridSpan w:val="3"/>
            <w:vAlign w:val="center"/>
          </w:tcPr>
          <w:p w14:paraId="0E6D48CB" w14:textId="0BB6349A" w:rsidR="00B607BD" w:rsidRPr="00A06F1E" w:rsidRDefault="00A228CB" w:rsidP="00AA3A77">
            <w:pPr>
              <w:pStyle w:val="TableColHeadingCenter"/>
              <w:spacing w:before="10" w:after="10"/>
            </w:pPr>
            <w:r w:rsidRPr="00A06F1E">
              <w:t>Percentage</w:t>
            </w:r>
            <w:r w:rsidR="00B607BD" w:rsidRPr="00A06F1E">
              <w:t xml:space="preserve"> partially meeting expectations</w:t>
            </w:r>
          </w:p>
        </w:tc>
        <w:tc>
          <w:tcPr>
            <w:tcW w:w="1076" w:type="pct"/>
            <w:gridSpan w:val="3"/>
            <w:vAlign w:val="center"/>
          </w:tcPr>
          <w:p w14:paraId="118E419B" w14:textId="680CA473" w:rsidR="00B607BD" w:rsidRPr="00A06F1E" w:rsidRDefault="00A228CB" w:rsidP="00AA3A77">
            <w:pPr>
              <w:pStyle w:val="TableColHeadingCenter"/>
              <w:spacing w:before="10" w:after="10"/>
            </w:pPr>
            <w:r w:rsidRPr="00A06F1E">
              <w:t>Percentage</w:t>
            </w:r>
            <w:r w:rsidR="00B607BD" w:rsidRPr="00A06F1E">
              <w:t xml:space="preserve"> not meeting expectations</w:t>
            </w:r>
          </w:p>
        </w:tc>
      </w:tr>
      <w:tr w:rsidR="006D2709" w:rsidRPr="00A06F1E" w14:paraId="5087948D"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1097" w:type="pct"/>
            <w:vMerge/>
            <w:vAlign w:val="bottom"/>
          </w:tcPr>
          <w:p w14:paraId="1B0587D5" w14:textId="77777777" w:rsidR="00B607BD" w:rsidRPr="00A06F1E" w:rsidRDefault="00B607BD" w:rsidP="00AA3A77">
            <w:pPr>
              <w:pStyle w:val="TableColHeadingCenter"/>
              <w:spacing w:before="10" w:after="10"/>
            </w:pPr>
          </w:p>
        </w:tc>
        <w:tc>
          <w:tcPr>
            <w:tcW w:w="411" w:type="pct"/>
            <w:vMerge/>
            <w:vAlign w:val="bottom"/>
          </w:tcPr>
          <w:p w14:paraId="3E38A882" w14:textId="77777777" w:rsidR="00B607BD" w:rsidRPr="00A06F1E" w:rsidRDefault="00B607BD" w:rsidP="00AA3A77">
            <w:pPr>
              <w:pStyle w:val="TableColHeadingCenter"/>
              <w:spacing w:before="10" w:after="10"/>
            </w:pPr>
          </w:p>
        </w:tc>
        <w:tc>
          <w:tcPr>
            <w:tcW w:w="381" w:type="pct"/>
            <w:vAlign w:val="center"/>
          </w:tcPr>
          <w:p w14:paraId="1EA54A90" w14:textId="77777777" w:rsidR="00B607BD" w:rsidRPr="00A06F1E" w:rsidRDefault="00B607BD" w:rsidP="00AA3A77">
            <w:pPr>
              <w:pStyle w:val="TableColHeadingCenter"/>
              <w:spacing w:before="10" w:after="10"/>
            </w:pPr>
            <w:r w:rsidRPr="00A06F1E">
              <w:t>2022</w:t>
            </w:r>
          </w:p>
        </w:tc>
        <w:tc>
          <w:tcPr>
            <w:tcW w:w="381" w:type="pct"/>
            <w:vAlign w:val="center"/>
          </w:tcPr>
          <w:p w14:paraId="462A26CB" w14:textId="77777777" w:rsidR="00B607BD" w:rsidRPr="00A06F1E" w:rsidRDefault="00B607BD" w:rsidP="00AA3A77">
            <w:pPr>
              <w:pStyle w:val="TableColHeadingCenter"/>
              <w:spacing w:before="10" w:after="10"/>
            </w:pPr>
            <w:r w:rsidRPr="00A06F1E">
              <w:t>2023</w:t>
            </w:r>
          </w:p>
        </w:tc>
        <w:tc>
          <w:tcPr>
            <w:tcW w:w="490" w:type="pct"/>
            <w:vAlign w:val="center"/>
          </w:tcPr>
          <w:p w14:paraId="5A1F013A" w14:textId="77777777" w:rsidR="00B607BD" w:rsidRPr="00A06F1E" w:rsidRDefault="00B607BD" w:rsidP="00AA3A77">
            <w:pPr>
              <w:pStyle w:val="TableColHeadingCenter"/>
              <w:spacing w:before="10" w:after="10"/>
            </w:pPr>
            <w:r w:rsidRPr="00A06F1E">
              <w:t>State (2023)</w:t>
            </w:r>
          </w:p>
        </w:tc>
        <w:tc>
          <w:tcPr>
            <w:tcW w:w="337" w:type="pct"/>
            <w:vAlign w:val="center"/>
          </w:tcPr>
          <w:p w14:paraId="727EF2D9" w14:textId="77777777" w:rsidR="00B607BD" w:rsidRPr="00A06F1E" w:rsidRDefault="00B607BD" w:rsidP="00AA3A77">
            <w:pPr>
              <w:pStyle w:val="TableColHeadingCenter"/>
              <w:spacing w:before="10" w:after="10"/>
            </w:pPr>
            <w:r w:rsidRPr="00A06F1E">
              <w:t>2022</w:t>
            </w:r>
          </w:p>
        </w:tc>
        <w:tc>
          <w:tcPr>
            <w:tcW w:w="344" w:type="pct"/>
            <w:vAlign w:val="center"/>
          </w:tcPr>
          <w:p w14:paraId="0B375470" w14:textId="77777777" w:rsidR="00B607BD" w:rsidRPr="00A06F1E" w:rsidRDefault="00B607BD" w:rsidP="00AA3A77">
            <w:pPr>
              <w:pStyle w:val="TableColHeadingCenter"/>
              <w:spacing w:before="10" w:after="10"/>
            </w:pPr>
            <w:r w:rsidRPr="00A06F1E">
              <w:t>2023</w:t>
            </w:r>
          </w:p>
        </w:tc>
        <w:tc>
          <w:tcPr>
            <w:tcW w:w="483" w:type="pct"/>
            <w:vAlign w:val="center"/>
          </w:tcPr>
          <w:p w14:paraId="64AF0BDA" w14:textId="77777777" w:rsidR="00B607BD" w:rsidRPr="00A06F1E" w:rsidRDefault="00B607BD" w:rsidP="00AA3A77">
            <w:pPr>
              <w:pStyle w:val="TableColHeadingCenter"/>
              <w:spacing w:before="10" w:after="10"/>
            </w:pPr>
            <w:r w:rsidRPr="00A06F1E">
              <w:t>State (2023)</w:t>
            </w:r>
          </w:p>
        </w:tc>
        <w:tc>
          <w:tcPr>
            <w:tcW w:w="295" w:type="pct"/>
            <w:vAlign w:val="center"/>
          </w:tcPr>
          <w:p w14:paraId="2A6688C2" w14:textId="77777777" w:rsidR="00B607BD" w:rsidRPr="00A06F1E" w:rsidRDefault="00B607BD" w:rsidP="00AA3A77">
            <w:pPr>
              <w:pStyle w:val="TableColHeadingCenter"/>
              <w:spacing w:before="10" w:after="10"/>
            </w:pPr>
            <w:r w:rsidRPr="00A06F1E">
              <w:t>2022</w:t>
            </w:r>
          </w:p>
        </w:tc>
        <w:tc>
          <w:tcPr>
            <w:tcW w:w="296" w:type="pct"/>
            <w:vAlign w:val="center"/>
          </w:tcPr>
          <w:p w14:paraId="3A9936CB" w14:textId="77777777" w:rsidR="00B607BD" w:rsidRPr="00A06F1E" w:rsidRDefault="00B607BD" w:rsidP="00AA3A77">
            <w:pPr>
              <w:pStyle w:val="TableColHeadingCenter"/>
              <w:spacing w:before="10" w:after="10"/>
            </w:pPr>
            <w:r w:rsidRPr="00A06F1E">
              <w:t>2023</w:t>
            </w:r>
          </w:p>
        </w:tc>
        <w:tc>
          <w:tcPr>
            <w:tcW w:w="485" w:type="pct"/>
            <w:vAlign w:val="center"/>
          </w:tcPr>
          <w:p w14:paraId="22D7EC0E" w14:textId="77777777" w:rsidR="00B607BD" w:rsidRPr="00A06F1E" w:rsidRDefault="00B607BD" w:rsidP="00AA3A77">
            <w:pPr>
              <w:pStyle w:val="TableColHeadingCenter"/>
              <w:spacing w:before="10" w:after="10"/>
            </w:pPr>
            <w:r w:rsidRPr="00A06F1E">
              <w:t>State (2023)</w:t>
            </w:r>
          </w:p>
        </w:tc>
      </w:tr>
      <w:tr w:rsidR="006D2709" w:rsidRPr="00A06F1E" w14:paraId="6A0EFDFD" w14:textId="77777777" w:rsidTr="006D2709">
        <w:trPr>
          <w:cnfStyle w:val="000000100000" w:firstRow="0" w:lastRow="0" w:firstColumn="0" w:lastColumn="0" w:oddVBand="0" w:evenVBand="0" w:oddHBand="1" w:evenHBand="0" w:firstRowFirstColumn="0" w:firstRowLastColumn="0" w:lastRowFirstColumn="0" w:lastRowLastColumn="0"/>
        </w:trPr>
        <w:tc>
          <w:tcPr>
            <w:tcW w:w="1097" w:type="pct"/>
          </w:tcPr>
          <w:p w14:paraId="7C5AB94A"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All</w:t>
            </w:r>
          </w:p>
        </w:tc>
        <w:tc>
          <w:tcPr>
            <w:tcW w:w="411" w:type="pct"/>
            <w:vAlign w:val="center"/>
          </w:tcPr>
          <w:p w14:paraId="3F83447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71</w:t>
            </w:r>
          </w:p>
        </w:tc>
        <w:tc>
          <w:tcPr>
            <w:tcW w:w="381" w:type="pct"/>
            <w:vAlign w:val="center"/>
          </w:tcPr>
          <w:p w14:paraId="29E586E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37</w:t>
            </w:r>
          </w:p>
        </w:tc>
        <w:tc>
          <w:tcPr>
            <w:tcW w:w="381" w:type="pct"/>
            <w:vAlign w:val="center"/>
          </w:tcPr>
          <w:p w14:paraId="6576372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23</w:t>
            </w:r>
          </w:p>
        </w:tc>
        <w:tc>
          <w:tcPr>
            <w:tcW w:w="490" w:type="pct"/>
            <w:vAlign w:val="center"/>
          </w:tcPr>
          <w:p w14:paraId="032F5D3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47</w:t>
            </w:r>
          </w:p>
        </w:tc>
        <w:tc>
          <w:tcPr>
            <w:tcW w:w="337" w:type="pct"/>
            <w:vAlign w:val="center"/>
          </w:tcPr>
          <w:p w14:paraId="4B18C73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55</w:t>
            </w:r>
          </w:p>
        </w:tc>
        <w:tc>
          <w:tcPr>
            <w:tcW w:w="344" w:type="pct"/>
            <w:vAlign w:val="center"/>
          </w:tcPr>
          <w:p w14:paraId="109FBC4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72</w:t>
            </w:r>
          </w:p>
        </w:tc>
        <w:tc>
          <w:tcPr>
            <w:tcW w:w="483" w:type="pct"/>
            <w:vAlign w:val="center"/>
          </w:tcPr>
          <w:p w14:paraId="5B07208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42</w:t>
            </w:r>
          </w:p>
        </w:tc>
        <w:tc>
          <w:tcPr>
            <w:tcW w:w="295" w:type="pct"/>
            <w:vAlign w:val="center"/>
          </w:tcPr>
          <w:p w14:paraId="3B78878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8</w:t>
            </w:r>
          </w:p>
        </w:tc>
        <w:tc>
          <w:tcPr>
            <w:tcW w:w="296" w:type="pct"/>
            <w:vAlign w:val="center"/>
          </w:tcPr>
          <w:p w14:paraId="19F3483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w:t>
            </w:r>
          </w:p>
        </w:tc>
        <w:tc>
          <w:tcPr>
            <w:tcW w:w="485" w:type="pct"/>
            <w:vAlign w:val="bottom"/>
          </w:tcPr>
          <w:p w14:paraId="252726F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11</w:t>
            </w:r>
          </w:p>
        </w:tc>
      </w:tr>
      <w:tr w:rsidR="006D2709" w:rsidRPr="00A06F1E" w14:paraId="72930A3B" w14:textId="77777777" w:rsidTr="006D2709">
        <w:tc>
          <w:tcPr>
            <w:tcW w:w="1097" w:type="pct"/>
          </w:tcPr>
          <w:p w14:paraId="5C32C373"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African American/Black</w:t>
            </w:r>
          </w:p>
        </w:tc>
        <w:tc>
          <w:tcPr>
            <w:tcW w:w="411" w:type="pct"/>
            <w:vAlign w:val="center"/>
          </w:tcPr>
          <w:p w14:paraId="22810C3D" w14:textId="480DCBE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4BBF447F" w14:textId="545568D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03B388CB" w14:textId="6BA3D1DA"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0" w:type="pct"/>
            <w:vAlign w:val="center"/>
          </w:tcPr>
          <w:p w14:paraId="1993804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26</w:t>
            </w:r>
          </w:p>
        </w:tc>
        <w:tc>
          <w:tcPr>
            <w:tcW w:w="337" w:type="pct"/>
            <w:vAlign w:val="center"/>
          </w:tcPr>
          <w:p w14:paraId="4AAC1368" w14:textId="06B6788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4" w:type="pct"/>
            <w:vAlign w:val="center"/>
          </w:tcPr>
          <w:p w14:paraId="467155CC" w14:textId="213BA9D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center"/>
          </w:tcPr>
          <w:p w14:paraId="04F544D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55</w:t>
            </w:r>
          </w:p>
        </w:tc>
        <w:tc>
          <w:tcPr>
            <w:tcW w:w="295" w:type="pct"/>
            <w:vAlign w:val="center"/>
          </w:tcPr>
          <w:p w14:paraId="505F65EA" w14:textId="08EF772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96" w:type="pct"/>
            <w:vAlign w:val="center"/>
          </w:tcPr>
          <w:p w14:paraId="76D5B279" w14:textId="65BB9332"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5" w:type="pct"/>
            <w:vAlign w:val="bottom"/>
          </w:tcPr>
          <w:p w14:paraId="7F2CBE7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20</w:t>
            </w:r>
          </w:p>
        </w:tc>
      </w:tr>
      <w:tr w:rsidR="006D2709" w:rsidRPr="00A06F1E" w14:paraId="5E70CD02" w14:textId="77777777" w:rsidTr="006D2709">
        <w:trPr>
          <w:cnfStyle w:val="000000100000" w:firstRow="0" w:lastRow="0" w:firstColumn="0" w:lastColumn="0" w:oddVBand="0" w:evenVBand="0" w:oddHBand="1" w:evenHBand="0" w:firstRowFirstColumn="0" w:firstRowLastColumn="0" w:lastRowFirstColumn="0" w:lastRowLastColumn="0"/>
        </w:trPr>
        <w:tc>
          <w:tcPr>
            <w:tcW w:w="1097" w:type="pct"/>
          </w:tcPr>
          <w:p w14:paraId="0DFC6C27"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Asian</w:t>
            </w:r>
          </w:p>
        </w:tc>
        <w:tc>
          <w:tcPr>
            <w:tcW w:w="411" w:type="pct"/>
            <w:vAlign w:val="center"/>
          </w:tcPr>
          <w:p w14:paraId="27CDCB3E" w14:textId="680AD88D"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1CFAD068" w14:textId="03228EF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5D19F92D" w14:textId="5FD24E6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0" w:type="pct"/>
            <w:vAlign w:val="center"/>
          </w:tcPr>
          <w:p w14:paraId="4879138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75</w:t>
            </w:r>
          </w:p>
        </w:tc>
        <w:tc>
          <w:tcPr>
            <w:tcW w:w="337" w:type="pct"/>
            <w:vAlign w:val="center"/>
          </w:tcPr>
          <w:p w14:paraId="67F0111D" w14:textId="221593C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4" w:type="pct"/>
            <w:vAlign w:val="center"/>
          </w:tcPr>
          <w:p w14:paraId="7FCD8044" w14:textId="30D29D5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center"/>
          </w:tcPr>
          <w:p w14:paraId="09BE9EC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21</w:t>
            </w:r>
          </w:p>
        </w:tc>
        <w:tc>
          <w:tcPr>
            <w:tcW w:w="295" w:type="pct"/>
            <w:vAlign w:val="center"/>
          </w:tcPr>
          <w:p w14:paraId="70DDE552" w14:textId="1AEB1C5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96" w:type="pct"/>
            <w:vAlign w:val="center"/>
          </w:tcPr>
          <w:p w14:paraId="0BB3815D" w14:textId="48AA7072"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5" w:type="pct"/>
            <w:vAlign w:val="bottom"/>
          </w:tcPr>
          <w:p w14:paraId="007688F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w:t>
            </w:r>
          </w:p>
        </w:tc>
      </w:tr>
      <w:tr w:rsidR="006D2709" w:rsidRPr="00A06F1E" w14:paraId="518B0BE9" w14:textId="77777777" w:rsidTr="006D2709">
        <w:tc>
          <w:tcPr>
            <w:tcW w:w="1097" w:type="pct"/>
          </w:tcPr>
          <w:p w14:paraId="2875B3CD"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Hispanic/Latino</w:t>
            </w:r>
          </w:p>
        </w:tc>
        <w:tc>
          <w:tcPr>
            <w:tcW w:w="411" w:type="pct"/>
            <w:vAlign w:val="center"/>
          </w:tcPr>
          <w:p w14:paraId="467F77E5" w14:textId="4DA8AC8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23275D6A" w14:textId="5AEF1B65"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38378174" w14:textId="21FACA8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0" w:type="pct"/>
            <w:vAlign w:val="center"/>
          </w:tcPr>
          <w:p w14:paraId="446DFFB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24</w:t>
            </w:r>
          </w:p>
        </w:tc>
        <w:tc>
          <w:tcPr>
            <w:tcW w:w="337" w:type="pct"/>
            <w:vAlign w:val="center"/>
          </w:tcPr>
          <w:p w14:paraId="4AF87270" w14:textId="2D3993C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4" w:type="pct"/>
            <w:vAlign w:val="center"/>
          </w:tcPr>
          <w:p w14:paraId="384B13CC" w14:textId="14E6621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center"/>
          </w:tcPr>
          <w:p w14:paraId="33433C2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52</w:t>
            </w:r>
          </w:p>
        </w:tc>
        <w:tc>
          <w:tcPr>
            <w:tcW w:w="295" w:type="pct"/>
            <w:vAlign w:val="center"/>
          </w:tcPr>
          <w:p w14:paraId="35682D44" w14:textId="654D629E"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96" w:type="pct"/>
            <w:vAlign w:val="center"/>
          </w:tcPr>
          <w:p w14:paraId="789D55E7" w14:textId="64CD40EE"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5" w:type="pct"/>
            <w:vAlign w:val="bottom"/>
          </w:tcPr>
          <w:p w14:paraId="46F574B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24</w:t>
            </w:r>
          </w:p>
        </w:tc>
      </w:tr>
      <w:tr w:rsidR="006D2709" w:rsidRPr="00A06F1E" w14:paraId="5D27853F" w14:textId="77777777" w:rsidTr="006D2709">
        <w:trPr>
          <w:cnfStyle w:val="000000100000" w:firstRow="0" w:lastRow="0" w:firstColumn="0" w:lastColumn="0" w:oddVBand="0" w:evenVBand="0" w:oddHBand="1" w:evenHBand="0" w:firstRowFirstColumn="0" w:firstRowLastColumn="0" w:lastRowFirstColumn="0" w:lastRowLastColumn="0"/>
        </w:trPr>
        <w:tc>
          <w:tcPr>
            <w:tcW w:w="1097" w:type="pct"/>
          </w:tcPr>
          <w:p w14:paraId="5E54C069"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cstheme="minorHAnsi"/>
              </w:rPr>
              <w:t>Multi-Race, non-Hispanic/Latino</w:t>
            </w:r>
          </w:p>
        </w:tc>
        <w:tc>
          <w:tcPr>
            <w:tcW w:w="411" w:type="pct"/>
            <w:vAlign w:val="center"/>
          </w:tcPr>
          <w:p w14:paraId="74666305" w14:textId="3140DC21"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16F19FB8" w14:textId="2049A685"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4E8914B5" w14:textId="44860F9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0" w:type="pct"/>
            <w:vAlign w:val="center"/>
          </w:tcPr>
          <w:p w14:paraId="7BEC4CC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51</w:t>
            </w:r>
          </w:p>
        </w:tc>
        <w:tc>
          <w:tcPr>
            <w:tcW w:w="337" w:type="pct"/>
            <w:vAlign w:val="center"/>
          </w:tcPr>
          <w:p w14:paraId="334B47A3" w14:textId="660FD995"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4" w:type="pct"/>
            <w:vAlign w:val="center"/>
          </w:tcPr>
          <w:p w14:paraId="6A081918" w14:textId="091B13E8"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center"/>
          </w:tcPr>
          <w:p w14:paraId="53B7A89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39</w:t>
            </w:r>
          </w:p>
        </w:tc>
        <w:tc>
          <w:tcPr>
            <w:tcW w:w="295" w:type="pct"/>
            <w:vAlign w:val="center"/>
          </w:tcPr>
          <w:p w14:paraId="47CBF197" w14:textId="6ED7588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96" w:type="pct"/>
            <w:vAlign w:val="center"/>
          </w:tcPr>
          <w:p w14:paraId="75FFF8EE" w14:textId="566C74E2"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5" w:type="pct"/>
            <w:vAlign w:val="bottom"/>
          </w:tcPr>
          <w:p w14:paraId="77FDC2C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10</w:t>
            </w:r>
          </w:p>
        </w:tc>
      </w:tr>
      <w:tr w:rsidR="006D2709" w:rsidRPr="00A06F1E" w14:paraId="0D790655" w14:textId="77777777" w:rsidTr="006D2709">
        <w:tc>
          <w:tcPr>
            <w:tcW w:w="1097" w:type="pct"/>
          </w:tcPr>
          <w:p w14:paraId="502F9A14"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Native American</w:t>
            </w:r>
          </w:p>
        </w:tc>
        <w:tc>
          <w:tcPr>
            <w:tcW w:w="411" w:type="pct"/>
            <w:vAlign w:val="center"/>
          </w:tcPr>
          <w:p w14:paraId="4D36C316" w14:textId="19CCD85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48E70A51" w14:textId="6294846E"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6283B1C5" w14:textId="76A94F5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0" w:type="pct"/>
            <w:vAlign w:val="center"/>
          </w:tcPr>
          <w:p w14:paraId="7147C56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30</w:t>
            </w:r>
          </w:p>
        </w:tc>
        <w:tc>
          <w:tcPr>
            <w:tcW w:w="337" w:type="pct"/>
            <w:vAlign w:val="center"/>
          </w:tcPr>
          <w:p w14:paraId="696DF842" w14:textId="5855C593"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4" w:type="pct"/>
            <w:vAlign w:val="center"/>
          </w:tcPr>
          <w:p w14:paraId="3AD9DA03" w14:textId="6D8973BD"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center"/>
          </w:tcPr>
          <w:p w14:paraId="528D7D5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58</w:t>
            </w:r>
          </w:p>
        </w:tc>
        <w:tc>
          <w:tcPr>
            <w:tcW w:w="295" w:type="pct"/>
            <w:vAlign w:val="center"/>
          </w:tcPr>
          <w:p w14:paraId="190EE4DA" w14:textId="4D2A039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96" w:type="pct"/>
            <w:vAlign w:val="center"/>
          </w:tcPr>
          <w:p w14:paraId="6B6E3C09" w14:textId="5FD94B8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5" w:type="pct"/>
            <w:vAlign w:val="bottom"/>
          </w:tcPr>
          <w:p w14:paraId="7F0211F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12</w:t>
            </w:r>
          </w:p>
        </w:tc>
      </w:tr>
      <w:tr w:rsidR="006D2709" w:rsidRPr="00A06F1E" w14:paraId="10AFE4F4" w14:textId="77777777" w:rsidTr="006D2709">
        <w:trPr>
          <w:cnfStyle w:val="000000100000" w:firstRow="0" w:lastRow="0" w:firstColumn="0" w:lastColumn="0" w:oddVBand="0" w:evenVBand="0" w:oddHBand="1" w:evenHBand="0" w:firstRowFirstColumn="0" w:firstRowLastColumn="0" w:lastRowFirstColumn="0" w:lastRowLastColumn="0"/>
        </w:trPr>
        <w:tc>
          <w:tcPr>
            <w:tcW w:w="1097" w:type="pct"/>
          </w:tcPr>
          <w:p w14:paraId="76F4A23F" w14:textId="77777777" w:rsidR="00B607BD" w:rsidRPr="00A06F1E" w:rsidRDefault="00B607BD" w:rsidP="00AA3A77">
            <w:pPr>
              <w:pStyle w:val="TableText"/>
              <w:spacing w:before="10" w:after="10"/>
              <w:rPr>
                <w:rFonts w:ascii="Franklin Gothic Book" w:hAnsi="Franklin Gothic Book"/>
                <w:spacing w:val="-4"/>
              </w:rPr>
            </w:pPr>
            <w:r w:rsidRPr="00A06F1E">
              <w:rPr>
                <w:rFonts w:ascii="Franklin Gothic Book" w:hAnsi="Franklin Gothic Book"/>
                <w:spacing w:val="-4"/>
              </w:rPr>
              <w:t>Native Hawaiian, Pacific Islander</w:t>
            </w:r>
          </w:p>
        </w:tc>
        <w:tc>
          <w:tcPr>
            <w:tcW w:w="411" w:type="pct"/>
            <w:vAlign w:val="center"/>
          </w:tcPr>
          <w:p w14:paraId="22015402" w14:textId="2E32EA9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280093CA" w14:textId="725F2C79"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393275AA" w14:textId="483A1AF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0" w:type="pct"/>
            <w:vAlign w:val="center"/>
          </w:tcPr>
          <w:p w14:paraId="5FD8C6F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31</w:t>
            </w:r>
          </w:p>
        </w:tc>
        <w:tc>
          <w:tcPr>
            <w:tcW w:w="337" w:type="pct"/>
            <w:vAlign w:val="center"/>
          </w:tcPr>
          <w:p w14:paraId="1A559ACB" w14:textId="7828422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4" w:type="pct"/>
            <w:vAlign w:val="center"/>
          </w:tcPr>
          <w:p w14:paraId="612025E6" w14:textId="3B7DB6C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center"/>
          </w:tcPr>
          <w:p w14:paraId="295AE5B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54</w:t>
            </w:r>
          </w:p>
        </w:tc>
        <w:tc>
          <w:tcPr>
            <w:tcW w:w="295" w:type="pct"/>
            <w:vAlign w:val="center"/>
          </w:tcPr>
          <w:p w14:paraId="1F2A5174" w14:textId="60D961D5"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96" w:type="pct"/>
            <w:vAlign w:val="center"/>
          </w:tcPr>
          <w:p w14:paraId="358391AE" w14:textId="0E8B000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5" w:type="pct"/>
            <w:vAlign w:val="bottom"/>
          </w:tcPr>
          <w:p w14:paraId="13787F1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15</w:t>
            </w:r>
          </w:p>
        </w:tc>
      </w:tr>
      <w:tr w:rsidR="006D2709" w:rsidRPr="00A06F1E" w14:paraId="5100D0C2" w14:textId="77777777" w:rsidTr="006D2709">
        <w:tc>
          <w:tcPr>
            <w:tcW w:w="1097" w:type="pct"/>
          </w:tcPr>
          <w:p w14:paraId="46EF3171"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White</w:t>
            </w:r>
          </w:p>
        </w:tc>
        <w:tc>
          <w:tcPr>
            <w:tcW w:w="411" w:type="pct"/>
            <w:vAlign w:val="center"/>
          </w:tcPr>
          <w:p w14:paraId="61489CD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56</w:t>
            </w:r>
          </w:p>
        </w:tc>
        <w:tc>
          <w:tcPr>
            <w:tcW w:w="381" w:type="pct"/>
            <w:vAlign w:val="center"/>
          </w:tcPr>
          <w:p w14:paraId="39B6717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37</w:t>
            </w:r>
          </w:p>
        </w:tc>
        <w:tc>
          <w:tcPr>
            <w:tcW w:w="381" w:type="pct"/>
            <w:vAlign w:val="center"/>
          </w:tcPr>
          <w:p w14:paraId="272C08B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25</w:t>
            </w:r>
          </w:p>
        </w:tc>
        <w:tc>
          <w:tcPr>
            <w:tcW w:w="490" w:type="pct"/>
            <w:vAlign w:val="center"/>
          </w:tcPr>
          <w:p w14:paraId="5F576BE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55</w:t>
            </w:r>
          </w:p>
        </w:tc>
        <w:tc>
          <w:tcPr>
            <w:tcW w:w="337" w:type="pct"/>
            <w:vAlign w:val="center"/>
          </w:tcPr>
          <w:p w14:paraId="37D3A72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54</w:t>
            </w:r>
          </w:p>
        </w:tc>
        <w:tc>
          <w:tcPr>
            <w:tcW w:w="344" w:type="pct"/>
            <w:vAlign w:val="center"/>
          </w:tcPr>
          <w:p w14:paraId="4DC0776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71</w:t>
            </w:r>
          </w:p>
        </w:tc>
        <w:tc>
          <w:tcPr>
            <w:tcW w:w="483" w:type="pct"/>
            <w:vAlign w:val="center"/>
          </w:tcPr>
          <w:p w14:paraId="6BB0B9E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39</w:t>
            </w:r>
          </w:p>
        </w:tc>
        <w:tc>
          <w:tcPr>
            <w:tcW w:w="295" w:type="pct"/>
            <w:vAlign w:val="center"/>
          </w:tcPr>
          <w:p w14:paraId="75D7A6F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9</w:t>
            </w:r>
          </w:p>
        </w:tc>
        <w:tc>
          <w:tcPr>
            <w:tcW w:w="296" w:type="pct"/>
            <w:vAlign w:val="center"/>
          </w:tcPr>
          <w:p w14:paraId="6D2CE41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w:t>
            </w:r>
          </w:p>
        </w:tc>
        <w:tc>
          <w:tcPr>
            <w:tcW w:w="485" w:type="pct"/>
            <w:vAlign w:val="bottom"/>
          </w:tcPr>
          <w:p w14:paraId="6E370D2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w:t>
            </w:r>
          </w:p>
        </w:tc>
      </w:tr>
      <w:tr w:rsidR="006D2709" w:rsidRPr="00A06F1E" w14:paraId="75A81DDD" w14:textId="77777777" w:rsidTr="006D2709">
        <w:trPr>
          <w:cnfStyle w:val="000000100000" w:firstRow="0" w:lastRow="0" w:firstColumn="0" w:lastColumn="0" w:oddVBand="0" w:evenVBand="0" w:oddHBand="1" w:evenHBand="0" w:firstRowFirstColumn="0" w:firstRowLastColumn="0" w:lastRowFirstColumn="0" w:lastRowLastColumn="0"/>
        </w:trPr>
        <w:tc>
          <w:tcPr>
            <w:tcW w:w="1097" w:type="pct"/>
          </w:tcPr>
          <w:p w14:paraId="27558DDA"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High needs</w:t>
            </w:r>
          </w:p>
        </w:tc>
        <w:tc>
          <w:tcPr>
            <w:tcW w:w="411" w:type="pct"/>
            <w:vAlign w:val="center"/>
          </w:tcPr>
          <w:p w14:paraId="182FA2D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46</w:t>
            </w:r>
          </w:p>
        </w:tc>
        <w:tc>
          <w:tcPr>
            <w:tcW w:w="381" w:type="pct"/>
            <w:vAlign w:val="center"/>
          </w:tcPr>
          <w:p w14:paraId="7686BFE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15</w:t>
            </w:r>
          </w:p>
        </w:tc>
        <w:tc>
          <w:tcPr>
            <w:tcW w:w="381" w:type="pct"/>
            <w:vAlign w:val="center"/>
          </w:tcPr>
          <w:p w14:paraId="2A7C40A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15</w:t>
            </w:r>
          </w:p>
        </w:tc>
        <w:tc>
          <w:tcPr>
            <w:tcW w:w="490" w:type="pct"/>
            <w:vAlign w:val="center"/>
          </w:tcPr>
          <w:p w14:paraId="7BC8405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26</w:t>
            </w:r>
          </w:p>
        </w:tc>
        <w:tc>
          <w:tcPr>
            <w:tcW w:w="337" w:type="pct"/>
            <w:vAlign w:val="center"/>
          </w:tcPr>
          <w:p w14:paraId="4C586FD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70</w:t>
            </w:r>
          </w:p>
        </w:tc>
        <w:tc>
          <w:tcPr>
            <w:tcW w:w="344" w:type="pct"/>
            <w:vAlign w:val="center"/>
          </w:tcPr>
          <w:p w14:paraId="77C7743A"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76</w:t>
            </w:r>
          </w:p>
        </w:tc>
        <w:tc>
          <w:tcPr>
            <w:tcW w:w="483" w:type="pct"/>
            <w:vAlign w:val="center"/>
          </w:tcPr>
          <w:p w14:paraId="39C2CF3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54</w:t>
            </w:r>
          </w:p>
        </w:tc>
        <w:tc>
          <w:tcPr>
            <w:tcW w:w="295" w:type="pct"/>
            <w:vAlign w:val="center"/>
          </w:tcPr>
          <w:p w14:paraId="0193DABB"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15</w:t>
            </w:r>
          </w:p>
        </w:tc>
        <w:tc>
          <w:tcPr>
            <w:tcW w:w="296" w:type="pct"/>
            <w:vAlign w:val="center"/>
          </w:tcPr>
          <w:p w14:paraId="203AED6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9</w:t>
            </w:r>
          </w:p>
        </w:tc>
        <w:tc>
          <w:tcPr>
            <w:tcW w:w="485" w:type="pct"/>
            <w:vAlign w:val="bottom"/>
          </w:tcPr>
          <w:p w14:paraId="0FB3895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21</w:t>
            </w:r>
          </w:p>
        </w:tc>
      </w:tr>
      <w:tr w:rsidR="006D2709" w:rsidRPr="00A06F1E" w14:paraId="63D7E7D2" w14:textId="77777777" w:rsidTr="006D2709">
        <w:tc>
          <w:tcPr>
            <w:tcW w:w="1097" w:type="pct"/>
          </w:tcPr>
          <w:p w14:paraId="4D8E8E46"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Low income</w:t>
            </w:r>
          </w:p>
        </w:tc>
        <w:tc>
          <w:tcPr>
            <w:tcW w:w="411" w:type="pct"/>
            <w:vAlign w:val="center"/>
          </w:tcPr>
          <w:p w14:paraId="70F4F3B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38</w:t>
            </w:r>
          </w:p>
        </w:tc>
        <w:tc>
          <w:tcPr>
            <w:tcW w:w="381" w:type="pct"/>
            <w:vAlign w:val="center"/>
          </w:tcPr>
          <w:p w14:paraId="0036769F"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17</w:t>
            </w:r>
          </w:p>
        </w:tc>
        <w:tc>
          <w:tcPr>
            <w:tcW w:w="381" w:type="pct"/>
            <w:vAlign w:val="center"/>
          </w:tcPr>
          <w:p w14:paraId="44715BA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16</w:t>
            </w:r>
          </w:p>
        </w:tc>
        <w:tc>
          <w:tcPr>
            <w:tcW w:w="490" w:type="pct"/>
            <w:vAlign w:val="center"/>
          </w:tcPr>
          <w:p w14:paraId="4BD5B763"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26</w:t>
            </w:r>
          </w:p>
        </w:tc>
        <w:tc>
          <w:tcPr>
            <w:tcW w:w="337" w:type="pct"/>
            <w:vAlign w:val="center"/>
          </w:tcPr>
          <w:p w14:paraId="60E92F2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71</w:t>
            </w:r>
          </w:p>
        </w:tc>
        <w:tc>
          <w:tcPr>
            <w:tcW w:w="344" w:type="pct"/>
            <w:vAlign w:val="center"/>
          </w:tcPr>
          <w:p w14:paraId="6CC2AB01"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74</w:t>
            </w:r>
          </w:p>
        </w:tc>
        <w:tc>
          <w:tcPr>
            <w:tcW w:w="483" w:type="pct"/>
            <w:vAlign w:val="center"/>
          </w:tcPr>
          <w:p w14:paraId="03273C4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53</w:t>
            </w:r>
          </w:p>
        </w:tc>
        <w:tc>
          <w:tcPr>
            <w:tcW w:w="295" w:type="pct"/>
            <w:vAlign w:val="center"/>
          </w:tcPr>
          <w:p w14:paraId="13402D76"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13</w:t>
            </w:r>
          </w:p>
        </w:tc>
        <w:tc>
          <w:tcPr>
            <w:tcW w:w="296" w:type="pct"/>
            <w:vAlign w:val="center"/>
          </w:tcPr>
          <w:p w14:paraId="201CCE2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11</w:t>
            </w:r>
          </w:p>
        </w:tc>
        <w:tc>
          <w:tcPr>
            <w:tcW w:w="485" w:type="pct"/>
            <w:vAlign w:val="bottom"/>
          </w:tcPr>
          <w:p w14:paraId="0C1D873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21</w:t>
            </w:r>
          </w:p>
        </w:tc>
      </w:tr>
      <w:tr w:rsidR="006D2709" w:rsidRPr="00A06F1E" w14:paraId="466E3B33" w14:textId="77777777" w:rsidTr="006D2709">
        <w:trPr>
          <w:cnfStyle w:val="000000100000" w:firstRow="0" w:lastRow="0" w:firstColumn="0" w:lastColumn="0" w:oddVBand="0" w:evenVBand="0" w:oddHBand="1" w:evenHBand="0" w:firstRowFirstColumn="0" w:firstRowLastColumn="0" w:lastRowFirstColumn="0" w:lastRowLastColumn="0"/>
        </w:trPr>
        <w:tc>
          <w:tcPr>
            <w:tcW w:w="1097" w:type="pct"/>
          </w:tcPr>
          <w:p w14:paraId="6CE543A5" w14:textId="77777777" w:rsidR="00B607BD" w:rsidRPr="00A06F1E" w:rsidRDefault="00B607BD" w:rsidP="00AA3A77">
            <w:pPr>
              <w:pStyle w:val="TableText"/>
              <w:spacing w:before="10" w:after="10"/>
              <w:rPr>
                <w:rFonts w:ascii="Franklin Gothic Book" w:hAnsi="Franklin Gothic Book"/>
                <w:spacing w:val="-4"/>
              </w:rPr>
            </w:pPr>
            <w:r w:rsidRPr="00A06F1E">
              <w:rPr>
                <w:rFonts w:ascii="Franklin Gothic Book" w:hAnsi="Franklin Gothic Book"/>
                <w:spacing w:val="-4"/>
              </w:rPr>
              <w:t>ELs and former ELs</w:t>
            </w:r>
          </w:p>
        </w:tc>
        <w:tc>
          <w:tcPr>
            <w:tcW w:w="411" w:type="pct"/>
            <w:vAlign w:val="center"/>
          </w:tcPr>
          <w:p w14:paraId="32610169" w14:textId="058D93C5"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4E7FE559" w14:textId="236AA404"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81" w:type="pct"/>
            <w:vAlign w:val="center"/>
          </w:tcPr>
          <w:p w14:paraId="1B8E56C2" w14:textId="4D22F0D0"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90" w:type="pct"/>
            <w:vAlign w:val="center"/>
          </w:tcPr>
          <w:p w14:paraId="3EA318A2"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13</w:t>
            </w:r>
          </w:p>
        </w:tc>
        <w:tc>
          <w:tcPr>
            <w:tcW w:w="337" w:type="pct"/>
            <w:vAlign w:val="center"/>
          </w:tcPr>
          <w:p w14:paraId="11F4D59F" w14:textId="507D40B7"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344" w:type="pct"/>
            <w:vAlign w:val="center"/>
          </w:tcPr>
          <w:p w14:paraId="78B3F546" w14:textId="70288E8F"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3" w:type="pct"/>
            <w:vAlign w:val="center"/>
          </w:tcPr>
          <w:p w14:paraId="2AD5675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50</w:t>
            </w:r>
          </w:p>
        </w:tc>
        <w:tc>
          <w:tcPr>
            <w:tcW w:w="295" w:type="pct"/>
            <w:vAlign w:val="center"/>
          </w:tcPr>
          <w:p w14:paraId="57E9E6BE" w14:textId="5EF1FB3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296" w:type="pct"/>
            <w:vAlign w:val="center"/>
          </w:tcPr>
          <w:p w14:paraId="4345F013" w14:textId="04400D3C" w:rsidR="00B607BD" w:rsidRPr="00A06F1E" w:rsidRDefault="00805266" w:rsidP="00AA3A77">
            <w:pPr>
              <w:pStyle w:val="TableTextCentered"/>
              <w:spacing w:before="10" w:after="10"/>
              <w:rPr>
                <w:rFonts w:ascii="Franklin Gothic Book" w:hAnsi="Franklin Gothic Book"/>
              </w:rPr>
            </w:pPr>
            <w:r w:rsidRPr="00A06F1E">
              <w:rPr>
                <w:rFonts w:ascii="Franklin Gothic Book" w:hAnsi="Franklin Gothic Book"/>
              </w:rPr>
              <w:t>—</w:t>
            </w:r>
          </w:p>
        </w:tc>
        <w:tc>
          <w:tcPr>
            <w:tcW w:w="485" w:type="pct"/>
            <w:vAlign w:val="bottom"/>
          </w:tcPr>
          <w:p w14:paraId="6D17D5B4"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38</w:t>
            </w:r>
          </w:p>
        </w:tc>
      </w:tr>
      <w:tr w:rsidR="006D2709" w:rsidRPr="00A06F1E" w14:paraId="32424B7A" w14:textId="77777777" w:rsidTr="006D2709">
        <w:tc>
          <w:tcPr>
            <w:tcW w:w="1097" w:type="pct"/>
          </w:tcPr>
          <w:p w14:paraId="0DE1E115" w14:textId="77777777" w:rsidR="00B607BD" w:rsidRPr="00A06F1E" w:rsidRDefault="00B607BD" w:rsidP="00AA3A77">
            <w:pPr>
              <w:pStyle w:val="TableText"/>
              <w:spacing w:before="10" w:after="10"/>
              <w:rPr>
                <w:rFonts w:ascii="Franklin Gothic Book" w:hAnsi="Franklin Gothic Book"/>
              </w:rPr>
            </w:pPr>
            <w:r w:rsidRPr="00A06F1E">
              <w:rPr>
                <w:rFonts w:ascii="Franklin Gothic Book" w:hAnsi="Franklin Gothic Book"/>
              </w:rPr>
              <w:t>Students w/disabilities</w:t>
            </w:r>
          </w:p>
        </w:tc>
        <w:tc>
          <w:tcPr>
            <w:tcW w:w="411" w:type="pct"/>
            <w:vAlign w:val="center"/>
          </w:tcPr>
          <w:p w14:paraId="2D849608"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26</w:t>
            </w:r>
          </w:p>
        </w:tc>
        <w:tc>
          <w:tcPr>
            <w:tcW w:w="381" w:type="pct"/>
            <w:vAlign w:val="center"/>
          </w:tcPr>
          <w:p w14:paraId="527C7B9C"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0</w:t>
            </w:r>
          </w:p>
        </w:tc>
        <w:tc>
          <w:tcPr>
            <w:tcW w:w="381" w:type="pct"/>
            <w:vAlign w:val="center"/>
          </w:tcPr>
          <w:p w14:paraId="0C9EED30"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12</w:t>
            </w:r>
          </w:p>
        </w:tc>
        <w:tc>
          <w:tcPr>
            <w:tcW w:w="490" w:type="pct"/>
            <w:vAlign w:val="center"/>
          </w:tcPr>
          <w:p w14:paraId="47FDF1E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16</w:t>
            </w:r>
          </w:p>
        </w:tc>
        <w:tc>
          <w:tcPr>
            <w:tcW w:w="337" w:type="pct"/>
            <w:vAlign w:val="center"/>
          </w:tcPr>
          <w:p w14:paraId="7436E05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60</w:t>
            </w:r>
          </w:p>
        </w:tc>
        <w:tc>
          <w:tcPr>
            <w:tcW w:w="344" w:type="pct"/>
            <w:vAlign w:val="center"/>
          </w:tcPr>
          <w:p w14:paraId="784A7D17"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73</w:t>
            </w:r>
          </w:p>
        </w:tc>
        <w:tc>
          <w:tcPr>
            <w:tcW w:w="483" w:type="pct"/>
            <w:vAlign w:val="center"/>
          </w:tcPr>
          <w:p w14:paraId="5CADE0CD"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53</w:t>
            </w:r>
          </w:p>
        </w:tc>
        <w:tc>
          <w:tcPr>
            <w:tcW w:w="295" w:type="pct"/>
            <w:vAlign w:val="center"/>
          </w:tcPr>
          <w:p w14:paraId="159605A5"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40</w:t>
            </w:r>
          </w:p>
        </w:tc>
        <w:tc>
          <w:tcPr>
            <w:tcW w:w="296" w:type="pct"/>
            <w:vAlign w:val="center"/>
          </w:tcPr>
          <w:p w14:paraId="3763575E"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15</w:t>
            </w:r>
          </w:p>
        </w:tc>
        <w:tc>
          <w:tcPr>
            <w:tcW w:w="485" w:type="pct"/>
            <w:vAlign w:val="bottom"/>
          </w:tcPr>
          <w:p w14:paraId="791B9579" w14:textId="77777777" w:rsidR="00B607BD" w:rsidRPr="00A06F1E" w:rsidRDefault="00B607BD" w:rsidP="00AA3A77">
            <w:pPr>
              <w:pStyle w:val="TableTextCentered"/>
              <w:spacing w:before="10" w:after="10"/>
              <w:rPr>
                <w:rFonts w:ascii="Franklin Gothic Book" w:hAnsi="Franklin Gothic Book"/>
              </w:rPr>
            </w:pPr>
            <w:r w:rsidRPr="00A06F1E">
              <w:rPr>
                <w:rFonts w:ascii="Franklin Gothic Book" w:hAnsi="Franklin Gothic Book"/>
              </w:rPr>
              <w:t>31</w:t>
            </w:r>
          </w:p>
        </w:tc>
      </w:tr>
    </w:tbl>
    <w:p w14:paraId="34565F5D" w14:textId="47C53820" w:rsidR="00B607BD" w:rsidRPr="00A06F1E" w:rsidRDefault="00B607BD" w:rsidP="00B7722D">
      <w:pPr>
        <w:pStyle w:val="TabletitleSectionE"/>
      </w:pPr>
      <w:bookmarkStart w:id="267" w:name="_Toc170701959"/>
      <w:bookmarkStart w:id="268" w:name="_Toc171685796"/>
      <w:r w:rsidRPr="00A06F1E">
        <w:lastRenderedPageBreak/>
        <w:t>Table E7</w:t>
      </w:r>
      <w:r w:rsidR="006345FB">
        <w:t>a</w:t>
      </w:r>
      <w:r w:rsidR="00CE00AC" w:rsidRPr="00A06F1E">
        <w:t>.</w:t>
      </w:r>
      <w:r w:rsidRPr="00A06F1E">
        <w:t xml:space="preserve"> </w:t>
      </w:r>
      <w:r w:rsidR="00CF4F71">
        <w:t>Fisher Hill</w:t>
      </w:r>
      <w:r w:rsidR="00F3532E" w:rsidRPr="00A06F1E">
        <w:t>:</w:t>
      </w:r>
      <w:r w:rsidRPr="00A06F1E">
        <w:t xml:space="preserve"> Next-Generation MCAS ELA Achievement by Grade, 2022-2023</w:t>
      </w:r>
      <w:bookmarkEnd w:id="267"/>
      <w:bookmarkEnd w:id="268"/>
    </w:p>
    <w:tbl>
      <w:tblPr>
        <w:tblStyle w:val="MSVTable1"/>
        <w:tblW w:w="5000" w:type="pct"/>
        <w:tblLook w:val="0420" w:firstRow="1" w:lastRow="0" w:firstColumn="0" w:lastColumn="0" w:noHBand="0" w:noVBand="1"/>
      </w:tblPr>
      <w:tblGrid>
        <w:gridCol w:w="1081"/>
        <w:gridCol w:w="1186"/>
        <w:gridCol w:w="1186"/>
        <w:gridCol w:w="1186"/>
        <w:gridCol w:w="1188"/>
        <w:gridCol w:w="1186"/>
        <w:gridCol w:w="1188"/>
        <w:gridCol w:w="1186"/>
        <w:gridCol w:w="1188"/>
        <w:gridCol w:w="1186"/>
        <w:gridCol w:w="1183"/>
      </w:tblGrid>
      <w:tr w:rsidR="00B607BD" w:rsidRPr="00A06F1E" w14:paraId="16DB21C0"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709536AB" w14:textId="77777777" w:rsidR="00B607BD" w:rsidRPr="00DF7902" w:rsidRDefault="00B607BD" w:rsidP="006D2709">
            <w:pPr>
              <w:pStyle w:val="TableColHeadingLeft"/>
              <w:spacing w:before="20" w:after="20"/>
              <w:jc w:val="center"/>
            </w:pPr>
            <w:bookmarkStart w:id="269" w:name="_Hlk139011901"/>
            <w:r w:rsidRPr="00DF7902">
              <w:t>Grade</w:t>
            </w:r>
          </w:p>
        </w:tc>
        <w:tc>
          <w:tcPr>
            <w:tcW w:w="458" w:type="pct"/>
            <w:vMerge w:val="restart"/>
            <w:vAlign w:val="center"/>
          </w:tcPr>
          <w:p w14:paraId="275F2DB1" w14:textId="2F3146A1" w:rsidR="00B607BD" w:rsidRPr="00A06F1E" w:rsidRDefault="00B607BD" w:rsidP="006D2709">
            <w:pPr>
              <w:pStyle w:val="TableColHeadingCenter"/>
              <w:spacing w:before="20" w:after="20"/>
            </w:pPr>
            <w:r w:rsidRPr="00A06F1E">
              <w:t xml:space="preserve"># </w:t>
            </w:r>
            <w:r w:rsidR="00A12E54" w:rsidRPr="00A06F1E">
              <w:t>i</w:t>
            </w:r>
            <w:r w:rsidRPr="00A06F1E">
              <w:t>ncluded (2023)</w:t>
            </w:r>
          </w:p>
        </w:tc>
        <w:tc>
          <w:tcPr>
            <w:tcW w:w="1375" w:type="pct"/>
            <w:gridSpan w:val="3"/>
            <w:vAlign w:val="bottom"/>
          </w:tcPr>
          <w:p w14:paraId="0968A49D" w14:textId="106F573F" w:rsidR="00B607BD" w:rsidRPr="00A06F1E" w:rsidRDefault="00A228CB" w:rsidP="006D2709">
            <w:pPr>
              <w:pStyle w:val="TableColHeadingCenter"/>
              <w:spacing w:before="20" w:after="20"/>
            </w:pPr>
            <w:r w:rsidRPr="00A06F1E">
              <w:t>Percentage</w:t>
            </w:r>
            <w:r w:rsidR="00B607BD" w:rsidRPr="00A06F1E">
              <w:t xml:space="preserve"> meeting or exceeding expectations</w:t>
            </w:r>
          </w:p>
        </w:tc>
        <w:tc>
          <w:tcPr>
            <w:tcW w:w="1375" w:type="pct"/>
            <w:gridSpan w:val="3"/>
            <w:vAlign w:val="center"/>
          </w:tcPr>
          <w:p w14:paraId="0E7FCF30" w14:textId="1A72CDAD" w:rsidR="00B607BD" w:rsidRPr="00A06F1E" w:rsidRDefault="00A228CB" w:rsidP="006D2709">
            <w:pPr>
              <w:pStyle w:val="TableColHeadingCenter"/>
              <w:spacing w:before="20" w:after="20"/>
            </w:pPr>
            <w:r w:rsidRPr="00A06F1E">
              <w:t>Percentage</w:t>
            </w:r>
            <w:r w:rsidR="00B607BD" w:rsidRPr="00A06F1E">
              <w:t xml:space="preserve"> partially meeting expectations</w:t>
            </w:r>
          </w:p>
        </w:tc>
        <w:tc>
          <w:tcPr>
            <w:tcW w:w="1375" w:type="pct"/>
            <w:gridSpan w:val="3"/>
            <w:vAlign w:val="center"/>
          </w:tcPr>
          <w:p w14:paraId="583C2819" w14:textId="41492BC2" w:rsidR="00B607BD" w:rsidRPr="00A06F1E" w:rsidRDefault="00A228CB" w:rsidP="006D2709">
            <w:pPr>
              <w:pStyle w:val="TableColHeadingCenter"/>
              <w:spacing w:before="20" w:after="20"/>
            </w:pPr>
            <w:r w:rsidRPr="00A06F1E">
              <w:t>Percentage</w:t>
            </w:r>
            <w:r w:rsidR="00B607BD" w:rsidRPr="00A06F1E">
              <w:t xml:space="preserve"> not meeting expectations</w:t>
            </w:r>
          </w:p>
        </w:tc>
      </w:tr>
      <w:tr w:rsidR="006D2709" w:rsidRPr="00A06F1E" w14:paraId="1A296CD0"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6FAA6DFB" w14:textId="77777777" w:rsidR="00B607BD" w:rsidRPr="00A06F1E" w:rsidRDefault="00B607BD" w:rsidP="006D2709">
            <w:pPr>
              <w:pStyle w:val="TableColHeadingCenter"/>
              <w:spacing w:before="20" w:after="20"/>
            </w:pPr>
          </w:p>
        </w:tc>
        <w:tc>
          <w:tcPr>
            <w:tcW w:w="458" w:type="pct"/>
            <w:vMerge/>
            <w:vAlign w:val="bottom"/>
          </w:tcPr>
          <w:p w14:paraId="784A2EF7" w14:textId="77777777" w:rsidR="00B607BD" w:rsidRPr="00A06F1E" w:rsidRDefault="00B607BD" w:rsidP="006D2709">
            <w:pPr>
              <w:pStyle w:val="TableColHeadingCenter"/>
              <w:spacing w:before="20" w:after="20"/>
            </w:pPr>
          </w:p>
        </w:tc>
        <w:tc>
          <w:tcPr>
            <w:tcW w:w="458" w:type="pct"/>
            <w:vAlign w:val="center"/>
          </w:tcPr>
          <w:p w14:paraId="50F8B270" w14:textId="77777777" w:rsidR="00B607BD" w:rsidRPr="00A06F1E" w:rsidRDefault="00B607BD" w:rsidP="006D2709">
            <w:pPr>
              <w:pStyle w:val="TableColHeadingCenter"/>
              <w:spacing w:before="20" w:after="20"/>
            </w:pPr>
            <w:r w:rsidRPr="00A06F1E">
              <w:t>2022</w:t>
            </w:r>
          </w:p>
        </w:tc>
        <w:tc>
          <w:tcPr>
            <w:tcW w:w="458" w:type="pct"/>
            <w:vAlign w:val="center"/>
          </w:tcPr>
          <w:p w14:paraId="6FE26480" w14:textId="77777777" w:rsidR="00B607BD" w:rsidRPr="00A06F1E" w:rsidRDefault="00B607BD" w:rsidP="006D2709">
            <w:pPr>
              <w:pStyle w:val="TableColHeadingCenter"/>
              <w:spacing w:before="20" w:after="20"/>
            </w:pPr>
            <w:r w:rsidRPr="00A06F1E">
              <w:t>2023</w:t>
            </w:r>
          </w:p>
        </w:tc>
        <w:tc>
          <w:tcPr>
            <w:tcW w:w="459" w:type="pct"/>
            <w:vAlign w:val="center"/>
          </w:tcPr>
          <w:p w14:paraId="5B367F54" w14:textId="77777777" w:rsidR="00B607BD" w:rsidRPr="00A06F1E" w:rsidRDefault="00B607BD" w:rsidP="006D2709">
            <w:pPr>
              <w:pStyle w:val="TableColHeadingCenter"/>
              <w:spacing w:before="20" w:after="20"/>
            </w:pPr>
            <w:r w:rsidRPr="00A06F1E">
              <w:t>State (2023)</w:t>
            </w:r>
          </w:p>
        </w:tc>
        <w:tc>
          <w:tcPr>
            <w:tcW w:w="458" w:type="pct"/>
            <w:vAlign w:val="center"/>
          </w:tcPr>
          <w:p w14:paraId="54BFAB08" w14:textId="77777777" w:rsidR="00B607BD" w:rsidRPr="00A06F1E" w:rsidRDefault="00B607BD" w:rsidP="006D2709">
            <w:pPr>
              <w:pStyle w:val="TableColHeadingCenter"/>
              <w:spacing w:before="20" w:after="20"/>
            </w:pPr>
            <w:r w:rsidRPr="00A06F1E">
              <w:t>2022</w:t>
            </w:r>
          </w:p>
        </w:tc>
        <w:tc>
          <w:tcPr>
            <w:tcW w:w="459" w:type="pct"/>
            <w:vAlign w:val="center"/>
          </w:tcPr>
          <w:p w14:paraId="581132DD" w14:textId="77777777" w:rsidR="00B607BD" w:rsidRPr="00A06F1E" w:rsidRDefault="00B607BD" w:rsidP="006D2709">
            <w:pPr>
              <w:pStyle w:val="TableColHeadingCenter"/>
              <w:spacing w:before="20" w:after="20"/>
            </w:pPr>
            <w:r w:rsidRPr="00A06F1E">
              <w:t>2023</w:t>
            </w:r>
          </w:p>
        </w:tc>
        <w:tc>
          <w:tcPr>
            <w:tcW w:w="458" w:type="pct"/>
            <w:vAlign w:val="center"/>
          </w:tcPr>
          <w:p w14:paraId="26D923C6" w14:textId="77777777" w:rsidR="00B607BD" w:rsidRPr="00A06F1E" w:rsidRDefault="00B607BD" w:rsidP="006D2709">
            <w:pPr>
              <w:pStyle w:val="TableColHeadingCenter"/>
              <w:spacing w:before="20" w:after="20"/>
            </w:pPr>
            <w:r w:rsidRPr="00A06F1E">
              <w:t>State (2023)</w:t>
            </w:r>
          </w:p>
        </w:tc>
        <w:tc>
          <w:tcPr>
            <w:tcW w:w="459" w:type="pct"/>
            <w:vAlign w:val="center"/>
          </w:tcPr>
          <w:p w14:paraId="733E3473" w14:textId="77777777" w:rsidR="00B607BD" w:rsidRPr="00A06F1E" w:rsidRDefault="00B607BD" w:rsidP="006D2709">
            <w:pPr>
              <w:pStyle w:val="TableColHeadingCenter"/>
              <w:spacing w:before="20" w:after="20"/>
            </w:pPr>
            <w:r w:rsidRPr="00A06F1E">
              <w:t>2022</w:t>
            </w:r>
          </w:p>
        </w:tc>
        <w:tc>
          <w:tcPr>
            <w:tcW w:w="458" w:type="pct"/>
            <w:vAlign w:val="center"/>
          </w:tcPr>
          <w:p w14:paraId="346F1198" w14:textId="77777777" w:rsidR="00B607BD" w:rsidRPr="00A06F1E" w:rsidRDefault="00B607BD" w:rsidP="006D2709">
            <w:pPr>
              <w:pStyle w:val="TableColHeadingCenter"/>
              <w:spacing w:before="20" w:after="20"/>
            </w:pPr>
            <w:r w:rsidRPr="00A06F1E">
              <w:t>2023</w:t>
            </w:r>
          </w:p>
        </w:tc>
        <w:tc>
          <w:tcPr>
            <w:tcW w:w="459" w:type="pct"/>
            <w:vAlign w:val="center"/>
          </w:tcPr>
          <w:p w14:paraId="2402CAC3" w14:textId="77777777" w:rsidR="00B607BD" w:rsidRPr="00A06F1E" w:rsidRDefault="00B607BD" w:rsidP="006D2709">
            <w:pPr>
              <w:pStyle w:val="TableColHeadingCenter"/>
              <w:spacing w:before="20" w:after="20"/>
            </w:pPr>
            <w:r w:rsidRPr="00A06F1E">
              <w:t>State (2023)</w:t>
            </w:r>
          </w:p>
        </w:tc>
      </w:tr>
      <w:tr w:rsidR="00B607BD" w:rsidRPr="00A06F1E" w14:paraId="6282D810"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42403676" w14:textId="77777777" w:rsidR="00B607BD" w:rsidRPr="00A06F1E" w:rsidRDefault="00B607BD" w:rsidP="006D2709">
            <w:pPr>
              <w:pStyle w:val="TableText"/>
              <w:spacing w:before="20" w:after="20"/>
              <w:jc w:val="center"/>
              <w:rPr>
                <w:rFonts w:ascii="Franklin Gothic Book" w:hAnsi="Franklin Gothic Book"/>
              </w:rPr>
            </w:pPr>
            <w:r w:rsidRPr="00A06F1E">
              <w:rPr>
                <w:rFonts w:ascii="Franklin Gothic Book" w:hAnsi="Franklin Gothic Book"/>
              </w:rPr>
              <w:t>3</w:t>
            </w:r>
          </w:p>
        </w:tc>
        <w:tc>
          <w:tcPr>
            <w:tcW w:w="458" w:type="pct"/>
          </w:tcPr>
          <w:p w14:paraId="347630F9"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68</w:t>
            </w:r>
          </w:p>
        </w:tc>
        <w:tc>
          <w:tcPr>
            <w:tcW w:w="458" w:type="pct"/>
          </w:tcPr>
          <w:p w14:paraId="35418DB6"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16</w:t>
            </w:r>
          </w:p>
        </w:tc>
        <w:tc>
          <w:tcPr>
            <w:tcW w:w="458" w:type="pct"/>
          </w:tcPr>
          <w:p w14:paraId="2EE63D02"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21</w:t>
            </w:r>
          </w:p>
        </w:tc>
        <w:tc>
          <w:tcPr>
            <w:tcW w:w="459" w:type="pct"/>
          </w:tcPr>
          <w:p w14:paraId="51BF50EA"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44</w:t>
            </w:r>
          </w:p>
        </w:tc>
        <w:tc>
          <w:tcPr>
            <w:tcW w:w="458" w:type="pct"/>
          </w:tcPr>
          <w:p w14:paraId="338FFD05"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52</w:t>
            </w:r>
          </w:p>
        </w:tc>
        <w:tc>
          <w:tcPr>
            <w:tcW w:w="459" w:type="pct"/>
          </w:tcPr>
          <w:p w14:paraId="35EA84C1"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50</w:t>
            </w:r>
          </w:p>
        </w:tc>
        <w:tc>
          <w:tcPr>
            <w:tcW w:w="458" w:type="pct"/>
          </w:tcPr>
          <w:p w14:paraId="00F3B516"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40</w:t>
            </w:r>
          </w:p>
        </w:tc>
        <w:tc>
          <w:tcPr>
            <w:tcW w:w="459" w:type="pct"/>
          </w:tcPr>
          <w:p w14:paraId="2076BFB9"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33</w:t>
            </w:r>
          </w:p>
        </w:tc>
        <w:tc>
          <w:tcPr>
            <w:tcW w:w="458" w:type="pct"/>
          </w:tcPr>
          <w:p w14:paraId="06A5CE90"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29</w:t>
            </w:r>
          </w:p>
        </w:tc>
        <w:tc>
          <w:tcPr>
            <w:tcW w:w="459" w:type="pct"/>
          </w:tcPr>
          <w:p w14:paraId="21F22BB1"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16</w:t>
            </w:r>
          </w:p>
        </w:tc>
      </w:tr>
      <w:tr w:rsidR="00B607BD" w:rsidRPr="00A06F1E" w14:paraId="796BB2B4" w14:textId="77777777" w:rsidTr="006D2709">
        <w:tc>
          <w:tcPr>
            <w:tcW w:w="418" w:type="pct"/>
          </w:tcPr>
          <w:p w14:paraId="50A7CD31" w14:textId="77777777" w:rsidR="00B607BD" w:rsidRPr="00A06F1E" w:rsidRDefault="00B607BD" w:rsidP="006D2709">
            <w:pPr>
              <w:pStyle w:val="TableText"/>
              <w:spacing w:before="20" w:after="20"/>
              <w:jc w:val="center"/>
              <w:rPr>
                <w:rFonts w:ascii="Franklin Gothic Book" w:hAnsi="Franklin Gothic Book"/>
              </w:rPr>
            </w:pPr>
            <w:r w:rsidRPr="00A06F1E">
              <w:rPr>
                <w:rFonts w:ascii="Franklin Gothic Book" w:hAnsi="Franklin Gothic Book"/>
              </w:rPr>
              <w:t>4</w:t>
            </w:r>
          </w:p>
        </w:tc>
        <w:tc>
          <w:tcPr>
            <w:tcW w:w="458" w:type="pct"/>
          </w:tcPr>
          <w:p w14:paraId="5077BE32"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70</w:t>
            </w:r>
          </w:p>
        </w:tc>
        <w:tc>
          <w:tcPr>
            <w:tcW w:w="458" w:type="pct"/>
          </w:tcPr>
          <w:p w14:paraId="1CC86580"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16</w:t>
            </w:r>
          </w:p>
        </w:tc>
        <w:tc>
          <w:tcPr>
            <w:tcW w:w="458" w:type="pct"/>
          </w:tcPr>
          <w:p w14:paraId="4EEA911A"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7</w:t>
            </w:r>
          </w:p>
        </w:tc>
        <w:tc>
          <w:tcPr>
            <w:tcW w:w="459" w:type="pct"/>
          </w:tcPr>
          <w:p w14:paraId="17CD75BA"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tcPr>
          <w:p w14:paraId="402A2DE6"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54</w:t>
            </w:r>
          </w:p>
        </w:tc>
        <w:tc>
          <w:tcPr>
            <w:tcW w:w="459" w:type="pct"/>
          </w:tcPr>
          <w:p w14:paraId="2D2F956A"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47</w:t>
            </w:r>
          </w:p>
        </w:tc>
        <w:tc>
          <w:tcPr>
            <w:tcW w:w="458" w:type="pct"/>
          </w:tcPr>
          <w:p w14:paraId="1583DA94"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43</w:t>
            </w:r>
          </w:p>
        </w:tc>
        <w:tc>
          <w:tcPr>
            <w:tcW w:w="459" w:type="pct"/>
          </w:tcPr>
          <w:p w14:paraId="7E6515C9"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30</w:t>
            </w:r>
          </w:p>
        </w:tc>
        <w:tc>
          <w:tcPr>
            <w:tcW w:w="458" w:type="pct"/>
          </w:tcPr>
          <w:p w14:paraId="0701BECD"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46</w:t>
            </w:r>
          </w:p>
        </w:tc>
        <w:tc>
          <w:tcPr>
            <w:tcW w:w="459" w:type="pct"/>
          </w:tcPr>
          <w:p w14:paraId="69017ED5"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17</w:t>
            </w:r>
          </w:p>
        </w:tc>
      </w:tr>
      <w:tr w:rsidR="00B607BD" w:rsidRPr="00A06F1E" w14:paraId="59DFB002"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33B390DD" w14:textId="77777777" w:rsidR="00B607BD" w:rsidRPr="00A06F1E" w:rsidRDefault="00B607BD" w:rsidP="006D2709">
            <w:pPr>
              <w:pStyle w:val="TableText"/>
              <w:spacing w:before="20" w:after="20"/>
              <w:jc w:val="center"/>
              <w:rPr>
                <w:rFonts w:ascii="Franklin Gothic Book" w:hAnsi="Franklin Gothic Book"/>
              </w:rPr>
            </w:pPr>
            <w:r w:rsidRPr="00A06F1E">
              <w:rPr>
                <w:rFonts w:ascii="Franklin Gothic Book" w:hAnsi="Franklin Gothic Book"/>
              </w:rPr>
              <w:t>5</w:t>
            </w:r>
          </w:p>
        </w:tc>
        <w:tc>
          <w:tcPr>
            <w:tcW w:w="458" w:type="pct"/>
          </w:tcPr>
          <w:p w14:paraId="0AC9304D"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71</w:t>
            </w:r>
          </w:p>
        </w:tc>
        <w:tc>
          <w:tcPr>
            <w:tcW w:w="458" w:type="pct"/>
          </w:tcPr>
          <w:p w14:paraId="634EAE6C"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10</w:t>
            </w:r>
          </w:p>
        </w:tc>
        <w:tc>
          <w:tcPr>
            <w:tcW w:w="458" w:type="pct"/>
          </w:tcPr>
          <w:p w14:paraId="5C8644C4"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15</w:t>
            </w:r>
          </w:p>
        </w:tc>
        <w:tc>
          <w:tcPr>
            <w:tcW w:w="459" w:type="pct"/>
          </w:tcPr>
          <w:p w14:paraId="260903BF"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44</w:t>
            </w:r>
          </w:p>
        </w:tc>
        <w:tc>
          <w:tcPr>
            <w:tcW w:w="458" w:type="pct"/>
          </w:tcPr>
          <w:p w14:paraId="42E1897B"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55</w:t>
            </w:r>
          </w:p>
        </w:tc>
        <w:tc>
          <w:tcPr>
            <w:tcW w:w="459" w:type="pct"/>
          </w:tcPr>
          <w:p w14:paraId="61641E61"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54</w:t>
            </w:r>
          </w:p>
        </w:tc>
        <w:tc>
          <w:tcPr>
            <w:tcW w:w="458" w:type="pct"/>
          </w:tcPr>
          <w:p w14:paraId="58EE6241"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40</w:t>
            </w:r>
          </w:p>
        </w:tc>
        <w:tc>
          <w:tcPr>
            <w:tcW w:w="459" w:type="pct"/>
          </w:tcPr>
          <w:p w14:paraId="4C3C2A7C"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35</w:t>
            </w:r>
          </w:p>
        </w:tc>
        <w:tc>
          <w:tcPr>
            <w:tcW w:w="458" w:type="pct"/>
          </w:tcPr>
          <w:p w14:paraId="3B36ACD7"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31</w:t>
            </w:r>
          </w:p>
        </w:tc>
        <w:tc>
          <w:tcPr>
            <w:tcW w:w="459" w:type="pct"/>
          </w:tcPr>
          <w:p w14:paraId="3B918D1F"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16</w:t>
            </w:r>
          </w:p>
        </w:tc>
      </w:tr>
      <w:tr w:rsidR="00B607BD" w:rsidRPr="00A06F1E" w14:paraId="03B87E34" w14:textId="77777777" w:rsidTr="006D2709">
        <w:tc>
          <w:tcPr>
            <w:tcW w:w="418" w:type="pct"/>
          </w:tcPr>
          <w:p w14:paraId="75701D15" w14:textId="77777777" w:rsidR="00B607BD" w:rsidRPr="00A06F1E" w:rsidRDefault="00B607BD" w:rsidP="006D2709">
            <w:pPr>
              <w:pStyle w:val="TableText"/>
              <w:spacing w:before="20" w:after="20"/>
              <w:jc w:val="center"/>
              <w:rPr>
                <w:rFonts w:ascii="Franklin Gothic Book" w:hAnsi="Franklin Gothic Book"/>
              </w:rPr>
            </w:pPr>
            <w:r w:rsidRPr="00A06F1E">
              <w:rPr>
                <w:rFonts w:ascii="Franklin Gothic Book" w:hAnsi="Franklin Gothic Book"/>
              </w:rPr>
              <w:t>6</w:t>
            </w:r>
          </w:p>
        </w:tc>
        <w:tc>
          <w:tcPr>
            <w:tcW w:w="458" w:type="pct"/>
          </w:tcPr>
          <w:p w14:paraId="69189F18"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74</w:t>
            </w:r>
          </w:p>
        </w:tc>
        <w:tc>
          <w:tcPr>
            <w:tcW w:w="458" w:type="pct"/>
          </w:tcPr>
          <w:p w14:paraId="709C4E48"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19</w:t>
            </w:r>
          </w:p>
        </w:tc>
        <w:tc>
          <w:tcPr>
            <w:tcW w:w="458" w:type="pct"/>
          </w:tcPr>
          <w:p w14:paraId="377415F2"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22</w:t>
            </w:r>
          </w:p>
        </w:tc>
        <w:tc>
          <w:tcPr>
            <w:tcW w:w="459" w:type="pct"/>
          </w:tcPr>
          <w:p w14:paraId="7B7AAD11"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42</w:t>
            </w:r>
          </w:p>
        </w:tc>
        <w:tc>
          <w:tcPr>
            <w:tcW w:w="458" w:type="pct"/>
          </w:tcPr>
          <w:p w14:paraId="2C4E624F"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42</w:t>
            </w:r>
          </w:p>
        </w:tc>
        <w:tc>
          <w:tcPr>
            <w:tcW w:w="459" w:type="pct"/>
          </w:tcPr>
          <w:p w14:paraId="561E315C"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42</w:t>
            </w:r>
          </w:p>
        </w:tc>
        <w:tc>
          <w:tcPr>
            <w:tcW w:w="458" w:type="pct"/>
          </w:tcPr>
          <w:p w14:paraId="5F588D42"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34</w:t>
            </w:r>
          </w:p>
        </w:tc>
        <w:tc>
          <w:tcPr>
            <w:tcW w:w="459" w:type="pct"/>
          </w:tcPr>
          <w:p w14:paraId="632FF9F6"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39</w:t>
            </w:r>
          </w:p>
        </w:tc>
        <w:tc>
          <w:tcPr>
            <w:tcW w:w="458" w:type="pct"/>
          </w:tcPr>
          <w:p w14:paraId="42953C2B"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36</w:t>
            </w:r>
          </w:p>
        </w:tc>
        <w:tc>
          <w:tcPr>
            <w:tcW w:w="459" w:type="pct"/>
          </w:tcPr>
          <w:p w14:paraId="72320360"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24</w:t>
            </w:r>
          </w:p>
        </w:tc>
      </w:tr>
      <w:tr w:rsidR="00B607BD" w:rsidRPr="00A06F1E" w14:paraId="128CBAAA"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57CE3BF9" w14:textId="77777777" w:rsidR="00B607BD" w:rsidRPr="00A06F1E" w:rsidRDefault="00B607BD" w:rsidP="006D2709">
            <w:pPr>
              <w:pStyle w:val="TableText"/>
              <w:spacing w:before="20" w:after="20"/>
              <w:jc w:val="center"/>
              <w:rPr>
                <w:rFonts w:ascii="Franklin Gothic Book" w:hAnsi="Franklin Gothic Book"/>
              </w:rPr>
            </w:pPr>
            <w:r w:rsidRPr="00A06F1E">
              <w:rPr>
                <w:rFonts w:ascii="Franklin Gothic Book" w:hAnsi="Franklin Gothic Book"/>
              </w:rPr>
              <w:t>7</w:t>
            </w:r>
          </w:p>
        </w:tc>
        <w:tc>
          <w:tcPr>
            <w:tcW w:w="458" w:type="pct"/>
          </w:tcPr>
          <w:p w14:paraId="1DDFAA4F" w14:textId="2F207703" w:rsidR="00B607BD" w:rsidRPr="00A06F1E" w:rsidRDefault="00805266" w:rsidP="006D2709">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28954CED" w14:textId="0B827726" w:rsidR="00B607BD" w:rsidRPr="00A06F1E" w:rsidRDefault="00805266" w:rsidP="006D2709">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02B4EABB" w14:textId="2721A41B" w:rsidR="00B607BD" w:rsidRPr="00A06F1E" w:rsidRDefault="00805266" w:rsidP="006D2709">
            <w:pPr>
              <w:pStyle w:val="TableTextCentered"/>
              <w:spacing w:before="20" w:after="20"/>
              <w:rPr>
                <w:rFonts w:ascii="Franklin Gothic Book" w:hAnsi="Franklin Gothic Book"/>
              </w:rPr>
            </w:pPr>
            <w:r w:rsidRPr="00A06F1E">
              <w:rPr>
                <w:rFonts w:ascii="Franklin Gothic Book" w:hAnsi="Franklin Gothic Book"/>
              </w:rPr>
              <w:t>—</w:t>
            </w:r>
          </w:p>
        </w:tc>
        <w:tc>
          <w:tcPr>
            <w:tcW w:w="459" w:type="pct"/>
          </w:tcPr>
          <w:p w14:paraId="719DB81C"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tcPr>
          <w:p w14:paraId="4AAD0282" w14:textId="50A1553B" w:rsidR="00B607BD" w:rsidRPr="00A06F1E" w:rsidRDefault="00805266" w:rsidP="006D2709">
            <w:pPr>
              <w:pStyle w:val="TableTextCentered"/>
              <w:spacing w:before="20" w:after="20"/>
              <w:rPr>
                <w:rFonts w:ascii="Franklin Gothic Book" w:hAnsi="Franklin Gothic Book"/>
              </w:rPr>
            </w:pPr>
            <w:r w:rsidRPr="00A06F1E">
              <w:rPr>
                <w:rFonts w:ascii="Franklin Gothic Book" w:hAnsi="Franklin Gothic Book"/>
              </w:rPr>
              <w:t>—</w:t>
            </w:r>
          </w:p>
        </w:tc>
        <w:tc>
          <w:tcPr>
            <w:tcW w:w="459" w:type="pct"/>
          </w:tcPr>
          <w:p w14:paraId="6A461B34" w14:textId="584FA5D4" w:rsidR="00B607BD" w:rsidRPr="00A06F1E" w:rsidRDefault="00805266" w:rsidP="006D2709">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1E8E7BE6"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40</w:t>
            </w:r>
          </w:p>
        </w:tc>
        <w:tc>
          <w:tcPr>
            <w:tcW w:w="459" w:type="pct"/>
          </w:tcPr>
          <w:p w14:paraId="5B33F082" w14:textId="0299975A" w:rsidR="00B607BD" w:rsidRPr="00A06F1E" w:rsidRDefault="00805266" w:rsidP="006D2709">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729E8FC7" w14:textId="5950094C" w:rsidR="00B607BD" w:rsidRPr="00A06F1E" w:rsidRDefault="00805266" w:rsidP="006D2709">
            <w:pPr>
              <w:pStyle w:val="TableTextCentered"/>
              <w:spacing w:before="20" w:after="20"/>
              <w:rPr>
                <w:rFonts w:ascii="Franklin Gothic Book" w:hAnsi="Franklin Gothic Book"/>
              </w:rPr>
            </w:pPr>
            <w:r w:rsidRPr="00A06F1E">
              <w:rPr>
                <w:rFonts w:ascii="Franklin Gothic Book" w:hAnsi="Franklin Gothic Book"/>
              </w:rPr>
              <w:t>—</w:t>
            </w:r>
          </w:p>
        </w:tc>
        <w:tc>
          <w:tcPr>
            <w:tcW w:w="459" w:type="pct"/>
          </w:tcPr>
          <w:p w14:paraId="47FEBC5B"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19</w:t>
            </w:r>
          </w:p>
        </w:tc>
      </w:tr>
      <w:tr w:rsidR="00B607BD" w:rsidRPr="00A06F1E" w14:paraId="521A34C2" w14:textId="77777777" w:rsidTr="006D2709">
        <w:tc>
          <w:tcPr>
            <w:tcW w:w="418" w:type="pct"/>
          </w:tcPr>
          <w:p w14:paraId="3BE1C9CD" w14:textId="77777777" w:rsidR="00B607BD" w:rsidRPr="00A06F1E" w:rsidRDefault="00B607BD" w:rsidP="006D2709">
            <w:pPr>
              <w:pStyle w:val="TableText"/>
              <w:spacing w:before="20" w:after="20"/>
              <w:jc w:val="center"/>
              <w:rPr>
                <w:rFonts w:ascii="Franklin Gothic Book" w:hAnsi="Franklin Gothic Book"/>
              </w:rPr>
            </w:pPr>
            <w:r w:rsidRPr="00A06F1E">
              <w:rPr>
                <w:rFonts w:ascii="Franklin Gothic Book" w:hAnsi="Franklin Gothic Book"/>
              </w:rPr>
              <w:t>8</w:t>
            </w:r>
          </w:p>
        </w:tc>
        <w:tc>
          <w:tcPr>
            <w:tcW w:w="458" w:type="pct"/>
          </w:tcPr>
          <w:p w14:paraId="6007803B" w14:textId="6E818BE4" w:rsidR="00B607BD" w:rsidRPr="00A06F1E" w:rsidRDefault="00805266" w:rsidP="006D2709">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1ACF5192" w14:textId="7AE08E27" w:rsidR="00B607BD" w:rsidRPr="00A06F1E" w:rsidRDefault="00805266" w:rsidP="006D2709">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1E79045D" w14:textId="13BA76C4" w:rsidR="00B607BD" w:rsidRPr="00A06F1E" w:rsidRDefault="00805266" w:rsidP="006D2709">
            <w:pPr>
              <w:pStyle w:val="TableTextCentered"/>
              <w:spacing w:before="20" w:after="20"/>
              <w:rPr>
                <w:rFonts w:ascii="Franklin Gothic Book" w:hAnsi="Franklin Gothic Book"/>
              </w:rPr>
            </w:pPr>
            <w:r w:rsidRPr="00A06F1E">
              <w:rPr>
                <w:rFonts w:ascii="Franklin Gothic Book" w:hAnsi="Franklin Gothic Book"/>
              </w:rPr>
              <w:t>—</w:t>
            </w:r>
          </w:p>
        </w:tc>
        <w:tc>
          <w:tcPr>
            <w:tcW w:w="459" w:type="pct"/>
          </w:tcPr>
          <w:p w14:paraId="23A931B6"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44</w:t>
            </w:r>
          </w:p>
        </w:tc>
        <w:tc>
          <w:tcPr>
            <w:tcW w:w="458" w:type="pct"/>
          </w:tcPr>
          <w:p w14:paraId="2CE4E95C" w14:textId="736AF5C5" w:rsidR="00B607BD" w:rsidRPr="00A06F1E" w:rsidRDefault="00805266" w:rsidP="006D2709">
            <w:pPr>
              <w:pStyle w:val="TableTextCentered"/>
              <w:spacing w:before="20" w:after="20"/>
              <w:rPr>
                <w:rFonts w:ascii="Franklin Gothic Book" w:hAnsi="Franklin Gothic Book"/>
              </w:rPr>
            </w:pPr>
            <w:r w:rsidRPr="00A06F1E">
              <w:rPr>
                <w:rFonts w:ascii="Franklin Gothic Book" w:hAnsi="Franklin Gothic Book"/>
              </w:rPr>
              <w:t>—</w:t>
            </w:r>
          </w:p>
        </w:tc>
        <w:tc>
          <w:tcPr>
            <w:tcW w:w="459" w:type="pct"/>
          </w:tcPr>
          <w:p w14:paraId="64D94AE2" w14:textId="69638C16" w:rsidR="00B607BD" w:rsidRPr="00A06F1E" w:rsidRDefault="00805266" w:rsidP="006D2709">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7F1A9F7B"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34</w:t>
            </w:r>
          </w:p>
        </w:tc>
        <w:tc>
          <w:tcPr>
            <w:tcW w:w="459" w:type="pct"/>
          </w:tcPr>
          <w:p w14:paraId="3B653AA7" w14:textId="2B021C35" w:rsidR="00B607BD" w:rsidRPr="00A06F1E" w:rsidRDefault="00805266" w:rsidP="006D2709">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3587F402" w14:textId="0B00EC88" w:rsidR="00B607BD" w:rsidRPr="00A06F1E" w:rsidRDefault="00805266" w:rsidP="006D2709">
            <w:pPr>
              <w:pStyle w:val="TableTextCentered"/>
              <w:spacing w:before="20" w:after="20"/>
              <w:rPr>
                <w:rFonts w:ascii="Franklin Gothic Book" w:hAnsi="Franklin Gothic Book"/>
              </w:rPr>
            </w:pPr>
            <w:r w:rsidRPr="00A06F1E">
              <w:rPr>
                <w:rFonts w:ascii="Franklin Gothic Book" w:hAnsi="Franklin Gothic Book"/>
              </w:rPr>
              <w:t>—</w:t>
            </w:r>
          </w:p>
        </w:tc>
        <w:tc>
          <w:tcPr>
            <w:tcW w:w="459" w:type="pct"/>
          </w:tcPr>
          <w:p w14:paraId="3BA8B450"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22</w:t>
            </w:r>
          </w:p>
        </w:tc>
      </w:tr>
      <w:tr w:rsidR="00B607BD" w:rsidRPr="00A06F1E" w14:paraId="4782898E"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5266CC32" w14:textId="77777777" w:rsidR="00B607BD" w:rsidRPr="00A06F1E" w:rsidRDefault="00B607BD" w:rsidP="006D2709">
            <w:pPr>
              <w:pStyle w:val="TableText"/>
              <w:spacing w:before="20" w:after="20"/>
              <w:jc w:val="center"/>
              <w:rPr>
                <w:rFonts w:ascii="Franklin Gothic Book" w:hAnsi="Franklin Gothic Book"/>
                <w:spacing w:val="-4"/>
              </w:rPr>
            </w:pPr>
            <w:r w:rsidRPr="00A06F1E">
              <w:rPr>
                <w:rFonts w:ascii="Franklin Gothic Book" w:hAnsi="Franklin Gothic Book"/>
                <w:spacing w:val="-4"/>
              </w:rPr>
              <w:t>3-8</w:t>
            </w:r>
          </w:p>
        </w:tc>
        <w:tc>
          <w:tcPr>
            <w:tcW w:w="458" w:type="pct"/>
          </w:tcPr>
          <w:p w14:paraId="4CB46C36"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283</w:t>
            </w:r>
          </w:p>
        </w:tc>
        <w:tc>
          <w:tcPr>
            <w:tcW w:w="458" w:type="pct"/>
          </w:tcPr>
          <w:p w14:paraId="40A8297C"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15</w:t>
            </w:r>
          </w:p>
        </w:tc>
        <w:tc>
          <w:tcPr>
            <w:tcW w:w="458" w:type="pct"/>
          </w:tcPr>
          <w:p w14:paraId="0E4C5A09"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16</w:t>
            </w:r>
          </w:p>
        </w:tc>
        <w:tc>
          <w:tcPr>
            <w:tcW w:w="459" w:type="pct"/>
          </w:tcPr>
          <w:p w14:paraId="2226B289"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42</w:t>
            </w:r>
          </w:p>
        </w:tc>
        <w:tc>
          <w:tcPr>
            <w:tcW w:w="458" w:type="pct"/>
          </w:tcPr>
          <w:p w14:paraId="419BEC24"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51</w:t>
            </w:r>
          </w:p>
        </w:tc>
        <w:tc>
          <w:tcPr>
            <w:tcW w:w="459" w:type="pct"/>
          </w:tcPr>
          <w:p w14:paraId="15BEE7AA"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48</w:t>
            </w:r>
          </w:p>
        </w:tc>
        <w:tc>
          <w:tcPr>
            <w:tcW w:w="458" w:type="pct"/>
          </w:tcPr>
          <w:p w14:paraId="57CA1C47"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39</w:t>
            </w:r>
          </w:p>
        </w:tc>
        <w:tc>
          <w:tcPr>
            <w:tcW w:w="459" w:type="pct"/>
          </w:tcPr>
          <w:p w14:paraId="7FABC07B"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34</w:t>
            </w:r>
          </w:p>
        </w:tc>
        <w:tc>
          <w:tcPr>
            <w:tcW w:w="458" w:type="pct"/>
          </w:tcPr>
          <w:p w14:paraId="7B043613"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36</w:t>
            </w:r>
          </w:p>
        </w:tc>
        <w:tc>
          <w:tcPr>
            <w:tcW w:w="459" w:type="pct"/>
          </w:tcPr>
          <w:p w14:paraId="6B9B7FCB"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19</w:t>
            </w:r>
          </w:p>
        </w:tc>
      </w:tr>
      <w:tr w:rsidR="00B607BD" w:rsidRPr="00A06F1E" w14:paraId="08A75806" w14:textId="77777777" w:rsidTr="006D2709">
        <w:tc>
          <w:tcPr>
            <w:tcW w:w="418" w:type="pct"/>
          </w:tcPr>
          <w:p w14:paraId="75E3DB55" w14:textId="77777777" w:rsidR="00B607BD" w:rsidRPr="00A06F1E" w:rsidRDefault="00B607BD" w:rsidP="006D2709">
            <w:pPr>
              <w:pStyle w:val="TableText"/>
              <w:spacing w:before="20" w:after="20"/>
              <w:jc w:val="center"/>
              <w:rPr>
                <w:rFonts w:ascii="Franklin Gothic Book" w:hAnsi="Franklin Gothic Book"/>
              </w:rPr>
            </w:pPr>
            <w:r w:rsidRPr="00A06F1E">
              <w:rPr>
                <w:rFonts w:ascii="Franklin Gothic Book" w:hAnsi="Franklin Gothic Book"/>
              </w:rPr>
              <w:t>10</w:t>
            </w:r>
          </w:p>
        </w:tc>
        <w:tc>
          <w:tcPr>
            <w:tcW w:w="458" w:type="pct"/>
          </w:tcPr>
          <w:p w14:paraId="41624869" w14:textId="3D7ED7A0" w:rsidR="00B607BD" w:rsidRPr="00A06F1E" w:rsidRDefault="00805266" w:rsidP="006D2709">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7280B9C9" w14:textId="4622F422" w:rsidR="00B607BD" w:rsidRPr="00A06F1E" w:rsidRDefault="00805266" w:rsidP="006D2709">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4F644576" w14:textId="45FCA27B" w:rsidR="00B607BD" w:rsidRPr="00A06F1E" w:rsidRDefault="00805266" w:rsidP="006D2709">
            <w:pPr>
              <w:pStyle w:val="TableTextCentered"/>
              <w:spacing w:before="20" w:after="20"/>
              <w:rPr>
                <w:rFonts w:ascii="Franklin Gothic Book" w:hAnsi="Franklin Gothic Book"/>
              </w:rPr>
            </w:pPr>
            <w:r w:rsidRPr="00A06F1E">
              <w:rPr>
                <w:rFonts w:ascii="Franklin Gothic Book" w:hAnsi="Franklin Gothic Book"/>
              </w:rPr>
              <w:t>—</w:t>
            </w:r>
          </w:p>
        </w:tc>
        <w:tc>
          <w:tcPr>
            <w:tcW w:w="459" w:type="pct"/>
          </w:tcPr>
          <w:p w14:paraId="54C99A01"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58</w:t>
            </w:r>
          </w:p>
        </w:tc>
        <w:tc>
          <w:tcPr>
            <w:tcW w:w="458" w:type="pct"/>
          </w:tcPr>
          <w:p w14:paraId="552605E8" w14:textId="07F21244" w:rsidR="00B607BD" w:rsidRPr="00A06F1E" w:rsidRDefault="00805266" w:rsidP="006D2709">
            <w:pPr>
              <w:pStyle w:val="TableTextCentered"/>
              <w:spacing w:before="20" w:after="20"/>
              <w:rPr>
                <w:rFonts w:ascii="Franklin Gothic Book" w:hAnsi="Franklin Gothic Book"/>
              </w:rPr>
            </w:pPr>
            <w:r w:rsidRPr="00A06F1E">
              <w:rPr>
                <w:rFonts w:ascii="Franklin Gothic Book" w:hAnsi="Franklin Gothic Book"/>
              </w:rPr>
              <w:t>—</w:t>
            </w:r>
          </w:p>
        </w:tc>
        <w:tc>
          <w:tcPr>
            <w:tcW w:w="459" w:type="pct"/>
          </w:tcPr>
          <w:p w14:paraId="2EBD848D" w14:textId="6CB37C6A" w:rsidR="00B607BD" w:rsidRPr="00A06F1E" w:rsidRDefault="00805266" w:rsidP="006D2709">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3792E4F2"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30</w:t>
            </w:r>
          </w:p>
        </w:tc>
        <w:tc>
          <w:tcPr>
            <w:tcW w:w="459" w:type="pct"/>
          </w:tcPr>
          <w:p w14:paraId="1965FBF2" w14:textId="3CB8D3D0" w:rsidR="00B607BD" w:rsidRPr="00A06F1E" w:rsidRDefault="00805266" w:rsidP="006D2709">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787F3932" w14:textId="19A29C38" w:rsidR="00B607BD" w:rsidRPr="00A06F1E" w:rsidRDefault="00805266" w:rsidP="006D2709">
            <w:pPr>
              <w:pStyle w:val="TableTextCentered"/>
              <w:spacing w:before="20" w:after="20"/>
              <w:rPr>
                <w:rFonts w:ascii="Franklin Gothic Book" w:hAnsi="Franklin Gothic Book"/>
              </w:rPr>
            </w:pPr>
            <w:r w:rsidRPr="00A06F1E">
              <w:rPr>
                <w:rFonts w:ascii="Franklin Gothic Book" w:hAnsi="Franklin Gothic Book"/>
              </w:rPr>
              <w:t>—</w:t>
            </w:r>
          </w:p>
        </w:tc>
        <w:tc>
          <w:tcPr>
            <w:tcW w:w="459" w:type="pct"/>
          </w:tcPr>
          <w:p w14:paraId="43C21B8A" w14:textId="77777777" w:rsidR="00B607BD" w:rsidRPr="00A06F1E" w:rsidRDefault="00B607BD" w:rsidP="006D2709">
            <w:pPr>
              <w:pStyle w:val="TableTextCentered"/>
              <w:spacing w:before="20" w:after="20"/>
              <w:rPr>
                <w:rFonts w:ascii="Franklin Gothic Book" w:hAnsi="Franklin Gothic Book"/>
              </w:rPr>
            </w:pPr>
            <w:r w:rsidRPr="00A06F1E">
              <w:rPr>
                <w:rFonts w:ascii="Franklin Gothic Book" w:hAnsi="Franklin Gothic Book"/>
              </w:rPr>
              <w:t>11</w:t>
            </w:r>
          </w:p>
        </w:tc>
      </w:tr>
    </w:tbl>
    <w:p w14:paraId="750E75D8" w14:textId="49A42202" w:rsidR="00B607BD" w:rsidRPr="00A06F1E" w:rsidRDefault="00B607BD" w:rsidP="00B7722D">
      <w:pPr>
        <w:pStyle w:val="TabletitleSectionE"/>
      </w:pPr>
      <w:bookmarkStart w:id="270" w:name="_Toc170701960"/>
      <w:bookmarkStart w:id="271" w:name="_Toc171685797"/>
      <w:r w:rsidRPr="00A06F1E">
        <w:t>Table E7</w:t>
      </w:r>
      <w:r w:rsidR="006345FB">
        <w:t>b</w:t>
      </w:r>
      <w:r w:rsidR="007C4E08" w:rsidRPr="00A06F1E">
        <w:t xml:space="preserve">. </w:t>
      </w:r>
      <w:proofErr w:type="spellStart"/>
      <w:r w:rsidR="00652B48">
        <w:t>Petersham</w:t>
      </w:r>
      <w:proofErr w:type="spellEnd"/>
      <w:r w:rsidR="00652B48">
        <w:t xml:space="preserve"> Center</w:t>
      </w:r>
      <w:r w:rsidR="00F3532E" w:rsidRPr="00A06F1E">
        <w:t>:</w:t>
      </w:r>
      <w:r w:rsidRPr="00A06F1E">
        <w:t xml:space="preserve"> Next-Generation MCAS ELA Achievement by Grade, 2022-2023</w:t>
      </w:r>
      <w:bookmarkEnd w:id="270"/>
      <w:bookmarkEnd w:id="271"/>
    </w:p>
    <w:tbl>
      <w:tblPr>
        <w:tblStyle w:val="MSVTable1"/>
        <w:tblW w:w="5000" w:type="pct"/>
        <w:tblLook w:val="0420" w:firstRow="1" w:lastRow="0" w:firstColumn="0" w:lastColumn="0" w:noHBand="0" w:noVBand="1"/>
      </w:tblPr>
      <w:tblGrid>
        <w:gridCol w:w="1081"/>
        <w:gridCol w:w="1185"/>
        <w:gridCol w:w="1186"/>
        <w:gridCol w:w="1186"/>
        <w:gridCol w:w="1186"/>
        <w:gridCol w:w="1186"/>
        <w:gridCol w:w="1188"/>
        <w:gridCol w:w="1186"/>
        <w:gridCol w:w="1186"/>
        <w:gridCol w:w="1186"/>
        <w:gridCol w:w="1188"/>
      </w:tblGrid>
      <w:tr w:rsidR="00B607BD" w:rsidRPr="00A06F1E" w14:paraId="5691CEEE"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46CBD94D" w14:textId="77777777" w:rsidR="00B607BD" w:rsidRPr="00A06F1E" w:rsidRDefault="00B607BD">
            <w:pPr>
              <w:pStyle w:val="TableColHeadingLeft"/>
              <w:spacing w:before="20" w:after="20"/>
              <w:jc w:val="center"/>
            </w:pPr>
            <w:r w:rsidRPr="00A06F1E">
              <w:t>Grade</w:t>
            </w:r>
          </w:p>
        </w:tc>
        <w:tc>
          <w:tcPr>
            <w:tcW w:w="458" w:type="pct"/>
            <w:vMerge w:val="restart"/>
            <w:vAlign w:val="center"/>
          </w:tcPr>
          <w:p w14:paraId="155C464D" w14:textId="118C65D1" w:rsidR="00B607BD" w:rsidRPr="00A06F1E" w:rsidRDefault="00B607BD">
            <w:pPr>
              <w:pStyle w:val="TableColHeadingCenter"/>
              <w:spacing w:before="20" w:after="20"/>
            </w:pPr>
            <w:r w:rsidRPr="00A06F1E">
              <w:t xml:space="preserve"># </w:t>
            </w:r>
            <w:r w:rsidR="00A12E54" w:rsidRPr="00A06F1E">
              <w:t>i</w:t>
            </w:r>
            <w:r w:rsidRPr="00A06F1E">
              <w:t>ncluded (2023)</w:t>
            </w:r>
          </w:p>
        </w:tc>
        <w:tc>
          <w:tcPr>
            <w:tcW w:w="1374" w:type="pct"/>
            <w:gridSpan w:val="3"/>
            <w:vAlign w:val="bottom"/>
          </w:tcPr>
          <w:p w14:paraId="1001BDF5" w14:textId="522AC815" w:rsidR="00B607BD" w:rsidRPr="00A06F1E" w:rsidRDefault="00A228CB">
            <w:pPr>
              <w:pStyle w:val="TableColHeadingCenter"/>
              <w:spacing w:before="20" w:after="20"/>
            </w:pPr>
            <w:r w:rsidRPr="00A06F1E">
              <w:t>Percentage</w:t>
            </w:r>
            <w:r w:rsidR="00B607BD" w:rsidRPr="00A06F1E">
              <w:t xml:space="preserve"> meeting or exceeding expectations</w:t>
            </w:r>
          </w:p>
        </w:tc>
        <w:tc>
          <w:tcPr>
            <w:tcW w:w="1375" w:type="pct"/>
            <w:gridSpan w:val="3"/>
            <w:vAlign w:val="center"/>
          </w:tcPr>
          <w:p w14:paraId="2DE12C82" w14:textId="4E4AC091" w:rsidR="00B607BD" w:rsidRPr="00A06F1E" w:rsidRDefault="00A228CB">
            <w:pPr>
              <w:pStyle w:val="TableColHeadingCenter"/>
              <w:spacing w:before="20" w:after="20"/>
            </w:pPr>
            <w:r w:rsidRPr="00A06F1E">
              <w:t>Percentage</w:t>
            </w:r>
            <w:r w:rsidR="00B607BD" w:rsidRPr="00A06F1E">
              <w:t xml:space="preserve"> partially meeting expectations</w:t>
            </w:r>
          </w:p>
        </w:tc>
        <w:tc>
          <w:tcPr>
            <w:tcW w:w="1375" w:type="pct"/>
            <w:gridSpan w:val="3"/>
            <w:vAlign w:val="center"/>
          </w:tcPr>
          <w:p w14:paraId="32753C29" w14:textId="24CA6CF2" w:rsidR="00B607BD" w:rsidRPr="00A06F1E" w:rsidRDefault="00A228CB">
            <w:pPr>
              <w:pStyle w:val="TableColHeadingCenter"/>
              <w:spacing w:before="20" w:after="20"/>
            </w:pPr>
            <w:r w:rsidRPr="00A06F1E">
              <w:t>Percentage</w:t>
            </w:r>
            <w:r w:rsidR="00B607BD" w:rsidRPr="00A06F1E">
              <w:t xml:space="preserve"> not meeting expectations</w:t>
            </w:r>
          </w:p>
        </w:tc>
      </w:tr>
      <w:tr w:rsidR="00B607BD" w:rsidRPr="00A06F1E" w14:paraId="19CC889E"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32BC58BA" w14:textId="77777777" w:rsidR="00B607BD" w:rsidRPr="00A06F1E" w:rsidRDefault="00B607BD">
            <w:pPr>
              <w:pStyle w:val="TableColHeadingCenter"/>
              <w:spacing w:before="20" w:after="20"/>
            </w:pPr>
          </w:p>
        </w:tc>
        <w:tc>
          <w:tcPr>
            <w:tcW w:w="458" w:type="pct"/>
            <w:vMerge/>
            <w:vAlign w:val="bottom"/>
          </w:tcPr>
          <w:p w14:paraId="7EA4B05B" w14:textId="77777777" w:rsidR="00B607BD" w:rsidRPr="00A06F1E" w:rsidRDefault="00B607BD">
            <w:pPr>
              <w:pStyle w:val="TableColHeadingCenter"/>
              <w:spacing w:before="20" w:after="20"/>
            </w:pPr>
          </w:p>
        </w:tc>
        <w:tc>
          <w:tcPr>
            <w:tcW w:w="458" w:type="pct"/>
            <w:vAlign w:val="center"/>
          </w:tcPr>
          <w:p w14:paraId="0F0E9CA1" w14:textId="77777777" w:rsidR="00B607BD" w:rsidRPr="00A06F1E" w:rsidRDefault="00B607BD">
            <w:pPr>
              <w:pStyle w:val="TableColHeadingCenter"/>
              <w:spacing w:before="20" w:after="20"/>
            </w:pPr>
            <w:r w:rsidRPr="00A06F1E">
              <w:t>2022</w:t>
            </w:r>
          </w:p>
        </w:tc>
        <w:tc>
          <w:tcPr>
            <w:tcW w:w="458" w:type="pct"/>
            <w:vAlign w:val="center"/>
          </w:tcPr>
          <w:p w14:paraId="3E9B92D9" w14:textId="77777777" w:rsidR="00B607BD" w:rsidRPr="00A06F1E" w:rsidRDefault="00B607BD">
            <w:pPr>
              <w:pStyle w:val="TableColHeadingCenter"/>
              <w:spacing w:before="20" w:after="20"/>
            </w:pPr>
            <w:r w:rsidRPr="00A06F1E">
              <w:t>2023</w:t>
            </w:r>
          </w:p>
        </w:tc>
        <w:tc>
          <w:tcPr>
            <w:tcW w:w="458" w:type="pct"/>
            <w:vAlign w:val="center"/>
          </w:tcPr>
          <w:p w14:paraId="715D57CF" w14:textId="77777777" w:rsidR="00B607BD" w:rsidRPr="00A06F1E" w:rsidRDefault="00B607BD">
            <w:pPr>
              <w:pStyle w:val="TableColHeadingCenter"/>
              <w:spacing w:before="20" w:after="20"/>
            </w:pPr>
            <w:r w:rsidRPr="00A06F1E">
              <w:t>State (2023)</w:t>
            </w:r>
          </w:p>
        </w:tc>
        <w:tc>
          <w:tcPr>
            <w:tcW w:w="458" w:type="pct"/>
            <w:vAlign w:val="center"/>
          </w:tcPr>
          <w:p w14:paraId="24FE9D42" w14:textId="77777777" w:rsidR="00B607BD" w:rsidRPr="00A06F1E" w:rsidRDefault="00B607BD">
            <w:pPr>
              <w:pStyle w:val="TableColHeadingCenter"/>
              <w:spacing w:before="20" w:after="20"/>
            </w:pPr>
            <w:r w:rsidRPr="00A06F1E">
              <w:t>2022</w:t>
            </w:r>
          </w:p>
        </w:tc>
        <w:tc>
          <w:tcPr>
            <w:tcW w:w="459" w:type="pct"/>
            <w:vAlign w:val="center"/>
          </w:tcPr>
          <w:p w14:paraId="56E3A698" w14:textId="77777777" w:rsidR="00B607BD" w:rsidRPr="00A06F1E" w:rsidRDefault="00B607BD">
            <w:pPr>
              <w:pStyle w:val="TableColHeadingCenter"/>
              <w:spacing w:before="20" w:after="20"/>
            </w:pPr>
            <w:r w:rsidRPr="00A06F1E">
              <w:t>2023</w:t>
            </w:r>
          </w:p>
        </w:tc>
        <w:tc>
          <w:tcPr>
            <w:tcW w:w="458" w:type="pct"/>
            <w:vAlign w:val="center"/>
          </w:tcPr>
          <w:p w14:paraId="767B0934" w14:textId="77777777" w:rsidR="00B607BD" w:rsidRPr="00A06F1E" w:rsidRDefault="00B607BD">
            <w:pPr>
              <w:pStyle w:val="TableColHeadingCenter"/>
              <w:spacing w:before="20" w:after="20"/>
            </w:pPr>
            <w:r w:rsidRPr="00A06F1E">
              <w:t>State (2023)</w:t>
            </w:r>
          </w:p>
        </w:tc>
        <w:tc>
          <w:tcPr>
            <w:tcW w:w="458" w:type="pct"/>
            <w:vAlign w:val="center"/>
          </w:tcPr>
          <w:p w14:paraId="691D16FC" w14:textId="77777777" w:rsidR="00B607BD" w:rsidRPr="00A06F1E" w:rsidRDefault="00B607BD">
            <w:pPr>
              <w:pStyle w:val="TableColHeadingCenter"/>
              <w:spacing w:before="20" w:after="20"/>
            </w:pPr>
            <w:r w:rsidRPr="00A06F1E">
              <w:t>2022</w:t>
            </w:r>
          </w:p>
        </w:tc>
        <w:tc>
          <w:tcPr>
            <w:tcW w:w="458" w:type="pct"/>
            <w:vAlign w:val="center"/>
          </w:tcPr>
          <w:p w14:paraId="1C07AE92" w14:textId="77777777" w:rsidR="00B607BD" w:rsidRPr="00A06F1E" w:rsidRDefault="00B607BD">
            <w:pPr>
              <w:pStyle w:val="TableColHeadingCenter"/>
              <w:spacing w:before="20" w:after="20"/>
            </w:pPr>
            <w:r w:rsidRPr="00A06F1E">
              <w:t>2023</w:t>
            </w:r>
          </w:p>
        </w:tc>
        <w:tc>
          <w:tcPr>
            <w:tcW w:w="459" w:type="pct"/>
            <w:vAlign w:val="center"/>
          </w:tcPr>
          <w:p w14:paraId="6DC0D587" w14:textId="77777777" w:rsidR="00B607BD" w:rsidRPr="00A06F1E" w:rsidRDefault="00B607BD">
            <w:pPr>
              <w:pStyle w:val="TableColHeadingCenter"/>
              <w:spacing w:before="20" w:after="20"/>
            </w:pPr>
            <w:r w:rsidRPr="00A06F1E">
              <w:t>State (2023)</w:t>
            </w:r>
          </w:p>
        </w:tc>
      </w:tr>
      <w:tr w:rsidR="00B607BD" w:rsidRPr="00A06F1E" w14:paraId="6C5EBBEE"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56A1D084"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3</w:t>
            </w:r>
          </w:p>
        </w:tc>
        <w:tc>
          <w:tcPr>
            <w:tcW w:w="458" w:type="pct"/>
            <w:vAlign w:val="center"/>
          </w:tcPr>
          <w:p w14:paraId="18C93DD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20</w:t>
            </w:r>
          </w:p>
        </w:tc>
        <w:tc>
          <w:tcPr>
            <w:tcW w:w="458" w:type="pct"/>
            <w:vAlign w:val="center"/>
          </w:tcPr>
          <w:p w14:paraId="7B56D59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35</w:t>
            </w:r>
          </w:p>
        </w:tc>
        <w:tc>
          <w:tcPr>
            <w:tcW w:w="458" w:type="pct"/>
            <w:vAlign w:val="center"/>
          </w:tcPr>
          <w:p w14:paraId="4D4D1CA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70</w:t>
            </w:r>
          </w:p>
        </w:tc>
        <w:tc>
          <w:tcPr>
            <w:tcW w:w="458" w:type="pct"/>
            <w:vAlign w:val="center"/>
          </w:tcPr>
          <w:p w14:paraId="22513D5D"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44</w:t>
            </w:r>
          </w:p>
        </w:tc>
        <w:tc>
          <w:tcPr>
            <w:tcW w:w="458" w:type="pct"/>
            <w:vAlign w:val="center"/>
          </w:tcPr>
          <w:p w14:paraId="21ABD495"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52</w:t>
            </w:r>
          </w:p>
        </w:tc>
        <w:tc>
          <w:tcPr>
            <w:tcW w:w="459" w:type="pct"/>
            <w:vAlign w:val="center"/>
          </w:tcPr>
          <w:p w14:paraId="580709A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15</w:t>
            </w:r>
          </w:p>
        </w:tc>
        <w:tc>
          <w:tcPr>
            <w:tcW w:w="458" w:type="pct"/>
            <w:vAlign w:val="center"/>
          </w:tcPr>
          <w:p w14:paraId="210A4E5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vAlign w:val="center"/>
          </w:tcPr>
          <w:p w14:paraId="236C576B"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13</w:t>
            </w:r>
          </w:p>
        </w:tc>
        <w:tc>
          <w:tcPr>
            <w:tcW w:w="458" w:type="pct"/>
            <w:vAlign w:val="center"/>
          </w:tcPr>
          <w:p w14:paraId="0E62685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15</w:t>
            </w:r>
          </w:p>
        </w:tc>
        <w:tc>
          <w:tcPr>
            <w:tcW w:w="459" w:type="pct"/>
            <w:vAlign w:val="bottom"/>
          </w:tcPr>
          <w:p w14:paraId="704A45A5"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16</w:t>
            </w:r>
          </w:p>
        </w:tc>
      </w:tr>
      <w:tr w:rsidR="00B607BD" w:rsidRPr="00A06F1E" w14:paraId="34FC65F8" w14:textId="77777777" w:rsidTr="006D2709">
        <w:tc>
          <w:tcPr>
            <w:tcW w:w="418" w:type="pct"/>
          </w:tcPr>
          <w:p w14:paraId="095C965F"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4</w:t>
            </w:r>
          </w:p>
        </w:tc>
        <w:tc>
          <w:tcPr>
            <w:tcW w:w="458" w:type="pct"/>
            <w:vAlign w:val="center"/>
          </w:tcPr>
          <w:p w14:paraId="40016632"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26</w:t>
            </w:r>
          </w:p>
        </w:tc>
        <w:tc>
          <w:tcPr>
            <w:tcW w:w="458" w:type="pct"/>
            <w:vAlign w:val="center"/>
          </w:tcPr>
          <w:p w14:paraId="10BA620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0</w:t>
            </w:r>
          </w:p>
        </w:tc>
        <w:tc>
          <w:tcPr>
            <w:tcW w:w="458" w:type="pct"/>
            <w:vAlign w:val="center"/>
          </w:tcPr>
          <w:p w14:paraId="594FACE3"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23</w:t>
            </w:r>
          </w:p>
        </w:tc>
        <w:tc>
          <w:tcPr>
            <w:tcW w:w="458" w:type="pct"/>
            <w:vAlign w:val="center"/>
          </w:tcPr>
          <w:p w14:paraId="60A8747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vAlign w:val="center"/>
          </w:tcPr>
          <w:p w14:paraId="398866E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73</w:t>
            </w:r>
          </w:p>
        </w:tc>
        <w:tc>
          <w:tcPr>
            <w:tcW w:w="459" w:type="pct"/>
            <w:vAlign w:val="center"/>
          </w:tcPr>
          <w:p w14:paraId="40DF65F5"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62</w:t>
            </w:r>
          </w:p>
        </w:tc>
        <w:tc>
          <w:tcPr>
            <w:tcW w:w="458" w:type="pct"/>
            <w:vAlign w:val="center"/>
          </w:tcPr>
          <w:p w14:paraId="555745E3"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43</w:t>
            </w:r>
          </w:p>
        </w:tc>
        <w:tc>
          <w:tcPr>
            <w:tcW w:w="458" w:type="pct"/>
            <w:vAlign w:val="center"/>
          </w:tcPr>
          <w:p w14:paraId="1021062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27</w:t>
            </w:r>
          </w:p>
        </w:tc>
        <w:tc>
          <w:tcPr>
            <w:tcW w:w="458" w:type="pct"/>
            <w:vAlign w:val="center"/>
          </w:tcPr>
          <w:p w14:paraId="5DF60D9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15</w:t>
            </w:r>
          </w:p>
        </w:tc>
        <w:tc>
          <w:tcPr>
            <w:tcW w:w="459" w:type="pct"/>
            <w:vAlign w:val="bottom"/>
          </w:tcPr>
          <w:p w14:paraId="43732FC5"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17</w:t>
            </w:r>
          </w:p>
        </w:tc>
      </w:tr>
      <w:tr w:rsidR="00B607BD" w:rsidRPr="00A06F1E" w14:paraId="36AA4F4E"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51E0A6EC"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5</w:t>
            </w:r>
          </w:p>
        </w:tc>
        <w:tc>
          <w:tcPr>
            <w:tcW w:w="458" w:type="pct"/>
            <w:vAlign w:val="center"/>
          </w:tcPr>
          <w:p w14:paraId="32707EA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12</w:t>
            </w:r>
          </w:p>
        </w:tc>
        <w:tc>
          <w:tcPr>
            <w:tcW w:w="458" w:type="pct"/>
            <w:vAlign w:val="center"/>
          </w:tcPr>
          <w:p w14:paraId="20B8B5F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44</w:t>
            </w:r>
          </w:p>
        </w:tc>
        <w:tc>
          <w:tcPr>
            <w:tcW w:w="458" w:type="pct"/>
            <w:vAlign w:val="center"/>
          </w:tcPr>
          <w:p w14:paraId="6929E65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25</w:t>
            </w:r>
          </w:p>
        </w:tc>
        <w:tc>
          <w:tcPr>
            <w:tcW w:w="458" w:type="pct"/>
            <w:vAlign w:val="center"/>
          </w:tcPr>
          <w:p w14:paraId="0776DCD2"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44</w:t>
            </w:r>
          </w:p>
        </w:tc>
        <w:tc>
          <w:tcPr>
            <w:tcW w:w="458" w:type="pct"/>
            <w:vAlign w:val="center"/>
          </w:tcPr>
          <w:p w14:paraId="76021AC2"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56</w:t>
            </w:r>
          </w:p>
        </w:tc>
        <w:tc>
          <w:tcPr>
            <w:tcW w:w="459" w:type="pct"/>
            <w:vAlign w:val="center"/>
          </w:tcPr>
          <w:p w14:paraId="49C986B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58</w:t>
            </w:r>
          </w:p>
        </w:tc>
        <w:tc>
          <w:tcPr>
            <w:tcW w:w="458" w:type="pct"/>
            <w:vAlign w:val="center"/>
          </w:tcPr>
          <w:p w14:paraId="5341758A"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vAlign w:val="center"/>
          </w:tcPr>
          <w:p w14:paraId="11471A4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0</w:t>
            </w:r>
          </w:p>
        </w:tc>
        <w:tc>
          <w:tcPr>
            <w:tcW w:w="458" w:type="pct"/>
            <w:vAlign w:val="center"/>
          </w:tcPr>
          <w:p w14:paraId="6FC80C41"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17</w:t>
            </w:r>
          </w:p>
        </w:tc>
        <w:tc>
          <w:tcPr>
            <w:tcW w:w="459" w:type="pct"/>
            <w:vAlign w:val="bottom"/>
          </w:tcPr>
          <w:p w14:paraId="688AFA1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16</w:t>
            </w:r>
          </w:p>
        </w:tc>
      </w:tr>
      <w:tr w:rsidR="00B607BD" w:rsidRPr="00A06F1E" w14:paraId="18E922CE" w14:textId="77777777" w:rsidTr="006D2709">
        <w:tc>
          <w:tcPr>
            <w:tcW w:w="418" w:type="pct"/>
          </w:tcPr>
          <w:p w14:paraId="3EB12739"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6</w:t>
            </w:r>
          </w:p>
        </w:tc>
        <w:tc>
          <w:tcPr>
            <w:tcW w:w="458" w:type="pct"/>
            <w:vAlign w:val="center"/>
          </w:tcPr>
          <w:p w14:paraId="2D3A7EEA"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16</w:t>
            </w:r>
          </w:p>
        </w:tc>
        <w:tc>
          <w:tcPr>
            <w:tcW w:w="458" w:type="pct"/>
            <w:vAlign w:val="center"/>
          </w:tcPr>
          <w:p w14:paraId="38239C3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47</w:t>
            </w:r>
          </w:p>
        </w:tc>
        <w:tc>
          <w:tcPr>
            <w:tcW w:w="458" w:type="pct"/>
            <w:vAlign w:val="center"/>
          </w:tcPr>
          <w:p w14:paraId="492DCA11"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63</w:t>
            </w:r>
          </w:p>
        </w:tc>
        <w:tc>
          <w:tcPr>
            <w:tcW w:w="458" w:type="pct"/>
            <w:vAlign w:val="center"/>
          </w:tcPr>
          <w:p w14:paraId="7CADDC51"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42</w:t>
            </w:r>
          </w:p>
        </w:tc>
        <w:tc>
          <w:tcPr>
            <w:tcW w:w="458" w:type="pct"/>
            <w:vAlign w:val="center"/>
          </w:tcPr>
          <w:p w14:paraId="34EA101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53</w:t>
            </w:r>
          </w:p>
        </w:tc>
        <w:tc>
          <w:tcPr>
            <w:tcW w:w="459" w:type="pct"/>
            <w:vAlign w:val="center"/>
          </w:tcPr>
          <w:p w14:paraId="1277A47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38</w:t>
            </w:r>
          </w:p>
        </w:tc>
        <w:tc>
          <w:tcPr>
            <w:tcW w:w="458" w:type="pct"/>
            <w:vAlign w:val="center"/>
          </w:tcPr>
          <w:p w14:paraId="12ED0A8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34</w:t>
            </w:r>
          </w:p>
        </w:tc>
        <w:tc>
          <w:tcPr>
            <w:tcW w:w="458" w:type="pct"/>
            <w:vAlign w:val="center"/>
          </w:tcPr>
          <w:p w14:paraId="2AB89CDB"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0</w:t>
            </w:r>
          </w:p>
        </w:tc>
        <w:tc>
          <w:tcPr>
            <w:tcW w:w="458" w:type="pct"/>
            <w:vAlign w:val="center"/>
          </w:tcPr>
          <w:p w14:paraId="0766348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0</w:t>
            </w:r>
          </w:p>
        </w:tc>
        <w:tc>
          <w:tcPr>
            <w:tcW w:w="459" w:type="pct"/>
            <w:vAlign w:val="bottom"/>
          </w:tcPr>
          <w:p w14:paraId="76FB11D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24</w:t>
            </w:r>
          </w:p>
        </w:tc>
      </w:tr>
      <w:tr w:rsidR="00B607BD" w:rsidRPr="00A06F1E" w14:paraId="36708A4C"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42E8F24E"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7</w:t>
            </w:r>
          </w:p>
        </w:tc>
        <w:tc>
          <w:tcPr>
            <w:tcW w:w="458" w:type="pct"/>
            <w:vAlign w:val="center"/>
          </w:tcPr>
          <w:p w14:paraId="7DA48063" w14:textId="04C23378"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2ADE3EF1" w14:textId="293D34DF"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2B216976" w14:textId="2C222448"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3BD7996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vAlign w:val="center"/>
          </w:tcPr>
          <w:p w14:paraId="5924CD79" w14:textId="34D6ACC2"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center"/>
          </w:tcPr>
          <w:p w14:paraId="73EB789D" w14:textId="2AAE56B6"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2B7F213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vAlign w:val="center"/>
          </w:tcPr>
          <w:p w14:paraId="4728F58B" w14:textId="7D413B7C"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0960BDCD" w14:textId="4A940D2A"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bottom"/>
          </w:tcPr>
          <w:p w14:paraId="5F5E0EF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19</w:t>
            </w:r>
          </w:p>
        </w:tc>
      </w:tr>
      <w:tr w:rsidR="00B607BD" w:rsidRPr="00A06F1E" w14:paraId="30737E14" w14:textId="77777777" w:rsidTr="006D2709">
        <w:tc>
          <w:tcPr>
            <w:tcW w:w="418" w:type="pct"/>
          </w:tcPr>
          <w:p w14:paraId="16764F6B"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8</w:t>
            </w:r>
          </w:p>
        </w:tc>
        <w:tc>
          <w:tcPr>
            <w:tcW w:w="458" w:type="pct"/>
            <w:vAlign w:val="center"/>
          </w:tcPr>
          <w:p w14:paraId="53D16C20" w14:textId="2CC9EDAF"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242DE091" w14:textId="59B01BDA"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0F0CE575" w14:textId="54296CC2"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7CCB779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44</w:t>
            </w:r>
          </w:p>
        </w:tc>
        <w:tc>
          <w:tcPr>
            <w:tcW w:w="458" w:type="pct"/>
            <w:vAlign w:val="center"/>
          </w:tcPr>
          <w:p w14:paraId="24B8D87E" w14:textId="543E4443"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center"/>
          </w:tcPr>
          <w:p w14:paraId="6256296C" w14:textId="73CDACDB"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1E7FF14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34</w:t>
            </w:r>
          </w:p>
        </w:tc>
        <w:tc>
          <w:tcPr>
            <w:tcW w:w="458" w:type="pct"/>
            <w:vAlign w:val="center"/>
          </w:tcPr>
          <w:p w14:paraId="2D58BB04" w14:textId="346D4AB1"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400B4A17" w14:textId="5FD728F6"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bottom"/>
          </w:tcPr>
          <w:p w14:paraId="0C2632B2"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22</w:t>
            </w:r>
          </w:p>
        </w:tc>
      </w:tr>
      <w:tr w:rsidR="00B607BD" w:rsidRPr="00A06F1E" w14:paraId="0F8F98C7"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59B88D92" w14:textId="77777777" w:rsidR="00B607BD" w:rsidRPr="00A06F1E" w:rsidRDefault="00B607BD">
            <w:pPr>
              <w:pStyle w:val="TableText"/>
              <w:spacing w:before="20" w:after="20"/>
              <w:jc w:val="center"/>
              <w:rPr>
                <w:rFonts w:ascii="Franklin Gothic Book" w:hAnsi="Franklin Gothic Book"/>
                <w:spacing w:val="-4"/>
              </w:rPr>
            </w:pPr>
            <w:r w:rsidRPr="00A06F1E">
              <w:rPr>
                <w:rFonts w:ascii="Franklin Gothic Book" w:hAnsi="Franklin Gothic Book"/>
                <w:spacing w:val="-4"/>
              </w:rPr>
              <w:t>3-8</w:t>
            </w:r>
          </w:p>
        </w:tc>
        <w:tc>
          <w:tcPr>
            <w:tcW w:w="458" w:type="pct"/>
            <w:vAlign w:val="center"/>
          </w:tcPr>
          <w:p w14:paraId="181BFEB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74</w:t>
            </w:r>
          </w:p>
        </w:tc>
        <w:tc>
          <w:tcPr>
            <w:tcW w:w="458" w:type="pct"/>
            <w:vAlign w:val="center"/>
          </w:tcPr>
          <w:p w14:paraId="05089DA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34</w:t>
            </w:r>
          </w:p>
        </w:tc>
        <w:tc>
          <w:tcPr>
            <w:tcW w:w="458" w:type="pct"/>
            <w:vAlign w:val="center"/>
          </w:tcPr>
          <w:p w14:paraId="36951FA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45</w:t>
            </w:r>
          </w:p>
        </w:tc>
        <w:tc>
          <w:tcPr>
            <w:tcW w:w="458" w:type="pct"/>
            <w:vAlign w:val="center"/>
          </w:tcPr>
          <w:p w14:paraId="11ED346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42</w:t>
            </w:r>
          </w:p>
        </w:tc>
        <w:tc>
          <w:tcPr>
            <w:tcW w:w="458" w:type="pct"/>
            <w:vAlign w:val="center"/>
          </w:tcPr>
          <w:p w14:paraId="53FFECE5"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57</w:t>
            </w:r>
          </w:p>
        </w:tc>
        <w:tc>
          <w:tcPr>
            <w:tcW w:w="459" w:type="pct"/>
            <w:vAlign w:val="center"/>
          </w:tcPr>
          <w:p w14:paraId="1C2FDDB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43</w:t>
            </w:r>
          </w:p>
        </w:tc>
        <w:tc>
          <w:tcPr>
            <w:tcW w:w="458" w:type="pct"/>
            <w:vAlign w:val="center"/>
          </w:tcPr>
          <w:p w14:paraId="735A7F9D"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39</w:t>
            </w:r>
          </w:p>
        </w:tc>
        <w:tc>
          <w:tcPr>
            <w:tcW w:w="458" w:type="pct"/>
            <w:vAlign w:val="center"/>
          </w:tcPr>
          <w:p w14:paraId="71DE8FB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9</w:t>
            </w:r>
          </w:p>
        </w:tc>
        <w:tc>
          <w:tcPr>
            <w:tcW w:w="458" w:type="pct"/>
            <w:vAlign w:val="center"/>
          </w:tcPr>
          <w:p w14:paraId="023C25B1"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12</w:t>
            </w:r>
          </w:p>
        </w:tc>
        <w:tc>
          <w:tcPr>
            <w:tcW w:w="459" w:type="pct"/>
            <w:vAlign w:val="bottom"/>
          </w:tcPr>
          <w:p w14:paraId="587EB26B"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19</w:t>
            </w:r>
          </w:p>
        </w:tc>
      </w:tr>
      <w:tr w:rsidR="00B607BD" w:rsidRPr="00A06F1E" w14:paraId="054BE94E" w14:textId="77777777" w:rsidTr="006D2709">
        <w:tc>
          <w:tcPr>
            <w:tcW w:w="418" w:type="pct"/>
          </w:tcPr>
          <w:p w14:paraId="12E4D5F9"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10</w:t>
            </w:r>
          </w:p>
        </w:tc>
        <w:tc>
          <w:tcPr>
            <w:tcW w:w="458" w:type="pct"/>
            <w:vAlign w:val="center"/>
          </w:tcPr>
          <w:p w14:paraId="6FF17677" w14:textId="5C4B5C34"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1D5A983C" w14:textId="521D13E0"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378F09F1" w14:textId="4090622D"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057D3BB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58</w:t>
            </w:r>
          </w:p>
        </w:tc>
        <w:tc>
          <w:tcPr>
            <w:tcW w:w="458" w:type="pct"/>
            <w:vAlign w:val="center"/>
          </w:tcPr>
          <w:p w14:paraId="3068BB2A" w14:textId="7E131E1A"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center"/>
          </w:tcPr>
          <w:p w14:paraId="3CE11260" w14:textId="3E76CFC5"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218AB7BB"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30</w:t>
            </w:r>
          </w:p>
        </w:tc>
        <w:tc>
          <w:tcPr>
            <w:tcW w:w="458" w:type="pct"/>
            <w:vAlign w:val="center"/>
          </w:tcPr>
          <w:p w14:paraId="61B74604" w14:textId="6F0D8A03"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4F05F36D" w14:textId="75747FEF"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bottom"/>
          </w:tcPr>
          <w:p w14:paraId="32586C9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11</w:t>
            </w:r>
          </w:p>
        </w:tc>
      </w:tr>
    </w:tbl>
    <w:p w14:paraId="4C420B22" w14:textId="77F00472" w:rsidR="00B607BD" w:rsidRPr="00A06F1E" w:rsidRDefault="00B607BD" w:rsidP="00B7722D">
      <w:pPr>
        <w:pStyle w:val="TabletitleSectionE"/>
      </w:pPr>
      <w:bookmarkStart w:id="272" w:name="_Toc170701961"/>
      <w:bookmarkStart w:id="273" w:name="_Toc171685798"/>
      <w:r w:rsidRPr="00A06F1E">
        <w:lastRenderedPageBreak/>
        <w:t>Table E7</w:t>
      </w:r>
      <w:r w:rsidR="006345FB">
        <w:t>c</w:t>
      </w:r>
      <w:r w:rsidR="00A228CB" w:rsidRPr="00A06F1E">
        <w:t>. Mahar Regional</w:t>
      </w:r>
      <w:r w:rsidR="00F3532E" w:rsidRPr="00A06F1E">
        <w:t>:</w:t>
      </w:r>
      <w:r w:rsidRPr="00A06F1E">
        <w:t xml:space="preserve"> </w:t>
      </w:r>
      <w:r w:rsidRPr="00A06F1E">
        <w:rPr>
          <w:spacing w:val="-4"/>
        </w:rPr>
        <w:t xml:space="preserve">Next-Generation MCAS ELA </w:t>
      </w:r>
      <w:r w:rsidRPr="00A06F1E">
        <w:t xml:space="preserve">Achievement by </w:t>
      </w:r>
      <w:r w:rsidRPr="00A06F1E">
        <w:rPr>
          <w:spacing w:val="-4"/>
        </w:rPr>
        <w:t>Grade, 2022-2023</w:t>
      </w:r>
      <w:bookmarkEnd w:id="272"/>
      <w:bookmarkEnd w:id="273"/>
    </w:p>
    <w:tbl>
      <w:tblPr>
        <w:tblStyle w:val="MSVTable1"/>
        <w:tblW w:w="5000" w:type="pct"/>
        <w:tblLook w:val="0420" w:firstRow="1" w:lastRow="0" w:firstColumn="0" w:lastColumn="0" w:noHBand="0" w:noVBand="1"/>
      </w:tblPr>
      <w:tblGrid>
        <w:gridCol w:w="1081"/>
        <w:gridCol w:w="1185"/>
        <w:gridCol w:w="1186"/>
        <w:gridCol w:w="1186"/>
        <w:gridCol w:w="1186"/>
        <w:gridCol w:w="1186"/>
        <w:gridCol w:w="1188"/>
        <w:gridCol w:w="1186"/>
        <w:gridCol w:w="1186"/>
        <w:gridCol w:w="1186"/>
        <w:gridCol w:w="1188"/>
      </w:tblGrid>
      <w:tr w:rsidR="00B607BD" w:rsidRPr="00A06F1E" w14:paraId="6F48933C"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1CB2013A" w14:textId="77777777" w:rsidR="00B607BD" w:rsidRPr="00A06F1E" w:rsidRDefault="00B607BD">
            <w:pPr>
              <w:pStyle w:val="TableColHeadingLeft"/>
              <w:spacing w:before="20" w:after="20"/>
              <w:jc w:val="center"/>
            </w:pPr>
            <w:r w:rsidRPr="00A06F1E">
              <w:t>Grade</w:t>
            </w:r>
          </w:p>
        </w:tc>
        <w:tc>
          <w:tcPr>
            <w:tcW w:w="458" w:type="pct"/>
            <w:vMerge w:val="restart"/>
            <w:vAlign w:val="center"/>
          </w:tcPr>
          <w:p w14:paraId="73E5DACB" w14:textId="778227ED" w:rsidR="00B607BD" w:rsidRPr="00A06F1E" w:rsidRDefault="00B607BD">
            <w:pPr>
              <w:pStyle w:val="TableColHeadingCenter"/>
              <w:spacing w:before="20" w:after="20"/>
            </w:pPr>
            <w:r w:rsidRPr="00A06F1E">
              <w:t xml:space="preserve"># </w:t>
            </w:r>
            <w:r w:rsidR="00A12E54" w:rsidRPr="00A06F1E">
              <w:t>i</w:t>
            </w:r>
            <w:r w:rsidRPr="00A06F1E">
              <w:t>ncluded (2023)</w:t>
            </w:r>
          </w:p>
        </w:tc>
        <w:tc>
          <w:tcPr>
            <w:tcW w:w="1374" w:type="pct"/>
            <w:gridSpan w:val="3"/>
            <w:vAlign w:val="bottom"/>
          </w:tcPr>
          <w:p w14:paraId="54079DF3" w14:textId="5742A40F" w:rsidR="00B607BD" w:rsidRPr="00A06F1E" w:rsidRDefault="00A228CB">
            <w:pPr>
              <w:pStyle w:val="TableColHeadingCenter"/>
              <w:spacing w:before="20" w:after="20"/>
            </w:pPr>
            <w:r w:rsidRPr="00A06F1E">
              <w:t>Percentage</w:t>
            </w:r>
            <w:r w:rsidR="00B607BD" w:rsidRPr="00A06F1E">
              <w:t xml:space="preserve"> meeting or exceeding expectations</w:t>
            </w:r>
          </w:p>
        </w:tc>
        <w:tc>
          <w:tcPr>
            <w:tcW w:w="1375" w:type="pct"/>
            <w:gridSpan w:val="3"/>
            <w:vAlign w:val="center"/>
          </w:tcPr>
          <w:p w14:paraId="43434506" w14:textId="329CC21F" w:rsidR="00B607BD" w:rsidRPr="00A06F1E" w:rsidRDefault="00A228CB">
            <w:pPr>
              <w:pStyle w:val="TableColHeadingCenter"/>
              <w:spacing w:before="20" w:after="20"/>
            </w:pPr>
            <w:r w:rsidRPr="00A06F1E">
              <w:t>Percentage</w:t>
            </w:r>
            <w:r w:rsidR="00B607BD" w:rsidRPr="00A06F1E">
              <w:t xml:space="preserve"> partially meeting expectations</w:t>
            </w:r>
          </w:p>
        </w:tc>
        <w:tc>
          <w:tcPr>
            <w:tcW w:w="1375" w:type="pct"/>
            <w:gridSpan w:val="3"/>
            <w:vAlign w:val="center"/>
          </w:tcPr>
          <w:p w14:paraId="06BBD78B" w14:textId="42CFDD9A" w:rsidR="00B607BD" w:rsidRPr="00A06F1E" w:rsidRDefault="00A228CB">
            <w:pPr>
              <w:pStyle w:val="TableColHeadingCenter"/>
              <w:spacing w:before="20" w:after="20"/>
            </w:pPr>
            <w:r w:rsidRPr="00A06F1E">
              <w:t>Percentage</w:t>
            </w:r>
            <w:r w:rsidR="00B607BD" w:rsidRPr="00A06F1E">
              <w:t xml:space="preserve"> not meeting expectations</w:t>
            </w:r>
          </w:p>
        </w:tc>
      </w:tr>
      <w:tr w:rsidR="00B607BD" w:rsidRPr="00A06F1E" w14:paraId="774E8B4A"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4E455749" w14:textId="77777777" w:rsidR="00B607BD" w:rsidRPr="00A06F1E" w:rsidRDefault="00B607BD">
            <w:pPr>
              <w:pStyle w:val="TableColHeadingCenter"/>
              <w:spacing w:before="20" w:after="20"/>
            </w:pPr>
          </w:p>
        </w:tc>
        <w:tc>
          <w:tcPr>
            <w:tcW w:w="458" w:type="pct"/>
            <w:vMerge/>
            <w:vAlign w:val="bottom"/>
          </w:tcPr>
          <w:p w14:paraId="55327A56" w14:textId="77777777" w:rsidR="00B607BD" w:rsidRPr="00A06F1E" w:rsidRDefault="00B607BD">
            <w:pPr>
              <w:pStyle w:val="TableColHeadingCenter"/>
              <w:spacing w:before="20" w:after="20"/>
            </w:pPr>
          </w:p>
        </w:tc>
        <w:tc>
          <w:tcPr>
            <w:tcW w:w="458" w:type="pct"/>
            <w:vAlign w:val="center"/>
          </w:tcPr>
          <w:p w14:paraId="0C8C27E3" w14:textId="77777777" w:rsidR="00B607BD" w:rsidRPr="00A06F1E" w:rsidRDefault="00B607BD">
            <w:pPr>
              <w:pStyle w:val="TableColHeadingCenter"/>
              <w:spacing w:before="20" w:after="20"/>
            </w:pPr>
            <w:r w:rsidRPr="00A06F1E">
              <w:t>2022</w:t>
            </w:r>
          </w:p>
        </w:tc>
        <w:tc>
          <w:tcPr>
            <w:tcW w:w="458" w:type="pct"/>
            <w:vAlign w:val="center"/>
          </w:tcPr>
          <w:p w14:paraId="77E2DF7E" w14:textId="77777777" w:rsidR="00B607BD" w:rsidRPr="00A06F1E" w:rsidRDefault="00B607BD">
            <w:pPr>
              <w:pStyle w:val="TableColHeadingCenter"/>
              <w:spacing w:before="20" w:after="20"/>
            </w:pPr>
            <w:r w:rsidRPr="00A06F1E">
              <w:t>2023</w:t>
            </w:r>
          </w:p>
        </w:tc>
        <w:tc>
          <w:tcPr>
            <w:tcW w:w="458" w:type="pct"/>
            <w:vAlign w:val="center"/>
          </w:tcPr>
          <w:p w14:paraId="55A4CF2C" w14:textId="77777777" w:rsidR="00B607BD" w:rsidRPr="00A06F1E" w:rsidRDefault="00B607BD">
            <w:pPr>
              <w:pStyle w:val="TableColHeadingCenter"/>
              <w:spacing w:before="20" w:after="20"/>
            </w:pPr>
            <w:r w:rsidRPr="00A06F1E">
              <w:t>State (2023)</w:t>
            </w:r>
          </w:p>
        </w:tc>
        <w:tc>
          <w:tcPr>
            <w:tcW w:w="458" w:type="pct"/>
            <w:vAlign w:val="center"/>
          </w:tcPr>
          <w:p w14:paraId="2EACA221" w14:textId="77777777" w:rsidR="00B607BD" w:rsidRPr="00A06F1E" w:rsidRDefault="00B607BD">
            <w:pPr>
              <w:pStyle w:val="TableColHeadingCenter"/>
              <w:spacing w:before="20" w:after="20"/>
            </w:pPr>
            <w:r w:rsidRPr="00A06F1E">
              <w:t>2022</w:t>
            </w:r>
          </w:p>
        </w:tc>
        <w:tc>
          <w:tcPr>
            <w:tcW w:w="459" w:type="pct"/>
            <w:vAlign w:val="center"/>
          </w:tcPr>
          <w:p w14:paraId="2FD488FB" w14:textId="77777777" w:rsidR="00B607BD" w:rsidRPr="00A06F1E" w:rsidRDefault="00B607BD">
            <w:pPr>
              <w:pStyle w:val="TableColHeadingCenter"/>
              <w:spacing w:before="20" w:after="20"/>
            </w:pPr>
            <w:r w:rsidRPr="00A06F1E">
              <w:t>2023</w:t>
            </w:r>
          </w:p>
        </w:tc>
        <w:tc>
          <w:tcPr>
            <w:tcW w:w="458" w:type="pct"/>
            <w:vAlign w:val="center"/>
          </w:tcPr>
          <w:p w14:paraId="0797D97B" w14:textId="77777777" w:rsidR="00B607BD" w:rsidRPr="00A06F1E" w:rsidRDefault="00B607BD">
            <w:pPr>
              <w:pStyle w:val="TableColHeadingCenter"/>
              <w:spacing w:before="20" w:after="20"/>
            </w:pPr>
            <w:r w:rsidRPr="00A06F1E">
              <w:t>State (2023)</w:t>
            </w:r>
          </w:p>
        </w:tc>
        <w:tc>
          <w:tcPr>
            <w:tcW w:w="458" w:type="pct"/>
            <w:vAlign w:val="center"/>
          </w:tcPr>
          <w:p w14:paraId="677F046B" w14:textId="77777777" w:rsidR="00B607BD" w:rsidRPr="00A06F1E" w:rsidRDefault="00B607BD">
            <w:pPr>
              <w:pStyle w:val="TableColHeadingCenter"/>
              <w:spacing w:before="20" w:after="20"/>
            </w:pPr>
            <w:r w:rsidRPr="00A06F1E">
              <w:t>2022</w:t>
            </w:r>
          </w:p>
        </w:tc>
        <w:tc>
          <w:tcPr>
            <w:tcW w:w="458" w:type="pct"/>
            <w:vAlign w:val="center"/>
          </w:tcPr>
          <w:p w14:paraId="0ED97AAE" w14:textId="77777777" w:rsidR="00B607BD" w:rsidRPr="00A06F1E" w:rsidRDefault="00B607BD">
            <w:pPr>
              <w:pStyle w:val="TableColHeadingCenter"/>
              <w:spacing w:before="20" w:after="20"/>
            </w:pPr>
            <w:r w:rsidRPr="00A06F1E">
              <w:t>2023</w:t>
            </w:r>
          </w:p>
        </w:tc>
        <w:tc>
          <w:tcPr>
            <w:tcW w:w="459" w:type="pct"/>
            <w:vAlign w:val="center"/>
          </w:tcPr>
          <w:p w14:paraId="484417B6" w14:textId="77777777" w:rsidR="00B607BD" w:rsidRPr="00A06F1E" w:rsidRDefault="00B607BD">
            <w:pPr>
              <w:pStyle w:val="TableColHeadingCenter"/>
              <w:spacing w:before="20" w:after="20"/>
            </w:pPr>
            <w:r w:rsidRPr="00A06F1E">
              <w:t>State (2023)</w:t>
            </w:r>
          </w:p>
        </w:tc>
      </w:tr>
      <w:tr w:rsidR="00B607BD" w:rsidRPr="00A06F1E" w14:paraId="15D347CC"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1B427E7C"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3</w:t>
            </w:r>
          </w:p>
        </w:tc>
        <w:tc>
          <w:tcPr>
            <w:tcW w:w="458" w:type="pct"/>
            <w:vAlign w:val="center"/>
          </w:tcPr>
          <w:p w14:paraId="60FB2466" w14:textId="3B753B95"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1DB05697" w14:textId="1B7B866B"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10F6AA29" w14:textId="6CE06EB1"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61EAAF6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44</w:t>
            </w:r>
          </w:p>
        </w:tc>
        <w:tc>
          <w:tcPr>
            <w:tcW w:w="458" w:type="pct"/>
            <w:vAlign w:val="center"/>
          </w:tcPr>
          <w:p w14:paraId="0358BBD9" w14:textId="79036280"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center"/>
          </w:tcPr>
          <w:p w14:paraId="7E2B1FBD" w14:textId="11E6BF6A"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576D806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vAlign w:val="center"/>
          </w:tcPr>
          <w:p w14:paraId="1EE4F605" w14:textId="5C4A032C"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50BEF389" w14:textId="1E689BA2"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bottom"/>
          </w:tcPr>
          <w:p w14:paraId="4891A0D1"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16</w:t>
            </w:r>
          </w:p>
        </w:tc>
      </w:tr>
      <w:tr w:rsidR="00B607BD" w:rsidRPr="00A06F1E" w14:paraId="0BEB40A1" w14:textId="77777777" w:rsidTr="006D2709">
        <w:tc>
          <w:tcPr>
            <w:tcW w:w="418" w:type="pct"/>
          </w:tcPr>
          <w:p w14:paraId="657616BA"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4</w:t>
            </w:r>
          </w:p>
        </w:tc>
        <w:tc>
          <w:tcPr>
            <w:tcW w:w="458" w:type="pct"/>
            <w:vAlign w:val="center"/>
          </w:tcPr>
          <w:p w14:paraId="7E52D18E" w14:textId="2E2757DD"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4A3E3BAE" w14:textId="36629419"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50846F3B" w14:textId="7ED8629D"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03AC0F4B"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vAlign w:val="center"/>
          </w:tcPr>
          <w:p w14:paraId="7AD35016" w14:textId="4E4C1194"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center"/>
          </w:tcPr>
          <w:p w14:paraId="17B463C4" w14:textId="574B2E03"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7E640EC5"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43</w:t>
            </w:r>
          </w:p>
        </w:tc>
        <w:tc>
          <w:tcPr>
            <w:tcW w:w="458" w:type="pct"/>
            <w:vAlign w:val="center"/>
          </w:tcPr>
          <w:p w14:paraId="5F97A116" w14:textId="7A30FB5C"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570BBD34" w14:textId="4427E332"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bottom"/>
          </w:tcPr>
          <w:p w14:paraId="7866698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17</w:t>
            </w:r>
          </w:p>
        </w:tc>
      </w:tr>
      <w:tr w:rsidR="00B607BD" w:rsidRPr="00A06F1E" w14:paraId="328CF7AA"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5B1B1935"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5</w:t>
            </w:r>
          </w:p>
        </w:tc>
        <w:tc>
          <w:tcPr>
            <w:tcW w:w="458" w:type="pct"/>
            <w:vAlign w:val="center"/>
          </w:tcPr>
          <w:p w14:paraId="39A2F35A" w14:textId="4943C8DC"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3B5E8928" w14:textId="487D75A4"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34C0859E" w14:textId="1016E6A1"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58D2E02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44</w:t>
            </w:r>
          </w:p>
        </w:tc>
        <w:tc>
          <w:tcPr>
            <w:tcW w:w="458" w:type="pct"/>
            <w:vAlign w:val="center"/>
          </w:tcPr>
          <w:p w14:paraId="2CEF2020" w14:textId="599A5DFE"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center"/>
          </w:tcPr>
          <w:p w14:paraId="6CB0362D" w14:textId="1214B942"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3F1B524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vAlign w:val="center"/>
          </w:tcPr>
          <w:p w14:paraId="163090C4" w14:textId="4013E69A"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602E654D" w14:textId="568282AD"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bottom"/>
          </w:tcPr>
          <w:p w14:paraId="6EF11A5B"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16</w:t>
            </w:r>
          </w:p>
        </w:tc>
      </w:tr>
      <w:tr w:rsidR="00B607BD" w:rsidRPr="00A06F1E" w14:paraId="10151213" w14:textId="77777777" w:rsidTr="006D2709">
        <w:tc>
          <w:tcPr>
            <w:tcW w:w="418" w:type="pct"/>
          </w:tcPr>
          <w:p w14:paraId="65061018"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6</w:t>
            </w:r>
          </w:p>
        </w:tc>
        <w:tc>
          <w:tcPr>
            <w:tcW w:w="458" w:type="pct"/>
            <w:vAlign w:val="center"/>
          </w:tcPr>
          <w:p w14:paraId="34A452AB" w14:textId="67DC13CB"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1F043DD1" w14:textId="00F030A3"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00C450A6" w14:textId="1986812F"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06569BF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42</w:t>
            </w:r>
          </w:p>
        </w:tc>
        <w:tc>
          <w:tcPr>
            <w:tcW w:w="458" w:type="pct"/>
            <w:vAlign w:val="center"/>
          </w:tcPr>
          <w:p w14:paraId="43AB0EC7" w14:textId="5816A2BE"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center"/>
          </w:tcPr>
          <w:p w14:paraId="1462D3C7" w14:textId="776E40FA"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2E63279A"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34</w:t>
            </w:r>
          </w:p>
        </w:tc>
        <w:tc>
          <w:tcPr>
            <w:tcW w:w="458" w:type="pct"/>
            <w:vAlign w:val="center"/>
          </w:tcPr>
          <w:p w14:paraId="2CF2FC2A" w14:textId="5BBFB932"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00C09A19" w14:textId="65308F19"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bottom"/>
          </w:tcPr>
          <w:p w14:paraId="77E4657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24</w:t>
            </w:r>
          </w:p>
        </w:tc>
      </w:tr>
      <w:tr w:rsidR="00B607BD" w:rsidRPr="00A06F1E" w14:paraId="356F59F1"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13631662"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7</w:t>
            </w:r>
          </w:p>
        </w:tc>
        <w:tc>
          <w:tcPr>
            <w:tcW w:w="458" w:type="pct"/>
            <w:vAlign w:val="center"/>
          </w:tcPr>
          <w:p w14:paraId="5B5E58E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93</w:t>
            </w:r>
          </w:p>
        </w:tc>
        <w:tc>
          <w:tcPr>
            <w:tcW w:w="458" w:type="pct"/>
            <w:vAlign w:val="center"/>
          </w:tcPr>
          <w:p w14:paraId="4D85BC0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33</w:t>
            </w:r>
          </w:p>
        </w:tc>
        <w:tc>
          <w:tcPr>
            <w:tcW w:w="458" w:type="pct"/>
            <w:vAlign w:val="center"/>
          </w:tcPr>
          <w:p w14:paraId="1E8B737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20</w:t>
            </w:r>
          </w:p>
        </w:tc>
        <w:tc>
          <w:tcPr>
            <w:tcW w:w="458" w:type="pct"/>
            <w:vAlign w:val="center"/>
          </w:tcPr>
          <w:p w14:paraId="66DA9AE3"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vAlign w:val="center"/>
          </w:tcPr>
          <w:p w14:paraId="6B74E8C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42</w:t>
            </w:r>
          </w:p>
        </w:tc>
        <w:tc>
          <w:tcPr>
            <w:tcW w:w="459" w:type="pct"/>
            <w:vAlign w:val="center"/>
          </w:tcPr>
          <w:p w14:paraId="7F1407B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57</w:t>
            </w:r>
          </w:p>
        </w:tc>
        <w:tc>
          <w:tcPr>
            <w:tcW w:w="458" w:type="pct"/>
            <w:vAlign w:val="center"/>
          </w:tcPr>
          <w:p w14:paraId="3E78F27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vAlign w:val="center"/>
          </w:tcPr>
          <w:p w14:paraId="40F98F6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25</w:t>
            </w:r>
          </w:p>
        </w:tc>
        <w:tc>
          <w:tcPr>
            <w:tcW w:w="458" w:type="pct"/>
            <w:vAlign w:val="center"/>
          </w:tcPr>
          <w:p w14:paraId="40FE23CD"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23</w:t>
            </w:r>
          </w:p>
        </w:tc>
        <w:tc>
          <w:tcPr>
            <w:tcW w:w="459" w:type="pct"/>
            <w:vAlign w:val="bottom"/>
          </w:tcPr>
          <w:p w14:paraId="70B045B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19</w:t>
            </w:r>
          </w:p>
        </w:tc>
      </w:tr>
      <w:tr w:rsidR="00B607BD" w:rsidRPr="00A06F1E" w14:paraId="52DFE53B" w14:textId="77777777" w:rsidTr="006D2709">
        <w:tc>
          <w:tcPr>
            <w:tcW w:w="418" w:type="pct"/>
          </w:tcPr>
          <w:p w14:paraId="0BDA5216"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8</w:t>
            </w:r>
          </w:p>
        </w:tc>
        <w:tc>
          <w:tcPr>
            <w:tcW w:w="458" w:type="pct"/>
            <w:vAlign w:val="center"/>
          </w:tcPr>
          <w:p w14:paraId="518BE02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97</w:t>
            </w:r>
          </w:p>
        </w:tc>
        <w:tc>
          <w:tcPr>
            <w:tcW w:w="458" w:type="pct"/>
            <w:vAlign w:val="center"/>
          </w:tcPr>
          <w:p w14:paraId="7E23CB1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16</w:t>
            </w:r>
          </w:p>
        </w:tc>
        <w:tc>
          <w:tcPr>
            <w:tcW w:w="458" w:type="pct"/>
            <w:vAlign w:val="center"/>
          </w:tcPr>
          <w:p w14:paraId="3E32A8F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38</w:t>
            </w:r>
          </w:p>
        </w:tc>
        <w:tc>
          <w:tcPr>
            <w:tcW w:w="458" w:type="pct"/>
            <w:vAlign w:val="center"/>
          </w:tcPr>
          <w:p w14:paraId="3888D862"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44</w:t>
            </w:r>
          </w:p>
        </w:tc>
        <w:tc>
          <w:tcPr>
            <w:tcW w:w="458" w:type="pct"/>
            <w:vAlign w:val="center"/>
          </w:tcPr>
          <w:p w14:paraId="74E1FA7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51</w:t>
            </w:r>
          </w:p>
        </w:tc>
        <w:tc>
          <w:tcPr>
            <w:tcW w:w="459" w:type="pct"/>
            <w:vAlign w:val="center"/>
          </w:tcPr>
          <w:p w14:paraId="1C52C9C1"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31</w:t>
            </w:r>
          </w:p>
        </w:tc>
        <w:tc>
          <w:tcPr>
            <w:tcW w:w="458" w:type="pct"/>
            <w:vAlign w:val="center"/>
          </w:tcPr>
          <w:p w14:paraId="2F12A3D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34</w:t>
            </w:r>
          </w:p>
        </w:tc>
        <w:tc>
          <w:tcPr>
            <w:tcW w:w="458" w:type="pct"/>
            <w:vAlign w:val="center"/>
          </w:tcPr>
          <w:p w14:paraId="792447D1"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33</w:t>
            </w:r>
          </w:p>
        </w:tc>
        <w:tc>
          <w:tcPr>
            <w:tcW w:w="458" w:type="pct"/>
            <w:vAlign w:val="center"/>
          </w:tcPr>
          <w:p w14:paraId="7FE41F8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31</w:t>
            </w:r>
          </w:p>
        </w:tc>
        <w:tc>
          <w:tcPr>
            <w:tcW w:w="459" w:type="pct"/>
            <w:vAlign w:val="bottom"/>
          </w:tcPr>
          <w:p w14:paraId="6D9A489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22</w:t>
            </w:r>
          </w:p>
        </w:tc>
      </w:tr>
      <w:tr w:rsidR="00B607BD" w:rsidRPr="00A06F1E" w14:paraId="53074639"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7269E591" w14:textId="77777777" w:rsidR="00B607BD" w:rsidRPr="00A06F1E" w:rsidRDefault="00B607BD">
            <w:pPr>
              <w:pStyle w:val="TableText"/>
              <w:spacing w:before="20" w:after="20"/>
              <w:jc w:val="center"/>
              <w:rPr>
                <w:rFonts w:ascii="Franklin Gothic Book" w:hAnsi="Franklin Gothic Book"/>
                <w:spacing w:val="-4"/>
              </w:rPr>
            </w:pPr>
            <w:r w:rsidRPr="00A06F1E">
              <w:rPr>
                <w:rFonts w:ascii="Franklin Gothic Book" w:hAnsi="Franklin Gothic Book"/>
                <w:spacing w:val="-4"/>
              </w:rPr>
              <w:t>3-8</w:t>
            </w:r>
          </w:p>
        </w:tc>
        <w:tc>
          <w:tcPr>
            <w:tcW w:w="458" w:type="pct"/>
            <w:vAlign w:val="center"/>
          </w:tcPr>
          <w:p w14:paraId="6398E36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190</w:t>
            </w:r>
          </w:p>
        </w:tc>
        <w:tc>
          <w:tcPr>
            <w:tcW w:w="458" w:type="pct"/>
            <w:vAlign w:val="center"/>
          </w:tcPr>
          <w:p w14:paraId="7B59172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23</w:t>
            </w:r>
          </w:p>
        </w:tc>
        <w:tc>
          <w:tcPr>
            <w:tcW w:w="458" w:type="pct"/>
            <w:vAlign w:val="center"/>
          </w:tcPr>
          <w:p w14:paraId="23DADFA2"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29</w:t>
            </w:r>
          </w:p>
        </w:tc>
        <w:tc>
          <w:tcPr>
            <w:tcW w:w="458" w:type="pct"/>
            <w:vAlign w:val="center"/>
          </w:tcPr>
          <w:p w14:paraId="1EC20C0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42</w:t>
            </w:r>
          </w:p>
        </w:tc>
        <w:tc>
          <w:tcPr>
            <w:tcW w:w="458" w:type="pct"/>
            <w:vAlign w:val="center"/>
          </w:tcPr>
          <w:p w14:paraId="1553B7D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47</w:t>
            </w:r>
          </w:p>
        </w:tc>
        <w:tc>
          <w:tcPr>
            <w:tcW w:w="459" w:type="pct"/>
            <w:vAlign w:val="center"/>
          </w:tcPr>
          <w:p w14:paraId="47C08A6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44</w:t>
            </w:r>
          </w:p>
        </w:tc>
        <w:tc>
          <w:tcPr>
            <w:tcW w:w="458" w:type="pct"/>
            <w:vAlign w:val="center"/>
          </w:tcPr>
          <w:p w14:paraId="408A35F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39</w:t>
            </w:r>
          </w:p>
        </w:tc>
        <w:tc>
          <w:tcPr>
            <w:tcW w:w="458" w:type="pct"/>
            <w:vAlign w:val="center"/>
          </w:tcPr>
          <w:p w14:paraId="1145D09A"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30</w:t>
            </w:r>
          </w:p>
        </w:tc>
        <w:tc>
          <w:tcPr>
            <w:tcW w:w="458" w:type="pct"/>
            <w:vAlign w:val="center"/>
          </w:tcPr>
          <w:p w14:paraId="3E60656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27</w:t>
            </w:r>
          </w:p>
        </w:tc>
        <w:tc>
          <w:tcPr>
            <w:tcW w:w="459" w:type="pct"/>
            <w:vAlign w:val="bottom"/>
          </w:tcPr>
          <w:p w14:paraId="132023BA"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19</w:t>
            </w:r>
          </w:p>
        </w:tc>
      </w:tr>
      <w:tr w:rsidR="00B607BD" w:rsidRPr="00A06F1E" w14:paraId="37EAEC69" w14:textId="77777777" w:rsidTr="006D2709">
        <w:tc>
          <w:tcPr>
            <w:tcW w:w="418" w:type="pct"/>
          </w:tcPr>
          <w:p w14:paraId="591DE6A0"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10</w:t>
            </w:r>
          </w:p>
        </w:tc>
        <w:tc>
          <w:tcPr>
            <w:tcW w:w="458" w:type="pct"/>
            <w:vAlign w:val="center"/>
          </w:tcPr>
          <w:p w14:paraId="6B2573D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81</w:t>
            </w:r>
          </w:p>
        </w:tc>
        <w:tc>
          <w:tcPr>
            <w:tcW w:w="458" w:type="pct"/>
            <w:vAlign w:val="center"/>
          </w:tcPr>
          <w:p w14:paraId="16DB137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40</w:t>
            </w:r>
          </w:p>
        </w:tc>
        <w:tc>
          <w:tcPr>
            <w:tcW w:w="458" w:type="pct"/>
            <w:vAlign w:val="center"/>
          </w:tcPr>
          <w:p w14:paraId="6D87AEC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51</w:t>
            </w:r>
          </w:p>
        </w:tc>
        <w:tc>
          <w:tcPr>
            <w:tcW w:w="458" w:type="pct"/>
            <w:vAlign w:val="center"/>
          </w:tcPr>
          <w:p w14:paraId="0947DDC3"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58</w:t>
            </w:r>
          </w:p>
        </w:tc>
        <w:tc>
          <w:tcPr>
            <w:tcW w:w="458" w:type="pct"/>
            <w:vAlign w:val="center"/>
          </w:tcPr>
          <w:p w14:paraId="2513256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44</w:t>
            </w:r>
          </w:p>
        </w:tc>
        <w:tc>
          <w:tcPr>
            <w:tcW w:w="459" w:type="pct"/>
            <w:vAlign w:val="center"/>
          </w:tcPr>
          <w:p w14:paraId="6A8FD183"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32</w:t>
            </w:r>
          </w:p>
        </w:tc>
        <w:tc>
          <w:tcPr>
            <w:tcW w:w="458" w:type="pct"/>
            <w:vAlign w:val="center"/>
          </w:tcPr>
          <w:p w14:paraId="2A6585A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30</w:t>
            </w:r>
          </w:p>
        </w:tc>
        <w:tc>
          <w:tcPr>
            <w:tcW w:w="458" w:type="pct"/>
            <w:vAlign w:val="center"/>
          </w:tcPr>
          <w:p w14:paraId="13C52333"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16</w:t>
            </w:r>
          </w:p>
        </w:tc>
        <w:tc>
          <w:tcPr>
            <w:tcW w:w="458" w:type="pct"/>
            <w:vAlign w:val="center"/>
          </w:tcPr>
          <w:p w14:paraId="0CE4129A"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17</w:t>
            </w:r>
          </w:p>
        </w:tc>
        <w:tc>
          <w:tcPr>
            <w:tcW w:w="459" w:type="pct"/>
            <w:vAlign w:val="bottom"/>
          </w:tcPr>
          <w:p w14:paraId="24AA64D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11</w:t>
            </w:r>
          </w:p>
        </w:tc>
      </w:tr>
    </w:tbl>
    <w:p w14:paraId="1F56573A" w14:textId="3FB40A47" w:rsidR="00B607BD" w:rsidRPr="00A06F1E" w:rsidRDefault="00B607BD" w:rsidP="00B7722D">
      <w:pPr>
        <w:pStyle w:val="TabletitleSectionE"/>
      </w:pPr>
      <w:bookmarkStart w:id="274" w:name="_Toc170701962"/>
      <w:bookmarkStart w:id="275" w:name="_Toc171685799"/>
      <w:r w:rsidRPr="00A06F1E">
        <w:t>Table E8</w:t>
      </w:r>
      <w:r w:rsidR="003C549E">
        <w:t>a</w:t>
      </w:r>
      <w:r w:rsidR="00CE00AC" w:rsidRPr="00A06F1E">
        <w:t xml:space="preserve">. </w:t>
      </w:r>
      <w:r w:rsidR="00CF4F71">
        <w:t>Fisher Hill</w:t>
      </w:r>
      <w:r w:rsidR="00F3532E" w:rsidRPr="00A06F1E">
        <w:t>:</w:t>
      </w:r>
      <w:r w:rsidRPr="00A06F1E">
        <w:t xml:space="preserve"> Next-Generation MCAS Mathematics Achievement by Grade, 2022-2023</w:t>
      </w:r>
      <w:bookmarkEnd w:id="274"/>
      <w:bookmarkEnd w:id="275"/>
    </w:p>
    <w:tbl>
      <w:tblPr>
        <w:tblStyle w:val="MSVTable1"/>
        <w:tblW w:w="5000" w:type="pct"/>
        <w:tblLook w:val="0420" w:firstRow="1" w:lastRow="0" w:firstColumn="0" w:lastColumn="0" w:noHBand="0" w:noVBand="1"/>
      </w:tblPr>
      <w:tblGrid>
        <w:gridCol w:w="1081"/>
        <w:gridCol w:w="1185"/>
        <w:gridCol w:w="1186"/>
        <w:gridCol w:w="1186"/>
        <w:gridCol w:w="1186"/>
        <w:gridCol w:w="1186"/>
        <w:gridCol w:w="1188"/>
        <w:gridCol w:w="1186"/>
        <w:gridCol w:w="1186"/>
        <w:gridCol w:w="1186"/>
        <w:gridCol w:w="1188"/>
      </w:tblGrid>
      <w:tr w:rsidR="00B607BD" w:rsidRPr="00A06F1E" w14:paraId="19A4158B"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4E5D2070" w14:textId="77777777" w:rsidR="00B607BD" w:rsidRPr="00A06F1E" w:rsidRDefault="00B607BD">
            <w:pPr>
              <w:pStyle w:val="TableColHeadingLeft"/>
              <w:spacing w:before="20" w:after="20"/>
              <w:jc w:val="center"/>
            </w:pPr>
            <w:r w:rsidRPr="00A06F1E">
              <w:t>Grade</w:t>
            </w:r>
          </w:p>
        </w:tc>
        <w:tc>
          <w:tcPr>
            <w:tcW w:w="458" w:type="pct"/>
            <w:vMerge w:val="restart"/>
            <w:vAlign w:val="center"/>
          </w:tcPr>
          <w:p w14:paraId="65B256C1" w14:textId="5E748A4C" w:rsidR="00B607BD" w:rsidRPr="00A06F1E" w:rsidRDefault="00B607BD">
            <w:pPr>
              <w:pStyle w:val="TableColHeadingCenter"/>
              <w:spacing w:before="20" w:after="20"/>
            </w:pPr>
            <w:r w:rsidRPr="00A06F1E">
              <w:t xml:space="preserve"># </w:t>
            </w:r>
            <w:r w:rsidR="00A12E54" w:rsidRPr="00A06F1E">
              <w:t>i</w:t>
            </w:r>
            <w:r w:rsidRPr="00A06F1E">
              <w:t>ncluded (2023)</w:t>
            </w:r>
          </w:p>
        </w:tc>
        <w:tc>
          <w:tcPr>
            <w:tcW w:w="1374" w:type="pct"/>
            <w:gridSpan w:val="3"/>
            <w:vAlign w:val="bottom"/>
          </w:tcPr>
          <w:p w14:paraId="05B723CD" w14:textId="37EA61D9" w:rsidR="00B607BD" w:rsidRPr="00A06F1E" w:rsidRDefault="00A228CB">
            <w:pPr>
              <w:pStyle w:val="TableColHeadingCenter"/>
              <w:spacing w:before="20" w:after="20"/>
            </w:pPr>
            <w:r w:rsidRPr="00A06F1E">
              <w:t>Percentage</w:t>
            </w:r>
            <w:r w:rsidR="00B607BD" w:rsidRPr="00A06F1E">
              <w:t xml:space="preserve"> meeting or exceeding expectations</w:t>
            </w:r>
          </w:p>
        </w:tc>
        <w:tc>
          <w:tcPr>
            <w:tcW w:w="1375" w:type="pct"/>
            <w:gridSpan w:val="3"/>
            <w:vAlign w:val="center"/>
          </w:tcPr>
          <w:p w14:paraId="5DE52259" w14:textId="35B88C50" w:rsidR="00B607BD" w:rsidRPr="00A06F1E" w:rsidRDefault="00A228CB">
            <w:pPr>
              <w:pStyle w:val="TableColHeadingCenter"/>
              <w:spacing w:before="20" w:after="20"/>
            </w:pPr>
            <w:r w:rsidRPr="00A06F1E">
              <w:t>Percentage</w:t>
            </w:r>
            <w:r w:rsidR="00B607BD" w:rsidRPr="00A06F1E">
              <w:t xml:space="preserve"> partially meeting expectations</w:t>
            </w:r>
          </w:p>
        </w:tc>
        <w:tc>
          <w:tcPr>
            <w:tcW w:w="1375" w:type="pct"/>
            <w:gridSpan w:val="3"/>
            <w:vAlign w:val="center"/>
          </w:tcPr>
          <w:p w14:paraId="3A6396FC" w14:textId="03EBA1AC" w:rsidR="00B607BD" w:rsidRPr="00A06F1E" w:rsidRDefault="00A228CB">
            <w:pPr>
              <w:pStyle w:val="TableColHeadingCenter"/>
              <w:spacing w:before="20" w:after="20"/>
            </w:pPr>
            <w:r w:rsidRPr="00A06F1E">
              <w:t>Percentage</w:t>
            </w:r>
            <w:r w:rsidR="00B607BD" w:rsidRPr="00A06F1E">
              <w:t xml:space="preserve"> not meeting expectations</w:t>
            </w:r>
          </w:p>
        </w:tc>
      </w:tr>
      <w:tr w:rsidR="00B607BD" w:rsidRPr="00A06F1E" w14:paraId="00247BCA"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46DB40B9" w14:textId="77777777" w:rsidR="00B607BD" w:rsidRPr="00A06F1E" w:rsidRDefault="00B607BD">
            <w:pPr>
              <w:pStyle w:val="TableColHeadingCenter"/>
              <w:spacing w:before="20" w:after="20"/>
            </w:pPr>
          </w:p>
        </w:tc>
        <w:tc>
          <w:tcPr>
            <w:tcW w:w="458" w:type="pct"/>
            <w:vMerge/>
            <w:vAlign w:val="bottom"/>
          </w:tcPr>
          <w:p w14:paraId="644EE121" w14:textId="77777777" w:rsidR="00B607BD" w:rsidRPr="00A06F1E" w:rsidRDefault="00B607BD">
            <w:pPr>
              <w:pStyle w:val="TableColHeadingCenter"/>
              <w:spacing w:before="20" w:after="20"/>
            </w:pPr>
          </w:p>
        </w:tc>
        <w:tc>
          <w:tcPr>
            <w:tcW w:w="458" w:type="pct"/>
            <w:vAlign w:val="center"/>
          </w:tcPr>
          <w:p w14:paraId="411FACB8" w14:textId="77777777" w:rsidR="00B607BD" w:rsidRPr="00A06F1E" w:rsidRDefault="00B607BD">
            <w:pPr>
              <w:pStyle w:val="TableColHeadingCenter"/>
              <w:spacing w:before="20" w:after="20"/>
            </w:pPr>
            <w:r w:rsidRPr="00A06F1E">
              <w:t>2022</w:t>
            </w:r>
          </w:p>
        </w:tc>
        <w:tc>
          <w:tcPr>
            <w:tcW w:w="458" w:type="pct"/>
            <w:vAlign w:val="center"/>
          </w:tcPr>
          <w:p w14:paraId="7731E0BD" w14:textId="77777777" w:rsidR="00B607BD" w:rsidRPr="00A06F1E" w:rsidRDefault="00B607BD">
            <w:pPr>
              <w:pStyle w:val="TableColHeadingCenter"/>
              <w:spacing w:before="20" w:after="20"/>
            </w:pPr>
            <w:r w:rsidRPr="00A06F1E">
              <w:t>2023</w:t>
            </w:r>
          </w:p>
        </w:tc>
        <w:tc>
          <w:tcPr>
            <w:tcW w:w="458" w:type="pct"/>
            <w:vAlign w:val="center"/>
          </w:tcPr>
          <w:p w14:paraId="4F87A0F4" w14:textId="77777777" w:rsidR="00B607BD" w:rsidRPr="00A06F1E" w:rsidRDefault="00B607BD">
            <w:pPr>
              <w:pStyle w:val="TableColHeadingCenter"/>
              <w:spacing w:before="20" w:after="20"/>
            </w:pPr>
            <w:r w:rsidRPr="00A06F1E">
              <w:t>State (2023)</w:t>
            </w:r>
          </w:p>
        </w:tc>
        <w:tc>
          <w:tcPr>
            <w:tcW w:w="458" w:type="pct"/>
            <w:vAlign w:val="center"/>
          </w:tcPr>
          <w:p w14:paraId="213698DE" w14:textId="77777777" w:rsidR="00B607BD" w:rsidRPr="00A06F1E" w:rsidRDefault="00B607BD">
            <w:pPr>
              <w:pStyle w:val="TableColHeadingCenter"/>
              <w:spacing w:before="20" w:after="20"/>
            </w:pPr>
            <w:r w:rsidRPr="00A06F1E">
              <w:t>2022</w:t>
            </w:r>
          </w:p>
        </w:tc>
        <w:tc>
          <w:tcPr>
            <w:tcW w:w="459" w:type="pct"/>
            <w:vAlign w:val="center"/>
          </w:tcPr>
          <w:p w14:paraId="46934986" w14:textId="77777777" w:rsidR="00B607BD" w:rsidRPr="00A06F1E" w:rsidRDefault="00B607BD">
            <w:pPr>
              <w:pStyle w:val="TableColHeadingCenter"/>
              <w:spacing w:before="20" w:after="20"/>
            </w:pPr>
            <w:r w:rsidRPr="00A06F1E">
              <w:t>2023</w:t>
            </w:r>
          </w:p>
        </w:tc>
        <w:tc>
          <w:tcPr>
            <w:tcW w:w="458" w:type="pct"/>
            <w:vAlign w:val="center"/>
          </w:tcPr>
          <w:p w14:paraId="1B788175" w14:textId="77777777" w:rsidR="00B607BD" w:rsidRPr="00A06F1E" w:rsidRDefault="00B607BD">
            <w:pPr>
              <w:pStyle w:val="TableColHeadingCenter"/>
              <w:spacing w:before="20" w:after="20"/>
            </w:pPr>
            <w:r w:rsidRPr="00A06F1E">
              <w:t>State (2023)</w:t>
            </w:r>
          </w:p>
        </w:tc>
        <w:tc>
          <w:tcPr>
            <w:tcW w:w="458" w:type="pct"/>
            <w:vAlign w:val="center"/>
          </w:tcPr>
          <w:p w14:paraId="790B2EEE" w14:textId="77777777" w:rsidR="00B607BD" w:rsidRPr="00A06F1E" w:rsidRDefault="00B607BD">
            <w:pPr>
              <w:pStyle w:val="TableColHeadingCenter"/>
              <w:spacing w:before="20" w:after="20"/>
            </w:pPr>
            <w:r w:rsidRPr="00A06F1E">
              <w:t>2022</w:t>
            </w:r>
          </w:p>
        </w:tc>
        <w:tc>
          <w:tcPr>
            <w:tcW w:w="458" w:type="pct"/>
            <w:vAlign w:val="center"/>
          </w:tcPr>
          <w:p w14:paraId="3D1460F7" w14:textId="77777777" w:rsidR="00B607BD" w:rsidRPr="00A06F1E" w:rsidRDefault="00B607BD">
            <w:pPr>
              <w:pStyle w:val="TableColHeadingCenter"/>
              <w:spacing w:before="20" w:after="20"/>
            </w:pPr>
            <w:r w:rsidRPr="00A06F1E">
              <w:t>2023</w:t>
            </w:r>
          </w:p>
        </w:tc>
        <w:tc>
          <w:tcPr>
            <w:tcW w:w="459" w:type="pct"/>
            <w:vAlign w:val="center"/>
          </w:tcPr>
          <w:p w14:paraId="51D8AAFD" w14:textId="77777777" w:rsidR="00B607BD" w:rsidRPr="00A06F1E" w:rsidRDefault="00B607BD">
            <w:pPr>
              <w:pStyle w:val="TableColHeadingCenter"/>
              <w:spacing w:before="20" w:after="20"/>
            </w:pPr>
            <w:r w:rsidRPr="00A06F1E">
              <w:t>State (2023)</w:t>
            </w:r>
          </w:p>
        </w:tc>
      </w:tr>
      <w:tr w:rsidR="00B607BD" w:rsidRPr="00A06F1E" w14:paraId="3871B462"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12AD99A0"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3</w:t>
            </w:r>
          </w:p>
        </w:tc>
        <w:tc>
          <w:tcPr>
            <w:tcW w:w="458" w:type="pct"/>
          </w:tcPr>
          <w:p w14:paraId="28EB4D2B"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70</w:t>
            </w:r>
          </w:p>
        </w:tc>
        <w:tc>
          <w:tcPr>
            <w:tcW w:w="458" w:type="pct"/>
          </w:tcPr>
          <w:p w14:paraId="65FC3BB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9</w:t>
            </w:r>
          </w:p>
        </w:tc>
        <w:tc>
          <w:tcPr>
            <w:tcW w:w="458" w:type="pct"/>
          </w:tcPr>
          <w:p w14:paraId="188D0B9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19</w:t>
            </w:r>
          </w:p>
        </w:tc>
        <w:tc>
          <w:tcPr>
            <w:tcW w:w="458" w:type="pct"/>
          </w:tcPr>
          <w:p w14:paraId="76028DB3"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41</w:t>
            </w:r>
          </w:p>
        </w:tc>
        <w:tc>
          <w:tcPr>
            <w:tcW w:w="458" w:type="pct"/>
          </w:tcPr>
          <w:p w14:paraId="5B02F0C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33</w:t>
            </w:r>
          </w:p>
        </w:tc>
        <w:tc>
          <w:tcPr>
            <w:tcW w:w="459" w:type="pct"/>
          </w:tcPr>
          <w:p w14:paraId="1ADCF48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50</w:t>
            </w:r>
          </w:p>
        </w:tc>
        <w:tc>
          <w:tcPr>
            <w:tcW w:w="458" w:type="pct"/>
          </w:tcPr>
          <w:p w14:paraId="299D321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39</w:t>
            </w:r>
          </w:p>
        </w:tc>
        <w:tc>
          <w:tcPr>
            <w:tcW w:w="458" w:type="pct"/>
          </w:tcPr>
          <w:p w14:paraId="0E97506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58</w:t>
            </w:r>
          </w:p>
        </w:tc>
        <w:tc>
          <w:tcPr>
            <w:tcW w:w="458" w:type="pct"/>
          </w:tcPr>
          <w:p w14:paraId="5DF56F0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31</w:t>
            </w:r>
          </w:p>
        </w:tc>
        <w:tc>
          <w:tcPr>
            <w:tcW w:w="459" w:type="pct"/>
          </w:tcPr>
          <w:p w14:paraId="2BB0CB3D"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20</w:t>
            </w:r>
          </w:p>
        </w:tc>
      </w:tr>
      <w:tr w:rsidR="00B607BD" w:rsidRPr="00A06F1E" w14:paraId="04728C24" w14:textId="77777777" w:rsidTr="006D2709">
        <w:tc>
          <w:tcPr>
            <w:tcW w:w="418" w:type="pct"/>
          </w:tcPr>
          <w:p w14:paraId="7D21E98A"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4</w:t>
            </w:r>
          </w:p>
        </w:tc>
        <w:tc>
          <w:tcPr>
            <w:tcW w:w="458" w:type="pct"/>
          </w:tcPr>
          <w:p w14:paraId="19096073"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69</w:t>
            </w:r>
          </w:p>
        </w:tc>
        <w:tc>
          <w:tcPr>
            <w:tcW w:w="458" w:type="pct"/>
          </w:tcPr>
          <w:p w14:paraId="17C5E56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13</w:t>
            </w:r>
          </w:p>
        </w:tc>
        <w:tc>
          <w:tcPr>
            <w:tcW w:w="458" w:type="pct"/>
          </w:tcPr>
          <w:p w14:paraId="1DFF9C02"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7</w:t>
            </w:r>
          </w:p>
        </w:tc>
        <w:tc>
          <w:tcPr>
            <w:tcW w:w="458" w:type="pct"/>
          </w:tcPr>
          <w:p w14:paraId="7210B38B"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45</w:t>
            </w:r>
          </w:p>
        </w:tc>
        <w:tc>
          <w:tcPr>
            <w:tcW w:w="458" w:type="pct"/>
          </w:tcPr>
          <w:p w14:paraId="05C4CBE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43</w:t>
            </w:r>
          </w:p>
        </w:tc>
        <w:tc>
          <w:tcPr>
            <w:tcW w:w="459" w:type="pct"/>
          </w:tcPr>
          <w:p w14:paraId="69CEAEF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39</w:t>
            </w:r>
          </w:p>
        </w:tc>
        <w:tc>
          <w:tcPr>
            <w:tcW w:w="458" w:type="pct"/>
          </w:tcPr>
          <w:p w14:paraId="391BEC7D"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37</w:t>
            </w:r>
          </w:p>
        </w:tc>
        <w:tc>
          <w:tcPr>
            <w:tcW w:w="458" w:type="pct"/>
          </w:tcPr>
          <w:p w14:paraId="7F4C434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43</w:t>
            </w:r>
          </w:p>
        </w:tc>
        <w:tc>
          <w:tcPr>
            <w:tcW w:w="458" w:type="pct"/>
          </w:tcPr>
          <w:p w14:paraId="2BBF2DFA"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54</w:t>
            </w:r>
          </w:p>
        </w:tc>
        <w:tc>
          <w:tcPr>
            <w:tcW w:w="459" w:type="pct"/>
          </w:tcPr>
          <w:p w14:paraId="6053A875"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18</w:t>
            </w:r>
          </w:p>
        </w:tc>
      </w:tr>
      <w:tr w:rsidR="00B607BD" w:rsidRPr="00A06F1E" w14:paraId="6772B048"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3976E951"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5</w:t>
            </w:r>
          </w:p>
        </w:tc>
        <w:tc>
          <w:tcPr>
            <w:tcW w:w="458" w:type="pct"/>
          </w:tcPr>
          <w:p w14:paraId="21E190A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72</w:t>
            </w:r>
          </w:p>
        </w:tc>
        <w:tc>
          <w:tcPr>
            <w:tcW w:w="458" w:type="pct"/>
          </w:tcPr>
          <w:p w14:paraId="65775AC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10</w:t>
            </w:r>
          </w:p>
        </w:tc>
        <w:tc>
          <w:tcPr>
            <w:tcW w:w="458" w:type="pct"/>
          </w:tcPr>
          <w:p w14:paraId="2EE1F3F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17</w:t>
            </w:r>
          </w:p>
        </w:tc>
        <w:tc>
          <w:tcPr>
            <w:tcW w:w="458" w:type="pct"/>
          </w:tcPr>
          <w:p w14:paraId="2D58E74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41</w:t>
            </w:r>
          </w:p>
        </w:tc>
        <w:tc>
          <w:tcPr>
            <w:tcW w:w="458" w:type="pct"/>
          </w:tcPr>
          <w:p w14:paraId="46AD708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47</w:t>
            </w:r>
          </w:p>
        </w:tc>
        <w:tc>
          <w:tcPr>
            <w:tcW w:w="459" w:type="pct"/>
          </w:tcPr>
          <w:p w14:paraId="06C1B2F3"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54</w:t>
            </w:r>
          </w:p>
        </w:tc>
        <w:tc>
          <w:tcPr>
            <w:tcW w:w="458" w:type="pct"/>
          </w:tcPr>
          <w:p w14:paraId="4FFABC9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46</w:t>
            </w:r>
          </w:p>
        </w:tc>
        <w:tc>
          <w:tcPr>
            <w:tcW w:w="458" w:type="pct"/>
          </w:tcPr>
          <w:p w14:paraId="6121BC0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43</w:t>
            </w:r>
          </w:p>
        </w:tc>
        <w:tc>
          <w:tcPr>
            <w:tcW w:w="458" w:type="pct"/>
          </w:tcPr>
          <w:p w14:paraId="66383EB3"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29</w:t>
            </w:r>
          </w:p>
        </w:tc>
        <w:tc>
          <w:tcPr>
            <w:tcW w:w="459" w:type="pct"/>
          </w:tcPr>
          <w:p w14:paraId="16CA3C2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13</w:t>
            </w:r>
          </w:p>
        </w:tc>
      </w:tr>
      <w:tr w:rsidR="00B607BD" w:rsidRPr="00A06F1E" w14:paraId="56C0EACC" w14:textId="77777777" w:rsidTr="006D2709">
        <w:tc>
          <w:tcPr>
            <w:tcW w:w="418" w:type="pct"/>
          </w:tcPr>
          <w:p w14:paraId="35E1AD9F"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6</w:t>
            </w:r>
          </w:p>
        </w:tc>
        <w:tc>
          <w:tcPr>
            <w:tcW w:w="458" w:type="pct"/>
          </w:tcPr>
          <w:p w14:paraId="2DCE8315"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72</w:t>
            </w:r>
          </w:p>
        </w:tc>
        <w:tc>
          <w:tcPr>
            <w:tcW w:w="458" w:type="pct"/>
          </w:tcPr>
          <w:p w14:paraId="668779B2"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27</w:t>
            </w:r>
          </w:p>
        </w:tc>
        <w:tc>
          <w:tcPr>
            <w:tcW w:w="458" w:type="pct"/>
          </w:tcPr>
          <w:p w14:paraId="76547CE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18</w:t>
            </w:r>
          </w:p>
        </w:tc>
        <w:tc>
          <w:tcPr>
            <w:tcW w:w="458" w:type="pct"/>
          </w:tcPr>
          <w:p w14:paraId="2249731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41</w:t>
            </w:r>
          </w:p>
        </w:tc>
        <w:tc>
          <w:tcPr>
            <w:tcW w:w="458" w:type="pct"/>
          </w:tcPr>
          <w:p w14:paraId="76D09E2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39</w:t>
            </w:r>
          </w:p>
        </w:tc>
        <w:tc>
          <w:tcPr>
            <w:tcW w:w="459" w:type="pct"/>
          </w:tcPr>
          <w:p w14:paraId="3C5040D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49</w:t>
            </w:r>
          </w:p>
        </w:tc>
        <w:tc>
          <w:tcPr>
            <w:tcW w:w="458" w:type="pct"/>
          </w:tcPr>
          <w:p w14:paraId="6DD46FEA"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42</w:t>
            </w:r>
          </w:p>
        </w:tc>
        <w:tc>
          <w:tcPr>
            <w:tcW w:w="458" w:type="pct"/>
          </w:tcPr>
          <w:p w14:paraId="09D64ED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33</w:t>
            </w:r>
          </w:p>
        </w:tc>
        <w:tc>
          <w:tcPr>
            <w:tcW w:w="458" w:type="pct"/>
          </w:tcPr>
          <w:p w14:paraId="7D9C024B"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33</w:t>
            </w:r>
          </w:p>
        </w:tc>
        <w:tc>
          <w:tcPr>
            <w:tcW w:w="459" w:type="pct"/>
          </w:tcPr>
          <w:p w14:paraId="6510F62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17</w:t>
            </w:r>
          </w:p>
        </w:tc>
      </w:tr>
      <w:tr w:rsidR="00B607BD" w:rsidRPr="00A06F1E" w14:paraId="17A9BCA3"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41FC74C4"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7</w:t>
            </w:r>
          </w:p>
        </w:tc>
        <w:tc>
          <w:tcPr>
            <w:tcW w:w="458" w:type="pct"/>
          </w:tcPr>
          <w:p w14:paraId="0D18692F" w14:textId="01A5F757"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7C87EBB7" w14:textId="570E6C64"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056ABBCD" w14:textId="5F61237A"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6AB365B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38</w:t>
            </w:r>
          </w:p>
        </w:tc>
        <w:tc>
          <w:tcPr>
            <w:tcW w:w="458" w:type="pct"/>
          </w:tcPr>
          <w:p w14:paraId="7F52DB53" w14:textId="2C9ADAE2"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9" w:type="pct"/>
          </w:tcPr>
          <w:p w14:paraId="28B4ECED" w14:textId="4BCBE897"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3FF1F79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tcPr>
          <w:p w14:paraId="40B55917" w14:textId="68A6D68C"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0827A864" w14:textId="6381B610"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9" w:type="pct"/>
          </w:tcPr>
          <w:p w14:paraId="7473C06B"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22</w:t>
            </w:r>
          </w:p>
        </w:tc>
      </w:tr>
      <w:tr w:rsidR="00B607BD" w:rsidRPr="00A06F1E" w14:paraId="20F097D8" w14:textId="77777777" w:rsidTr="006D2709">
        <w:tc>
          <w:tcPr>
            <w:tcW w:w="418" w:type="pct"/>
          </w:tcPr>
          <w:p w14:paraId="65B6851D"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8</w:t>
            </w:r>
          </w:p>
        </w:tc>
        <w:tc>
          <w:tcPr>
            <w:tcW w:w="458" w:type="pct"/>
          </w:tcPr>
          <w:p w14:paraId="261DA9D0" w14:textId="023271A9"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5B086934" w14:textId="643F1ECF"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6CB8C528" w14:textId="648DD0CD"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0770848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38</w:t>
            </w:r>
          </w:p>
        </w:tc>
        <w:tc>
          <w:tcPr>
            <w:tcW w:w="458" w:type="pct"/>
          </w:tcPr>
          <w:p w14:paraId="0297C472" w14:textId="2F904501"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9" w:type="pct"/>
          </w:tcPr>
          <w:p w14:paraId="135807C2" w14:textId="4CB40CDB"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332E55C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42</w:t>
            </w:r>
          </w:p>
        </w:tc>
        <w:tc>
          <w:tcPr>
            <w:tcW w:w="458" w:type="pct"/>
          </w:tcPr>
          <w:p w14:paraId="139C810B" w14:textId="325E1111"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760F31C0" w14:textId="5DC1750B"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9" w:type="pct"/>
          </w:tcPr>
          <w:p w14:paraId="3FF479C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20</w:t>
            </w:r>
          </w:p>
        </w:tc>
      </w:tr>
      <w:tr w:rsidR="00B607BD" w:rsidRPr="00A06F1E" w14:paraId="31CF52A9"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48FDF70F" w14:textId="77777777" w:rsidR="00B607BD" w:rsidRPr="00A06F1E" w:rsidRDefault="00B607BD">
            <w:pPr>
              <w:pStyle w:val="TableText"/>
              <w:spacing w:before="20" w:after="20"/>
              <w:jc w:val="center"/>
              <w:rPr>
                <w:rFonts w:ascii="Franklin Gothic Book" w:hAnsi="Franklin Gothic Book"/>
                <w:spacing w:val="-4"/>
              </w:rPr>
            </w:pPr>
            <w:r w:rsidRPr="00A06F1E">
              <w:rPr>
                <w:rFonts w:ascii="Franklin Gothic Book" w:hAnsi="Franklin Gothic Book"/>
                <w:spacing w:val="-4"/>
              </w:rPr>
              <w:t>3-8</w:t>
            </w:r>
          </w:p>
        </w:tc>
        <w:tc>
          <w:tcPr>
            <w:tcW w:w="458" w:type="pct"/>
          </w:tcPr>
          <w:p w14:paraId="51FBE02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283</w:t>
            </w:r>
          </w:p>
        </w:tc>
        <w:tc>
          <w:tcPr>
            <w:tcW w:w="458" w:type="pct"/>
          </w:tcPr>
          <w:p w14:paraId="46D2181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15</w:t>
            </w:r>
          </w:p>
        </w:tc>
        <w:tc>
          <w:tcPr>
            <w:tcW w:w="458" w:type="pct"/>
          </w:tcPr>
          <w:p w14:paraId="04F437B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15</w:t>
            </w:r>
          </w:p>
        </w:tc>
        <w:tc>
          <w:tcPr>
            <w:tcW w:w="458" w:type="pct"/>
          </w:tcPr>
          <w:p w14:paraId="2809B11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41</w:t>
            </w:r>
          </w:p>
        </w:tc>
        <w:tc>
          <w:tcPr>
            <w:tcW w:w="458" w:type="pct"/>
          </w:tcPr>
          <w:p w14:paraId="16DB516B"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41</w:t>
            </w:r>
          </w:p>
        </w:tc>
        <w:tc>
          <w:tcPr>
            <w:tcW w:w="459" w:type="pct"/>
          </w:tcPr>
          <w:p w14:paraId="76CF20BA"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48</w:t>
            </w:r>
          </w:p>
        </w:tc>
        <w:tc>
          <w:tcPr>
            <w:tcW w:w="458" w:type="pct"/>
          </w:tcPr>
          <w:p w14:paraId="03277BE1"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41</w:t>
            </w:r>
          </w:p>
        </w:tc>
        <w:tc>
          <w:tcPr>
            <w:tcW w:w="458" w:type="pct"/>
          </w:tcPr>
          <w:p w14:paraId="1CC8276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44</w:t>
            </w:r>
          </w:p>
        </w:tc>
        <w:tc>
          <w:tcPr>
            <w:tcW w:w="458" w:type="pct"/>
          </w:tcPr>
          <w:p w14:paraId="459C6AE5"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37</w:t>
            </w:r>
          </w:p>
        </w:tc>
        <w:tc>
          <w:tcPr>
            <w:tcW w:w="459" w:type="pct"/>
          </w:tcPr>
          <w:p w14:paraId="1CBDA0D2"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18</w:t>
            </w:r>
          </w:p>
        </w:tc>
      </w:tr>
      <w:tr w:rsidR="00B607BD" w:rsidRPr="00A06F1E" w14:paraId="16D655AB" w14:textId="77777777" w:rsidTr="006D2709">
        <w:tc>
          <w:tcPr>
            <w:tcW w:w="418" w:type="pct"/>
          </w:tcPr>
          <w:p w14:paraId="79A2E3F9"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10</w:t>
            </w:r>
          </w:p>
        </w:tc>
        <w:tc>
          <w:tcPr>
            <w:tcW w:w="458" w:type="pct"/>
          </w:tcPr>
          <w:p w14:paraId="7910CBB4" w14:textId="61B405DB"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1463A929" w14:textId="52517AC0"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4E5D4B9B" w14:textId="1ADEE993"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6C2A5E9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50</w:t>
            </w:r>
          </w:p>
        </w:tc>
        <w:tc>
          <w:tcPr>
            <w:tcW w:w="458" w:type="pct"/>
          </w:tcPr>
          <w:p w14:paraId="307C76B1" w14:textId="74B36D5D"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9" w:type="pct"/>
          </w:tcPr>
          <w:p w14:paraId="31E22D0F" w14:textId="22777522"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4CE75A3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42</w:t>
            </w:r>
          </w:p>
        </w:tc>
        <w:tc>
          <w:tcPr>
            <w:tcW w:w="458" w:type="pct"/>
          </w:tcPr>
          <w:p w14:paraId="627D9C11" w14:textId="5BD56600"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07D92414" w14:textId="24B7073C"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9" w:type="pct"/>
          </w:tcPr>
          <w:p w14:paraId="3049B5F5"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9</w:t>
            </w:r>
          </w:p>
        </w:tc>
      </w:tr>
    </w:tbl>
    <w:p w14:paraId="37A1368C" w14:textId="77777777" w:rsidR="00B607BD" w:rsidRPr="00A06F1E" w:rsidRDefault="00B607BD" w:rsidP="00B607BD">
      <w:pPr>
        <w:spacing w:line="240" w:lineRule="auto"/>
        <w:rPr>
          <w:rFonts w:ascii="Franklin Gothic Book" w:hAnsi="Franklin Gothic Book"/>
          <w:sz w:val="20"/>
          <w:szCs w:val="20"/>
        </w:rPr>
      </w:pPr>
    </w:p>
    <w:p w14:paraId="75898F28" w14:textId="568609AD" w:rsidR="00B607BD" w:rsidRPr="00A06F1E" w:rsidRDefault="00B607BD" w:rsidP="00B7722D">
      <w:pPr>
        <w:pStyle w:val="TabletitleSectionE"/>
      </w:pPr>
      <w:bookmarkStart w:id="276" w:name="_Toc170701963"/>
      <w:bookmarkStart w:id="277" w:name="_Toc171685800"/>
      <w:r w:rsidRPr="00A06F1E">
        <w:lastRenderedPageBreak/>
        <w:t>Table E8</w:t>
      </w:r>
      <w:r w:rsidR="003C549E">
        <w:t>b</w:t>
      </w:r>
      <w:r w:rsidR="007C4E08" w:rsidRPr="00A06F1E">
        <w:t xml:space="preserve">. </w:t>
      </w:r>
      <w:proofErr w:type="spellStart"/>
      <w:r w:rsidR="00652B48">
        <w:t>Petersham</w:t>
      </w:r>
      <w:proofErr w:type="spellEnd"/>
      <w:r w:rsidR="00652B48">
        <w:t xml:space="preserve"> Center</w:t>
      </w:r>
      <w:r w:rsidR="00F3532E" w:rsidRPr="00A06F1E">
        <w:t>:</w:t>
      </w:r>
      <w:r w:rsidRPr="00A06F1E">
        <w:t xml:space="preserve"> Next-Generation MCAS Mathematics Achievement by Grade, 2022-2023</w:t>
      </w:r>
      <w:bookmarkEnd w:id="276"/>
      <w:bookmarkEnd w:id="277"/>
    </w:p>
    <w:tbl>
      <w:tblPr>
        <w:tblStyle w:val="MSVTable1"/>
        <w:tblW w:w="5000" w:type="pct"/>
        <w:tblLook w:val="0420" w:firstRow="1" w:lastRow="0" w:firstColumn="0" w:lastColumn="0" w:noHBand="0" w:noVBand="1"/>
      </w:tblPr>
      <w:tblGrid>
        <w:gridCol w:w="1081"/>
        <w:gridCol w:w="1185"/>
        <w:gridCol w:w="1186"/>
        <w:gridCol w:w="1186"/>
        <w:gridCol w:w="1186"/>
        <w:gridCol w:w="1186"/>
        <w:gridCol w:w="1188"/>
        <w:gridCol w:w="1186"/>
        <w:gridCol w:w="1186"/>
        <w:gridCol w:w="1186"/>
        <w:gridCol w:w="1188"/>
      </w:tblGrid>
      <w:tr w:rsidR="00B607BD" w:rsidRPr="00A06F1E" w14:paraId="45AFF621"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3945EFDC" w14:textId="77777777" w:rsidR="00B607BD" w:rsidRPr="00A06F1E" w:rsidRDefault="00B607BD">
            <w:pPr>
              <w:pStyle w:val="TableColHeadingLeft"/>
              <w:spacing w:before="20" w:after="20"/>
              <w:jc w:val="center"/>
            </w:pPr>
            <w:r w:rsidRPr="00A06F1E">
              <w:t>Grade</w:t>
            </w:r>
          </w:p>
        </w:tc>
        <w:tc>
          <w:tcPr>
            <w:tcW w:w="458" w:type="pct"/>
            <w:vMerge w:val="restart"/>
            <w:vAlign w:val="center"/>
          </w:tcPr>
          <w:p w14:paraId="4B0FAE5A" w14:textId="5773FCD9" w:rsidR="00B607BD" w:rsidRPr="00A06F1E" w:rsidRDefault="00B607BD">
            <w:pPr>
              <w:pStyle w:val="TableColHeadingCenter"/>
              <w:spacing w:before="20" w:after="20"/>
            </w:pPr>
            <w:r w:rsidRPr="00A06F1E">
              <w:t xml:space="preserve"># </w:t>
            </w:r>
            <w:r w:rsidR="00A12E54" w:rsidRPr="00A06F1E">
              <w:t>i</w:t>
            </w:r>
            <w:r w:rsidRPr="00A06F1E">
              <w:t>ncluded (2023)</w:t>
            </w:r>
          </w:p>
        </w:tc>
        <w:tc>
          <w:tcPr>
            <w:tcW w:w="1374" w:type="pct"/>
            <w:gridSpan w:val="3"/>
            <w:vAlign w:val="bottom"/>
          </w:tcPr>
          <w:p w14:paraId="33A08DF6" w14:textId="17B7F3F7" w:rsidR="00B607BD" w:rsidRPr="00A06F1E" w:rsidRDefault="00A228CB">
            <w:pPr>
              <w:pStyle w:val="TableColHeadingCenter"/>
              <w:spacing w:before="20" w:after="20"/>
            </w:pPr>
            <w:r w:rsidRPr="00A06F1E">
              <w:t>Percentage</w:t>
            </w:r>
            <w:r w:rsidR="00B607BD" w:rsidRPr="00A06F1E">
              <w:t xml:space="preserve"> meeting or exceeding expectations</w:t>
            </w:r>
          </w:p>
        </w:tc>
        <w:tc>
          <w:tcPr>
            <w:tcW w:w="1375" w:type="pct"/>
            <w:gridSpan w:val="3"/>
            <w:vAlign w:val="center"/>
          </w:tcPr>
          <w:p w14:paraId="3172D2FC" w14:textId="07170A20" w:rsidR="00B607BD" w:rsidRPr="00A06F1E" w:rsidRDefault="00A228CB">
            <w:pPr>
              <w:pStyle w:val="TableColHeadingCenter"/>
              <w:spacing w:before="20" w:after="20"/>
            </w:pPr>
            <w:r w:rsidRPr="00A06F1E">
              <w:t>Percentage</w:t>
            </w:r>
            <w:r w:rsidR="00B607BD" w:rsidRPr="00A06F1E">
              <w:t xml:space="preserve"> partially meeting expectations</w:t>
            </w:r>
          </w:p>
        </w:tc>
        <w:tc>
          <w:tcPr>
            <w:tcW w:w="1375" w:type="pct"/>
            <w:gridSpan w:val="3"/>
            <w:vAlign w:val="center"/>
          </w:tcPr>
          <w:p w14:paraId="1D14E55E" w14:textId="19EC145E" w:rsidR="00B607BD" w:rsidRPr="00A06F1E" w:rsidRDefault="00A228CB">
            <w:pPr>
              <w:pStyle w:val="TableColHeadingCenter"/>
              <w:spacing w:before="20" w:after="20"/>
            </w:pPr>
            <w:r w:rsidRPr="00A06F1E">
              <w:t>Percentage</w:t>
            </w:r>
            <w:r w:rsidR="00B607BD" w:rsidRPr="00A06F1E">
              <w:t xml:space="preserve"> not meeting expectations</w:t>
            </w:r>
          </w:p>
        </w:tc>
      </w:tr>
      <w:tr w:rsidR="00B607BD" w:rsidRPr="00A06F1E" w14:paraId="35EAACD5"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0A82258F" w14:textId="77777777" w:rsidR="00B607BD" w:rsidRPr="00A06F1E" w:rsidRDefault="00B607BD">
            <w:pPr>
              <w:pStyle w:val="TableColHeadingCenter"/>
              <w:spacing w:before="20" w:after="20"/>
            </w:pPr>
          </w:p>
        </w:tc>
        <w:tc>
          <w:tcPr>
            <w:tcW w:w="458" w:type="pct"/>
            <w:vMerge/>
            <w:vAlign w:val="bottom"/>
          </w:tcPr>
          <w:p w14:paraId="3DE7A30F" w14:textId="77777777" w:rsidR="00B607BD" w:rsidRPr="00A06F1E" w:rsidRDefault="00B607BD">
            <w:pPr>
              <w:pStyle w:val="TableColHeadingCenter"/>
              <w:spacing w:before="20" w:after="20"/>
            </w:pPr>
          </w:p>
        </w:tc>
        <w:tc>
          <w:tcPr>
            <w:tcW w:w="458" w:type="pct"/>
            <w:vAlign w:val="center"/>
          </w:tcPr>
          <w:p w14:paraId="7A67548E" w14:textId="77777777" w:rsidR="00B607BD" w:rsidRPr="00A06F1E" w:rsidRDefault="00B607BD">
            <w:pPr>
              <w:pStyle w:val="TableColHeadingCenter"/>
              <w:spacing w:before="20" w:after="20"/>
            </w:pPr>
            <w:r w:rsidRPr="00A06F1E">
              <w:t>2022</w:t>
            </w:r>
          </w:p>
        </w:tc>
        <w:tc>
          <w:tcPr>
            <w:tcW w:w="458" w:type="pct"/>
            <w:vAlign w:val="center"/>
          </w:tcPr>
          <w:p w14:paraId="6923D12E" w14:textId="77777777" w:rsidR="00B607BD" w:rsidRPr="00A06F1E" w:rsidRDefault="00B607BD">
            <w:pPr>
              <w:pStyle w:val="TableColHeadingCenter"/>
              <w:spacing w:before="20" w:after="20"/>
            </w:pPr>
            <w:r w:rsidRPr="00A06F1E">
              <w:t>2023</w:t>
            </w:r>
          </w:p>
        </w:tc>
        <w:tc>
          <w:tcPr>
            <w:tcW w:w="458" w:type="pct"/>
            <w:vAlign w:val="center"/>
          </w:tcPr>
          <w:p w14:paraId="1E1CCCD2" w14:textId="77777777" w:rsidR="00B607BD" w:rsidRPr="00A06F1E" w:rsidRDefault="00B607BD">
            <w:pPr>
              <w:pStyle w:val="TableColHeadingCenter"/>
              <w:spacing w:before="20" w:after="20"/>
            </w:pPr>
            <w:r w:rsidRPr="00A06F1E">
              <w:t>State (2023)</w:t>
            </w:r>
          </w:p>
        </w:tc>
        <w:tc>
          <w:tcPr>
            <w:tcW w:w="458" w:type="pct"/>
            <w:vAlign w:val="center"/>
          </w:tcPr>
          <w:p w14:paraId="51EA5879" w14:textId="77777777" w:rsidR="00B607BD" w:rsidRPr="00A06F1E" w:rsidRDefault="00B607BD">
            <w:pPr>
              <w:pStyle w:val="TableColHeadingCenter"/>
              <w:spacing w:before="20" w:after="20"/>
            </w:pPr>
            <w:r w:rsidRPr="00A06F1E">
              <w:t>2022</w:t>
            </w:r>
          </w:p>
        </w:tc>
        <w:tc>
          <w:tcPr>
            <w:tcW w:w="459" w:type="pct"/>
            <w:vAlign w:val="center"/>
          </w:tcPr>
          <w:p w14:paraId="2650FF0A" w14:textId="77777777" w:rsidR="00B607BD" w:rsidRPr="00A06F1E" w:rsidRDefault="00B607BD">
            <w:pPr>
              <w:pStyle w:val="TableColHeadingCenter"/>
              <w:spacing w:before="20" w:after="20"/>
            </w:pPr>
            <w:r w:rsidRPr="00A06F1E">
              <w:t>2023</w:t>
            </w:r>
          </w:p>
        </w:tc>
        <w:tc>
          <w:tcPr>
            <w:tcW w:w="458" w:type="pct"/>
            <w:vAlign w:val="center"/>
          </w:tcPr>
          <w:p w14:paraId="0C54D763" w14:textId="77777777" w:rsidR="00B607BD" w:rsidRPr="00A06F1E" w:rsidRDefault="00B607BD">
            <w:pPr>
              <w:pStyle w:val="TableColHeadingCenter"/>
              <w:spacing w:before="20" w:after="20"/>
            </w:pPr>
            <w:r w:rsidRPr="00A06F1E">
              <w:t>State (2023)</w:t>
            </w:r>
          </w:p>
        </w:tc>
        <w:tc>
          <w:tcPr>
            <w:tcW w:w="458" w:type="pct"/>
            <w:vAlign w:val="center"/>
          </w:tcPr>
          <w:p w14:paraId="2DD79FA6" w14:textId="77777777" w:rsidR="00B607BD" w:rsidRPr="00A06F1E" w:rsidRDefault="00B607BD">
            <w:pPr>
              <w:pStyle w:val="TableColHeadingCenter"/>
              <w:spacing w:before="20" w:after="20"/>
            </w:pPr>
            <w:r w:rsidRPr="00A06F1E">
              <w:t>2022</w:t>
            </w:r>
          </w:p>
        </w:tc>
        <w:tc>
          <w:tcPr>
            <w:tcW w:w="458" w:type="pct"/>
            <w:vAlign w:val="center"/>
          </w:tcPr>
          <w:p w14:paraId="44145D00" w14:textId="77777777" w:rsidR="00B607BD" w:rsidRPr="00A06F1E" w:rsidRDefault="00B607BD">
            <w:pPr>
              <w:pStyle w:val="TableColHeadingCenter"/>
              <w:spacing w:before="20" w:after="20"/>
            </w:pPr>
            <w:r w:rsidRPr="00A06F1E">
              <w:t>2023</w:t>
            </w:r>
          </w:p>
        </w:tc>
        <w:tc>
          <w:tcPr>
            <w:tcW w:w="459" w:type="pct"/>
            <w:vAlign w:val="center"/>
          </w:tcPr>
          <w:p w14:paraId="5C409D98" w14:textId="77777777" w:rsidR="00B607BD" w:rsidRPr="00A06F1E" w:rsidRDefault="00B607BD">
            <w:pPr>
              <w:pStyle w:val="TableColHeadingCenter"/>
              <w:spacing w:before="20" w:after="20"/>
            </w:pPr>
            <w:r w:rsidRPr="00A06F1E">
              <w:t>State (2023)</w:t>
            </w:r>
          </w:p>
        </w:tc>
      </w:tr>
      <w:tr w:rsidR="00B607BD" w:rsidRPr="00A06F1E" w14:paraId="36EB02B6"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06F52E57"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3</w:t>
            </w:r>
          </w:p>
        </w:tc>
        <w:tc>
          <w:tcPr>
            <w:tcW w:w="458" w:type="pct"/>
            <w:vAlign w:val="center"/>
          </w:tcPr>
          <w:p w14:paraId="06FF739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20</w:t>
            </w:r>
          </w:p>
        </w:tc>
        <w:tc>
          <w:tcPr>
            <w:tcW w:w="458" w:type="pct"/>
            <w:vAlign w:val="center"/>
          </w:tcPr>
          <w:p w14:paraId="1102DD6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9</w:t>
            </w:r>
          </w:p>
        </w:tc>
        <w:tc>
          <w:tcPr>
            <w:tcW w:w="458" w:type="pct"/>
            <w:vAlign w:val="center"/>
          </w:tcPr>
          <w:p w14:paraId="35F44E9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50</w:t>
            </w:r>
          </w:p>
        </w:tc>
        <w:tc>
          <w:tcPr>
            <w:tcW w:w="458" w:type="pct"/>
            <w:vAlign w:val="center"/>
          </w:tcPr>
          <w:p w14:paraId="7878146D"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41</w:t>
            </w:r>
          </w:p>
        </w:tc>
        <w:tc>
          <w:tcPr>
            <w:tcW w:w="458" w:type="pct"/>
            <w:vAlign w:val="center"/>
          </w:tcPr>
          <w:p w14:paraId="31B4996D"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61</w:t>
            </w:r>
          </w:p>
        </w:tc>
        <w:tc>
          <w:tcPr>
            <w:tcW w:w="459" w:type="pct"/>
            <w:vAlign w:val="center"/>
          </w:tcPr>
          <w:p w14:paraId="786EBFF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30</w:t>
            </w:r>
          </w:p>
        </w:tc>
        <w:tc>
          <w:tcPr>
            <w:tcW w:w="458" w:type="pct"/>
            <w:vAlign w:val="center"/>
          </w:tcPr>
          <w:p w14:paraId="4BC6561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39</w:t>
            </w:r>
          </w:p>
        </w:tc>
        <w:tc>
          <w:tcPr>
            <w:tcW w:w="458" w:type="pct"/>
            <w:vAlign w:val="center"/>
          </w:tcPr>
          <w:p w14:paraId="12E2A78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30</w:t>
            </w:r>
          </w:p>
        </w:tc>
        <w:tc>
          <w:tcPr>
            <w:tcW w:w="458" w:type="pct"/>
            <w:vAlign w:val="center"/>
          </w:tcPr>
          <w:p w14:paraId="1C41855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20</w:t>
            </w:r>
          </w:p>
        </w:tc>
        <w:tc>
          <w:tcPr>
            <w:tcW w:w="459" w:type="pct"/>
            <w:vAlign w:val="bottom"/>
          </w:tcPr>
          <w:p w14:paraId="18A617C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20</w:t>
            </w:r>
          </w:p>
        </w:tc>
      </w:tr>
      <w:tr w:rsidR="00B607BD" w:rsidRPr="00A06F1E" w14:paraId="5184F260" w14:textId="77777777" w:rsidTr="006D2709">
        <w:tc>
          <w:tcPr>
            <w:tcW w:w="418" w:type="pct"/>
          </w:tcPr>
          <w:p w14:paraId="70D3DCA7"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4</w:t>
            </w:r>
          </w:p>
        </w:tc>
        <w:tc>
          <w:tcPr>
            <w:tcW w:w="458" w:type="pct"/>
            <w:vAlign w:val="center"/>
          </w:tcPr>
          <w:p w14:paraId="0AC4D90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26</w:t>
            </w:r>
          </w:p>
        </w:tc>
        <w:tc>
          <w:tcPr>
            <w:tcW w:w="458" w:type="pct"/>
            <w:vAlign w:val="center"/>
          </w:tcPr>
          <w:p w14:paraId="3CC6737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9</w:t>
            </w:r>
          </w:p>
        </w:tc>
        <w:tc>
          <w:tcPr>
            <w:tcW w:w="458" w:type="pct"/>
            <w:vAlign w:val="center"/>
          </w:tcPr>
          <w:p w14:paraId="2447EC6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23</w:t>
            </w:r>
          </w:p>
        </w:tc>
        <w:tc>
          <w:tcPr>
            <w:tcW w:w="458" w:type="pct"/>
            <w:vAlign w:val="center"/>
          </w:tcPr>
          <w:p w14:paraId="7645EFC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45</w:t>
            </w:r>
          </w:p>
        </w:tc>
        <w:tc>
          <w:tcPr>
            <w:tcW w:w="458" w:type="pct"/>
            <w:vAlign w:val="center"/>
          </w:tcPr>
          <w:p w14:paraId="740CB1DB"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82</w:t>
            </w:r>
          </w:p>
        </w:tc>
        <w:tc>
          <w:tcPr>
            <w:tcW w:w="459" w:type="pct"/>
            <w:vAlign w:val="center"/>
          </w:tcPr>
          <w:p w14:paraId="2610157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65</w:t>
            </w:r>
          </w:p>
        </w:tc>
        <w:tc>
          <w:tcPr>
            <w:tcW w:w="458" w:type="pct"/>
            <w:vAlign w:val="center"/>
          </w:tcPr>
          <w:p w14:paraId="5214809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37</w:t>
            </w:r>
          </w:p>
        </w:tc>
        <w:tc>
          <w:tcPr>
            <w:tcW w:w="458" w:type="pct"/>
            <w:vAlign w:val="center"/>
          </w:tcPr>
          <w:p w14:paraId="7797406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9</w:t>
            </w:r>
          </w:p>
        </w:tc>
        <w:tc>
          <w:tcPr>
            <w:tcW w:w="458" w:type="pct"/>
            <w:vAlign w:val="center"/>
          </w:tcPr>
          <w:p w14:paraId="008EBE2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12</w:t>
            </w:r>
          </w:p>
        </w:tc>
        <w:tc>
          <w:tcPr>
            <w:tcW w:w="459" w:type="pct"/>
            <w:vAlign w:val="bottom"/>
          </w:tcPr>
          <w:p w14:paraId="7F21DF6A"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18</w:t>
            </w:r>
          </w:p>
        </w:tc>
      </w:tr>
      <w:tr w:rsidR="00B607BD" w:rsidRPr="00A06F1E" w14:paraId="254389CB"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74531E78"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5</w:t>
            </w:r>
          </w:p>
        </w:tc>
        <w:tc>
          <w:tcPr>
            <w:tcW w:w="458" w:type="pct"/>
            <w:vAlign w:val="center"/>
          </w:tcPr>
          <w:p w14:paraId="33C4DA61"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12</w:t>
            </w:r>
          </w:p>
        </w:tc>
        <w:tc>
          <w:tcPr>
            <w:tcW w:w="458" w:type="pct"/>
            <w:vAlign w:val="center"/>
          </w:tcPr>
          <w:p w14:paraId="21FA8D9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11</w:t>
            </w:r>
          </w:p>
        </w:tc>
        <w:tc>
          <w:tcPr>
            <w:tcW w:w="458" w:type="pct"/>
            <w:vAlign w:val="center"/>
          </w:tcPr>
          <w:p w14:paraId="24167ED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17</w:t>
            </w:r>
          </w:p>
        </w:tc>
        <w:tc>
          <w:tcPr>
            <w:tcW w:w="458" w:type="pct"/>
            <w:vAlign w:val="center"/>
          </w:tcPr>
          <w:p w14:paraId="0E0E008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41</w:t>
            </w:r>
          </w:p>
        </w:tc>
        <w:tc>
          <w:tcPr>
            <w:tcW w:w="458" w:type="pct"/>
            <w:vAlign w:val="center"/>
          </w:tcPr>
          <w:p w14:paraId="4A3670B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67</w:t>
            </w:r>
          </w:p>
        </w:tc>
        <w:tc>
          <w:tcPr>
            <w:tcW w:w="459" w:type="pct"/>
            <w:vAlign w:val="center"/>
          </w:tcPr>
          <w:p w14:paraId="258EEF21"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75</w:t>
            </w:r>
          </w:p>
        </w:tc>
        <w:tc>
          <w:tcPr>
            <w:tcW w:w="458" w:type="pct"/>
            <w:vAlign w:val="center"/>
          </w:tcPr>
          <w:p w14:paraId="777885E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46</w:t>
            </w:r>
          </w:p>
        </w:tc>
        <w:tc>
          <w:tcPr>
            <w:tcW w:w="458" w:type="pct"/>
            <w:vAlign w:val="center"/>
          </w:tcPr>
          <w:p w14:paraId="65B4C7C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22</w:t>
            </w:r>
          </w:p>
        </w:tc>
        <w:tc>
          <w:tcPr>
            <w:tcW w:w="458" w:type="pct"/>
            <w:vAlign w:val="center"/>
          </w:tcPr>
          <w:p w14:paraId="636007C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8</w:t>
            </w:r>
          </w:p>
        </w:tc>
        <w:tc>
          <w:tcPr>
            <w:tcW w:w="459" w:type="pct"/>
            <w:vAlign w:val="bottom"/>
          </w:tcPr>
          <w:p w14:paraId="7618821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13</w:t>
            </w:r>
          </w:p>
        </w:tc>
      </w:tr>
      <w:tr w:rsidR="00B607BD" w:rsidRPr="00A06F1E" w14:paraId="1D0B96E5" w14:textId="77777777" w:rsidTr="006D2709">
        <w:tc>
          <w:tcPr>
            <w:tcW w:w="418" w:type="pct"/>
          </w:tcPr>
          <w:p w14:paraId="2B09F7B4"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6</w:t>
            </w:r>
          </w:p>
        </w:tc>
        <w:tc>
          <w:tcPr>
            <w:tcW w:w="458" w:type="pct"/>
            <w:vAlign w:val="center"/>
          </w:tcPr>
          <w:p w14:paraId="38708EC1"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16</w:t>
            </w:r>
          </w:p>
        </w:tc>
        <w:tc>
          <w:tcPr>
            <w:tcW w:w="458" w:type="pct"/>
            <w:vAlign w:val="center"/>
          </w:tcPr>
          <w:p w14:paraId="51215E33"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40</w:t>
            </w:r>
          </w:p>
        </w:tc>
        <w:tc>
          <w:tcPr>
            <w:tcW w:w="458" w:type="pct"/>
            <w:vAlign w:val="center"/>
          </w:tcPr>
          <w:p w14:paraId="0827AD7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31</w:t>
            </w:r>
          </w:p>
        </w:tc>
        <w:tc>
          <w:tcPr>
            <w:tcW w:w="458" w:type="pct"/>
            <w:vAlign w:val="center"/>
          </w:tcPr>
          <w:p w14:paraId="75354C2B"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41</w:t>
            </w:r>
          </w:p>
        </w:tc>
        <w:tc>
          <w:tcPr>
            <w:tcW w:w="458" w:type="pct"/>
            <w:vAlign w:val="center"/>
          </w:tcPr>
          <w:p w14:paraId="18B80D7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60</w:t>
            </w:r>
          </w:p>
        </w:tc>
        <w:tc>
          <w:tcPr>
            <w:tcW w:w="459" w:type="pct"/>
            <w:vAlign w:val="center"/>
          </w:tcPr>
          <w:p w14:paraId="67E8CA1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56</w:t>
            </w:r>
          </w:p>
        </w:tc>
        <w:tc>
          <w:tcPr>
            <w:tcW w:w="458" w:type="pct"/>
            <w:vAlign w:val="center"/>
          </w:tcPr>
          <w:p w14:paraId="689EDCD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42</w:t>
            </w:r>
          </w:p>
        </w:tc>
        <w:tc>
          <w:tcPr>
            <w:tcW w:w="458" w:type="pct"/>
            <w:vAlign w:val="center"/>
          </w:tcPr>
          <w:p w14:paraId="318A9B7D"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0</w:t>
            </w:r>
          </w:p>
        </w:tc>
        <w:tc>
          <w:tcPr>
            <w:tcW w:w="458" w:type="pct"/>
            <w:vAlign w:val="center"/>
          </w:tcPr>
          <w:p w14:paraId="2D7BE88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13</w:t>
            </w:r>
          </w:p>
        </w:tc>
        <w:tc>
          <w:tcPr>
            <w:tcW w:w="459" w:type="pct"/>
            <w:vAlign w:val="center"/>
          </w:tcPr>
          <w:p w14:paraId="0594158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17</w:t>
            </w:r>
          </w:p>
        </w:tc>
      </w:tr>
      <w:tr w:rsidR="00B607BD" w:rsidRPr="00A06F1E" w14:paraId="2CEC9BE6"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60A88C68"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7</w:t>
            </w:r>
          </w:p>
        </w:tc>
        <w:tc>
          <w:tcPr>
            <w:tcW w:w="458" w:type="pct"/>
            <w:vAlign w:val="center"/>
          </w:tcPr>
          <w:p w14:paraId="3D1F5AFB" w14:textId="10D60A1B"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76F229EB" w14:textId="7E4E6ADF"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433F1B4D" w14:textId="2166EEA4"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6707276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38</w:t>
            </w:r>
          </w:p>
        </w:tc>
        <w:tc>
          <w:tcPr>
            <w:tcW w:w="458" w:type="pct"/>
            <w:vAlign w:val="center"/>
          </w:tcPr>
          <w:p w14:paraId="18803AE5" w14:textId="04DDC659"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center"/>
          </w:tcPr>
          <w:p w14:paraId="0A6022CF" w14:textId="4B0F03B9"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25241AD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vAlign w:val="center"/>
          </w:tcPr>
          <w:p w14:paraId="75269A6C" w14:textId="1A0E9D50"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64FF05C9" w14:textId="3DB5B604"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bottom"/>
          </w:tcPr>
          <w:p w14:paraId="268DE73B"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22</w:t>
            </w:r>
          </w:p>
        </w:tc>
      </w:tr>
      <w:tr w:rsidR="00B607BD" w:rsidRPr="00A06F1E" w14:paraId="7EF59FC1" w14:textId="77777777" w:rsidTr="006D2709">
        <w:tc>
          <w:tcPr>
            <w:tcW w:w="418" w:type="pct"/>
          </w:tcPr>
          <w:p w14:paraId="0C259BC0"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8</w:t>
            </w:r>
          </w:p>
        </w:tc>
        <w:tc>
          <w:tcPr>
            <w:tcW w:w="458" w:type="pct"/>
            <w:vAlign w:val="center"/>
          </w:tcPr>
          <w:p w14:paraId="19D4DC62" w14:textId="7F149AE1"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161767F5" w14:textId="5486AB5D"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1AFBD901" w14:textId="4D68F1EA"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4AC0BB4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38</w:t>
            </w:r>
          </w:p>
        </w:tc>
        <w:tc>
          <w:tcPr>
            <w:tcW w:w="458" w:type="pct"/>
            <w:vAlign w:val="center"/>
          </w:tcPr>
          <w:p w14:paraId="5EDD6A4F" w14:textId="4E1583C3"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center"/>
          </w:tcPr>
          <w:p w14:paraId="6F443888" w14:textId="2A6C9CF1"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27399F7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42</w:t>
            </w:r>
          </w:p>
        </w:tc>
        <w:tc>
          <w:tcPr>
            <w:tcW w:w="458" w:type="pct"/>
            <w:vAlign w:val="center"/>
          </w:tcPr>
          <w:p w14:paraId="68A734A0" w14:textId="23CD9FDF"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719AD841" w14:textId="227AEB15"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bottom"/>
          </w:tcPr>
          <w:p w14:paraId="5C6738A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20</w:t>
            </w:r>
          </w:p>
        </w:tc>
      </w:tr>
      <w:tr w:rsidR="00B607BD" w:rsidRPr="00A06F1E" w14:paraId="6A9CA855"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2FFEB2B0" w14:textId="77777777" w:rsidR="00B607BD" w:rsidRPr="00A06F1E" w:rsidRDefault="00B607BD">
            <w:pPr>
              <w:pStyle w:val="TableText"/>
              <w:spacing w:before="20" w:after="20"/>
              <w:jc w:val="center"/>
              <w:rPr>
                <w:rFonts w:ascii="Franklin Gothic Book" w:hAnsi="Franklin Gothic Book"/>
                <w:spacing w:val="-4"/>
              </w:rPr>
            </w:pPr>
            <w:r w:rsidRPr="00A06F1E">
              <w:rPr>
                <w:rFonts w:ascii="Franklin Gothic Book" w:hAnsi="Franklin Gothic Book"/>
                <w:spacing w:val="-4"/>
              </w:rPr>
              <w:t>3-8</w:t>
            </w:r>
          </w:p>
        </w:tc>
        <w:tc>
          <w:tcPr>
            <w:tcW w:w="458" w:type="pct"/>
            <w:vAlign w:val="center"/>
          </w:tcPr>
          <w:p w14:paraId="5919E24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74</w:t>
            </w:r>
          </w:p>
        </w:tc>
        <w:tc>
          <w:tcPr>
            <w:tcW w:w="458" w:type="pct"/>
            <w:vAlign w:val="center"/>
          </w:tcPr>
          <w:p w14:paraId="510A9D8D"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16</w:t>
            </w:r>
          </w:p>
        </w:tc>
        <w:tc>
          <w:tcPr>
            <w:tcW w:w="458" w:type="pct"/>
            <w:vAlign w:val="center"/>
          </w:tcPr>
          <w:p w14:paraId="1F4B094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31</w:t>
            </w:r>
          </w:p>
        </w:tc>
        <w:tc>
          <w:tcPr>
            <w:tcW w:w="458" w:type="pct"/>
            <w:vAlign w:val="center"/>
          </w:tcPr>
          <w:p w14:paraId="1CB0E26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41</w:t>
            </w:r>
          </w:p>
        </w:tc>
        <w:tc>
          <w:tcPr>
            <w:tcW w:w="458" w:type="pct"/>
            <w:vAlign w:val="center"/>
          </w:tcPr>
          <w:p w14:paraId="48EB81C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66</w:t>
            </w:r>
          </w:p>
        </w:tc>
        <w:tc>
          <w:tcPr>
            <w:tcW w:w="459" w:type="pct"/>
            <w:vAlign w:val="center"/>
          </w:tcPr>
          <w:p w14:paraId="0DDEBE1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55</w:t>
            </w:r>
          </w:p>
        </w:tc>
        <w:tc>
          <w:tcPr>
            <w:tcW w:w="458" w:type="pct"/>
            <w:vAlign w:val="center"/>
          </w:tcPr>
          <w:p w14:paraId="352FF39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41</w:t>
            </w:r>
          </w:p>
        </w:tc>
        <w:tc>
          <w:tcPr>
            <w:tcW w:w="458" w:type="pct"/>
            <w:vAlign w:val="center"/>
          </w:tcPr>
          <w:p w14:paraId="0BA0C34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18</w:t>
            </w:r>
          </w:p>
        </w:tc>
        <w:tc>
          <w:tcPr>
            <w:tcW w:w="458" w:type="pct"/>
            <w:vAlign w:val="center"/>
          </w:tcPr>
          <w:p w14:paraId="316FF89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14</w:t>
            </w:r>
          </w:p>
        </w:tc>
        <w:tc>
          <w:tcPr>
            <w:tcW w:w="459" w:type="pct"/>
            <w:vAlign w:val="bottom"/>
          </w:tcPr>
          <w:p w14:paraId="2FA1BB5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18</w:t>
            </w:r>
          </w:p>
        </w:tc>
      </w:tr>
      <w:tr w:rsidR="00B607BD" w:rsidRPr="00A06F1E" w14:paraId="3FAAF006" w14:textId="77777777" w:rsidTr="006D2709">
        <w:tc>
          <w:tcPr>
            <w:tcW w:w="418" w:type="pct"/>
          </w:tcPr>
          <w:p w14:paraId="16F2B9C5"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10</w:t>
            </w:r>
          </w:p>
        </w:tc>
        <w:tc>
          <w:tcPr>
            <w:tcW w:w="458" w:type="pct"/>
            <w:vAlign w:val="center"/>
          </w:tcPr>
          <w:p w14:paraId="78CD7BD3" w14:textId="60993987"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7E1455DE" w14:textId="7140D305"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6D2F2E8A" w14:textId="5EEC64FE"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46195EF1"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50</w:t>
            </w:r>
          </w:p>
        </w:tc>
        <w:tc>
          <w:tcPr>
            <w:tcW w:w="458" w:type="pct"/>
            <w:vAlign w:val="center"/>
          </w:tcPr>
          <w:p w14:paraId="565C124D" w14:textId="2DEB5FFB"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center"/>
          </w:tcPr>
          <w:p w14:paraId="2536EA24" w14:textId="39CDF5C1"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46C13C92"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42</w:t>
            </w:r>
          </w:p>
        </w:tc>
        <w:tc>
          <w:tcPr>
            <w:tcW w:w="458" w:type="pct"/>
            <w:vAlign w:val="center"/>
          </w:tcPr>
          <w:p w14:paraId="7E3D908A" w14:textId="2D59B139"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1ADF06BB" w14:textId="64F0B5D1"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bottom"/>
          </w:tcPr>
          <w:p w14:paraId="7911EC8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9</w:t>
            </w:r>
          </w:p>
        </w:tc>
      </w:tr>
    </w:tbl>
    <w:p w14:paraId="3826D62E" w14:textId="6DA02B1D" w:rsidR="00B607BD" w:rsidRPr="00A06F1E" w:rsidRDefault="00B607BD" w:rsidP="00B7722D">
      <w:pPr>
        <w:pStyle w:val="TabletitleSectionE"/>
      </w:pPr>
      <w:bookmarkStart w:id="278" w:name="_Toc170701964"/>
      <w:bookmarkStart w:id="279" w:name="_Toc171685801"/>
      <w:r w:rsidRPr="00A06F1E">
        <w:t>Table E8</w:t>
      </w:r>
      <w:r w:rsidR="003C549E">
        <w:t>c</w:t>
      </w:r>
      <w:r w:rsidR="00A228CB" w:rsidRPr="00A06F1E">
        <w:t>. Mahar Regional</w:t>
      </w:r>
      <w:r w:rsidR="00F3532E" w:rsidRPr="00A06F1E">
        <w:t>:</w:t>
      </w:r>
      <w:r w:rsidRPr="00A06F1E">
        <w:t xml:space="preserve"> Next-Generation MCAS Mathematics Achievement by Grade, 2022-2023</w:t>
      </w:r>
      <w:bookmarkEnd w:id="278"/>
      <w:bookmarkEnd w:id="279"/>
    </w:p>
    <w:tbl>
      <w:tblPr>
        <w:tblStyle w:val="MSVTable1"/>
        <w:tblW w:w="5000" w:type="pct"/>
        <w:tblLook w:val="0420" w:firstRow="1" w:lastRow="0" w:firstColumn="0" w:lastColumn="0" w:noHBand="0" w:noVBand="1"/>
      </w:tblPr>
      <w:tblGrid>
        <w:gridCol w:w="1081"/>
        <w:gridCol w:w="1185"/>
        <w:gridCol w:w="1186"/>
        <w:gridCol w:w="1186"/>
        <w:gridCol w:w="1186"/>
        <w:gridCol w:w="1186"/>
        <w:gridCol w:w="1188"/>
        <w:gridCol w:w="1186"/>
        <w:gridCol w:w="1186"/>
        <w:gridCol w:w="1186"/>
        <w:gridCol w:w="1188"/>
      </w:tblGrid>
      <w:tr w:rsidR="00B607BD" w:rsidRPr="00A06F1E" w14:paraId="6B07551E"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44F3834B" w14:textId="77777777" w:rsidR="00B607BD" w:rsidRPr="00A06F1E" w:rsidRDefault="00B607BD">
            <w:pPr>
              <w:pStyle w:val="TableColHeadingLeft"/>
              <w:spacing w:before="20" w:after="20"/>
              <w:jc w:val="center"/>
            </w:pPr>
            <w:r w:rsidRPr="00A06F1E">
              <w:t>Grade</w:t>
            </w:r>
          </w:p>
        </w:tc>
        <w:tc>
          <w:tcPr>
            <w:tcW w:w="458" w:type="pct"/>
            <w:vMerge w:val="restart"/>
            <w:vAlign w:val="center"/>
          </w:tcPr>
          <w:p w14:paraId="4D00B341" w14:textId="7BF7EEE4" w:rsidR="00B607BD" w:rsidRPr="00A06F1E" w:rsidRDefault="00B607BD">
            <w:pPr>
              <w:pStyle w:val="TableColHeadingCenter"/>
              <w:spacing w:before="20" w:after="20"/>
            </w:pPr>
            <w:r w:rsidRPr="00A06F1E">
              <w:t xml:space="preserve"># </w:t>
            </w:r>
            <w:r w:rsidR="00320502" w:rsidRPr="00A06F1E">
              <w:t>i</w:t>
            </w:r>
            <w:r w:rsidRPr="00A06F1E">
              <w:t>ncluded (2023)</w:t>
            </w:r>
          </w:p>
        </w:tc>
        <w:tc>
          <w:tcPr>
            <w:tcW w:w="1374" w:type="pct"/>
            <w:gridSpan w:val="3"/>
            <w:vAlign w:val="bottom"/>
          </w:tcPr>
          <w:p w14:paraId="2EE9AABE" w14:textId="71949587" w:rsidR="00B607BD" w:rsidRPr="00A06F1E" w:rsidRDefault="00A228CB">
            <w:pPr>
              <w:pStyle w:val="TableColHeadingCenter"/>
              <w:spacing w:before="20" w:after="20"/>
            </w:pPr>
            <w:r w:rsidRPr="00A06F1E">
              <w:t>Percentage</w:t>
            </w:r>
            <w:r w:rsidR="00B607BD" w:rsidRPr="00A06F1E">
              <w:t xml:space="preserve"> meeting or exceeding expectations</w:t>
            </w:r>
          </w:p>
        </w:tc>
        <w:tc>
          <w:tcPr>
            <w:tcW w:w="1375" w:type="pct"/>
            <w:gridSpan w:val="3"/>
            <w:vAlign w:val="center"/>
          </w:tcPr>
          <w:p w14:paraId="5548049A" w14:textId="6C394577" w:rsidR="00B607BD" w:rsidRPr="00A06F1E" w:rsidRDefault="00A228CB">
            <w:pPr>
              <w:pStyle w:val="TableColHeadingCenter"/>
              <w:spacing w:before="20" w:after="20"/>
            </w:pPr>
            <w:r w:rsidRPr="00A06F1E">
              <w:t>Percentage</w:t>
            </w:r>
            <w:r w:rsidR="00B607BD" w:rsidRPr="00A06F1E">
              <w:t xml:space="preserve"> partially meeting expectations</w:t>
            </w:r>
          </w:p>
        </w:tc>
        <w:tc>
          <w:tcPr>
            <w:tcW w:w="1375" w:type="pct"/>
            <w:gridSpan w:val="3"/>
            <w:vAlign w:val="center"/>
          </w:tcPr>
          <w:p w14:paraId="46E57005" w14:textId="6C2AD5F2" w:rsidR="00B607BD" w:rsidRPr="00A06F1E" w:rsidRDefault="00A228CB">
            <w:pPr>
              <w:pStyle w:val="TableColHeadingCenter"/>
              <w:spacing w:before="20" w:after="20"/>
            </w:pPr>
            <w:r w:rsidRPr="00A06F1E">
              <w:t>Percentage</w:t>
            </w:r>
            <w:r w:rsidR="00B607BD" w:rsidRPr="00A06F1E">
              <w:t xml:space="preserve"> not meeting expectations</w:t>
            </w:r>
          </w:p>
        </w:tc>
      </w:tr>
      <w:tr w:rsidR="00B607BD" w:rsidRPr="00A06F1E" w14:paraId="51DAC195"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13594FEB" w14:textId="77777777" w:rsidR="00B607BD" w:rsidRPr="00A06F1E" w:rsidRDefault="00B607BD">
            <w:pPr>
              <w:pStyle w:val="TableColHeadingCenter"/>
              <w:spacing w:before="20" w:after="20"/>
            </w:pPr>
          </w:p>
        </w:tc>
        <w:tc>
          <w:tcPr>
            <w:tcW w:w="458" w:type="pct"/>
            <w:vMerge/>
            <w:vAlign w:val="bottom"/>
          </w:tcPr>
          <w:p w14:paraId="645BB320" w14:textId="77777777" w:rsidR="00B607BD" w:rsidRPr="00A06F1E" w:rsidRDefault="00B607BD">
            <w:pPr>
              <w:pStyle w:val="TableColHeadingCenter"/>
              <w:spacing w:before="20" w:after="20"/>
            </w:pPr>
          </w:p>
        </w:tc>
        <w:tc>
          <w:tcPr>
            <w:tcW w:w="458" w:type="pct"/>
            <w:vAlign w:val="center"/>
          </w:tcPr>
          <w:p w14:paraId="2CF3BAC7" w14:textId="77777777" w:rsidR="00B607BD" w:rsidRPr="00A06F1E" w:rsidRDefault="00B607BD">
            <w:pPr>
              <w:pStyle w:val="TableColHeadingCenter"/>
              <w:spacing w:before="20" w:after="20"/>
            </w:pPr>
            <w:r w:rsidRPr="00A06F1E">
              <w:t>2022</w:t>
            </w:r>
          </w:p>
        </w:tc>
        <w:tc>
          <w:tcPr>
            <w:tcW w:w="458" w:type="pct"/>
            <w:vAlign w:val="center"/>
          </w:tcPr>
          <w:p w14:paraId="1D512A34" w14:textId="77777777" w:rsidR="00B607BD" w:rsidRPr="00A06F1E" w:rsidRDefault="00B607BD">
            <w:pPr>
              <w:pStyle w:val="TableColHeadingCenter"/>
              <w:spacing w:before="20" w:after="20"/>
            </w:pPr>
            <w:r w:rsidRPr="00A06F1E">
              <w:t>2023</w:t>
            </w:r>
          </w:p>
        </w:tc>
        <w:tc>
          <w:tcPr>
            <w:tcW w:w="458" w:type="pct"/>
            <w:vAlign w:val="center"/>
          </w:tcPr>
          <w:p w14:paraId="4DCCD26C" w14:textId="77777777" w:rsidR="00B607BD" w:rsidRPr="00A06F1E" w:rsidRDefault="00B607BD">
            <w:pPr>
              <w:pStyle w:val="TableColHeadingCenter"/>
              <w:spacing w:before="20" w:after="20"/>
            </w:pPr>
            <w:r w:rsidRPr="00A06F1E">
              <w:t>State (2023)</w:t>
            </w:r>
          </w:p>
        </w:tc>
        <w:tc>
          <w:tcPr>
            <w:tcW w:w="458" w:type="pct"/>
            <w:vAlign w:val="center"/>
          </w:tcPr>
          <w:p w14:paraId="45B168A7" w14:textId="77777777" w:rsidR="00B607BD" w:rsidRPr="00A06F1E" w:rsidRDefault="00B607BD">
            <w:pPr>
              <w:pStyle w:val="TableColHeadingCenter"/>
              <w:spacing w:before="20" w:after="20"/>
            </w:pPr>
            <w:r w:rsidRPr="00A06F1E">
              <w:t>2022</w:t>
            </w:r>
          </w:p>
        </w:tc>
        <w:tc>
          <w:tcPr>
            <w:tcW w:w="459" w:type="pct"/>
            <w:vAlign w:val="center"/>
          </w:tcPr>
          <w:p w14:paraId="4208AC54" w14:textId="77777777" w:rsidR="00B607BD" w:rsidRPr="00A06F1E" w:rsidRDefault="00B607BD">
            <w:pPr>
              <w:pStyle w:val="TableColHeadingCenter"/>
              <w:spacing w:before="20" w:after="20"/>
            </w:pPr>
            <w:r w:rsidRPr="00A06F1E">
              <w:t>2023</w:t>
            </w:r>
          </w:p>
        </w:tc>
        <w:tc>
          <w:tcPr>
            <w:tcW w:w="458" w:type="pct"/>
            <w:vAlign w:val="center"/>
          </w:tcPr>
          <w:p w14:paraId="61C7EE4D" w14:textId="77777777" w:rsidR="00B607BD" w:rsidRPr="00A06F1E" w:rsidRDefault="00B607BD">
            <w:pPr>
              <w:pStyle w:val="TableColHeadingCenter"/>
              <w:spacing w:before="20" w:after="20"/>
            </w:pPr>
            <w:r w:rsidRPr="00A06F1E">
              <w:t>State (2023)</w:t>
            </w:r>
          </w:p>
        </w:tc>
        <w:tc>
          <w:tcPr>
            <w:tcW w:w="458" w:type="pct"/>
            <w:vAlign w:val="center"/>
          </w:tcPr>
          <w:p w14:paraId="4E0DED5E" w14:textId="77777777" w:rsidR="00B607BD" w:rsidRPr="00A06F1E" w:rsidRDefault="00B607BD">
            <w:pPr>
              <w:pStyle w:val="TableColHeadingCenter"/>
              <w:spacing w:before="20" w:after="20"/>
            </w:pPr>
            <w:r w:rsidRPr="00A06F1E">
              <w:t>2022</w:t>
            </w:r>
          </w:p>
        </w:tc>
        <w:tc>
          <w:tcPr>
            <w:tcW w:w="458" w:type="pct"/>
            <w:vAlign w:val="center"/>
          </w:tcPr>
          <w:p w14:paraId="0758107C" w14:textId="77777777" w:rsidR="00B607BD" w:rsidRPr="00A06F1E" w:rsidRDefault="00B607BD">
            <w:pPr>
              <w:pStyle w:val="TableColHeadingCenter"/>
              <w:spacing w:before="20" w:after="20"/>
            </w:pPr>
            <w:r w:rsidRPr="00A06F1E">
              <w:t>2023</w:t>
            </w:r>
          </w:p>
        </w:tc>
        <w:tc>
          <w:tcPr>
            <w:tcW w:w="459" w:type="pct"/>
            <w:vAlign w:val="center"/>
          </w:tcPr>
          <w:p w14:paraId="587D16A6" w14:textId="77777777" w:rsidR="00B607BD" w:rsidRPr="00A06F1E" w:rsidRDefault="00B607BD">
            <w:pPr>
              <w:pStyle w:val="TableColHeadingCenter"/>
              <w:spacing w:before="20" w:after="20"/>
            </w:pPr>
            <w:r w:rsidRPr="00A06F1E">
              <w:t>State (2023)</w:t>
            </w:r>
          </w:p>
        </w:tc>
      </w:tr>
      <w:tr w:rsidR="00B607BD" w:rsidRPr="00A06F1E" w14:paraId="0DCA05DB"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504164D1"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3</w:t>
            </w:r>
          </w:p>
        </w:tc>
        <w:tc>
          <w:tcPr>
            <w:tcW w:w="458" w:type="pct"/>
            <w:vAlign w:val="center"/>
          </w:tcPr>
          <w:p w14:paraId="77C59125" w14:textId="425E9E86"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715E35DE" w14:textId="42F44D07"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4645888C" w14:textId="313BD0EC"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7494494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41</w:t>
            </w:r>
          </w:p>
        </w:tc>
        <w:tc>
          <w:tcPr>
            <w:tcW w:w="458" w:type="pct"/>
            <w:vAlign w:val="center"/>
          </w:tcPr>
          <w:p w14:paraId="77CC5AF8" w14:textId="5ECABD3B"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center"/>
          </w:tcPr>
          <w:p w14:paraId="75CADA32" w14:textId="22CA75EC"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0221A4FB"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39</w:t>
            </w:r>
          </w:p>
        </w:tc>
        <w:tc>
          <w:tcPr>
            <w:tcW w:w="458" w:type="pct"/>
            <w:vAlign w:val="center"/>
          </w:tcPr>
          <w:p w14:paraId="5FC2EB8D" w14:textId="4C1AB161"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53D36D2B" w14:textId="3713BD7E"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bottom"/>
          </w:tcPr>
          <w:p w14:paraId="710FFF82"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20</w:t>
            </w:r>
          </w:p>
        </w:tc>
      </w:tr>
      <w:tr w:rsidR="00B607BD" w:rsidRPr="00A06F1E" w14:paraId="3AB4EA82" w14:textId="77777777" w:rsidTr="006D2709">
        <w:tc>
          <w:tcPr>
            <w:tcW w:w="418" w:type="pct"/>
          </w:tcPr>
          <w:p w14:paraId="1A4F5E21"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4</w:t>
            </w:r>
          </w:p>
        </w:tc>
        <w:tc>
          <w:tcPr>
            <w:tcW w:w="458" w:type="pct"/>
            <w:vAlign w:val="center"/>
          </w:tcPr>
          <w:p w14:paraId="71DADAF9" w14:textId="0B5949CB"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740F6B21" w14:textId="7B709B01"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0E8DC7C1" w14:textId="29F7604A"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7034E6D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45</w:t>
            </w:r>
          </w:p>
        </w:tc>
        <w:tc>
          <w:tcPr>
            <w:tcW w:w="458" w:type="pct"/>
            <w:vAlign w:val="center"/>
          </w:tcPr>
          <w:p w14:paraId="3888BAFF" w14:textId="1235B227"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center"/>
          </w:tcPr>
          <w:p w14:paraId="707A89E6" w14:textId="31004FA5"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28091E6A"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37</w:t>
            </w:r>
          </w:p>
        </w:tc>
        <w:tc>
          <w:tcPr>
            <w:tcW w:w="458" w:type="pct"/>
            <w:vAlign w:val="center"/>
          </w:tcPr>
          <w:p w14:paraId="00E084AE" w14:textId="73FC3FBC"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404EB538" w14:textId="2F26047C"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bottom"/>
          </w:tcPr>
          <w:p w14:paraId="268AED0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18</w:t>
            </w:r>
          </w:p>
        </w:tc>
      </w:tr>
      <w:tr w:rsidR="00B607BD" w:rsidRPr="00A06F1E" w14:paraId="2B191FEB"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49954E73"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5</w:t>
            </w:r>
          </w:p>
        </w:tc>
        <w:tc>
          <w:tcPr>
            <w:tcW w:w="458" w:type="pct"/>
            <w:vAlign w:val="center"/>
          </w:tcPr>
          <w:p w14:paraId="7FEF67B7" w14:textId="6086E62E"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1E6AE4CC" w14:textId="32396A73"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05D82FC5" w14:textId="5FB57B4B"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51AD3AE2"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41</w:t>
            </w:r>
          </w:p>
        </w:tc>
        <w:tc>
          <w:tcPr>
            <w:tcW w:w="458" w:type="pct"/>
            <w:vAlign w:val="center"/>
          </w:tcPr>
          <w:p w14:paraId="7DB8D148" w14:textId="5047CAF4"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center"/>
          </w:tcPr>
          <w:p w14:paraId="3641A78D" w14:textId="6D41E341"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0FC59162"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46</w:t>
            </w:r>
          </w:p>
        </w:tc>
        <w:tc>
          <w:tcPr>
            <w:tcW w:w="458" w:type="pct"/>
            <w:vAlign w:val="center"/>
          </w:tcPr>
          <w:p w14:paraId="2967292E" w14:textId="13B8350B"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75A3959C" w14:textId="1CD7A75D"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bottom"/>
          </w:tcPr>
          <w:p w14:paraId="1FAF81F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13</w:t>
            </w:r>
          </w:p>
        </w:tc>
      </w:tr>
      <w:tr w:rsidR="00B607BD" w:rsidRPr="00A06F1E" w14:paraId="05F1CD48" w14:textId="77777777" w:rsidTr="006D2709">
        <w:tc>
          <w:tcPr>
            <w:tcW w:w="418" w:type="pct"/>
          </w:tcPr>
          <w:p w14:paraId="7DEA4FA3"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6</w:t>
            </w:r>
          </w:p>
        </w:tc>
        <w:tc>
          <w:tcPr>
            <w:tcW w:w="458" w:type="pct"/>
            <w:vAlign w:val="center"/>
          </w:tcPr>
          <w:p w14:paraId="20FE152E" w14:textId="183C4F63"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4E7F4E04" w14:textId="5CBE5012"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04E0D429" w14:textId="0C12AAD8"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4037E12A"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41</w:t>
            </w:r>
          </w:p>
        </w:tc>
        <w:tc>
          <w:tcPr>
            <w:tcW w:w="458" w:type="pct"/>
            <w:vAlign w:val="center"/>
          </w:tcPr>
          <w:p w14:paraId="3AC5F1E8" w14:textId="4330CDF3"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center"/>
          </w:tcPr>
          <w:p w14:paraId="56DE2F77" w14:textId="4259C6EF"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24CFCE6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42</w:t>
            </w:r>
          </w:p>
        </w:tc>
        <w:tc>
          <w:tcPr>
            <w:tcW w:w="458" w:type="pct"/>
            <w:vAlign w:val="center"/>
          </w:tcPr>
          <w:p w14:paraId="532F48DF" w14:textId="093188A2"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580B76F7" w14:textId="4C535F1B"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center"/>
          </w:tcPr>
          <w:p w14:paraId="4ADFC76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17</w:t>
            </w:r>
          </w:p>
        </w:tc>
      </w:tr>
      <w:tr w:rsidR="00B607BD" w:rsidRPr="00A06F1E" w14:paraId="49A55331"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285CF73C"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7</w:t>
            </w:r>
          </w:p>
        </w:tc>
        <w:tc>
          <w:tcPr>
            <w:tcW w:w="458" w:type="pct"/>
            <w:vAlign w:val="center"/>
          </w:tcPr>
          <w:p w14:paraId="1185757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91</w:t>
            </w:r>
          </w:p>
        </w:tc>
        <w:tc>
          <w:tcPr>
            <w:tcW w:w="458" w:type="pct"/>
            <w:vAlign w:val="center"/>
          </w:tcPr>
          <w:p w14:paraId="47F91B32"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25</w:t>
            </w:r>
          </w:p>
        </w:tc>
        <w:tc>
          <w:tcPr>
            <w:tcW w:w="458" w:type="pct"/>
            <w:vAlign w:val="center"/>
          </w:tcPr>
          <w:p w14:paraId="3A951E63"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34</w:t>
            </w:r>
          </w:p>
        </w:tc>
        <w:tc>
          <w:tcPr>
            <w:tcW w:w="458" w:type="pct"/>
            <w:vAlign w:val="center"/>
          </w:tcPr>
          <w:p w14:paraId="05BB91E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38</w:t>
            </w:r>
          </w:p>
        </w:tc>
        <w:tc>
          <w:tcPr>
            <w:tcW w:w="458" w:type="pct"/>
            <w:vAlign w:val="center"/>
          </w:tcPr>
          <w:p w14:paraId="07D9583D"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51</w:t>
            </w:r>
          </w:p>
        </w:tc>
        <w:tc>
          <w:tcPr>
            <w:tcW w:w="459" w:type="pct"/>
            <w:vAlign w:val="center"/>
          </w:tcPr>
          <w:p w14:paraId="381ABF4D"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43</w:t>
            </w:r>
          </w:p>
        </w:tc>
        <w:tc>
          <w:tcPr>
            <w:tcW w:w="458" w:type="pct"/>
            <w:vAlign w:val="center"/>
          </w:tcPr>
          <w:p w14:paraId="7529CE1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vAlign w:val="center"/>
          </w:tcPr>
          <w:p w14:paraId="5FD3BEB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24</w:t>
            </w:r>
          </w:p>
        </w:tc>
        <w:tc>
          <w:tcPr>
            <w:tcW w:w="458" w:type="pct"/>
            <w:vAlign w:val="center"/>
          </w:tcPr>
          <w:p w14:paraId="594755A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23</w:t>
            </w:r>
          </w:p>
        </w:tc>
        <w:tc>
          <w:tcPr>
            <w:tcW w:w="459" w:type="pct"/>
            <w:vAlign w:val="bottom"/>
          </w:tcPr>
          <w:p w14:paraId="20ADE13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22</w:t>
            </w:r>
          </w:p>
        </w:tc>
      </w:tr>
      <w:tr w:rsidR="00B607BD" w:rsidRPr="00A06F1E" w14:paraId="17B71136" w14:textId="77777777" w:rsidTr="006D2709">
        <w:tc>
          <w:tcPr>
            <w:tcW w:w="418" w:type="pct"/>
          </w:tcPr>
          <w:p w14:paraId="66756DB1"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8</w:t>
            </w:r>
          </w:p>
        </w:tc>
        <w:tc>
          <w:tcPr>
            <w:tcW w:w="458" w:type="pct"/>
            <w:vAlign w:val="center"/>
          </w:tcPr>
          <w:p w14:paraId="41FE18E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97</w:t>
            </w:r>
          </w:p>
        </w:tc>
        <w:tc>
          <w:tcPr>
            <w:tcW w:w="458" w:type="pct"/>
            <w:vAlign w:val="center"/>
          </w:tcPr>
          <w:p w14:paraId="4C0E74EA"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27</w:t>
            </w:r>
          </w:p>
        </w:tc>
        <w:tc>
          <w:tcPr>
            <w:tcW w:w="458" w:type="pct"/>
            <w:vAlign w:val="center"/>
          </w:tcPr>
          <w:p w14:paraId="61A81FC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31</w:t>
            </w:r>
          </w:p>
        </w:tc>
        <w:tc>
          <w:tcPr>
            <w:tcW w:w="458" w:type="pct"/>
            <w:vAlign w:val="center"/>
          </w:tcPr>
          <w:p w14:paraId="09D80F4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38</w:t>
            </w:r>
          </w:p>
        </w:tc>
        <w:tc>
          <w:tcPr>
            <w:tcW w:w="458" w:type="pct"/>
            <w:vAlign w:val="center"/>
          </w:tcPr>
          <w:p w14:paraId="40CEE58B"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48</w:t>
            </w:r>
          </w:p>
        </w:tc>
        <w:tc>
          <w:tcPr>
            <w:tcW w:w="459" w:type="pct"/>
            <w:vAlign w:val="center"/>
          </w:tcPr>
          <w:p w14:paraId="5C48DBAA"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51</w:t>
            </w:r>
          </w:p>
        </w:tc>
        <w:tc>
          <w:tcPr>
            <w:tcW w:w="458" w:type="pct"/>
            <w:vAlign w:val="center"/>
          </w:tcPr>
          <w:p w14:paraId="721FDE4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42</w:t>
            </w:r>
          </w:p>
        </w:tc>
        <w:tc>
          <w:tcPr>
            <w:tcW w:w="458" w:type="pct"/>
            <w:vAlign w:val="center"/>
          </w:tcPr>
          <w:p w14:paraId="4B9E20C1"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26</w:t>
            </w:r>
          </w:p>
        </w:tc>
        <w:tc>
          <w:tcPr>
            <w:tcW w:w="458" w:type="pct"/>
            <w:vAlign w:val="center"/>
          </w:tcPr>
          <w:p w14:paraId="0C5B6E5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19</w:t>
            </w:r>
          </w:p>
        </w:tc>
        <w:tc>
          <w:tcPr>
            <w:tcW w:w="459" w:type="pct"/>
            <w:vAlign w:val="bottom"/>
          </w:tcPr>
          <w:p w14:paraId="2AA504D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20</w:t>
            </w:r>
          </w:p>
        </w:tc>
      </w:tr>
      <w:tr w:rsidR="00B607BD" w:rsidRPr="00A06F1E" w14:paraId="29A24860"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651BF013" w14:textId="77777777" w:rsidR="00B607BD" w:rsidRPr="00A06F1E" w:rsidRDefault="00B607BD">
            <w:pPr>
              <w:pStyle w:val="TableText"/>
              <w:spacing w:before="20" w:after="20"/>
              <w:jc w:val="center"/>
              <w:rPr>
                <w:rFonts w:ascii="Franklin Gothic Book" w:hAnsi="Franklin Gothic Book"/>
                <w:spacing w:val="-4"/>
              </w:rPr>
            </w:pPr>
            <w:r w:rsidRPr="00A06F1E">
              <w:rPr>
                <w:rFonts w:ascii="Franklin Gothic Book" w:hAnsi="Franklin Gothic Book"/>
                <w:spacing w:val="-4"/>
              </w:rPr>
              <w:t>3-8</w:t>
            </w:r>
          </w:p>
        </w:tc>
        <w:tc>
          <w:tcPr>
            <w:tcW w:w="458" w:type="pct"/>
            <w:vAlign w:val="center"/>
          </w:tcPr>
          <w:p w14:paraId="7BD5F03A"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188</w:t>
            </w:r>
          </w:p>
        </w:tc>
        <w:tc>
          <w:tcPr>
            <w:tcW w:w="458" w:type="pct"/>
            <w:vAlign w:val="center"/>
          </w:tcPr>
          <w:p w14:paraId="596DCD6A"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26</w:t>
            </w:r>
          </w:p>
        </w:tc>
        <w:tc>
          <w:tcPr>
            <w:tcW w:w="458" w:type="pct"/>
            <w:vAlign w:val="center"/>
          </w:tcPr>
          <w:p w14:paraId="646E4E85"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32</w:t>
            </w:r>
          </w:p>
        </w:tc>
        <w:tc>
          <w:tcPr>
            <w:tcW w:w="458" w:type="pct"/>
            <w:vAlign w:val="center"/>
          </w:tcPr>
          <w:p w14:paraId="76C73D8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41</w:t>
            </w:r>
          </w:p>
        </w:tc>
        <w:tc>
          <w:tcPr>
            <w:tcW w:w="458" w:type="pct"/>
            <w:vAlign w:val="center"/>
          </w:tcPr>
          <w:p w14:paraId="5491200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49</w:t>
            </w:r>
          </w:p>
        </w:tc>
        <w:tc>
          <w:tcPr>
            <w:tcW w:w="459" w:type="pct"/>
            <w:vAlign w:val="center"/>
          </w:tcPr>
          <w:p w14:paraId="5E86128B"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47</w:t>
            </w:r>
          </w:p>
        </w:tc>
        <w:tc>
          <w:tcPr>
            <w:tcW w:w="458" w:type="pct"/>
            <w:vAlign w:val="center"/>
          </w:tcPr>
          <w:p w14:paraId="5882373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41</w:t>
            </w:r>
          </w:p>
        </w:tc>
        <w:tc>
          <w:tcPr>
            <w:tcW w:w="458" w:type="pct"/>
            <w:vAlign w:val="center"/>
          </w:tcPr>
          <w:p w14:paraId="168CEEDB"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25</w:t>
            </w:r>
          </w:p>
        </w:tc>
        <w:tc>
          <w:tcPr>
            <w:tcW w:w="458" w:type="pct"/>
            <w:vAlign w:val="center"/>
          </w:tcPr>
          <w:p w14:paraId="37B4120A"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21</w:t>
            </w:r>
          </w:p>
        </w:tc>
        <w:tc>
          <w:tcPr>
            <w:tcW w:w="459" w:type="pct"/>
            <w:vAlign w:val="bottom"/>
          </w:tcPr>
          <w:p w14:paraId="1224D23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18</w:t>
            </w:r>
          </w:p>
        </w:tc>
      </w:tr>
      <w:tr w:rsidR="00B607BD" w:rsidRPr="00A06F1E" w14:paraId="79587F1E" w14:textId="77777777" w:rsidTr="006D2709">
        <w:tc>
          <w:tcPr>
            <w:tcW w:w="418" w:type="pct"/>
          </w:tcPr>
          <w:p w14:paraId="51BF5906"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10</w:t>
            </w:r>
          </w:p>
        </w:tc>
        <w:tc>
          <w:tcPr>
            <w:tcW w:w="458" w:type="pct"/>
            <w:vAlign w:val="center"/>
          </w:tcPr>
          <w:p w14:paraId="34C7265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77</w:t>
            </w:r>
          </w:p>
        </w:tc>
        <w:tc>
          <w:tcPr>
            <w:tcW w:w="458" w:type="pct"/>
            <w:vAlign w:val="center"/>
          </w:tcPr>
          <w:p w14:paraId="5716349D"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40</w:t>
            </w:r>
          </w:p>
        </w:tc>
        <w:tc>
          <w:tcPr>
            <w:tcW w:w="458" w:type="pct"/>
            <w:vAlign w:val="center"/>
          </w:tcPr>
          <w:p w14:paraId="09ED4B8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35</w:t>
            </w:r>
          </w:p>
        </w:tc>
        <w:tc>
          <w:tcPr>
            <w:tcW w:w="458" w:type="pct"/>
            <w:vAlign w:val="center"/>
          </w:tcPr>
          <w:p w14:paraId="6F77EB8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50</w:t>
            </w:r>
          </w:p>
        </w:tc>
        <w:tc>
          <w:tcPr>
            <w:tcW w:w="458" w:type="pct"/>
            <w:vAlign w:val="center"/>
          </w:tcPr>
          <w:p w14:paraId="6693D10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40</w:t>
            </w:r>
          </w:p>
        </w:tc>
        <w:tc>
          <w:tcPr>
            <w:tcW w:w="459" w:type="pct"/>
            <w:vAlign w:val="center"/>
          </w:tcPr>
          <w:p w14:paraId="4FC6762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55</w:t>
            </w:r>
          </w:p>
        </w:tc>
        <w:tc>
          <w:tcPr>
            <w:tcW w:w="458" w:type="pct"/>
            <w:vAlign w:val="center"/>
          </w:tcPr>
          <w:p w14:paraId="0BB0492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42</w:t>
            </w:r>
          </w:p>
        </w:tc>
        <w:tc>
          <w:tcPr>
            <w:tcW w:w="458" w:type="pct"/>
            <w:vAlign w:val="center"/>
          </w:tcPr>
          <w:p w14:paraId="04F34ED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19</w:t>
            </w:r>
          </w:p>
        </w:tc>
        <w:tc>
          <w:tcPr>
            <w:tcW w:w="458" w:type="pct"/>
            <w:vAlign w:val="center"/>
          </w:tcPr>
          <w:p w14:paraId="0524304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10</w:t>
            </w:r>
          </w:p>
        </w:tc>
        <w:tc>
          <w:tcPr>
            <w:tcW w:w="459" w:type="pct"/>
            <w:vAlign w:val="bottom"/>
          </w:tcPr>
          <w:p w14:paraId="585CC0AD"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9</w:t>
            </w:r>
          </w:p>
        </w:tc>
      </w:tr>
    </w:tbl>
    <w:p w14:paraId="53118CAC" w14:textId="77777777" w:rsidR="00B607BD" w:rsidRPr="00A06F1E" w:rsidRDefault="00B607BD" w:rsidP="00B607BD">
      <w:pPr>
        <w:spacing w:line="240" w:lineRule="auto"/>
        <w:rPr>
          <w:rFonts w:ascii="Franklin Gothic Book" w:hAnsi="Franklin Gothic Book"/>
          <w:sz w:val="20"/>
          <w:szCs w:val="20"/>
        </w:rPr>
      </w:pPr>
    </w:p>
    <w:p w14:paraId="634E762D" w14:textId="77777777" w:rsidR="00B607BD" w:rsidRPr="00A06F1E" w:rsidRDefault="00B607BD" w:rsidP="00B607BD">
      <w:pPr>
        <w:spacing w:line="240" w:lineRule="auto"/>
        <w:rPr>
          <w:rFonts w:ascii="Franklin Gothic Book" w:hAnsi="Franklin Gothic Book"/>
          <w:sz w:val="20"/>
          <w:szCs w:val="20"/>
        </w:rPr>
      </w:pPr>
    </w:p>
    <w:p w14:paraId="5418986E" w14:textId="77777777" w:rsidR="00B607BD" w:rsidRPr="00A06F1E" w:rsidRDefault="00B607BD" w:rsidP="00B607BD">
      <w:pPr>
        <w:spacing w:line="240" w:lineRule="auto"/>
        <w:rPr>
          <w:rFonts w:ascii="Franklin Gothic Book" w:hAnsi="Franklin Gothic Book"/>
          <w:sz w:val="20"/>
          <w:szCs w:val="20"/>
        </w:rPr>
      </w:pPr>
    </w:p>
    <w:p w14:paraId="4E9C8602" w14:textId="77777777" w:rsidR="00B607BD" w:rsidRPr="00A06F1E" w:rsidRDefault="00B607BD" w:rsidP="00B607BD">
      <w:pPr>
        <w:spacing w:line="240" w:lineRule="auto"/>
        <w:rPr>
          <w:rFonts w:ascii="Franklin Gothic Book" w:hAnsi="Franklin Gothic Book"/>
          <w:sz w:val="20"/>
          <w:szCs w:val="20"/>
        </w:rPr>
      </w:pPr>
    </w:p>
    <w:p w14:paraId="65CDD098" w14:textId="5574A5BF" w:rsidR="00B607BD" w:rsidRPr="00A06F1E" w:rsidRDefault="00B607BD" w:rsidP="00B7722D">
      <w:pPr>
        <w:pStyle w:val="TabletitleSectionE"/>
      </w:pPr>
      <w:bookmarkStart w:id="280" w:name="_Toc170701965"/>
      <w:bookmarkStart w:id="281" w:name="_Toc171685802"/>
      <w:bookmarkEnd w:id="266"/>
      <w:bookmarkEnd w:id="269"/>
      <w:r w:rsidRPr="00A06F1E">
        <w:lastRenderedPageBreak/>
        <w:t>Table E9</w:t>
      </w:r>
      <w:r w:rsidR="00722940">
        <w:t>a</w:t>
      </w:r>
      <w:r w:rsidR="00CE00AC" w:rsidRPr="00A06F1E">
        <w:t xml:space="preserve">. </w:t>
      </w:r>
      <w:r w:rsidR="00CF4F71">
        <w:t>Fisher Hill</w:t>
      </w:r>
      <w:r w:rsidR="00F3532E" w:rsidRPr="00A06F1E">
        <w:t>:</w:t>
      </w:r>
      <w:r w:rsidRPr="00A06F1E">
        <w:t xml:space="preserve"> Next-Generation MCAS Science Achievement by Grade, 2022-2023</w:t>
      </w:r>
      <w:bookmarkEnd w:id="280"/>
      <w:bookmarkEnd w:id="281"/>
    </w:p>
    <w:tbl>
      <w:tblPr>
        <w:tblStyle w:val="MSVTable1"/>
        <w:tblW w:w="5000" w:type="pct"/>
        <w:tblLook w:val="0420" w:firstRow="1" w:lastRow="0" w:firstColumn="0" w:lastColumn="0" w:noHBand="0" w:noVBand="1"/>
      </w:tblPr>
      <w:tblGrid>
        <w:gridCol w:w="1081"/>
        <w:gridCol w:w="1185"/>
        <w:gridCol w:w="1186"/>
        <w:gridCol w:w="1186"/>
        <w:gridCol w:w="1186"/>
        <w:gridCol w:w="1186"/>
        <w:gridCol w:w="1188"/>
        <w:gridCol w:w="1186"/>
        <w:gridCol w:w="1186"/>
        <w:gridCol w:w="1186"/>
        <w:gridCol w:w="1188"/>
      </w:tblGrid>
      <w:tr w:rsidR="00B607BD" w:rsidRPr="00A06F1E" w14:paraId="59B191F6"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23C83734" w14:textId="77777777" w:rsidR="00B607BD" w:rsidRPr="00A06F1E" w:rsidRDefault="00B607BD">
            <w:pPr>
              <w:pStyle w:val="TableColHeadingLeft"/>
              <w:spacing w:before="20" w:after="20"/>
              <w:jc w:val="center"/>
            </w:pPr>
            <w:r w:rsidRPr="00A06F1E">
              <w:t>Grade</w:t>
            </w:r>
          </w:p>
        </w:tc>
        <w:tc>
          <w:tcPr>
            <w:tcW w:w="458" w:type="pct"/>
            <w:vMerge w:val="restart"/>
            <w:vAlign w:val="center"/>
          </w:tcPr>
          <w:p w14:paraId="52FA9384" w14:textId="219A2E55" w:rsidR="00B607BD" w:rsidRPr="00A06F1E" w:rsidRDefault="00B607BD">
            <w:pPr>
              <w:pStyle w:val="TableColHeadingCenter"/>
              <w:spacing w:before="20" w:after="20"/>
            </w:pPr>
            <w:r w:rsidRPr="00A06F1E">
              <w:t xml:space="preserve"># </w:t>
            </w:r>
            <w:r w:rsidR="00320502" w:rsidRPr="00A06F1E">
              <w:t>i</w:t>
            </w:r>
            <w:r w:rsidRPr="00A06F1E">
              <w:t>ncluded (2023)</w:t>
            </w:r>
          </w:p>
        </w:tc>
        <w:tc>
          <w:tcPr>
            <w:tcW w:w="1374" w:type="pct"/>
            <w:gridSpan w:val="3"/>
            <w:vAlign w:val="bottom"/>
          </w:tcPr>
          <w:p w14:paraId="71FA0FAF" w14:textId="32F03C89" w:rsidR="00B607BD" w:rsidRPr="00A06F1E" w:rsidRDefault="00A228CB">
            <w:pPr>
              <w:pStyle w:val="TableColHeadingCenter"/>
              <w:spacing w:before="20" w:after="20"/>
            </w:pPr>
            <w:r w:rsidRPr="00A06F1E">
              <w:t>Percentage</w:t>
            </w:r>
            <w:r w:rsidR="00B607BD" w:rsidRPr="00A06F1E">
              <w:t xml:space="preserve"> meeting or exceeding expectations</w:t>
            </w:r>
          </w:p>
        </w:tc>
        <w:tc>
          <w:tcPr>
            <w:tcW w:w="1375" w:type="pct"/>
            <w:gridSpan w:val="3"/>
            <w:vAlign w:val="center"/>
          </w:tcPr>
          <w:p w14:paraId="21389986" w14:textId="454F1C73" w:rsidR="00B607BD" w:rsidRPr="00A06F1E" w:rsidRDefault="00A228CB">
            <w:pPr>
              <w:pStyle w:val="TableColHeadingCenter"/>
              <w:spacing w:before="20" w:after="20"/>
            </w:pPr>
            <w:r w:rsidRPr="00A06F1E">
              <w:t>Percentage</w:t>
            </w:r>
            <w:r w:rsidR="00B607BD" w:rsidRPr="00A06F1E">
              <w:t xml:space="preserve"> partially meeting expectations</w:t>
            </w:r>
          </w:p>
        </w:tc>
        <w:tc>
          <w:tcPr>
            <w:tcW w:w="1375" w:type="pct"/>
            <w:gridSpan w:val="3"/>
            <w:vAlign w:val="center"/>
          </w:tcPr>
          <w:p w14:paraId="1366615B" w14:textId="070348F7" w:rsidR="00B607BD" w:rsidRPr="00A06F1E" w:rsidRDefault="00A228CB">
            <w:pPr>
              <w:pStyle w:val="TableColHeadingCenter"/>
              <w:spacing w:before="20" w:after="20"/>
            </w:pPr>
            <w:r w:rsidRPr="00A06F1E">
              <w:t>Percentage</w:t>
            </w:r>
            <w:r w:rsidR="00B607BD" w:rsidRPr="00A06F1E">
              <w:t xml:space="preserve"> not meeting expectations</w:t>
            </w:r>
          </w:p>
        </w:tc>
      </w:tr>
      <w:tr w:rsidR="00B607BD" w:rsidRPr="00A06F1E" w14:paraId="2D52B2E3"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0C396329" w14:textId="77777777" w:rsidR="00B607BD" w:rsidRPr="00A06F1E" w:rsidRDefault="00B607BD">
            <w:pPr>
              <w:pStyle w:val="TableColHeadingCenter"/>
              <w:spacing w:before="20" w:after="20"/>
            </w:pPr>
          </w:p>
        </w:tc>
        <w:tc>
          <w:tcPr>
            <w:tcW w:w="458" w:type="pct"/>
            <w:vMerge/>
            <w:vAlign w:val="bottom"/>
          </w:tcPr>
          <w:p w14:paraId="109DD8BD" w14:textId="77777777" w:rsidR="00B607BD" w:rsidRPr="00A06F1E" w:rsidRDefault="00B607BD">
            <w:pPr>
              <w:pStyle w:val="TableColHeadingCenter"/>
              <w:spacing w:before="20" w:after="20"/>
            </w:pPr>
          </w:p>
        </w:tc>
        <w:tc>
          <w:tcPr>
            <w:tcW w:w="458" w:type="pct"/>
            <w:vAlign w:val="center"/>
          </w:tcPr>
          <w:p w14:paraId="12909105" w14:textId="77777777" w:rsidR="00B607BD" w:rsidRPr="00A06F1E" w:rsidRDefault="00B607BD">
            <w:pPr>
              <w:pStyle w:val="TableColHeadingCenter"/>
              <w:spacing w:before="20" w:after="20"/>
            </w:pPr>
            <w:r w:rsidRPr="00A06F1E">
              <w:t>2022</w:t>
            </w:r>
          </w:p>
        </w:tc>
        <w:tc>
          <w:tcPr>
            <w:tcW w:w="458" w:type="pct"/>
            <w:vAlign w:val="center"/>
          </w:tcPr>
          <w:p w14:paraId="4F1835CC" w14:textId="77777777" w:rsidR="00B607BD" w:rsidRPr="00A06F1E" w:rsidRDefault="00B607BD">
            <w:pPr>
              <w:pStyle w:val="TableColHeadingCenter"/>
              <w:spacing w:before="20" w:after="20"/>
            </w:pPr>
            <w:r w:rsidRPr="00A06F1E">
              <w:t>2023</w:t>
            </w:r>
          </w:p>
        </w:tc>
        <w:tc>
          <w:tcPr>
            <w:tcW w:w="458" w:type="pct"/>
            <w:vAlign w:val="center"/>
          </w:tcPr>
          <w:p w14:paraId="6ED4A9CD" w14:textId="77777777" w:rsidR="00B607BD" w:rsidRPr="00A06F1E" w:rsidRDefault="00B607BD">
            <w:pPr>
              <w:pStyle w:val="TableColHeadingCenter"/>
              <w:spacing w:before="20" w:after="20"/>
            </w:pPr>
            <w:r w:rsidRPr="00A06F1E">
              <w:t>State (2023)</w:t>
            </w:r>
          </w:p>
        </w:tc>
        <w:tc>
          <w:tcPr>
            <w:tcW w:w="458" w:type="pct"/>
            <w:vAlign w:val="center"/>
          </w:tcPr>
          <w:p w14:paraId="6F82FD61" w14:textId="77777777" w:rsidR="00B607BD" w:rsidRPr="00A06F1E" w:rsidRDefault="00B607BD">
            <w:pPr>
              <w:pStyle w:val="TableColHeadingCenter"/>
              <w:spacing w:before="20" w:after="20"/>
            </w:pPr>
            <w:r w:rsidRPr="00A06F1E">
              <w:t>2022</w:t>
            </w:r>
          </w:p>
        </w:tc>
        <w:tc>
          <w:tcPr>
            <w:tcW w:w="459" w:type="pct"/>
            <w:vAlign w:val="center"/>
          </w:tcPr>
          <w:p w14:paraId="0F3F5F43" w14:textId="77777777" w:rsidR="00B607BD" w:rsidRPr="00A06F1E" w:rsidRDefault="00B607BD">
            <w:pPr>
              <w:pStyle w:val="TableColHeadingCenter"/>
              <w:spacing w:before="20" w:after="20"/>
            </w:pPr>
            <w:r w:rsidRPr="00A06F1E">
              <w:t>2023</w:t>
            </w:r>
          </w:p>
        </w:tc>
        <w:tc>
          <w:tcPr>
            <w:tcW w:w="458" w:type="pct"/>
            <w:vAlign w:val="center"/>
          </w:tcPr>
          <w:p w14:paraId="0D364BE9" w14:textId="77777777" w:rsidR="00B607BD" w:rsidRPr="00A06F1E" w:rsidRDefault="00B607BD">
            <w:pPr>
              <w:pStyle w:val="TableColHeadingCenter"/>
              <w:spacing w:before="20" w:after="20"/>
            </w:pPr>
            <w:r w:rsidRPr="00A06F1E">
              <w:t>State (2023)</w:t>
            </w:r>
          </w:p>
        </w:tc>
        <w:tc>
          <w:tcPr>
            <w:tcW w:w="458" w:type="pct"/>
            <w:vAlign w:val="center"/>
          </w:tcPr>
          <w:p w14:paraId="770AD074" w14:textId="77777777" w:rsidR="00B607BD" w:rsidRPr="00A06F1E" w:rsidRDefault="00B607BD">
            <w:pPr>
              <w:pStyle w:val="TableColHeadingCenter"/>
              <w:spacing w:before="20" w:after="20"/>
            </w:pPr>
            <w:r w:rsidRPr="00A06F1E">
              <w:t>2022</w:t>
            </w:r>
          </w:p>
        </w:tc>
        <w:tc>
          <w:tcPr>
            <w:tcW w:w="458" w:type="pct"/>
            <w:vAlign w:val="center"/>
          </w:tcPr>
          <w:p w14:paraId="74EBF5C9" w14:textId="77777777" w:rsidR="00B607BD" w:rsidRPr="00A06F1E" w:rsidRDefault="00B607BD">
            <w:pPr>
              <w:pStyle w:val="TableColHeadingCenter"/>
              <w:spacing w:before="20" w:after="20"/>
            </w:pPr>
            <w:r w:rsidRPr="00A06F1E">
              <w:t>2023</w:t>
            </w:r>
          </w:p>
        </w:tc>
        <w:tc>
          <w:tcPr>
            <w:tcW w:w="459" w:type="pct"/>
            <w:vAlign w:val="center"/>
          </w:tcPr>
          <w:p w14:paraId="1B4125C5" w14:textId="77777777" w:rsidR="00B607BD" w:rsidRPr="00A06F1E" w:rsidRDefault="00B607BD">
            <w:pPr>
              <w:pStyle w:val="TableColHeadingCenter"/>
              <w:spacing w:before="20" w:after="20"/>
            </w:pPr>
            <w:r w:rsidRPr="00A06F1E">
              <w:t>State (2023)</w:t>
            </w:r>
          </w:p>
        </w:tc>
      </w:tr>
      <w:tr w:rsidR="00B607BD" w:rsidRPr="00A06F1E" w14:paraId="27F69FF5"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58A56A68"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5</w:t>
            </w:r>
          </w:p>
        </w:tc>
        <w:tc>
          <w:tcPr>
            <w:tcW w:w="458" w:type="pct"/>
          </w:tcPr>
          <w:p w14:paraId="5CEFFD9B"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70</w:t>
            </w:r>
          </w:p>
        </w:tc>
        <w:tc>
          <w:tcPr>
            <w:tcW w:w="458" w:type="pct"/>
          </w:tcPr>
          <w:p w14:paraId="7DE11DBD"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9</w:t>
            </w:r>
          </w:p>
        </w:tc>
        <w:tc>
          <w:tcPr>
            <w:tcW w:w="458" w:type="pct"/>
          </w:tcPr>
          <w:p w14:paraId="403ED43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20</w:t>
            </w:r>
          </w:p>
        </w:tc>
        <w:tc>
          <w:tcPr>
            <w:tcW w:w="458" w:type="pct"/>
          </w:tcPr>
          <w:p w14:paraId="45604C3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42</w:t>
            </w:r>
          </w:p>
        </w:tc>
        <w:tc>
          <w:tcPr>
            <w:tcW w:w="458" w:type="pct"/>
          </w:tcPr>
          <w:p w14:paraId="1A59056B"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44</w:t>
            </w:r>
          </w:p>
        </w:tc>
        <w:tc>
          <w:tcPr>
            <w:tcW w:w="459" w:type="pct"/>
          </w:tcPr>
          <w:p w14:paraId="6431A42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43</w:t>
            </w:r>
          </w:p>
        </w:tc>
        <w:tc>
          <w:tcPr>
            <w:tcW w:w="458" w:type="pct"/>
          </w:tcPr>
          <w:p w14:paraId="5F7239B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tcPr>
          <w:p w14:paraId="3C1BFB8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47</w:t>
            </w:r>
          </w:p>
        </w:tc>
        <w:tc>
          <w:tcPr>
            <w:tcW w:w="458" w:type="pct"/>
          </w:tcPr>
          <w:p w14:paraId="188CC3FB"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37</w:t>
            </w:r>
          </w:p>
        </w:tc>
        <w:tc>
          <w:tcPr>
            <w:tcW w:w="459" w:type="pct"/>
          </w:tcPr>
          <w:p w14:paraId="6B47438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19</w:t>
            </w:r>
          </w:p>
        </w:tc>
      </w:tr>
      <w:tr w:rsidR="00B607BD" w:rsidRPr="00A06F1E" w14:paraId="52DFC1C5" w14:textId="77777777" w:rsidTr="006D2709">
        <w:tc>
          <w:tcPr>
            <w:tcW w:w="418" w:type="pct"/>
          </w:tcPr>
          <w:p w14:paraId="3B63550B"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8</w:t>
            </w:r>
          </w:p>
        </w:tc>
        <w:tc>
          <w:tcPr>
            <w:tcW w:w="458" w:type="pct"/>
          </w:tcPr>
          <w:p w14:paraId="6CC25512" w14:textId="2412CF66"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764677B7" w14:textId="00AB4138"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086BA224" w14:textId="44F1A78F"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2437FFE5"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41</w:t>
            </w:r>
          </w:p>
        </w:tc>
        <w:tc>
          <w:tcPr>
            <w:tcW w:w="458" w:type="pct"/>
          </w:tcPr>
          <w:p w14:paraId="1360AC3E" w14:textId="05B5E4DB"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9" w:type="pct"/>
          </w:tcPr>
          <w:p w14:paraId="7EBC74E7" w14:textId="2E196493"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1EDDAC7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tcPr>
          <w:p w14:paraId="392E3676" w14:textId="1F342C07"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3CEC0F8E" w14:textId="2F89CD1B"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9" w:type="pct"/>
          </w:tcPr>
          <w:p w14:paraId="471D8763"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19</w:t>
            </w:r>
          </w:p>
        </w:tc>
      </w:tr>
      <w:tr w:rsidR="00B607BD" w:rsidRPr="00A06F1E" w14:paraId="0C7BE0FC"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6D19967A" w14:textId="77777777" w:rsidR="00B607BD" w:rsidRPr="00A06F1E" w:rsidRDefault="00B607BD">
            <w:pPr>
              <w:pStyle w:val="TableText"/>
              <w:spacing w:before="20" w:after="20"/>
              <w:jc w:val="center"/>
              <w:rPr>
                <w:rFonts w:ascii="Franklin Gothic Book" w:hAnsi="Franklin Gothic Book"/>
                <w:spacing w:val="-4"/>
              </w:rPr>
            </w:pPr>
            <w:r w:rsidRPr="00A06F1E">
              <w:rPr>
                <w:rFonts w:ascii="Franklin Gothic Book" w:hAnsi="Franklin Gothic Book"/>
                <w:spacing w:val="-4"/>
              </w:rPr>
              <w:t>5 and 8</w:t>
            </w:r>
          </w:p>
        </w:tc>
        <w:tc>
          <w:tcPr>
            <w:tcW w:w="458" w:type="pct"/>
          </w:tcPr>
          <w:p w14:paraId="09AEC67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70</w:t>
            </w:r>
          </w:p>
        </w:tc>
        <w:tc>
          <w:tcPr>
            <w:tcW w:w="458" w:type="pct"/>
          </w:tcPr>
          <w:p w14:paraId="10FFF4A2"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9</w:t>
            </w:r>
          </w:p>
        </w:tc>
        <w:tc>
          <w:tcPr>
            <w:tcW w:w="458" w:type="pct"/>
          </w:tcPr>
          <w:p w14:paraId="4658AFE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20</w:t>
            </w:r>
          </w:p>
        </w:tc>
        <w:tc>
          <w:tcPr>
            <w:tcW w:w="458" w:type="pct"/>
          </w:tcPr>
          <w:p w14:paraId="53624FC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41</w:t>
            </w:r>
          </w:p>
        </w:tc>
        <w:tc>
          <w:tcPr>
            <w:tcW w:w="458" w:type="pct"/>
          </w:tcPr>
          <w:p w14:paraId="7D9C1521"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44</w:t>
            </w:r>
          </w:p>
        </w:tc>
        <w:tc>
          <w:tcPr>
            <w:tcW w:w="459" w:type="pct"/>
          </w:tcPr>
          <w:p w14:paraId="67E392E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43</w:t>
            </w:r>
          </w:p>
        </w:tc>
        <w:tc>
          <w:tcPr>
            <w:tcW w:w="458" w:type="pct"/>
          </w:tcPr>
          <w:p w14:paraId="20871111"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tcPr>
          <w:p w14:paraId="78A683A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47</w:t>
            </w:r>
          </w:p>
        </w:tc>
        <w:tc>
          <w:tcPr>
            <w:tcW w:w="458" w:type="pct"/>
          </w:tcPr>
          <w:p w14:paraId="27158CA3"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37</w:t>
            </w:r>
          </w:p>
        </w:tc>
        <w:tc>
          <w:tcPr>
            <w:tcW w:w="459" w:type="pct"/>
          </w:tcPr>
          <w:p w14:paraId="00C12382"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19</w:t>
            </w:r>
          </w:p>
        </w:tc>
      </w:tr>
      <w:tr w:rsidR="00B607BD" w:rsidRPr="00A06F1E" w14:paraId="3E29D2CE" w14:textId="77777777" w:rsidTr="006D2709">
        <w:tc>
          <w:tcPr>
            <w:tcW w:w="418" w:type="pct"/>
          </w:tcPr>
          <w:p w14:paraId="0772E437"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10</w:t>
            </w:r>
          </w:p>
        </w:tc>
        <w:tc>
          <w:tcPr>
            <w:tcW w:w="458" w:type="pct"/>
          </w:tcPr>
          <w:p w14:paraId="5DA9C797" w14:textId="548E4000"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555AD77D" w14:textId="703A2CDE"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1909C0A9" w14:textId="02D83DEF"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2630DC9A"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47</w:t>
            </w:r>
          </w:p>
        </w:tc>
        <w:tc>
          <w:tcPr>
            <w:tcW w:w="458" w:type="pct"/>
          </w:tcPr>
          <w:p w14:paraId="3B8BC52E" w14:textId="3CCCA1E9"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9" w:type="pct"/>
          </w:tcPr>
          <w:p w14:paraId="7C184941" w14:textId="116C484F"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4ABF30C2"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42</w:t>
            </w:r>
          </w:p>
        </w:tc>
        <w:tc>
          <w:tcPr>
            <w:tcW w:w="458" w:type="pct"/>
          </w:tcPr>
          <w:p w14:paraId="23BE5CEB" w14:textId="021EAEF5"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8" w:type="pct"/>
          </w:tcPr>
          <w:p w14:paraId="58FF6010" w14:textId="6E2A9F94"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rPr>
              <w:t>—</w:t>
            </w:r>
          </w:p>
        </w:tc>
        <w:tc>
          <w:tcPr>
            <w:tcW w:w="459" w:type="pct"/>
          </w:tcPr>
          <w:p w14:paraId="5815249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11</w:t>
            </w:r>
          </w:p>
        </w:tc>
      </w:tr>
    </w:tbl>
    <w:p w14:paraId="53A2FF3E" w14:textId="303D5784" w:rsidR="00B607BD" w:rsidRPr="00A06F1E" w:rsidRDefault="00B607BD" w:rsidP="00B7722D">
      <w:pPr>
        <w:pStyle w:val="TabletitleSectionE"/>
      </w:pPr>
      <w:bookmarkStart w:id="282" w:name="_Toc170701966"/>
      <w:bookmarkStart w:id="283" w:name="_Toc171685803"/>
      <w:r w:rsidRPr="00A06F1E">
        <w:t>Table E9</w:t>
      </w:r>
      <w:r w:rsidR="00722940">
        <w:t>b</w:t>
      </w:r>
      <w:r w:rsidR="007C4E08" w:rsidRPr="00A06F1E">
        <w:t xml:space="preserve">. </w:t>
      </w:r>
      <w:proofErr w:type="spellStart"/>
      <w:r w:rsidR="00652B48">
        <w:t>Petersham</w:t>
      </w:r>
      <w:proofErr w:type="spellEnd"/>
      <w:r w:rsidR="00652B48">
        <w:t xml:space="preserve"> Center</w:t>
      </w:r>
      <w:r w:rsidR="00F3532E" w:rsidRPr="00A06F1E">
        <w:t>:</w:t>
      </w:r>
      <w:r w:rsidRPr="00A06F1E">
        <w:t xml:space="preserve"> Next-Generation MCAS Science Achievement by Grade, 2022-2023</w:t>
      </w:r>
      <w:bookmarkEnd w:id="282"/>
      <w:bookmarkEnd w:id="283"/>
    </w:p>
    <w:tbl>
      <w:tblPr>
        <w:tblStyle w:val="MSVTable1"/>
        <w:tblW w:w="5000" w:type="pct"/>
        <w:tblLook w:val="0420" w:firstRow="1" w:lastRow="0" w:firstColumn="0" w:lastColumn="0" w:noHBand="0" w:noVBand="1"/>
      </w:tblPr>
      <w:tblGrid>
        <w:gridCol w:w="1081"/>
        <w:gridCol w:w="1185"/>
        <w:gridCol w:w="1186"/>
        <w:gridCol w:w="1186"/>
        <w:gridCol w:w="1186"/>
        <w:gridCol w:w="1186"/>
        <w:gridCol w:w="1188"/>
        <w:gridCol w:w="1186"/>
        <w:gridCol w:w="1186"/>
        <w:gridCol w:w="1186"/>
        <w:gridCol w:w="1188"/>
      </w:tblGrid>
      <w:tr w:rsidR="00B607BD" w:rsidRPr="00A06F1E" w14:paraId="440AE4BF"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2F26DD65" w14:textId="77777777" w:rsidR="00B607BD" w:rsidRPr="00A06F1E" w:rsidRDefault="00B607BD">
            <w:pPr>
              <w:pStyle w:val="TableColHeadingLeft"/>
              <w:spacing w:before="20" w:after="20"/>
              <w:jc w:val="center"/>
            </w:pPr>
            <w:r w:rsidRPr="00A06F1E">
              <w:t>Grade</w:t>
            </w:r>
          </w:p>
        </w:tc>
        <w:tc>
          <w:tcPr>
            <w:tcW w:w="458" w:type="pct"/>
            <w:vMerge w:val="restart"/>
            <w:vAlign w:val="center"/>
          </w:tcPr>
          <w:p w14:paraId="01082670" w14:textId="47581E80" w:rsidR="00B607BD" w:rsidRPr="00A06F1E" w:rsidRDefault="00B607BD">
            <w:pPr>
              <w:pStyle w:val="TableColHeadingCenter"/>
              <w:spacing w:before="20" w:after="20"/>
            </w:pPr>
            <w:r w:rsidRPr="00A06F1E">
              <w:t xml:space="preserve"># </w:t>
            </w:r>
            <w:r w:rsidR="00320502" w:rsidRPr="00A06F1E">
              <w:t>i</w:t>
            </w:r>
            <w:r w:rsidRPr="00A06F1E">
              <w:t>ncluded (2023)</w:t>
            </w:r>
          </w:p>
        </w:tc>
        <w:tc>
          <w:tcPr>
            <w:tcW w:w="1374" w:type="pct"/>
            <w:gridSpan w:val="3"/>
            <w:vAlign w:val="bottom"/>
          </w:tcPr>
          <w:p w14:paraId="30B759C0" w14:textId="1A96FBE7" w:rsidR="00B607BD" w:rsidRPr="00A06F1E" w:rsidRDefault="00A228CB">
            <w:pPr>
              <w:pStyle w:val="TableColHeadingCenter"/>
              <w:spacing w:before="20" w:after="20"/>
            </w:pPr>
            <w:r w:rsidRPr="00A06F1E">
              <w:t>Percentage</w:t>
            </w:r>
            <w:r w:rsidR="00B607BD" w:rsidRPr="00A06F1E">
              <w:t xml:space="preserve"> meeting or exceeding expectations</w:t>
            </w:r>
          </w:p>
        </w:tc>
        <w:tc>
          <w:tcPr>
            <w:tcW w:w="1375" w:type="pct"/>
            <w:gridSpan w:val="3"/>
            <w:vAlign w:val="center"/>
          </w:tcPr>
          <w:p w14:paraId="04FAE409" w14:textId="2D4A99DF" w:rsidR="00B607BD" w:rsidRPr="00A06F1E" w:rsidRDefault="00A228CB">
            <w:pPr>
              <w:pStyle w:val="TableColHeadingCenter"/>
              <w:spacing w:before="20" w:after="20"/>
            </w:pPr>
            <w:r w:rsidRPr="00A06F1E">
              <w:t>Percentage</w:t>
            </w:r>
            <w:r w:rsidR="00B607BD" w:rsidRPr="00A06F1E">
              <w:t xml:space="preserve"> partially meeting expectations</w:t>
            </w:r>
          </w:p>
        </w:tc>
        <w:tc>
          <w:tcPr>
            <w:tcW w:w="1375" w:type="pct"/>
            <w:gridSpan w:val="3"/>
            <w:vAlign w:val="center"/>
          </w:tcPr>
          <w:p w14:paraId="280ADE9D" w14:textId="21FDC865" w:rsidR="00B607BD" w:rsidRPr="00A06F1E" w:rsidRDefault="00A228CB">
            <w:pPr>
              <w:pStyle w:val="TableColHeadingCenter"/>
              <w:spacing w:before="20" w:after="20"/>
            </w:pPr>
            <w:r w:rsidRPr="00A06F1E">
              <w:t>Percentage</w:t>
            </w:r>
            <w:r w:rsidR="00B607BD" w:rsidRPr="00A06F1E">
              <w:t xml:space="preserve"> not meeting expectations</w:t>
            </w:r>
          </w:p>
        </w:tc>
      </w:tr>
      <w:tr w:rsidR="00B607BD" w:rsidRPr="00A06F1E" w14:paraId="70680272"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70F63BF4" w14:textId="77777777" w:rsidR="00B607BD" w:rsidRPr="00A06F1E" w:rsidRDefault="00B607BD">
            <w:pPr>
              <w:pStyle w:val="TableColHeadingCenter"/>
              <w:spacing w:before="20" w:after="20"/>
            </w:pPr>
          </w:p>
        </w:tc>
        <w:tc>
          <w:tcPr>
            <w:tcW w:w="458" w:type="pct"/>
            <w:vMerge/>
            <w:vAlign w:val="bottom"/>
          </w:tcPr>
          <w:p w14:paraId="3166E997" w14:textId="77777777" w:rsidR="00B607BD" w:rsidRPr="00A06F1E" w:rsidRDefault="00B607BD">
            <w:pPr>
              <w:pStyle w:val="TableColHeadingCenter"/>
              <w:spacing w:before="20" w:after="20"/>
            </w:pPr>
          </w:p>
        </w:tc>
        <w:tc>
          <w:tcPr>
            <w:tcW w:w="458" w:type="pct"/>
            <w:vAlign w:val="center"/>
          </w:tcPr>
          <w:p w14:paraId="541C19B3" w14:textId="77777777" w:rsidR="00B607BD" w:rsidRPr="00A06F1E" w:rsidRDefault="00B607BD">
            <w:pPr>
              <w:pStyle w:val="TableColHeadingCenter"/>
              <w:spacing w:before="20" w:after="20"/>
            </w:pPr>
            <w:r w:rsidRPr="00A06F1E">
              <w:t>2022</w:t>
            </w:r>
          </w:p>
        </w:tc>
        <w:tc>
          <w:tcPr>
            <w:tcW w:w="458" w:type="pct"/>
            <w:vAlign w:val="center"/>
          </w:tcPr>
          <w:p w14:paraId="5512CBAE" w14:textId="77777777" w:rsidR="00B607BD" w:rsidRPr="00A06F1E" w:rsidRDefault="00B607BD">
            <w:pPr>
              <w:pStyle w:val="TableColHeadingCenter"/>
              <w:spacing w:before="20" w:after="20"/>
            </w:pPr>
            <w:r w:rsidRPr="00A06F1E">
              <w:t>2023</w:t>
            </w:r>
          </w:p>
        </w:tc>
        <w:tc>
          <w:tcPr>
            <w:tcW w:w="458" w:type="pct"/>
            <w:vAlign w:val="center"/>
          </w:tcPr>
          <w:p w14:paraId="4D1CC261" w14:textId="77777777" w:rsidR="00B607BD" w:rsidRPr="00A06F1E" w:rsidRDefault="00B607BD">
            <w:pPr>
              <w:pStyle w:val="TableColHeadingCenter"/>
              <w:spacing w:before="20" w:after="20"/>
            </w:pPr>
            <w:r w:rsidRPr="00A06F1E">
              <w:t>State (2023)</w:t>
            </w:r>
          </w:p>
        </w:tc>
        <w:tc>
          <w:tcPr>
            <w:tcW w:w="458" w:type="pct"/>
            <w:vAlign w:val="center"/>
          </w:tcPr>
          <w:p w14:paraId="6359D9DB" w14:textId="77777777" w:rsidR="00B607BD" w:rsidRPr="00A06F1E" w:rsidRDefault="00B607BD">
            <w:pPr>
              <w:pStyle w:val="TableColHeadingCenter"/>
              <w:spacing w:before="20" w:after="20"/>
            </w:pPr>
            <w:r w:rsidRPr="00A06F1E">
              <w:t>2022</w:t>
            </w:r>
          </w:p>
        </w:tc>
        <w:tc>
          <w:tcPr>
            <w:tcW w:w="459" w:type="pct"/>
            <w:vAlign w:val="center"/>
          </w:tcPr>
          <w:p w14:paraId="09077F81" w14:textId="77777777" w:rsidR="00B607BD" w:rsidRPr="00A06F1E" w:rsidRDefault="00B607BD">
            <w:pPr>
              <w:pStyle w:val="TableColHeadingCenter"/>
              <w:spacing w:before="20" w:after="20"/>
            </w:pPr>
            <w:r w:rsidRPr="00A06F1E">
              <w:t>2023</w:t>
            </w:r>
          </w:p>
        </w:tc>
        <w:tc>
          <w:tcPr>
            <w:tcW w:w="458" w:type="pct"/>
            <w:vAlign w:val="center"/>
          </w:tcPr>
          <w:p w14:paraId="7FB31C46" w14:textId="77777777" w:rsidR="00B607BD" w:rsidRPr="00A06F1E" w:rsidRDefault="00B607BD">
            <w:pPr>
              <w:pStyle w:val="TableColHeadingCenter"/>
              <w:spacing w:before="20" w:after="20"/>
            </w:pPr>
            <w:r w:rsidRPr="00A06F1E">
              <w:t>State (2023)</w:t>
            </w:r>
          </w:p>
        </w:tc>
        <w:tc>
          <w:tcPr>
            <w:tcW w:w="458" w:type="pct"/>
            <w:vAlign w:val="center"/>
          </w:tcPr>
          <w:p w14:paraId="1550B446" w14:textId="77777777" w:rsidR="00B607BD" w:rsidRPr="00A06F1E" w:rsidRDefault="00B607BD">
            <w:pPr>
              <w:pStyle w:val="TableColHeadingCenter"/>
              <w:spacing w:before="20" w:after="20"/>
            </w:pPr>
            <w:r w:rsidRPr="00A06F1E">
              <w:t>2022</w:t>
            </w:r>
          </w:p>
        </w:tc>
        <w:tc>
          <w:tcPr>
            <w:tcW w:w="458" w:type="pct"/>
            <w:vAlign w:val="center"/>
          </w:tcPr>
          <w:p w14:paraId="5420AB3C" w14:textId="77777777" w:rsidR="00B607BD" w:rsidRPr="00A06F1E" w:rsidRDefault="00B607BD">
            <w:pPr>
              <w:pStyle w:val="TableColHeadingCenter"/>
              <w:spacing w:before="20" w:after="20"/>
            </w:pPr>
            <w:r w:rsidRPr="00A06F1E">
              <w:t>2023</w:t>
            </w:r>
          </w:p>
        </w:tc>
        <w:tc>
          <w:tcPr>
            <w:tcW w:w="459" w:type="pct"/>
            <w:vAlign w:val="center"/>
          </w:tcPr>
          <w:p w14:paraId="0455F36B" w14:textId="77777777" w:rsidR="00B607BD" w:rsidRPr="00A06F1E" w:rsidRDefault="00B607BD">
            <w:pPr>
              <w:pStyle w:val="TableColHeadingCenter"/>
              <w:spacing w:before="20" w:after="20"/>
            </w:pPr>
            <w:r w:rsidRPr="00A06F1E">
              <w:t>State (2023)</w:t>
            </w:r>
          </w:p>
        </w:tc>
      </w:tr>
      <w:tr w:rsidR="00B607BD" w:rsidRPr="00A06F1E" w14:paraId="09471407"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6132C08E"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5</w:t>
            </w:r>
          </w:p>
        </w:tc>
        <w:tc>
          <w:tcPr>
            <w:tcW w:w="458" w:type="pct"/>
            <w:vAlign w:val="center"/>
          </w:tcPr>
          <w:p w14:paraId="7311EC3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12</w:t>
            </w:r>
          </w:p>
        </w:tc>
        <w:tc>
          <w:tcPr>
            <w:tcW w:w="458" w:type="pct"/>
            <w:vAlign w:val="center"/>
          </w:tcPr>
          <w:p w14:paraId="119FD1A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50</w:t>
            </w:r>
          </w:p>
        </w:tc>
        <w:tc>
          <w:tcPr>
            <w:tcW w:w="458" w:type="pct"/>
            <w:vAlign w:val="center"/>
          </w:tcPr>
          <w:p w14:paraId="3B3A94DD"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33</w:t>
            </w:r>
          </w:p>
        </w:tc>
        <w:tc>
          <w:tcPr>
            <w:tcW w:w="458" w:type="pct"/>
            <w:vAlign w:val="center"/>
          </w:tcPr>
          <w:p w14:paraId="516DA7AB"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42</w:t>
            </w:r>
          </w:p>
        </w:tc>
        <w:tc>
          <w:tcPr>
            <w:tcW w:w="458" w:type="pct"/>
            <w:vAlign w:val="center"/>
          </w:tcPr>
          <w:p w14:paraId="76C62C9A"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44</w:t>
            </w:r>
          </w:p>
        </w:tc>
        <w:tc>
          <w:tcPr>
            <w:tcW w:w="459" w:type="pct"/>
            <w:vAlign w:val="center"/>
          </w:tcPr>
          <w:p w14:paraId="2BA9F5D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50</w:t>
            </w:r>
          </w:p>
        </w:tc>
        <w:tc>
          <w:tcPr>
            <w:tcW w:w="458" w:type="pct"/>
            <w:vAlign w:val="bottom"/>
          </w:tcPr>
          <w:p w14:paraId="324960D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vAlign w:val="center"/>
          </w:tcPr>
          <w:p w14:paraId="4416191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6</w:t>
            </w:r>
          </w:p>
        </w:tc>
        <w:tc>
          <w:tcPr>
            <w:tcW w:w="458" w:type="pct"/>
            <w:vAlign w:val="center"/>
          </w:tcPr>
          <w:p w14:paraId="1ECD452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17</w:t>
            </w:r>
          </w:p>
        </w:tc>
        <w:tc>
          <w:tcPr>
            <w:tcW w:w="459" w:type="pct"/>
            <w:vAlign w:val="bottom"/>
          </w:tcPr>
          <w:p w14:paraId="43E37D3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19</w:t>
            </w:r>
          </w:p>
        </w:tc>
      </w:tr>
      <w:tr w:rsidR="00B607BD" w:rsidRPr="00A06F1E" w14:paraId="296DD593" w14:textId="77777777" w:rsidTr="006D2709">
        <w:tc>
          <w:tcPr>
            <w:tcW w:w="418" w:type="pct"/>
          </w:tcPr>
          <w:p w14:paraId="06D805BF"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8</w:t>
            </w:r>
          </w:p>
        </w:tc>
        <w:tc>
          <w:tcPr>
            <w:tcW w:w="458" w:type="pct"/>
            <w:vAlign w:val="center"/>
          </w:tcPr>
          <w:p w14:paraId="28612284" w14:textId="1FFD9001"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3175E949" w14:textId="5D8A2A83"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13836C5D" w14:textId="188DCD9E"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33E0F345"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41</w:t>
            </w:r>
          </w:p>
        </w:tc>
        <w:tc>
          <w:tcPr>
            <w:tcW w:w="458" w:type="pct"/>
            <w:vAlign w:val="center"/>
          </w:tcPr>
          <w:p w14:paraId="57E15C7B" w14:textId="1315DAB4"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center"/>
          </w:tcPr>
          <w:p w14:paraId="7BA5C048" w14:textId="4873D6A0"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bottom"/>
          </w:tcPr>
          <w:p w14:paraId="20CE960D"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vAlign w:val="center"/>
          </w:tcPr>
          <w:p w14:paraId="305F28FF" w14:textId="1EFD8A8C"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4DB481EC" w14:textId="7FB8EF34"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bottom"/>
          </w:tcPr>
          <w:p w14:paraId="20E918E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19</w:t>
            </w:r>
          </w:p>
        </w:tc>
      </w:tr>
      <w:tr w:rsidR="00B607BD" w:rsidRPr="00A06F1E" w14:paraId="05EF5600"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75A738F3" w14:textId="77777777" w:rsidR="00B607BD" w:rsidRPr="00A06F1E" w:rsidRDefault="00B607BD">
            <w:pPr>
              <w:pStyle w:val="TableText"/>
              <w:spacing w:before="20" w:after="20"/>
              <w:jc w:val="center"/>
              <w:rPr>
                <w:rFonts w:ascii="Franklin Gothic Book" w:hAnsi="Franklin Gothic Book"/>
                <w:spacing w:val="-4"/>
              </w:rPr>
            </w:pPr>
            <w:r w:rsidRPr="00A06F1E">
              <w:rPr>
                <w:rFonts w:ascii="Franklin Gothic Book" w:hAnsi="Franklin Gothic Book"/>
                <w:spacing w:val="-4"/>
              </w:rPr>
              <w:t>5 and 8</w:t>
            </w:r>
          </w:p>
        </w:tc>
        <w:tc>
          <w:tcPr>
            <w:tcW w:w="458" w:type="pct"/>
            <w:vAlign w:val="center"/>
          </w:tcPr>
          <w:p w14:paraId="2B40A63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12</w:t>
            </w:r>
          </w:p>
        </w:tc>
        <w:tc>
          <w:tcPr>
            <w:tcW w:w="458" w:type="pct"/>
            <w:vAlign w:val="center"/>
          </w:tcPr>
          <w:p w14:paraId="6A360B42"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50</w:t>
            </w:r>
          </w:p>
        </w:tc>
        <w:tc>
          <w:tcPr>
            <w:tcW w:w="458" w:type="pct"/>
            <w:vAlign w:val="center"/>
          </w:tcPr>
          <w:p w14:paraId="365ADD6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33</w:t>
            </w:r>
          </w:p>
        </w:tc>
        <w:tc>
          <w:tcPr>
            <w:tcW w:w="458" w:type="pct"/>
            <w:vAlign w:val="center"/>
          </w:tcPr>
          <w:p w14:paraId="56ECD75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41</w:t>
            </w:r>
          </w:p>
        </w:tc>
        <w:tc>
          <w:tcPr>
            <w:tcW w:w="458" w:type="pct"/>
            <w:vAlign w:val="center"/>
          </w:tcPr>
          <w:p w14:paraId="570E0869"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44</w:t>
            </w:r>
          </w:p>
        </w:tc>
        <w:tc>
          <w:tcPr>
            <w:tcW w:w="459" w:type="pct"/>
            <w:vAlign w:val="center"/>
          </w:tcPr>
          <w:p w14:paraId="50657BE3"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50</w:t>
            </w:r>
          </w:p>
        </w:tc>
        <w:tc>
          <w:tcPr>
            <w:tcW w:w="458" w:type="pct"/>
            <w:vAlign w:val="bottom"/>
          </w:tcPr>
          <w:p w14:paraId="604E81D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vAlign w:val="center"/>
          </w:tcPr>
          <w:p w14:paraId="3ED7EEC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6</w:t>
            </w:r>
          </w:p>
        </w:tc>
        <w:tc>
          <w:tcPr>
            <w:tcW w:w="458" w:type="pct"/>
            <w:vAlign w:val="center"/>
          </w:tcPr>
          <w:p w14:paraId="7CF0CBD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17</w:t>
            </w:r>
          </w:p>
        </w:tc>
        <w:tc>
          <w:tcPr>
            <w:tcW w:w="459" w:type="pct"/>
            <w:vAlign w:val="bottom"/>
          </w:tcPr>
          <w:p w14:paraId="3CC8FF1A"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19</w:t>
            </w:r>
          </w:p>
        </w:tc>
      </w:tr>
      <w:tr w:rsidR="00B607BD" w:rsidRPr="00A06F1E" w14:paraId="1AC4A6B0" w14:textId="77777777" w:rsidTr="006D2709">
        <w:tc>
          <w:tcPr>
            <w:tcW w:w="418" w:type="pct"/>
          </w:tcPr>
          <w:p w14:paraId="49C2F167"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10</w:t>
            </w:r>
          </w:p>
        </w:tc>
        <w:tc>
          <w:tcPr>
            <w:tcW w:w="458" w:type="pct"/>
            <w:vAlign w:val="center"/>
          </w:tcPr>
          <w:p w14:paraId="56B3C71F" w14:textId="74BD8FA1"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49EACDC6" w14:textId="273C0981"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4FE4F2C8" w14:textId="454550A3"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1D42B1E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47</w:t>
            </w:r>
          </w:p>
        </w:tc>
        <w:tc>
          <w:tcPr>
            <w:tcW w:w="458" w:type="pct"/>
            <w:vAlign w:val="center"/>
          </w:tcPr>
          <w:p w14:paraId="22B0D80C" w14:textId="0F334E97"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center"/>
          </w:tcPr>
          <w:p w14:paraId="755CFD01" w14:textId="3E5AB45F"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bottom"/>
          </w:tcPr>
          <w:p w14:paraId="0B62F57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42</w:t>
            </w:r>
          </w:p>
        </w:tc>
        <w:tc>
          <w:tcPr>
            <w:tcW w:w="458" w:type="pct"/>
            <w:vAlign w:val="center"/>
          </w:tcPr>
          <w:p w14:paraId="6E70AC6D" w14:textId="38C67F39"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7393C0A3" w14:textId="320B77F6"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bottom"/>
          </w:tcPr>
          <w:p w14:paraId="065234EA"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11</w:t>
            </w:r>
          </w:p>
        </w:tc>
      </w:tr>
    </w:tbl>
    <w:p w14:paraId="548A74DB" w14:textId="2838C2A8" w:rsidR="00B607BD" w:rsidRPr="00A06F1E" w:rsidRDefault="00B607BD" w:rsidP="00B7722D">
      <w:pPr>
        <w:pStyle w:val="TabletitleSectionE"/>
      </w:pPr>
      <w:bookmarkStart w:id="284" w:name="_Toc170701967"/>
      <w:bookmarkStart w:id="285" w:name="_Toc171685804"/>
      <w:r w:rsidRPr="00A06F1E">
        <w:t>Table E9</w:t>
      </w:r>
      <w:r w:rsidR="00722940">
        <w:t>c</w:t>
      </w:r>
      <w:r w:rsidR="00A228CB" w:rsidRPr="00A06F1E">
        <w:t>. Mahar Regional</w:t>
      </w:r>
      <w:r w:rsidR="00F3532E" w:rsidRPr="00A06F1E">
        <w:t>:</w:t>
      </w:r>
      <w:r w:rsidRPr="00A06F1E">
        <w:t xml:space="preserve"> Next-Generation MCAS Science Achievement by Grade, 2022-2023</w:t>
      </w:r>
      <w:bookmarkEnd w:id="284"/>
      <w:bookmarkEnd w:id="285"/>
    </w:p>
    <w:tbl>
      <w:tblPr>
        <w:tblStyle w:val="MSVTable1"/>
        <w:tblW w:w="5000" w:type="pct"/>
        <w:tblLook w:val="0420" w:firstRow="1" w:lastRow="0" w:firstColumn="0" w:lastColumn="0" w:noHBand="0" w:noVBand="1"/>
      </w:tblPr>
      <w:tblGrid>
        <w:gridCol w:w="1081"/>
        <w:gridCol w:w="1185"/>
        <w:gridCol w:w="1186"/>
        <w:gridCol w:w="1186"/>
        <w:gridCol w:w="1186"/>
        <w:gridCol w:w="1186"/>
        <w:gridCol w:w="1188"/>
        <w:gridCol w:w="1186"/>
        <w:gridCol w:w="1186"/>
        <w:gridCol w:w="1186"/>
        <w:gridCol w:w="1188"/>
      </w:tblGrid>
      <w:tr w:rsidR="00B607BD" w:rsidRPr="00A06F1E" w14:paraId="0047CF44"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5EB1E127" w14:textId="77777777" w:rsidR="00B607BD" w:rsidRPr="00A06F1E" w:rsidRDefault="00B607BD">
            <w:pPr>
              <w:pStyle w:val="TableColHeadingLeft"/>
              <w:spacing w:before="20" w:after="20"/>
              <w:jc w:val="center"/>
            </w:pPr>
            <w:r w:rsidRPr="00A06F1E">
              <w:t>Grade</w:t>
            </w:r>
          </w:p>
        </w:tc>
        <w:tc>
          <w:tcPr>
            <w:tcW w:w="458" w:type="pct"/>
            <w:vMerge w:val="restart"/>
            <w:vAlign w:val="center"/>
          </w:tcPr>
          <w:p w14:paraId="69178F13" w14:textId="553E6A85" w:rsidR="00B607BD" w:rsidRPr="00A06F1E" w:rsidRDefault="00B607BD">
            <w:pPr>
              <w:pStyle w:val="TableColHeadingCenter"/>
              <w:spacing w:before="20" w:after="20"/>
            </w:pPr>
            <w:r w:rsidRPr="00A06F1E">
              <w:t xml:space="preserve"># </w:t>
            </w:r>
            <w:r w:rsidR="00320502" w:rsidRPr="00A06F1E">
              <w:t>i</w:t>
            </w:r>
            <w:r w:rsidRPr="00A06F1E">
              <w:t>ncluded (2023)</w:t>
            </w:r>
          </w:p>
        </w:tc>
        <w:tc>
          <w:tcPr>
            <w:tcW w:w="1374" w:type="pct"/>
            <w:gridSpan w:val="3"/>
            <w:vAlign w:val="bottom"/>
          </w:tcPr>
          <w:p w14:paraId="47D8BA0C" w14:textId="568965BA" w:rsidR="00B607BD" w:rsidRPr="00A06F1E" w:rsidRDefault="00A228CB">
            <w:pPr>
              <w:pStyle w:val="TableColHeadingCenter"/>
              <w:spacing w:before="20" w:after="20"/>
            </w:pPr>
            <w:r w:rsidRPr="00A06F1E">
              <w:t>Percentage</w:t>
            </w:r>
            <w:r w:rsidR="00B607BD" w:rsidRPr="00A06F1E">
              <w:t xml:space="preserve"> meeting or exceeding expectations</w:t>
            </w:r>
          </w:p>
        </w:tc>
        <w:tc>
          <w:tcPr>
            <w:tcW w:w="1375" w:type="pct"/>
            <w:gridSpan w:val="3"/>
            <w:vAlign w:val="center"/>
          </w:tcPr>
          <w:p w14:paraId="606638A5" w14:textId="7010829C" w:rsidR="00B607BD" w:rsidRPr="00A06F1E" w:rsidRDefault="00A228CB">
            <w:pPr>
              <w:pStyle w:val="TableColHeadingCenter"/>
              <w:spacing w:before="20" w:after="20"/>
            </w:pPr>
            <w:r w:rsidRPr="00A06F1E">
              <w:t>Percentage</w:t>
            </w:r>
            <w:r w:rsidR="00B607BD" w:rsidRPr="00A06F1E">
              <w:t xml:space="preserve"> partially meeting expectations</w:t>
            </w:r>
          </w:p>
        </w:tc>
        <w:tc>
          <w:tcPr>
            <w:tcW w:w="1375" w:type="pct"/>
            <w:gridSpan w:val="3"/>
            <w:vAlign w:val="center"/>
          </w:tcPr>
          <w:p w14:paraId="4C980D6C" w14:textId="446F860B" w:rsidR="00B607BD" w:rsidRPr="00A06F1E" w:rsidRDefault="00A228CB">
            <w:pPr>
              <w:pStyle w:val="TableColHeadingCenter"/>
              <w:spacing w:before="20" w:after="20"/>
            </w:pPr>
            <w:r w:rsidRPr="00A06F1E">
              <w:t>Percentage</w:t>
            </w:r>
            <w:r w:rsidR="00B607BD" w:rsidRPr="00A06F1E">
              <w:t xml:space="preserve"> not meeting expectations</w:t>
            </w:r>
          </w:p>
        </w:tc>
      </w:tr>
      <w:tr w:rsidR="00B607BD" w:rsidRPr="00A06F1E" w14:paraId="22590868" w14:textId="77777777" w:rsidTr="006D2709">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5DE70DD0" w14:textId="77777777" w:rsidR="00B607BD" w:rsidRPr="00A06F1E" w:rsidRDefault="00B607BD">
            <w:pPr>
              <w:pStyle w:val="TableColHeadingCenter"/>
              <w:spacing w:before="20" w:after="20"/>
            </w:pPr>
          </w:p>
        </w:tc>
        <w:tc>
          <w:tcPr>
            <w:tcW w:w="458" w:type="pct"/>
            <w:vMerge/>
            <w:vAlign w:val="bottom"/>
          </w:tcPr>
          <w:p w14:paraId="0409C18E" w14:textId="77777777" w:rsidR="00B607BD" w:rsidRPr="00A06F1E" w:rsidRDefault="00B607BD">
            <w:pPr>
              <w:pStyle w:val="TableColHeadingCenter"/>
              <w:spacing w:before="20" w:after="20"/>
            </w:pPr>
          </w:p>
        </w:tc>
        <w:tc>
          <w:tcPr>
            <w:tcW w:w="458" w:type="pct"/>
            <w:vAlign w:val="center"/>
          </w:tcPr>
          <w:p w14:paraId="0553100C" w14:textId="77777777" w:rsidR="00B607BD" w:rsidRPr="00A06F1E" w:rsidRDefault="00B607BD">
            <w:pPr>
              <w:pStyle w:val="TableColHeadingCenter"/>
              <w:spacing w:before="20" w:after="20"/>
            </w:pPr>
            <w:r w:rsidRPr="00A06F1E">
              <w:t>2022</w:t>
            </w:r>
          </w:p>
        </w:tc>
        <w:tc>
          <w:tcPr>
            <w:tcW w:w="458" w:type="pct"/>
            <w:vAlign w:val="center"/>
          </w:tcPr>
          <w:p w14:paraId="5E9B5D52" w14:textId="77777777" w:rsidR="00B607BD" w:rsidRPr="00A06F1E" w:rsidRDefault="00B607BD">
            <w:pPr>
              <w:pStyle w:val="TableColHeadingCenter"/>
              <w:spacing w:before="20" w:after="20"/>
            </w:pPr>
            <w:r w:rsidRPr="00A06F1E">
              <w:t>2023</w:t>
            </w:r>
          </w:p>
        </w:tc>
        <w:tc>
          <w:tcPr>
            <w:tcW w:w="458" w:type="pct"/>
            <w:vAlign w:val="center"/>
          </w:tcPr>
          <w:p w14:paraId="0957FF24" w14:textId="77777777" w:rsidR="00B607BD" w:rsidRPr="00A06F1E" w:rsidRDefault="00B607BD">
            <w:pPr>
              <w:pStyle w:val="TableColHeadingCenter"/>
              <w:spacing w:before="20" w:after="20"/>
            </w:pPr>
            <w:r w:rsidRPr="00A06F1E">
              <w:t>State (2023)</w:t>
            </w:r>
          </w:p>
        </w:tc>
        <w:tc>
          <w:tcPr>
            <w:tcW w:w="458" w:type="pct"/>
            <w:vAlign w:val="center"/>
          </w:tcPr>
          <w:p w14:paraId="0FE3AE38" w14:textId="77777777" w:rsidR="00B607BD" w:rsidRPr="00A06F1E" w:rsidRDefault="00B607BD">
            <w:pPr>
              <w:pStyle w:val="TableColHeadingCenter"/>
              <w:spacing w:before="20" w:after="20"/>
            </w:pPr>
            <w:r w:rsidRPr="00A06F1E">
              <w:t>2022</w:t>
            </w:r>
          </w:p>
        </w:tc>
        <w:tc>
          <w:tcPr>
            <w:tcW w:w="459" w:type="pct"/>
            <w:vAlign w:val="center"/>
          </w:tcPr>
          <w:p w14:paraId="2C9F5F47" w14:textId="77777777" w:rsidR="00B607BD" w:rsidRPr="00A06F1E" w:rsidRDefault="00B607BD">
            <w:pPr>
              <w:pStyle w:val="TableColHeadingCenter"/>
              <w:spacing w:before="20" w:after="20"/>
            </w:pPr>
            <w:r w:rsidRPr="00A06F1E">
              <w:t>2023</w:t>
            </w:r>
          </w:p>
        </w:tc>
        <w:tc>
          <w:tcPr>
            <w:tcW w:w="458" w:type="pct"/>
            <w:vAlign w:val="center"/>
          </w:tcPr>
          <w:p w14:paraId="791704D3" w14:textId="77777777" w:rsidR="00B607BD" w:rsidRPr="00A06F1E" w:rsidRDefault="00B607BD">
            <w:pPr>
              <w:pStyle w:val="TableColHeadingCenter"/>
              <w:spacing w:before="20" w:after="20"/>
            </w:pPr>
            <w:r w:rsidRPr="00A06F1E">
              <w:t>State (2023)</w:t>
            </w:r>
          </w:p>
        </w:tc>
        <w:tc>
          <w:tcPr>
            <w:tcW w:w="458" w:type="pct"/>
            <w:vAlign w:val="center"/>
          </w:tcPr>
          <w:p w14:paraId="03211149" w14:textId="77777777" w:rsidR="00B607BD" w:rsidRPr="00A06F1E" w:rsidRDefault="00B607BD">
            <w:pPr>
              <w:pStyle w:val="TableColHeadingCenter"/>
              <w:spacing w:before="20" w:after="20"/>
            </w:pPr>
            <w:r w:rsidRPr="00A06F1E">
              <w:t>2022</w:t>
            </w:r>
          </w:p>
        </w:tc>
        <w:tc>
          <w:tcPr>
            <w:tcW w:w="458" w:type="pct"/>
            <w:vAlign w:val="center"/>
          </w:tcPr>
          <w:p w14:paraId="26A0D019" w14:textId="77777777" w:rsidR="00B607BD" w:rsidRPr="00A06F1E" w:rsidRDefault="00B607BD">
            <w:pPr>
              <w:pStyle w:val="TableColHeadingCenter"/>
              <w:spacing w:before="20" w:after="20"/>
            </w:pPr>
            <w:r w:rsidRPr="00A06F1E">
              <w:t>2023</w:t>
            </w:r>
          </w:p>
        </w:tc>
        <w:tc>
          <w:tcPr>
            <w:tcW w:w="459" w:type="pct"/>
            <w:vAlign w:val="center"/>
          </w:tcPr>
          <w:p w14:paraId="025C19DE" w14:textId="77777777" w:rsidR="00B607BD" w:rsidRPr="00A06F1E" w:rsidRDefault="00B607BD">
            <w:pPr>
              <w:pStyle w:val="TableColHeadingCenter"/>
              <w:spacing w:before="20" w:after="20"/>
            </w:pPr>
            <w:r w:rsidRPr="00A06F1E">
              <w:t>State (2023)</w:t>
            </w:r>
          </w:p>
        </w:tc>
      </w:tr>
      <w:tr w:rsidR="00B607BD" w:rsidRPr="00A06F1E" w14:paraId="66955C9D"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4CA43E72"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5</w:t>
            </w:r>
          </w:p>
        </w:tc>
        <w:tc>
          <w:tcPr>
            <w:tcW w:w="458" w:type="pct"/>
            <w:vAlign w:val="center"/>
          </w:tcPr>
          <w:p w14:paraId="53FC82E4" w14:textId="05763914"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193638C0" w14:textId="23786904"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502BE202" w14:textId="5D61937F"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3E8A52C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42</w:t>
            </w:r>
          </w:p>
        </w:tc>
        <w:tc>
          <w:tcPr>
            <w:tcW w:w="458" w:type="pct"/>
            <w:vAlign w:val="center"/>
          </w:tcPr>
          <w:p w14:paraId="5B964CEC" w14:textId="03644F33"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center"/>
          </w:tcPr>
          <w:p w14:paraId="3011CF27" w14:textId="3A3F05C2"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bottom"/>
          </w:tcPr>
          <w:p w14:paraId="3644E7B5"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vAlign w:val="center"/>
          </w:tcPr>
          <w:p w14:paraId="0C79CABF" w14:textId="1ECCC017"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8" w:type="pct"/>
            <w:vAlign w:val="center"/>
          </w:tcPr>
          <w:p w14:paraId="3763B982" w14:textId="2FF1F950" w:rsidR="00B607BD" w:rsidRPr="00A06F1E" w:rsidRDefault="00805266">
            <w:pPr>
              <w:pStyle w:val="TableTextCentered"/>
              <w:spacing w:before="20" w:after="20"/>
              <w:rPr>
                <w:rFonts w:ascii="Franklin Gothic Book" w:hAnsi="Franklin Gothic Book"/>
              </w:rPr>
            </w:pPr>
            <w:r w:rsidRPr="00A06F1E">
              <w:rPr>
                <w:rFonts w:ascii="Franklin Gothic Book" w:hAnsi="Franklin Gothic Book" w:cs="Calibri"/>
              </w:rPr>
              <w:t>—</w:t>
            </w:r>
          </w:p>
        </w:tc>
        <w:tc>
          <w:tcPr>
            <w:tcW w:w="459" w:type="pct"/>
            <w:vAlign w:val="bottom"/>
          </w:tcPr>
          <w:p w14:paraId="07D08BF1"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19</w:t>
            </w:r>
          </w:p>
        </w:tc>
      </w:tr>
      <w:tr w:rsidR="00B607BD" w:rsidRPr="00A06F1E" w14:paraId="06523EBA" w14:textId="77777777" w:rsidTr="006D2709">
        <w:tc>
          <w:tcPr>
            <w:tcW w:w="418" w:type="pct"/>
          </w:tcPr>
          <w:p w14:paraId="0B0ED87E"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8</w:t>
            </w:r>
          </w:p>
        </w:tc>
        <w:tc>
          <w:tcPr>
            <w:tcW w:w="458" w:type="pct"/>
            <w:vAlign w:val="center"/>
          </w:tcPr>
          <w:p w14:paraId="53940B0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97</w:t>
            </w:r>
          </w:p>
        </w:tc>
        <w:tc>
          <w:tcPr>
            <w:tcW w:w="458" w:type="pct"/>
            <w:vAlign w:val="center"/>
          </w:tcPr>
          <w:p w14:paraId="7176E5CD"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37</w:t>
            </w:r>
          </w:p>
        </w:tc>
        <w:tc>
          <w:tcPr>
            <w:tcW w:w="458" w:type="pct"/>
            <w:vAlign w:val="center"/>
          </w:tcPr>
          <w:p w14:paraId="795ACB6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45</w:t>
            </w:r>
          </w:p>
        </w:tc>
        <w:tc>
          <w:tcPr>
            <w:tcW w:w="458" w:type="pct"/>
            <w:vAlign w:val="center"/>
          </w:tcPr>
          <w:p w14:paraId="2B3A17D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41</w:t>
            </w:r>
          </w:p>
        </w:tc>
        <w:tc>
          <w:tcPr>
            <w:tcW w:w="458" w:type="pct"/>
            <w:vAlign w:val="center"/>
          </w:tcPr>
          <w:p w14:paraId="6EB182D2"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42</w:t>
            </w:r>
          </w:p>
        </w:tc>
        <w:tc>
          <w:tcPr>
            <w:tcW w:w="459" w:type="pct"/>
            <w:vAlign w:val="center"/>
          </w:tcPr>
          <w:p w14:paraId="2AF4ABD3"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38</w:t>
            </w:r>
          </w:p>
        </w:tc>
        <w:tc>
          <w:tcPr>
            <w:tcW w:w="458" w:type="pct"/>
            <w:vAlign w:val="bottom"/>
          </w:tcPr>
          <w:p w14:paraId="0770891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vAlign w:val="center"/>
          </w:tcPr>
          <w:p w14:paraId="0348A74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21</w:t>
            </w:r>
          </w:p>
        </w:tc>
        <w:tc>
          <w:tcPr>
            <w:tcW w:w="458" w:type="pct"/>
            <w:vAlign w:val="center"/>
          </w:tcPr>
          <w:p w14:paraId="154619CD"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16</w:t>
            </w:r>
          </w:p>
        </w:tc>
        <w:tc>
          <w:tcPr>
            <w:tcW w:w="459" w:type="pct"/>
            <w:vAlign w:val="bottom"/>
          </w:tcPr>
          <w:p w14:paraId="3D587A22"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19</w:t>
            </w:r>
          </w:p>
        </w:tc>
      </w:tr>
      <w:tr w:rsidR="00B607BD" w:rsidRPr="00A06F1E" w14:paraId="4CDC1D1A" w14:textId="77777777" w:rsidTr="006D2709">
        <w:trPr>
          <w:cnfStyle w:val="000000100000" w:firstRow="0" w:lastRow="0" w:firstColumn="0" w:lastColumn="0" w:oddVBand="0" w:evenVBand="0" w:oddHBand="1" w:evenHBand="0" w:firstRowFirstColumn="0" w:firstRowLastColumn="0" w:lastRowFirstColumn="0" w:lastRowLastColumn="0"/>
        </w:trPr>
        <w:tc>
          <w:tcPr>
            <w:tcW w:w="418" w:type="pct"/>
          </w:tcPr>
          <w:p w14:paraId="1C3D06EA" w14:textId="77777777" w:rsidR="00B607BD" w:rsidRPr="00A06F1E" w:rsidRDefault="00B607BD">
            <w:pPr>
              <w:pStyle w:val="TableText"/>
              <w:spacing w:before="20" w:after="20"/>
              <w:jc w:val="center"/>
              <w:rPr>
                <w:rFonts w:ascii="Franklin Gothic Book" w:hAnsi="Franklin Gothic Book"/>
                <w:spacing w:val="-4"/>
              </w:rPr>
            </w:pPr>
            <w:r w:rsidRPr="00A06F1E">
              <w:rPr>
                <w:rFonts w:ascii="Franklin Gothic Book" w:hAnsi="Franklin Gothic Book"/>
                <w:spacing w:val="-4"/>
              </w:rPr>
              <w:t>5 and 8</w:t>
            </w:r>
          </w:p>
        </w:tc>
        <w:tc>
          <w:tcPr>
            <w:tcW w:w="458" w:type="pct"/>
            <w:vAlign w:val="center"/>
          </w:tcPr>
          <w:p w14:paraId="6C3F1253"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97</w:t>
            </w:r>
          </w:p>
        </w:tc>
        <w:tc>
          <w:tcPr>
            <w:tcW w:w="458" w:type="pct"/>
            <w:vAlign w:val="center"/>
          </w:tcPr>
          <w:p w14:paraId="4AAEF9C1"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37</w:t>
            </w:r>
          </w:p>
        </w:tc>
        <w:tc>
          <w:tcPr>
            <w:tcW w:w="458" w:type="pct"/>
            <w:vAlign w:val="center"/>
          </w:tcPr>
          <w:p w14:paraId="35B047D7"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45</w:t>
            </w:r>
          </w:p>
        </w:tc>
        <w:tc>
          <w:tcPr>
            <w:tcW w:w="458" w:type="pct"/>
            <w:vAlign w:val="center"/>
          </w:tcPr>
          <w:p w14:paraId="46C0DE11"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41</w:t>
            </w:r>
          </w:p>
        </w:tc>
        <w:tc>
          <w:tcPr>
            <w:tcW w:w="458" w:type="pct"/>
            <w:vAlign w:val="center"/>
          </w:tcPr>
          <w:p w14:paraId="70141FA5"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42</w:t>
            </w:r>
          </w:p>
        </w:tc>
        <w:tc>
          <w:tcPr>
            <w:tcW w:w="459" w:type="pct"/>
            <w:vAlign w:val="center"/>
          </w:tcPr>
          <w:p w14:paraId="4F0EE53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38</w:t>
            </w:r>
          </w:p>
        </w:tc>
        <w:tc>
          <w:tcPr>
            <w:tcW w:w="458" w:type="pct"/>
            <w:vAlign w:val="bottom"/>
          </w:tcPr>
          <w:p w14:paraId="097D4F5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40</w:t>
            </w:r>
          </w:p>
        </w:tc>
        <w:tc>
          <w:tcPr>
            <w:tcW w:w="458" w:type="pct"/>
            <w:vAlign w:val="center"/>
          </w:tcPr>
          <w:p w14:paraId="275AACC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21</w:t>
            </w:r>
          </w:p>
        </w:tc>
        <w:tc>
          <w:tcPr>
            <w:tcW w:w="458" w:type="pct"/>
            <w:vAlign w:val="center"/>
          </w:tcPr>
          <w:p w14:paraId="5CA424A4"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16</w:t>
            </w:r>
          </w:p>
        </w:tc>
        <w:tc>
          <w:tcPr>
            <w:tcW w:w="459" w:type="pct"/>
            <w:vAlign w:val="bottom"/>
          </w:tcPr>
          <w:p w14:paraId="201E7E33"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19</w:t>
            </w:r>
          </w:p>
        </w:tc>
      </w:tr>
      <w:tr w:rsidR="00B607BD" w:rsidRPr="00A06F1E" w14:paraId="231F5A8F" w14:textId="77777777" w:rsidTr="006D2709">
        <w:tc>
          <w:tcPr>
            <w:tcW w:w="418" w:type="pct"/>
          </w:tcPr>
          <w:p w14:paraId="33555F97" w14:textId="77777777" w:rsidR="00B607BD" w:rsidRPr="00A06F1E" w:rsidRDefault="00B607BD">
            <w:pPr>
              <w:pStyle w:val="TableText"/>
              <w:spacing w:before="20" w:after="20"/>
              <w:jc w:val="center"/>
              <w:rPr>
                <w:rFonts w:ascii="Franklin Gothic Book" w:hAnsi="Franklin Gothic Book"/>
              </w:rPr>
            </w:pPr>
            <w:r w:rsidRPr="00A06F1E">
              <w:rPr>
                <w:rFonts w:ascii="Franklin Gothic Book" w:hAnsi="Franklin Gothic Book"/>
              </w:rPr>
              <w:t>10</w:t>
            </w:r>
          </w:p>
        </w:tc>
        <w:tc>
          <w:tcPr>
            <w:tcW w:w="458" w:type="pct"/>
            <w:vAlign w:val="center"/>
          </w:tcPr>
          <w:p w14:paraId="6D40E1F8"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71</w:t>
            </w:r>
          </w:p>
        </w:tc>
        <w:tc>
          <w:tcPr>
            <w:tcW w:w="458" w:type="pct"/>
            <w:vAlign w:val="center"/>
          </w:tcPr>
          <w:p w14:paraId="6D29D72F"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37</w:t>
            </w:r>
          </w:p>
        </w:tc>
        <w:tc>
          <w:tcPr>
            <w:tcW w:w="458" w:type="pct"/>
            <w:vAlign w:val="center"/>
          </w:tcPr>
          <w:p w14:paraId="79311C15"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23</w:t>
            </w:r>
          </w:p>
        </w:tc>
        <w:tc>
          <w:tcPr>
            <w:tcW w:w="458" w:type="pct"/>
            <w:vAlign w:val="center"/>
          </w:tcPr>
          <w:p w14:paraId="6C0F552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47</w:t>
            </w:r>
          </w:p>
        </w:tc>
        <w:tc>
          <w:tcPr>
            <w:tcW w:w="458" w:type="pct"/>
            <w:vAlign w:val="center"/>
          </w:tcPr>
          <w:p w14:paraId="2341A47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55</w:t>
            </w:r>
          </w:p>
        </w:tc>
        <w:tc>
          <w:tcPr>
            <w:tcW w:w="459" w:type="pct"/>
            <w:vAlign w:val="center"/>
          </w:tcPr>
          <w:p w14:paraId="284E2140"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72</w:t>
            </w:r>
          </w:p>
        </w:tc>
        <w:tc>
          <w:tcPr>
            <w:tcW w:w="458" w:type="pct"/>
            <w:vAlign w:val="bottom"/>
          </w:tcPr>
          <w:p w14:paraId="585E4F71"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42</w:t>
            </w:r>
          </w:p>
        </w:tc>
        <w:tc>
          <w:tcPr>
            <w:tcW w:w="458" w:type="pct"/>
            <w:vAlign w:val="center"/>
          </w:tcPr>
          <w:p w14:paraId="351A8EEC"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8</w:t>
            </w:r>
          </w:p>
        </w:tc>
        <w:tc>
          <w:tcPr>
            <w:tcW w:w="458" w:type="pct"/>
            <w:vAlign w:val="center"/>
          </w:tcPr>
          <w:p w14:paraId="56E9CAA6"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cs="Calibri"/>
              </w:rPr>
              <w:t>6</w:t>
            </w:r>
          </w:p>
        </w:tc>
        <w:tc>
          <w:tcPr>
            <w:tcW w:w="459" w:type="pct"/>
            <w:vAlign w:val="bottom"/>
          </w:tcPr>
          <w:p w14:paraId="6210371E" w14:textId="77777777" w:rsidR="00B607BD" w:rsidRPr="00A06F1E" w:rsidRDefault="00B607BD">
            <w:pPr>
              <w:pStyle w:val="TableTextCentered"/>
              <w:spacing w:before="20" w:after="20"/>
              <w:rPr>
                <w:rFonts w:ascii="Franklin Gothic Book" w:hAnsi="Franklin Gothic Book"/>
              </w:rPr>
            </w:pPr>
            <w:r w:rsidRPr="00A06F1E">
              <w:rPr>
                <w:rFonts w:ascii="Franklin Gothic Book" w:hAnsi="Franklin Gothic Book"/>
              </w:rPr>
              <w:t>11</w:t>
            </w:r>
          </w:p>
        </w:tc>
      </w:tr>
    </w:tbl>
    <w:p w14:paraId="04E1DF91" w14:textId="77777777" w:rsidR="00B607BD" w:rsidRPr="00A06F1E" w:rsidRDefault="00B607BD" w:rsidP="00B607BD">
      <w:pPr>
        <w:spacing w:line="240" w:lineRule="auto"/>
        <w:rPr>
          <w:rFonts w:ascii="Franklin Gothic Book" w:hAnsi="Franklin Gothic Book"/>
          <w:sz w:val="20"/>
          <w:szCs w:val="20"/>
        </w:rPr>
      </w:pPr>
    </w:p>
    <w:p w14:paraId="684A7951" w14:textId="77777777" w:rsidR="00B607BD" w:rsidRPr="00A06F1E" w:rsidRDefault="00B607BD" w:rsidP="00B607BD">
      <w:pPr>
        <w:spacing w:line="240" w:lineRule="auto"/>
        <w:rPr>
          <w:rFonts w:ascii="Franklin Gothic Book" w:hAnsi="Franklin Gothic Book"/>
          <w:sz w:val="20"/>
          <w:szCs w:val="20"/>
        </w:rPr>
      </w:pPr>
    </w:p>
    <w:p w14:paraId="0C1D08BF" w14:textId="77777777" w:rsidR="00B607BD" w:rsidRPr="00A06F1E" w:rsidRDefault="00B607BD" w:rsidP="00B607BD">
      <w:pPr>
        <w:spacing w:after="160" w:line="259" w:lineRule="auto"/>
        <w:rPr>
          <w:rFonts w:ascii="Franklin Gothic Book" w:hAnsi="Franklin Gothic Book"/>
          <w:sz w:val="20"/>
          <w:szCs w:val="20"/>
        </w:rPr>
        <w:sectPr w:rsidR="00B607BD" w:rsidRPr="00A06F1E" w:rsidSect="00BC061B">
          <w:footerReference w:type="default" r:id="rId110"/>
          <w:pgSz w:w="15840" w:h="12240" w:orient="landscape"/>
          <w:pgMar w:top="1440" w:right="1440" w:bottom="1440" w:left="1440" w:header="720" w:footer="720" w:gutter="0"/>
          <w:pgNumType w:start="1"/>
          <w:cols w:space="720"/>
          <w:docGrid w:linePitch="360"/>
        </w:sectPr>
      </w:pPr>
      <w:r w:rsidRPr="00A06F1E">
        <w:rPr>
          <w:rFonts w:ascii="Franklin Gothic Book" w:hAnsi="Franklin Gothic Book"/>
          <w:sz w:val="20"/>
          <w:szCs w:val="20"/>
        </w:rPr>
        <w:br w:type="page"/>
      </w:r>
    </w:p>
    <w:p w14:paraId="06AB0F78" w14:textId="18DC140B" w:rsidR="00B607BD" w:rsidRPr="00A06F1E" w:rsidRDefault="00B607BD" w:rsidP="00B7722D">
      <w:pPr>
        <w:pStyle w:val="TabletitleSectionE"/>
        <w:spacing w:before="0"/>
      </w:pPr>
      <w:bookmarkStart w:id="286" w:name="_Toc170701968"/>
      <w:bookmarkStart w:id="287" w:name="_Toc171685805"/>
      <w:r w:rsidRPr="00A06F1E">
        <w:lastRenderedPageBreak/>
        <w:t>Table E10</w:t>
      </w:r>
      <w:r w:rsidR="00722940">
        <w:t>a</w:t>
      </w:r>
      <w:r w:rsidR="00CE00AC" w:rsidRPr="00A06F1E">
        <w:t xml:space="preserve">. </w:t>
      </w:r>
      <w:r w:rsidR="00CF4F71">
        <w:rPr>
          <w:spacing w:val="-2"/>
        </w:rPr>
        <w:t>Fisher Hill</w:t>
      </w:r>
      <w:r w:rsidR="00F3532E" w:rsidRPr="00A06F1E">
        <w:rPr>
          <w:spacing w:val="-2"/>
        </w:rPr>
        <w:t>:</w:t>
      </w:r>
      <w:r w:rsidRPr="00A06F1E">
        <w:rPr>
          <w:spacing w:val="-2"/>
        </w:rPr>
        <w:t xml:space="preserve"> Next-Generation MCAS ELA Mean </w:t>
      </w:r>
      <w:r w:rsidR="003A7C1C" w:rsidRPr="00A06F1E">
        <w:rPr>
          <w:spacing w:val="-2"/>
        </w:rPr>
        <w:t>SGP</w:t>
      </w:r>
      <w:r w:rsidRPr="00A06F1E">
        <w:rPr>
          <w:spacing w:val="-2"/>
        </w:rPr>
        <w:t xml:space="preserve"> by Student Group, Grades 3-8, </w:t>
      </w:r>
      <w:r w:rsidRPr="00A06F1E">
        <w:t>2022-2023</w:t>
      </w:r>
      <w:bookmarkEnd w:id="286"/>
      <w:bookmarkEnd w:id="287"/>
    </w:p>
    <w:tbl>
      <w:tblPr>
        <w:tblStyle w:val="MSVTable1"/>
        <w:tblW w:w="5000" w:type="pct"/>
        <w:tblLook w:val="0420" w:firstRow="1" w:lastRow="0" w:firstColumn="0" w:lastColumn="0" w:noHBand="0" w:noVBand="1"/>
      </w:tblPr>
      <w:tblGrid>
        <w:gridCol w:w="3232"/>
        <w:gridCol w:w="1530"/>
        <w:gridCol w:w="1530"/>
        <w:gridCol w:w="1530"/>
        <w:gridCol w:w="1522"/>
      </w:tblGrid>
      <w:tr w:rsidR="00B607BD" w:rsidRPr="00A06F1E" w14:paraId="7E761CBD"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6B7D13C2" w14:textId="77777777" w:rsidR="00B607BD" w:rsidRPr="00A06F1E" w:rsidRDefault="00B607BD">
            <w:pPr>
              <w:pStyle w:val="TableColHeadingLeft"/>
              <w:jc w:val="center"/>
            </w:pPr>
            <w:r w:rsidRPr="00A06F1E">
              <w:t>Group</w:t>
            </w:r>
          </w:p>
        </w:tc>
        <w:tc>
          <w:tcPr>
            <w:tcW w:w="1530" w:type="dxa"/>
            <w:vAlign w:val="center"/>
          </w:tcPr>
          <w:p w14:paraId="386BD6EA" w14:textId="01836F1A" w:rsidR="00B607BD" w:rsidRPr="00A06F1E" w:rsidRDefault="00B607BD">
            <w:pPr>
              <w:pStyle w:val="TableColHeadingCenter"/>
            </w:pPr>
            <w:r w:rsidRPr="00A06F1E">
              <w:t xml:space="preserve"># </w:t>
            </w:r>
            <w:r w:rsidR="00FF1146" w:rsidRPr="00A06F1E">
              <w:t>included</w:t>
            </w:r>
            <w:r w:rsidRPr="00A06F1E">
              <w:t xml:space="preserve"> (2023)</w:t>
            </w:r>
          </w:p>
        </w:tc>
        <w:tc>
          <w:tcPr>
            <w:tcW w:w="1530" w:type="dxa"/>
            <w:vAlign w:val="center"/>
          </w:tcPr>
          <w:p w14:paraId="1C2095F8" w14:textId="77777777" w:rsidR="00B607BD" w:rsidRPr="00A06F1E" w:rsidRDefault="00B607BD">
            <w:pPr>
              <w:pStyle w:val="TableColHeadingCenter"/>
            </w:pPr>
            <w:r w:rsidRPr="00A06F1E">
              <w:t>2022</w:t>
            </w:r>
          </w:p>
        </w:tc>
        <w:tc>
          <w:tcPr>
            <w:tcW w:w="1530" w:type="dxa"/>
            <w:vAlign w:val="center"/>
          </w:tcPr>
          <w:p w14:paraId="2925FF19" w14:textId="77777777" w:rsidR="00B607BD" w:rsidRPr="00A06F1E" w:rsidRDefault="00B607BD">
            <w:pPr>
              <w:pStyle w:val="TableColHeadingCenter"/>
            </w:pPr>
            <w:r w:rsidRPr="00A06F1E">
              <w:t>2023</w:t>
            </w:r>
          </w:p>
        </w:tc>
        <w:tc>
          <w:tcPr>
            <w:tcW w:w="1522" w:type="dxa"/>
            <w:vAlign w:val="center"/>
          </w:tcPr>
          <w:p w14:paraId="31B817CF" w14:textId="77777777" w:rsidR="00B607BD" w:rsidRPr="00A06F1E" w:rsidRDefault="00B607BD">
            <w:pPr>
              <w:pStyle w:val="TableColHeadingCenter"/>
            </w:pPr>
            <w:r w:rsidRPr="00A06F1E">
              <w:t>State (2023)</w:t>
            </w:r>
          </w:p>
        </w:tc>
      </w:tr>
      <w:tr w:rsidR="00B607BD" w:rsidRPr="00A06F1E" w14:paraId="1A37E1E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43975E0" w14:textId="77777777" w:rsidR="00B607BD" w:rsidRPr="00A06F1E" w:rsidRDefault="00B607BD">
            <w:pPr>
              <w:pStyle w:val="TableText"/>
              <w:rPr>
                <w:rFonts w:ascii="Franklin Gothic Book" w:hAnsi="Franklin Gothic Book"/>
              </w:rPr>
            </w:pPr>
            <w:r w:rsidRPr="00A06F1E">
              <w:rPr>
                <w:rFonts w:ascii="Franklin Gothic Book" w:hAnsi="Franklin Gothic Book"/>
              </w:rPr>
              <w:t>All students</w:t>
            </w:r>
          </w:p>
        </w:tc>
        <w:tc>
          <w:tcPr>
            <w:tcW w:w="1530" w:type="dxa"/>
            <w:vAlign w:val="center"/>
          </w:tcPr>
          <w:p w14:paraId="7B6BC58C"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189</w:t>
            </w:r>
          </w:p>
        </w:tc>
        <w:tc>
          <w:tcPr>
            <w:tcW w:w="1530" w:type="dxa"/>
            <w:vAlign w:val="center"/>
          </w:tcPr>
          <w:p w14:paraId="70868E62"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41.8</w:t>
            </w:r>
          </w:p>
        </w:tc>
        <w:tc>
          <w:tcPr>
            <w:tcW w:w="1530" w:type="dxa"/>
            <w:vAlign w:val="center"/>
          </w:tcPr>
          <w:p w14:paraId="75112F9F"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46.9</w:t>
            </w:r>
          </w:p>
        </w:tc>
        <w:tc>
          <w:tcPr>
            <w:tcW w:w="1522" w:type="dxa"/>
            <w:vAlign w:val="center"/>
          </w:tcPr>
          <w:p w14:paraId="2F5CE7DD"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49.7</w:t>
            </w:r>
          </w:p>
        </w:tc>
      </w:tr>
      <w:tr w:rsidR="00B607BD" w:rsidRPr="00A06F1E" w14:paraId="75728F9A" w14:textId="77777777">
        <w:tc>
          <w:tcPr>
            <w:tcW w:w="3232" w:type="dxa"/>
          </w:tcPr>
          <w:p w14:paraId="6CE3165D" w14:textId="77777777" w:rsidR="00B607BD" w:rsidRPr="00A06F1E" w:rsidRDefault="00B607BD">
            <w:pPr>
              <w:pStyle w:val="TableText"/>
              <w:rPr>
                <w:rFonts w:ascii="Franklin Gothic Book" w:hAnsi="Franklin Gothic Book"/>
              </w:rPr>
            </w:pPr>
            <w:r w:rsidRPr="00A06F1E">
              <w:rPr>
                <w:rFonts w:ascii="Franklin Gothic Book" w:hAnsi="Franklin Gothic Book"/>
              </w:rPr>
              <w:t>African American/Black</w:t>
            </w:r>
          </w:p>
        </w:tc>
        <w:tc>
          <w:tcPr>
            <w:tcW w:w="1530" w:type="dxa"/>
            <w:vAlign w:val="center"/>
          </w:tcPr>
          <w:p w14:paraId="5EDDE2BF" w14:textId="2A49F597"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0150A80F" w14:textId="725F5DB9"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0E4C05CB" w14:textId="4F9B6C91"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1586F50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48.0</w:t>
            </w:r>
          </w:p>
        </w:tc>
      </w:tr>
      <w:tr w:rsidR="00B607BD" w:rsidRPr="00A06F1E" w14:paraId="1A712EE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6FBF3C7" w14:textId="77777777" w:rsidR="00B607BD" w:rsidRPr="00A06F1E" w:rsidRDefault="00B607BD">
            <w:pPr>
              <w:pStyle w:val="TableText"/>
              <w:rPr>
                <w:rFonts w:ascii="Franklin Gothic Book" w:hAnsi="Franklin Gothic Book"/>
              </w:rPr>
            </w:pPr>
            <w:r w:rsidRPr="00A06F1E">
              <w:rPr>
                <w:rFonts w:ascii="Franklin Gothic Book" w:hAnsi="Franklin Gothic Book"/>
              </w:rPr>
              <w:t>Asian</w:t>
            </w:r>
          </w:p>
        </w:tc>
        <w:tc>
          <w:tcPr>
            <w:tcW w:w="1530" w:type="dxa"/>
            <w:vAlign w:val="center"/>
          </w:tcPr>
          <w:p w14:paraId="4AC40005" w14:textId="18A0DD8E"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5C419AC7" w14:textId="6E60531F"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5BDBB1C3" w14:textId="0061B17E"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163F6E2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56.4</w:t>
            </w:r>
          </w:p>
        </w:tc>
      </w:tr>
      <w:tr w:rsidR="00B607BD" w:rsidRPr="00A06F1E" w14:paraId="45EC1346" w14:textId="77777777">
        <w:tc>
          <w:tcPr>
            <w:tcW w:w="3232" w:type="dxa"/>
          </w:tcPr>
          <w:p w14:paraId="0321F765" w14:textId="77777777" w:rsidR="00B607BD" w:rsidRPr="00A06F1E" w:rsidRDefault="00B607BD">
            <w:pPr>
              <w:pStyle w:val="TableText"/>
              <w:rPr>
                <w:rFonts w:ascii="Franklin Gothic Book" w:hAnsi="Franklin Gothic Book"/>
              </w:rPr>
            </w:pPr>
            <w:r w:rsidRPr="00A06F1E">
              <w:rPr>
                <w:rFonts w:ascii="Franklin Gothic Book" w:hAnsi="Franklin Gothic Book"/>
              </w:rPr>
              <w:t>Hispanic/Latino</w:t>
            </w:r>
          </w:p>
        </w:tc>
        <w:tc>
          <w:tcPr>
            <w:tcW w:w="1530" w:type="dxa"/>
            <w:vAlign w:val="center"/>
          </w:tcPr>
          <w:p w14:paraId="491C8122"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18</w:t>
            </w:r>
          </w:p>
        </w:tc>
        <w:tc>
          <w:tcPr>
            <w:tcW w:w="1530" w:type="dxa"/>
            <w:vAlign w:val="center"/>
          </w:tcPr>
          <w:p w14:paraId="6592CBF8"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33.9</w:t>
            </w:r>
          </w:p>
        </w:tc>
        <w:tc>
          <w:tcPr>
            <w:tcW w:w="1530" w:type="dxa"/>
            <w:vAlign w:val="center"/>
          </w:tcPr>
          <w:p w14:paraId="4BA7D909" w14:textId="3EE2F189"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013E1659"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47.5</w:t>
            </w:r>
          </w:p>
        </w:tc>
      </w:tr>
      <w:tr w:rsidR="00B607BD" w:rsidRPr="00A06F1E" w14:paraId="4E4A8A8C"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CAC2E17" w14:textId="77777777" w:rsidR="00B607BD" w:rsidRPr="00A06F1E" w:rsidRDefault="00B607BD">
            <w:pPr>
              <w:pStyle w:val="TableText"/>
              <w:rPr>
                <w:rFonts w:ascii="Franklin Gothic Book" w:hAnsi="Franklin Gothic Book"/>
              </w:rPr>
            </w:pPr>
            <w:r w:rsidRPr="00A06F1E">
              <w:rPr>
                <w:rFonts w:ascii="Franklin Gothic Book" w:hAnsi="Franklin Gothic Book"/>
              </w:rPr>
              <w:t>Multi-Race, non-Hispanic/Latino</w:t>
            </w:r>
          </w:p>
        </w:tc>
        <w:tc>
          <w:tcPr>
            <w:tcW w:w="1530" w:type="dxa"/>
            <w:vAlign w:val="center"/>
          </w:tcPr>
          <w:p w14:paraId="4470D62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9</w:t>
            </w:r>
          </w:p>
        </w:tc>
        <w:tc>
          <w:tcPr>
            <w:tcW w:w="1530" w:type="dxa"/>
            <w:vAlign w:val="center"/>
          </w:tcPr>
          <w:p w14:paraId="37D3D5E1" w14:textId="2358E88B"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54C0F86C" w14:textId="24DDE135"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0A071F5B"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50.0</w:t>
            </w:r>
          </w:p>
        </w:tc>
      </w:tr>
      <w:tr w:rsidR="00B607BD" w:rsidRPr="00A06F1E" w14:paraId="35D237BC" w14:textId="77777777">
        <w:tc>
          <w:tcPr>
            <w:tcW w:w="3232" w:type="dxa"/>
          </w:tcPr>
          <w:p w14:paraId="1CB2084F" w14:textId="77777777" w:rsidR="00B607BD" w:rsidRPr="00A06F1E" w:rsidRDefault="00B607BD">
            <w:pPr>
              <w:pStyle w:val="TableText"/>
              <w:rPr>
                <w:rFonts w:ascii="Franklin Gothic Book" w:hAnsi="Franklin Gothic Book"/>
              </w:rPr>
            </w:pPr>
            <w:r w:rsidRPr="00A06F1E">
              <w:rPr>
                <w:rFonts w:ascii="Franklin Gothic Book" w:hAnsi="Franklin Gothic Book"/>
              </w:rPr>
              <w:t>Native American</w:t>
            </w:r>
          </w:p>
        </w:tc>
        <w:tc>
          <w:tcPr>
            <w:tcW w:w="1530" w:type="dxa"/>
            <w:vAlign w:val="center"/>
          </w:tcPr>
          <w:p w14:paraId="74F5844E" w14:textId="6F157762"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09E19ABA" w14:textId="2591CF3B"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2EF984BF" w14:textId="65C7E22C"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35666F8D"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46.7</w:t>
            </w:r>
          </w:p>
        </w:tc>
      </w:tr>
      <w:tr w:rsidR="00B607BD" w:rsidRPr="00A06F1E" w14:paraId="54F4D9A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CB0F406" w14:textId="77777777" w:rsidR="00B607BD" w:rsidRPr="00A06F1E" w:rsidRDefault="00B607BD">
            <w:pPr>
              <w:pStyle w:val="TableText"/>
              <w:rPr>
                <w:rFonts w:ascii="Franklin Gothic Book" w:hAnsi="Franklin Gothic Book"/>
                <w:spacing w:val="-4"/>
              </w:rPr>
            </w:pPr>
            <w:r w:rsidRPr="00A06F1E">
              <w:rPr>
                <w:rFonts w:ascii="Franklin Gothic Book" w:hAnsi="Franklin Gothic Book"/>
                <w:spacing w:val="-4"/>
              </w:rPr>
              <w:t>Native Hawaiian, Pacific Islander</w:t>
            </w:r>
          </w:p>
        </w:tc>
        <w:tc>
          <w:tcPr>
            <w:tcW w:w="1530" w:type="dxa"/>
            <w:vAlign w:val="center"/>
          </w:tcPr>
          <w:p w14:paraId="0B8E6406" w14:textId="403CA6B9"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709FE57C" w14:textId="71D4E0E5"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4133C5CD" w14:textId="0EC49B4B"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7A3817C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50.5</w:t>
            </w:r>
          </w:p>
        </w:tc>
      </w:tr>
      <w:tr w:rsidR="00B607BD" w:rsidRPr="00A06F1E" w14:paraId="724926B3" w14:textId="77777777">
        <w:tc>
          <w:tcPr>
            <w:tcW w:w="3232" w:type="dxa"/>
          </w:tcPr>
          <w:p w14:paraId="504EA386" w14:textId="77777777" w:rsidR="00B607BD" w:rsidRPr="00A06F1E" w:rsidRDefault="00B607BD">
            <w:pPr>
              <w:pStyle w:val="TableText"/>
              <w:rPr>
                <w:rFonts w:ascii="Franklin Gothic Book" w:hAnsi="Franklin Gothic Book"/>
              </w:rPr>
            </w:pPr>
            <w:r w:rsidRPr="00A06F1E">
              <w:rPr>
                <w:rFonts w:ascii="Franklin Gothic Book" w:hAnsi="Franklin Gothic Book"/>
              </w:rPr>
              <w:t>White</w:t>
            </w:r>
          </w:p>
        </w:tc>
        <w:tc>
          <w:tcPr>
            <w:tcW w:w="1530" w:type="dxa"/>
            <w:vAlign w:val="center"/>
          </w:tcPr>
          <w:p w14:paraId="73E42CEF"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156</w:t>
            </w:r>
          </w:p>
        </w:tc>
        <w:tc>
          <w:tcPr>
            <w:tcW w:w="1530" w:type="dxa"/>
            <w:vAlign w:val="center"/>
          </w:tcPr>
          <w:p w14:paraId="139CC430"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43.4</w:t>
            </w:r>
          </w:p>
        </w:tc>
        <w:tc>
          <w:tcPr>
            <w:tcW w:w="1530" w:type="dxa"/>
            <w:vAlign w:val="center"/>
          </w:tcPr>
          <w:p w14:paraId="001F268E"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46.7</w:t>
            </w:r>
          </w:p>
        </w:tc>
        <w:tc>
          <w:tcPr>
            <w:tcW w:w="1522" w:type="dxa"/>
            <w:vAlign w:val="center"/>
          </w:tcPr>
          <w:p w14:paraId="4616C324"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50.0</w:t>
            </w:r>
          </w:p>
        </w:tc>
      </w:tr>
      <w:tr w:rsidR="00B607BD" w:rsidRPr="00A06F1E" w14:paraId="5B8AD5A9"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B5E9B75" w14:textId="77777777" w:rsidR="00B607BD" w:rsidRPr="00A06F1E" w:rsidRDefault="00B607BD">
            <w:pPr>
              <w:pStyle w:val="TableText"/>
              <w:rPr>
                <w:rFonts w:ascii="Franklin Gothic Book" w:hAnsi="Franklin Gothic Book"/>
              </w:rPr>
            </w:pPr>
            <w:r w:rsidRPr="00A06F1E">
              <w:rPr>
                <w:rFonts w:ascii="Franklin Gothic Book" w:hAnsi="Franklin Gothic Book"/>
              </w:rPr>
              <w:t>High needs</w:t>
            </w:r>
          </w:p>
        </w:tc>
        <w:tc>
          <w:tcPr>
            <w:tcW w:w="1530" w:type="dxa"/>
            <w:vAlign w:val="center"/>
          </w:tcPr>
          <w:p w14:paraId="777ED036"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156</w:t>
            </w:r>
          </w:p>
        </w:tc>
        <w:tc>
          <w:tcPr>
            <w:tcW w:w="1530" w:type="dxa"/>
            <w:vAlign w:val="center"/>
          </w:tcPr>
          <w:p w14:paraId="5706996F"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39.3</w:t>
            </w:r>
          </w:p>
        </w:tc>
        <w:tc>
          <w:tcPr>
            <w:tcW w:w="1530" w:type="dxa"/>
            <w:vAlign w:val="center"/>
          </w:tcPr>
          <w:p w14:paraId="33390DDE"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46.7</w:t>
            </w:r>
          </w:p>
        </w:tc>
        <w:tc>
          <w:tcPr>
            <w:tcW w:w="1522" w:type="dxa"/>
            <w:vAlign w:val="center"/>
          </w:tcPr>
          <w:p w14:paraId="2ED5CF9F"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47.3</w:t>
            </w:r>
          </w:p>
        </w:tc>
      </w:tr>
      <w:tr w:rsidR="00B607BD" w:rsidRPr="00A06F1E" w14:paraId="1A9F3AD4" w14:textId="77777777">
        <w:tc>
          <w:tcPr>
            <w:tcW w:w="3232" w:type="dxa"/>
          </w:tcPr>
          <w:p w14:paraId="7833987F" w14:textId="77777777" w:rsidR="00B607BD" w:rsidRPr="00A06F1E" w:rsidRDefault="00B607BD">
            <w:pPr>
              <w:pStyle w:val="TableText"/>
              <w:rPr>
                <w:rFonts w:ascii="Franklin Gothic Book" w:hAnsi="Franklin Gothic Book"/>
              </w:rPr>
            </w:pPr>
            <w:r w:rsidRPr="00A06F1E">
              <w:rPr>
                <w:rFonts w:ascii="Franklin Gothic Book" w:hAnsi="Franklin Gothic Book"/>
              </w:rPr>
              <w:t>Low income</w:t>
            </w:r>
          </w:p>
        </w:tc>
        <w:tc>
          <w:tcPr>
            <w:tcW w:w="1530" w:type="dxa"/>
            <w:vAlign w:val="center"/>
          </w:tcPr>
          <w:p w14:paraId="6E6E33C0"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144</w:t>
            </w:r>
          </w:p>
        </w:tc>
        <w:tc>
          <w:tcPr>
            <w:tcW w:w="1530" w:type="dxa"/>
            <w:vAlign w:val="center"/>
          </w:tcPr>
          <w:p w14:paraId="14C4311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40.0</w:t>
            </w:r>
          </w:p>
        </w:tc>
        <w:tc>
          <w:tcPr>
            <w:tcW w:w="1530" w:type="dxa"/>
            <w:vAlign w:val="center"/>
          </w:tcPr>
          <w:p w14:paraId="459BAE7F"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46.2</w:t>
            </w:r>
          </w:p>
        </w:tc>
        <w:tc>
          <w:tcPr>
            <w:tcW w:w="1522" w:type="dxa"/>
            <w:vAlign w:val="center"/>
          </w:tcPr>
          <w:p w14:paraId="00821D00"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47.0</w:t>
            </w:r>
          </w:p>
        </w:tc>
      </w:tr>
      <w:tr w:rsidR="00B607BD" w:rsidRPr="00A06F1E" w14:paraId="7133D800"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9A0A8D6" w14:textId="77777777" w:rsidR="00B607BD" w:rsidRPr="00A06F1E" w:rsidRDefault="00B607BD">
            <w:pPr>
              <w:pStyle w:val="TableText"/>
              <w:rPr>
                <w:rFonts w:ascii="Franklin Gothic Book" w:hAnsi="Franklin Gothic Book"/>
                <w:spacing w:val="-4"/>
              </w:rPr>
            </w:pPr>
            <w:r w:rsidRPr="00A06F1E">
              <w:rPr>
                <w:rFonts w:ascii="Franklin Gothic Book" w:hAnsi="Franklin Gothic Book"/>
                <w:spacing w:val="-4"/>
              </w:rPr>
              <w:t>ELs and former ELs</w:t>
            </w:r>
          </w:p>
        </w:tc>
        <w:tc>
          <w:tcPr>
            <w:tcW w:w="1530" w:type="dxa"/>
            <w:vAlign w:val="center"/>
          </w:tcPr>
          <w:p w14:paraId="537A0C92" w14:textId="27864784"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0C4111B6" w14:textId="6572606D"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37513056" w14:textId="6FEA2EC1"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40B81614"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49.7</w:t>
            </w:r>
          </w:p>
        </w:tc>
      </w:tr>
      <w:tr w:rsidR="00B607BD" w:rsidRPr="00A06F1E" w14:paraId="7336FAAC" w14:textId="77777777">
        <w:tc>
          <w:tcPr>
            <w:tcW w:w="3232" w:type="dxa"/>
          </w:tcPr>
          <w:p w14:paraId="6CF276ED" w14:textId="77777777" w:rsidR="00B607BD" w:rsidRPr="00A06F1E" w:rsidRDefault="00B607BD">
            <w:pPr>
              <w:pStyle w:val="TableText"/>
              <w:rPr>
                <w:rFonts w:ascii="Franklin Gothic Book" w:hAnsi="Franklin Gothic Book"/>
              </w:rPr>
            </w:pPr>
            <w:r w:rsidRPr="00A06F1E">
              <w:rPr>
                <w:rFonts w:ascii="Franklin Gothic Book" w:hAnsi="Franklin Gothic Book"/>
              </w:rPr>
              <w:t>Students w/disabilities</w:t>
            </w:r>
          </w:p>
        </w:tc>
        <w:tc>
          <w:tcPr>
            <w:tcW w:w="1530" w:type="dxa"/>
            <w:vAlign w:val="center"/>
          </w:tcPr>
          <w:p w14:paraId="2CC956EA"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69</w:t>
            </w:r>
          </w:p>
        </w:tc>
        <w:tc>
          <w:tcPr>
            <w:tcW w:w="1530" w:type="dxa"/>
            <w:vAlign w:val="center"/>
          </w:tcPr>
          <w:p w14:paraId="43180961"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32.6</w:t>
            </w:r>
          </w:p>
        </w:tc>
        <w:tc>
          <w:tcPr>
            <w:tcW w:w="1530" w:type="dxa"/>
            <w:vAlign w:val="center"/>
          </w:tcPr>
          <w:p w14:paraId="0C2C94D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46.0</w:t>
            </w:r>
          </w:p>
        </w:tc>
        <w:tc>
          <w:tcPr>
            <w:tcW w:w="1522" w:type="dxa"/>
            <w:vAlign w:val="center"/>
          </w:tcPr>
          <w:p w14:paraId="25561A2D"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43.7</w:t>
            </w:r>
          </w:p>
        </w:tc>
      </w:tr>
    </w:tbl>
    <w:p w14:paraId="4D715D45" w14:textId="4BF3B82E" w:rsidR="00B607BD" w:rsidRPr="00A06F1E" w:rsidRDefault="00B607BD" w:rsidP="00B7722D">
      <w:pPr>
        <w:pStyle w:val="TabletitleSectionE"/>
      </w:pPr>
      <w:bookmarkStart w:id="288" w:name="_Toc170701969"/>
      <w:bookmarkStart w:id="289" w:name="_Toc171685806"/>
      <w:r w:rsidRPr="00A06F1E">
        <w:t>Table E10</w:t>
      </w:r>
      <w:r w:rsidR="00722940">
        <w:t>b</w:t>
      </w:r>
      <w:r w:rsidR="007C4E08" w:rsidRPr="00A06F1E">
        <w:t xml:space="preserve">. </w:t>
      </w:r>
      <w:proofErr w:type="spellStart"/>
      <w:r w:rsidR="00652B48">
        <w:t>Petersham</w:t>
      </w:r>
      <w:proofErr w:type="spellEnd"/>
      <w:r w:rsidR="00652B48">
        <w:t xml:space="preserve"> Center</w:t>
      </w:r>
      <w:r w:rsidR="00F3532E" w:rsidRPr="00A06F1E">
        <w:t>:</w:t>
      </w:r>
      <w:r w:rsidRPr="00A06F1E">
        <w:t xml:space="preserve"> Next-Generation MCAS ELA Mean </w:t>
      </w:r>
      <w:r w:rsidR="003A7C1C" w:rsidRPr="00A06F1E">
        <w:t>SGP</w:t>
      </w:r>
      <w:r w:rsidRPr="00A06F1E">
        <w:t xml:space="preserve"> by Student Group, Grades 3-8, 2022-2023</w:t>
      </w:r>
      <w:bookmarkEnd w:id="288"/>
      <w:bookmarkEnd w:id="289"/>
    </w:p>
    <w:tbl>
      <w:tblPr>
        <w:tblStyle w:val="MSVTable1"/>
        <w:tblW w:w="5000" w:type="pct"/>
        <w:tblLook w:val="0420" w:firstRow="1" w:lastRow="0" w:firstColumn="0" w:lastColumn="0" w:noHBand="0" w:noVBand="1"/>
      </w:tblPr>
      <w:tblGrid>
        <w:gridCol w:w="3232"/>
        <w:gridCol w:w="1530"/>
        <w:gridCol w:w="1530"/>
        <w:gridCol w:w="1530"/>
        <w:gridCol w:w="1522"/>
      </w:tblGrid>
      <w:tr w:rsidR="00B607BD" w:rsidRPr="00A06F1E" w14:paraId="76E79C9D"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1113F470" w14:textId="77777777" w:rsidR="00B607BD" w:rsidRPr="00A06F1E" w:rsidRDefault="00B607BD">
            <w:pPr>
              <w:pStyle w:val="TableColHeadingLeft"/>
              <w:jc w:val="center"/>
            </w:pPr>
            <w:r w:rsidRPr="00A06F1E">
              <w:t>Group</w:t>
            </w:r>
          </w:p>
        </w:tc>
        <w:tc>
          <w:tcPr>
            <w:tcW w:w="1530" w:type="dxa"/>
            <w:vAlign w:val="center"/>
          </w:tcPr>
          <w:p w14:paraId="45953465" w14:textId="1E5C9DDF" w:rsidR="00B607BD" w:rsidRPr="00A06F1E" w:rsidRDefault="00B607BD">
            <w:pPr>
              <w:pStyle w:val="TableColHeadingCenter"/>
            </w:pPr>
            <w:r w:rsidRPr="00A06F1E">
              <w:t xml:space="preserve"># </w:t>
            </w:r>
            <w:r w:rsidR="00FF1146" w:rsidRPr="00A06F1E">
              <w:t>included</w:t>
            </w:r>
            <w:r w:rsidRPr="00A06F1E">
              <w:t xml:space="preserve"> (2023)</w:t>
            </w:r>
          </w:p>
        </w:tc>
        <w:tc>
          <w:tcPr>
            <w:tcW w:w="1530" w:type="dxa"/>
            <w:vAlign w:val="center"/>
          </w:tcPr>
          <w:p w14:paraId="0807DA04" w14:textId="77777777" w:rsidR="00B607BD" w:rsidRPr="00A06F1E" w:rsidRDefault="00B607BD">
            <w:pPr>
              <w:pStyle w:val="TableColHeadingCenter"/>
            </w:pPr>
            <w:r w:rsidRPr="00A06F1E">
              <w:t>2022</w:t>
            </w:r>
          </w:p>
        </w:tc>
        <w:tc>
          <w:tcPr>
            <w:tcW w:w="1530" w:type="dxa"/>
            <w:vAlign w:val="center"/>
          </w:tcPr>
          <w:p w14:paraId="30437E55" w14:textId="77777777" w:rsidR="00B607BD" w:rsidRPr="00A06F1E" w:rsidRDefault="00B607BD">
            <w:pPr>
              <w:pStyle w:val="TableColHeadingCenter"/>
            </w:pPr>
            <w:r w:rsidRPr="00A06F1E">
              <w:t>2023</w:t>
            </w:r>
          </w:p>
        </w:tc>
        <w:tc>
          <w:tcPr>
            <w:tcW w:w="1522" w:type="dxa"/>
            <w:vAlign w:val="center"/>
          </w:tcPr>
          <w:p w14:paraId="2852432B" w14:textId="77777777" w:rsidR="00B607BD" w:rsidRPr="00A06F1E" w:rsidRDefault="00B607BD">
            <w:pPr>
              <w:pStyle w:val="TableColHeadingCenter"/>
            </w:pPr>
            <w:r w:rsidRPr="00A06F1E">
              <w:t>State (2023)</w:t>
            </w:r>
          </w:p>
        </w:tc>
      </w:tr>
      <w:tr w:rsidR="00B607BD" w:rsidRPr="00A06F1E" w14:paraId="6B6D39B8"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E7024A1" w14:textId="77777777" w:rsidR="00B607BD" w:rsidRPr="00A06F1E" w:rsidRDefault="00B607BD">
            <w:pPr>
              <w:pStyle w:val="TableText"/>
              <w:rPr>
                <w:rFonts w:ascii="Franklin Gothic Book" w:hAnsi="Franklin Gothic Book"/>
              </w:rPr>
            </w:pPr>
            <w:r w:rsidRPr="00A06F1E">
              <w:rPr>
                <w:rFonts w:ascii="Franklin Gothic Book" w:hAnsi="Franklin Gothic Book"/>
              </w:rPr>
              <w:t>All students</w:t>
            </w:r>
          </w:p>
        </w:tc>
        <w:tc>
          <w:tcPr>
            <w:tcW w:w="1530" w:type="dxa"/>
            <w:vAlign w:val="center"/>
          </w:tcPr>
          <w:p w14:paraId="1F39F60E"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w:t>
            </w:r>
          </w:p>
        </w:tc>
        <w:tc>
          <w:tcPr>
            <w:tcW w:w="1530" w:type="dxa"/>
            <w:vAlign w:val="center"/>
          </w:tcPr>
          <w:p w14:paraId="0DA12818"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63.2</w:t>
            </w:r>
          </w:p>
        </w:tc>
        <w:tc>
          <w:tcPr>
            <w:tcW w:w="1530" w:type="dxa"/>
            <w:vAlign w:val="center"/>
          </w:tcPr>
          <w:p w14:paraId="7A8BCC40"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59.7</w:t>
            </w:r>
          </w:p>
        </w:tc>
        <w:tc>
          <w:tcPr>
            <w:tcW w:w="1522" w:type="dxa"/>
            <w:vAlign w:val="center"/>
          </w:tcPr>
          <w:p w14:paraId="6027A18B"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49.7</w:t>
            </w:r>
          </w:p>
        </w:tc>
      </w:tr>
      <w:tr w:rsidR="00B607BD" w:rsidRPr="00A06F1E" w14:paraId="21C1A3B1" w14:textId="77777777">
        <w:tc>
          <w:tcPr>
            <w:tcW w:w="3232" w:type="dxa"/>
          </w:tcPr>
          <w:p w14:paraId="584C3B15" w14:textId="77777777" w:rsidR="00B607BD" w:rsidRPr="00A06F1E" w:rsidRDefault="00B607BD">
            <w:pPr>
              <w:pStyle w:val="TableText"/>
              <w:rPr>
                <w:rFonts w:ascii="Franklin Gothic Book" w:hAnsi="Franklin Gothic Book"/>
              </w:rPr>
            </w:pPr>
            <w:r w:rsidRPr="00A06F1E">
              <w:rPr>
                <w:rFonts w:ascii="Franklin Gothic Book" w:hAnsi="Franklin Gothic Book"/>
              </w:rPr>
              <w:t>African American/Black</w:t>
            </w:r>
          </w:p>
        </w:tc>
        <w:tc>
          <w:tcPr>
            <w:tcW w:w="1530" w:type="dxa"/>
            <w:vAlign w:val="center"/>
          </w:tcPr>
          <w:p w14:paraId="7F837C8D" w14:textId="6221241D"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724E2AF3" w14:textId="2C735DE7"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3BD2A4B0" w14:textId="60E639F0"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1B04C9E2"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48.0</w:t>
            </w:r>
          </w:p>
        </w:tc>
      </w:tr>
      <w:tr w:rsidR="00B607BD" w:rsidRPr="00A06F1E" w14:paraId="102657BB"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CB186CF" w14:textId="77777777" w:rsidR="00B607BD" w:rsidRPr="00A06F1E" w:rsidRDefault="00B607BD">
            <w:pPr>
              <w:pStyle w:val="TableText"/>
              <w:rPr>
                <w:rFonts w:ascii="Franklin Gothic Book" w:hAnsi="Franklin Gothic Book"/>
              </w:rPr>
            </w:pPr>
            <w:r w:rsidRPr="00A06F1E">
              <w:rPr>
                <w:rFonts w:ascii="Franklin Gothic Book" w:hAnsi="Franklin Gothic Book"/>
              </w:rPr>
              <w:t>Asian</w:t>
            </w:r>
          </w:p>
        </w:tc>
        <w:tc>
          <w:tcPr>
            <w:tcW w:w="1530" w:type="dxa"/>
            <w:vAlign w:val="center"/>
          </w:tcPr>
          <w:p w14:paraId="618D6DF1" w14:textId="7B498FEA"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09BF9FFB" w14:textId="5022FB25"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1769031A" w14:textId="69098D16"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32A8C8A6"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56.4</w:t>
            </w:r>
          </w:p>
        </w:tc>
      </w:tr>
      <w:tr w:rsidR="00B607BD" w:rsidRPr="00A06F1E" w14:paraId="028EA23B" w14:textId="77777777">
        <w:tc>
          <w:tcPr>
            <w:tcW w:w="3232" w:type="dxa"/>
          </w:tcPr>
          <w:p w14:paraId="2A006917" w14:textId="77777777" w:rsidR="00B607BD" w:rsidRPr="00A06F1E" w:rsidRDefault="00B607BD">
            <w:pPr>
              <w:pStyle w:val="TableText"/>
              <w:rPr>
                <w:rFonts w:ascii="Franklin Gothic Book" w:hAnsi="Franklin Gothic Book"/>
              </w:rPr>
            </w:pPr>
            <w:r w:rsidRPr="00A06F1E">
              <w:rPr>
                <w:rFonts w:ascii="Franklin Gothic Book" w:hAnsi="Franklin Gothic Book"/>
              </w:rPr>
              <w:t>Hispanic/Latino</w:t>
            </w:r>
          </w:p>
        </w:tc>
        <w:tc>
          <w:tcPr>
            <w:tcW w:w="1530" w:type="dxa"/>
            <w:vAlign w:val="center"/>
          </w:tcPr>
          <w:p w14:paraId="6CCC6E1F" w14:textId="2E766C3F"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79A98223" w14:textId="10236BE8"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76F261B0" w14:textId="39EF4D8B"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4B9A893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47.5</w:t>
            </w:r>
          </w:p>
        </w:tc>
      </w:tr>
      <w:tr w:rsidR="00B607BD" w:rsidRPr="00A06F1E" w14:paraId="0B6C6E39"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4F25B18" w14:textId="77777777" w:rsidR="00B607BD" w:rsidRPr="00A06F1E" w:rsidRDefault="00B607BD">
            <w:pPr>
              <w:pStyle w:val="TableText"/>
              <w:rPr>
                <w:rFonts w:ascii="Franklin Gothic Book" w:hAnsi="Franklin Gothic Book"/>
              </w:rPr>
            </w:pPr>
            <w:r w:rsidRPr="00A06F1E">
              <w:rPr>
                <w:rFonts w:ascii="Franklin Gothic Book" w:hAnsi="Franklin Gothic Book"/>
              </w:rPr>
              <w:t>Multi-Race, non-Hispanic/Latino</w:t>
            </w:r>
          </w:p>
        </w:tc>
        <w:tc>
          <w:tcPr>
            <w:tcW w:w="1530" w:type="dxa"/>
            <w:vAlign w:val="center"/>
          </w:tcPr>
          <w:p w14:paraId="509D8142" w14:textId="2C7E920F"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4574B424" w14:textId="0EB604A5"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292FA9E3" w14:textId="77DCF472"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2495370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50.0</w:t>
            </w:r>
          </w:p>
        </w:tc>
      </w:tr>
      <w:tr w:rsidR="00B607BD" w:rsidRPr="00A06F1E" w14:paraId="78E8FD6A" w14:textId="77777777">
        <w:tc>
          <w:tcPr>
            <w:tcW w:w="3232" w:type="dxa"/>
          </w:tcPr>
          <w:p w14:paraId="59CD250C" w14:textId="77777777" w:rsidR="00B607BD" w:rsidRPr="00A06F1E" w:rsidRDefault="00B607BD">
            <w:pPr>
              <w:pStyle w:val="TableText"/>
              <w:rPr>
                <w:rFonts w:ascii="Franklin Gothic Book" w:hAnsi="Franklin Gothic Book"/>
              </w:rPr>
            </w:pPr>
            <w:r w:rsidRPr="00A06F1E">
              <w:rPr>
                <w:rFonts w:ascii="Franklin Gothic Book" w:hAnsi="Franklin Gothic Book"/>
              </w:rPr>
              <w:t>Native American</w:t>
            </w:r>
          </w:p>
        </w:tc>
        <w:tc>
          <w:tcPr>
            <w:tcW w:w="1530" w:type="dxa"/>
            <w:vAlign w:val="center"/>
          </w:tcPr>
          <w:p w14:paraId="2E131ADF" w14:textId="729AB6B1"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2DFAAADD" w14:textId="345F991D"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0479AF90" w14:textId="5281CE44"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4B50E188"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46.7</w:t>
            </w:r>
          </w:p>
        </w:tc>
      </w:tr>
      <w:tr w:rsidR="00B607BD" w:rsidRPr="00A06F1E" w14:paraId="00C6EC3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D4EB1A3" w14:textId="77777777" w:rsidR="00B607BD" w:rsidRPr="00A06F1E" w:rsidRDefault="00B607BD">
            <w:pPr>
              <w:pStyle w:val="TableText"/>
              <w:rPr>
                <w:rFonts w:ascii="Franklin Gothic Book" w:hAnsi="Franklin Gothic Book"/>
                <w:spacing w:val="-4"/>
              </w:rPr>
            </w:pPr>
            <w:r w:rsidRPr="00A06F1E">
              <w:rPr>
                <w:rFonts w:ascii="Franklin Gothic Book" w:hAnsi="Franklin Gothic Book"/>
                <w:spacing w:val="-4"/>
              </w:rPr>
              <w:t>Native Hawaiian, Pacific Islander</w:t>
            </w:r>
          </w:p>
        </w:tc>
        <w:tc>
          <w:tcPr>
            <w:tcW w:w="1530" w:type="dxa"/>
            <w:vAlign w:val="center"/>
          </w:tcPr>
          <w:p w14:paraId="6F0183DE" w14:textId="58D2F3A6"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282CCAB2" w14:textId="2FDA0531"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5968C9A2" w14:textId="5A05F321"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240C23D2"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50.5</w:t>
            </w:r>
          </w:p>
        </w:tc>
      </w:tr>
      <w:tr w:rsidR="00B607BD" w:rsidRPr="00A06F1E" w14:paraId="642AAF9C" w14:textId="77777777">
        <w:tc>
          <w:tcPr>
            <w:tcW w:w="3232" w:type="dxa"/>
          </w:tcPr>
          <w:p w14:paraId="6A607A94" w14:textId="77777777" w:rsidR="00B607BD" w:rsidRPr="00A06F1E" w:rsidRDefault="00B607BD">
            <w:pPr>
              <w:pStyle w:val="TableText"/>
              <w:rPr>
                <w:rFonts w:ascii="Franklin Gothic Book" w:hAnsi="Franklin Gothic Book"/>
              </w:rPr>
            </w:pPr>
            <w:r w:rsidRPr="00A06F1E">
              <w:rPr>
                <w:rFonts w:ascii="Franklin Gothic Book" w:hAnsi="Franklin Gothic Book"/>
              </w:rPr>
              <w:t>White</w:t>
            </w:r>
          </w:p>
        </w:tc>
        <w:tc>
          <w:tcPr>
            <w:tcW w:w="1530" w:type="dxa"/>
            <w:vAlign w:val="center"/>
          </w:tcPr>
          <w:p w14:paraId="124B6AFE"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42</w:t>
            </w:r>
          </w:p>
        </w:tc>
        <w:tc>
          <w:tcPr>
            <w:tcW w:w="1530" w:type="dxa"/>
            <w:vAlign w:val="center"/>
          </w:tcPr>
          <w:p w14:paraId="72544E70"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63.7</w:t>
            </w:r>
          </w:p>
        </w:tc>
        <w:tc>
          <w:tcPr>
            <w:tcW w:w="1530" w:type="dxa"/>
            <w:vAlign w:val="center"/>
          </w:tcPr>
          <w:p w14:paraId="2752196C"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58.6</w:t>
            </w:r>
          </w:p>
        </w:tc>
        <w:tc>
          <w:tcPr>
            <w:tcW w:w="1522" w:type="dxa"/>
            <w:vAlign w:val="center"/>
          </w:tcPr>
          <w:p w14:paraId="13A60C18"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50.0</w:t>
            </w:r>
          </w:p>
        </w:tc>
      </w:tr>
      <w:tr w:rsidR="00B607BD" w:rsidRPr="00A06F1E" w14:paraId="6FA6647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49FEB08" w14:textId="77777777" w:rsidR="00B607BD" w:rsidRPr="00A06F1E" w:rsidRDefault="00B607BD">
            <w:pPr>
              <w:pStyle w:val="TableText"/>
              <w:rPr>
                <w:rFonts w:ascii="Franklin Gothic Book" w:hAnsi="Franklin Gothic Book"/>
              </w:rPr>
            </w:pPr>
            <w:r w:rsidRPr="00A06F1E">
              <w:rPr>
                <w:rFonts w:ascii="Franklin Gothic Book" w:hAnsi="Franklin Gothic Book"/>
              </w:rPr>
              <w:t>High needs</w:t>
            </w:r>
          </w:p>
        </w:tc>
        <w:tc>
          <w:tcPr>
            <w:tcW w:w="1530" w:type="dxa"/>
            <w:vAlign w:val="center"/>
          </w:tcPr>
          <w:p w14:paraId="1608794F"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25</w:t>
            </w:r>
          </w:p>
        </w:tc>
        <w:tc>
          <w:tcPr>
            <w:tcW w:w="1530" w:type="dxa"/>
            <w:vAlign w:val="center"/>
          </w:tcPr>
          <w:p w14:paraId="5E2298A6" w14:textId="314D1A06"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7047070C"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58.6</w:t>
            </w:r>
          </w:p>
        </w:tc>
        <w:tc>
          <w:tcPr>
            <w:tcW w:w="1522" w:type="dxa"/>
            <w:vAlign w:val="center"/>
          </w:tcPr>
          <w:p w14:paraId="6FE64307"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47.3</w:t>
            </w:r>
          </w:p>
        </w:tc>
      </w:tr>
      <w:tr w:rsidR="00B607BD" w:rsidRPr="00A06F1E" w14:paraId="682F91B7" w14:textId="77777777">
        <w:tc>
          <w:tcPr>
            <w:tcW w:w="3232" w:type="dxa"/>
          </w:tcPr>
          <w:p w14:paraId="5D6A26D7" w14:textId="77777777" w:rsidR="00B607BD" w:rsidRPr="00A06F1E" w:rsidRDefault="00B607BD">
            <w:pPr>
              <w:pStyle w:val="TableText"/>
              <w:rPr>
                <w:rFonts w:ascii="Franklin Gothic Book" w:hAnsi="Franklin Gothic Book"/>
              </w:rPr>
            </w:pPr>
            <w:r w:rsidRPr="00A06F1E">
              <w:rPr>
                <w:rFonts w:ascii="Franklin Gothic Book" w:hAnsi="Franklin Gothic Book"/>
              </w:rPr>
              <w:t>Low income</w:t>
            </w:r>
          </w:p>
        </w:tc>
        <w:tc>
          <w:tcPr>
            <w:tcW w:w="1530" w:type="dxa"/>
            <w:vAlign w:val="center"/>
          </w:tcPr>
          <w:p w14:paraId="4C60E3B1"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19</w:t>
            </w:r>
          </w:p>
        </w:tc>
        <w:tc>
          <w:tcPr>
            <w:tcW w:w="1530" w:type="dxa"/>
            <w:vAlign w:val="center"/>
          </w:tcPr>
          <w:p w14:paraId="3C0BD21F" w14:textId="75EC1445"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2C88BA6B" w14:textId="7CD28ED4"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14645578"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47.0</w:t>
            </w:r>
          </w:p>
        </w:tc>
      </w:tr>
      <w:tr w:rsidR="00B607BD" w:rsidRPr="00A06F1E" w14:paraId="42A93D67"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3F6115F" w14:textId="77777777" w:rsidR="00B607BD" w:rsidRPr="00A06F1E" w:rsidRDefault="00B607BD">
            <w:pPr>
              <w:pStyle w:val="TableText"/>
              <w:rPr>
                <w:rFonts w:ascii="Franklin Gothic Book" w:hAnsi="Franklin Gothic Book"/>
                <w:spacing w:val="-4"/>
              </w:rPr>
            </w:pPr>
            <w:r w:rsidRPr="00A06F1E">
              <w:rPr>
                <w:rFonts w:ascii="Franklin Gothic Book" w:hAnsi="Franklin Gothic Book"/>
                <w:spacing w:val="-4"/>
              </w:rPr>
              <w:t>ELs and former ELs</w:t>
            </w:r>
          </w:p>
        </w:tc>
        <w:tc>
          <w:tcPr>
            <w:tcW w:w="1530" w:type="dxa"/>
            <w:vAlign w:val="center"/>
          </w:tcPr>
          <w:p w14:paraId="12050E9B" w14:textId="34BE4D48"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670E0069" w14:textId="03A79D26"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1F32AD83" w14:textId="5044740D"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76374D9B"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49.7</w:t>
            </w:r>
          </w:p>
        </w:tc>
      </w:tr>
      <w:tr w:rsidR="00B607BD" w:rsidRPr="00A06F1E" w14:paraId="033AE1A2" w14:textId="77777777">
        <w:tc>
          <w:tcPr>
            <w:tcW w:w="3232" w:type="dxa"/>
          </w:tcPr>
          <w:p w14:paraId="71A56943" w14:textId="77777777" w:rsidR="00B607BD" w:rsidRPr="00A06F1E" w:rsidRDefault="00B607BD">
            <w:pPr>
              <w:pStyle w:val="TableText"/>
              <w:rPr>
                <w:rFonts w:ascii="Franklin Gothic Book" w:hAnsi="Franklin Gothic Book"/>
              </w:rPr>
            </w:pPr>
            <w:r w:rsidRPr="00A06F1E">
              <w:rPr>
                <w:rFonts w:ascii="Franklin Gothic Book" w:hAnsi="Franklin Gothic Book"/>
              </w:rPr>
              <w:t>Students w/disabilities</w:t>
            </w:r>
          </w:p>
        </w:tc>
        <w:tc>
          <w:tcPr>
            <w:tcW w:w="1530" w:type="dxa"/>
            <w:vAlign w:val="center"/>
          </w:tcPr>
          <w:p w14:paraId="71C42F2A"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13</w:t>
            </w:r>
          </w:p>
        </w:tc>
        <w:tc>
          <w:tcPr>
            <w:tcW w:w="1530" w:type="dxa"/>
            <w:vAlign w:val="center"/>
          </w:tcPr>
          <w:p w14:paraId="0E5259F8" w14:textId="6D24E7DE"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08522E61" w14:textId="3BE024FD"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53C9E3F4"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43.7</w:t>
            </w:r>
          </w:p>
        </w:tc>
      </w:tr>
    </w:tbl>
    <w:p w14:paraId="04EEBD1A" w14:textId="77777777" w:rsidR="00B607BD" w:rsidRPr="00A06F1E" w:rsidRDefault="00B607BD" w:rsidP="00B607BD">
      <w:pPr>
        <w:spacing w:line="240" w:lineRule="auto"/>
        <w:rPr>
          <w:rFonts w:ascii="Franklin Gothic Book" w:hAnsi="Franklin Gothic Book"/>
          <w:sz w:val="20"/>
          <w:szCs w:val="20"/>
        </w:rPr>
      </w:pPr>
    </w:p>
    <w:p w14:paraId="55D9393B" w14:textId="77777777" w:rsidR="00B607BD" w:rsidRPr="00A06F1E" w:rsidRDefault="00B607BD" w:rsidP="00B607BD">
      <w:pPr>
        <w:spacing w:line="240" w:lineRule="auto"/>
        <w:rPr>
          <w:rFonts w:ascii="Franklin Gothic Book" w:hAnsi="Franklin Gothic Book"/>
          <w:sz w:val="20"/>
          <w:szCs w:val="20"/>
        </w:rPr>
      </w:pPr>
    </w:p>
    <w:p w14:paraId="09757268" w14:textId="77777777" w:rsidR="00B607BD" w:rsidRPr="00A06F1E" w:rsidRDefault="00B607BD" w:rsidP="00B607BD">
      <w:pPr>
        <w:spacing w:line="240" w:lineRule="auto"/>
        <w:rPr>
          <w:rFonts w:ascii="Franklin Gothic Book" w:hAnsi="Franklin Gothic Book"/>
          <w:sz w:val="20"/>
          <w:szCs w:val="20"/>
        </w:rPr>
      </w:pPr>
    </w:p>
    <w:p w14:paraId="79B2AC23" w14:textId="77777777" w:rsidR="00B607BD" w:rsidRPr="00A06F1E" w:rsidRDefault="00B607BD" w:rsidP="00B607BD">
      <w:pPr>
        <w:spacing w:line="240" w:lineRule="auto"/>
        <w:rPr>
          <w:rFonts w:ascii="Franklin Gothic Book" w:hAnsi="Franklin Gothic Book"/>
          <w:sz w:val="20"/>
          <w:szCs w:val="20"/>
        </w:rPr>
      </w:pPr>
    </w:p>
    <w:p w14:paraId="5682A8EF" w14:textId="77777777" w:rsidR="00B607BD" w:rsidRPr="00A06F1E" w:rsidRDefault="00B607BD" w:rsidP="00B607BD">
      <w:pPr>
        <w:spacing w:line="240" w:lineRule="auto"/>
        <w:rPr>
          <w:rFonts w:ascii="Franklin Gothic Book" w:hAnsi="Franklin Gothic Book"/>
          <w:sz w:val="20"/>
          <w:szCs w:val="20"/>
        </w:rPr>
      </w:pPr>
    </w:p>
    <w:p w14:paraId="6D97BA27" w14:textId="77777777" w:rsidR="00B607BD" w:rsidRPr="00A06F1E" w:rsidRDefault="00B607BD" w:rsidP="00B607BD">
      <w:pPr>
        <w:spacing w:line="240" w:lineRule="auto"/>
        <w:rPr>
          <w:rFonts w:ascii="Franklin Gothic Book" w:hAnsi="Franklin Gothic Book"/>
          <w:sz w:val="20"/>
          <w:szCs w:val="20"/>
        </w:rPr>
      </w:pPr>
    </w:p>
    <w:p w14:paraId="70CD687F" w14:textId="77777777" w:rsidR="00B607BD" w:rsidRPr="00A06F1E" w:rsidRDefault="00B607BD" w:rsidP="00B607BD">
      <w:pPr>
        <w:spacing w:line="240" w:lineRule="auto"/>
        <w:rPr>
          <w:rFonts w:ascii="Franklin Gothic Book" w:hAnsi="Franklin Gothic Book"/>
          <w:sz w:val="20"/>
          <w:szCs w:val="20"/>
        </w:rPr>
      </w:pPr>
    </w:p>
    <w:p w14:paraId="132EB392" w14:textId="5D7AC439" w:rsidR="00B607BD" w:rsidRPr="00A06F1E" w:rsidRDefault="00B607BD" w:rsidP="00B7722D">
      <w:pPr>
        <w:pStyle w:val="TabletitleSectionE"/>
      </w:pPr>
      <w:bookmarkStart w:id="290" w:name="_Toc170701970"/>
      <w:bookmarkStart w:id="291" w:name="_Toc171685807"/>
      <w:r w:rsidRPr="00A06F1E">
        <w:lastRenderedPageBreak/>
        <w:t>Table E10</w:t>
      </w:r>
      <w:r w:rsidR="00722940">
        <w:t>c</w:t>
      </w:r>
      <w:r w:rsidR="00A228CB" w:rsidRPr="00A06F1E">
        <w:t>. Mahar Regional</w:t>
      </w:r>
      <w:r w:rsidR="00F3532E" w:rsidRPr="00A06F1E">
        <w:t>:</w:t>
      </w:r>
      <w:r w:rsidRPr="00A06F1E">
        <w:t xml:space="preserve"> Next-Generation MCAS ELA Mean </w:t>
      </w:r>
      <w:r w:rsidR="003A7C1C" w:rsidRPr="00A06F1E">
        <w:t>SGP</w:t>
      </w:r>
      <w:r w:rsidRPr="00A06F1E">
        <w:t xml:space="preserve"> by Student Group, Grades 3-8, 2022-2023</w:t>
      </w:r>
      <w:bookmarkEnd w:id="290"/>
      <w:bookmarkEnd w:id="291"/>
    </w:p>
    <w:tbl>
      <w:tblPr>
        <w:tblStyle w:val="MSVTable1"/>
        <w:tblW w:w="5000" w:type="pct"/>
        <w:tblLook w:val="0420" w:firstRow="1" w:lastRow="0" w:firstColumn="0" w:lastColumn="0" w:noHBand="0" w:noVBand="1"/>
      </w:tblPr>
      <w:tblGrid>
        <w:gridCol w:w="3232"/>
        <w:gridCol w:w="1530"/>
        <w:gridCol w:w="1530"/>
        <w:gridCol w:w="1530"/>
        <w:gridCol w:w="1522"/>
      </w:tblGrid>
      <w:tr w:rsidR="00B607BD" w:rsidRPr="00A06F1E" w14:paraId="0D9614C6"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01AB9D04" w14:textId="77777777" w:rsidR="00B607BD" w:rsidRPr="00A06F1E" w:rsidRDefault="00B607BD">
            <w:pPr>
              <w:pStyle w:val="TableColHeadingLeft"/>
              <w:jc w:val="center"/>
            </w:pPr>
            <w:r w:rsidRPr="00A06F1E">
              <w:t>Group</w:t>
            </w:r>
          </w:p>
        </w:tc>
        <w:tc>
          <w:tcPr>
            <w:tcW w:w="1530" w:type="dxa"/>
            <w:vAlign w:val="center"/>
          </w:tcPr>
          <w:p w14:paraId="2FB3660A" w14:textId="4CBAD4CB" w:rsidR="00B607BD" w:rsidRPr="00A06F1E" w:rsidRDefault="00B607BD">
            <w:pPr>
              <w:pStyle w:val="TableColHeadingCenter"/>
            </w:pPr>
            <w:r w:rsidRPr="00A06F1E">
              <w:t xml:space="preserve"># </w:t>
            </w:r>
            <w:r w:rsidR="00FF1146" w:rsidRPr="00A06F1E">
              <w:t>included</w:t>
            </w:r>
            <w:r w:rsidRPr="00A06F1E">
              <w:t xml:space="preserve"> (2023)</w:t>
            </w:r>
          </w:p>
        </w:tc>
        <w:tc>
          <w:tcPr>
            <w:tcW w:w="1530" w:type="dxa"/>
            <w:vAlign w:val="center"/>
          </w:tcPr>
          <w:p w14:paraId="105E6155" w14:textId="77777777" w:rsidR="00B607BD" w:rsidRPr="00A06F1E" w:rsidRDefault="00B607BD">
            <w:pPr>
              <w:pStyle w:val="TableColHeadingCenter"/>
            </w:pPr>
            <w:r w:rsidRPr="00A06F1E">
              <w:t>2022</w:t>
            </w:r>
          </w:p>
        </w:tc>
        <w:tc>
          <w:tcPr>
            <w:tcW w:w="1530" w:type="dxa"/>
            <w:vAlign w:val="center"/>
          </w:tcPr>
          <w:p w14:paraId="0FC8C03D" w14:textId="77777777" w:rsidR="00B607BD" w:rsidRPr="00A06F1E" w:rsidRDefault="00B607BD">
            <w:pPr>
              <w:pStyle w:val="TableColHeadingCenter"/>
            </w:pPr>
            <w:r w:rsidRPr="00A06F1E">
              <w:t>2023</w:t>
            </w:r>
          </w:p>
        </w:tc>
        <w:tc>
          <w:tcPr>
            <w:tcW w:w="1522" w:type="dxa"/>
            <w:vAlign w:val="center"/>
          </w:tcPr>
          <w:p w14:paraId="2383AD24" w14:textId="77777777" w:rsidR="00B607BD" w:rsidRPr="00A06F1E" w:rsidRDefault="00B607BD">
            <w:pPr>
              <w:pStyle w:val="TableColHeadingCenter"/>
            </w:pPr>
            <w:r w:rsidRPr="00A06F1E">
              <w:t>State (2023)</w:t>
            </w:r>
          </w:p>
        </w:tc>
      </w:tr>
      <w:tr w:rsidR="00B607BD" w:rsidRPr="00A06F1E" w14:paraId="7299C7B4"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1A7A979" w14:textId="77777777" w:rsidR="00B607BD" w:rsidRPr="00A06F1E" w:rsidRDefault="00B607BD">
            <w:pPr>
              <w:pStyle w:val="TableText"/>
              <w:rPr>
                <w:rFonts w:ascii="Franklin Gothic Book" w:hAnsi="Franklin Gothic Book"/>
              </w:rPr>
            </w:pPr>
            <w:r w:rsidRPr="00A06F1E">
              <w:rPr>
                <w:rFonts w:ascii="Franklin Gothic Book" w:hAnsi="Franklin Gothic Book"/>
              </w:rPr>
              <w:t>All students</w:t>
            </w:r>
          </w:p>
        </w:tc>
        <w:tc>
          <w:tcPr>
            <w:tcW w:w="1530" w:type="dxa"/>
            <w:vAlign w:val="center"/>
          </w:tcPr>
          <w:p w14:paraId="281D73FB"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170</w:t>
            </w:r>
          </w:p>
        </w:tc>
        <w:tc>
          <w:tcPr>
            <w:tcW w:w="1530" w:type="dxa"/>
            <w:vAlign w:val="center"/>
          </w:tcPr>
          <w:p w14:paraId="0CF722AD"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48.1</w:t>
            </w:r>
          </w:p>
        </w:tc>
        <w:tc>
          <w:tcPr>
            <w:tcW w:w="1530" w:type="dxa"/>
            <w:vAlign w:val="center"/>
          </w:tcPr>
          <w:p w14:paraId="7FFA0D0D"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48.9</w:t>
            </w:r>
          </w:p>
        </w:tc>
        <w:tc>
          <w:tcPr>
            <w:tcW w:w="1522" w:type="dxa"/>
            <w:vAlign w:val="center"/>
          </w:tcPr>
          <w:p w14:paraId="36D3B37E"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49.7</w:t>
            </w:r>
          </w:p>
        </w:tc>
      </w:tr>
      <w:tr w:rsidR="00B607BD" w:rsidRPr="00A06F1E" w14:paraId="414C52D2" w14:textId="77777777">
        <w:tc>
          <w:tcPr>
            <w:tcW w:w="3232" w:type="dxa"/>
          </w:tcPr>
          <w:p w14:paraId="108F49EB" w14:textId="77777777" w:rsidR="00B607BD" w:rsidRPr="00A06F1E" w:rsidRDefault="00B607BD">
            <w:pPr>
              <w:pStyle w:val="TableText"/>
              <w:rPr>
                <w:rFonts w:ascii="Franklin Gothic Book" w:hAnsi="Franklin Gothic Book"/>
              </w:rPr>
            </w:pPr>
            <w:r w:rsidRPr="00A06F1E">
              <w:rPr>
                <w:rFonts w:ascii="Franklin Gothic Book" w:hAnsi="Franklin Gothic Book"/>
              </w:rPr>
              <w:t>African American/Black</w:t>
            </w:r>
          </w:p>
        </w:tc>
        <w:tc>
          <w:tcPr>
            <w:tcW w:w="1530" w:type="dxa"/>
            <w:vAlign w:val="center"/>
          </w:tcPr>
          <w:p w14:paraId="641363DB" w14:textId="368258CC"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56EABE32" w14:textId="419556E9"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068F64C0" w14:textId="19340974"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4618D26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48.0</w:t>
            </w:r>
          </w:p>
        </w:tc>
      </w:tr>
      <w:tr w:rsidR="00B607BD" w:rsidRPr="00A06F1E" w14:paraId="638784DB"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8120BDF" w14:textId="77777777" w:rsidR="00B607BD" w:rsidRPr="00A06F1E" w:rsidRDefault="00B607BD">
            <w:pPr>
              <w:pStyle w:val="TableText"/>
              <w:rPr>
                <w:rFonts w:ascii="Franklin Gothic Book" w:hAnsi="Franklin Gothic Book"/>
              </w:rPr>
            </w:pPr>
            <w:r w:rsidRPr="00A06F1E">
              <w:rPr>
                <w:rFonts w:ascii="Franklin Gothic Book" w:hAnsi="Franklin Gothic Book"/>
              </w:rPr>
              <w:t>Asian</w:t>
            </w:r>
          </w:p>
        </w:tc>
        <w:tc>
          <w:tcPr>
            <w:tcW w:w="1530" w:type="dxa"/>
            <w:vAlign w:val="center"/>
          </w:tcPr>
          <w:p w14:paraId="575E2BB9" w14:textId="7C5B74B0"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52C03D82" w14:textId="5B988410"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3404943F" w14:textId="050F4B08"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2EB7FD92"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56.4</w:t>
            </w:r>
          </w:p>
        </w:tc>
      </w:tr>
      <w:tr w:rsidR="00B607BD" w:rsidRPr="00A06F1E" w14:paraId="5A1BED0E" w14:textId="77777777">
        <w:tc>
          <w:tcPr>
            <w:tcW w:w="3232" w:type="dxa"/>
          </w:tcPr>
          <w:p w14:paraId="6100B5F3" w14:textId="77777777" w:rsidR="00B607BD" w:rsidRPr="00A06F1E" w:rsidRDefault="00B607BD">
            <w:pPr>
              <w:pStyle w:val="TableText"/>
              <w:rPr>
                <w:rFonts w:ascii="Franklin Gothic Book" w:hAnsi="Franklin Gothic Book"/>
              </w:rPr>
            </w:pPr>
            <w:r w:rsidRPr="00A06F1E">
              <w:rPr>
                <w:rFonts w:ascii="Franklin Gothic Book" w:hAnsi="Franklin Gothic Book"/>
              </w:rPr>
              <w:t>Hispanic/Latino</w:t>
            </w:r>
          </w:p>
        </w:tc>
        <w:tc>
          <w:tcPr>
            <w:tcW w:w="1530" w:type="dxa"/>
            <w:vAlign w:val="center"/>
          </w:tcPr>
          <w:p w14:paraId="735116CC"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18</w:t>
            </w:r>
          </w:p>
        </w:tc>
        <w:tc>
          <w:tcPr>
            <w:tcW w:w="1530" w:type="dxa"/>
            <w:vAlign w:val="center"/>
          </w:tcPr>
          <w:p w14:paraId="08E4830E" w14:textId="36BE36FE"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418455C6" w14:textId="3A5073E2"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0CDB74C9"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47.5</w:t>
            </w:r>
          </w:p>
        </w:tc>
      </w:tr>
      <w:tr w:rsidR="00B607BD" w:rsidRPr="00A06F1E" w14:paraId="63EBC721"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C62081A" w14:textId="77777777" w:rsidR="00B607BD" w:rsidRPr="00A06F1E" w:rsidRDefault="00B607BD">
            <w:pPr>
              <w:pStyle w:val="TableText"/>
              <w:rPr>
                <w:rFonts w:ascii="Franklin Gothic Book" w:hAnsi="Franklin Gothic Book"/>
              </w:rPr>
            </w:pPr>
            <w:r w:rsidRPr="00A06F1E">
              <w:rPr>
                <w:rFonts w:ascii="Franklin Gothic Book" w:hAnsi="Franklin Gothic Book"/>
              </w:rPr>
              <w:t>Multi-Race, non-Hispanic/Latino</w:t>
            </w:r>
          </w:p>
        </w:tc>
        <w:tc>
          <w:tcPr>
            <w:tcW w:w="1530" w:type="dxa"/>
            <w:vAlign w:val="center"/>
          </w:tcPr>
          <w:p w14:paraId="57DDBB5D" w14:textId="3B7A7520"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7069CA9B" w14:textId="63EC262A"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258E84C3" w14:textId="7580F56B"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6787E868"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50.0</w:t>
            </w:r>
          </w:p>
        </w:tc>
      </w:tr>
      <w:tr w:rsidR="00B607BD" w:rsidRPr="00A06F1E" w14:paraId="126B86C0" w14:textId="77777777">
        <w:tc>
          <w:tcPr>
            <w:tcW w:w="3232" w:type="dxa"/>
          </w:tcPr>
          <w:p w14:paraId="674325A9" w14:textId="77777777" w:rsidR="00B607BD" w:rsidRPr="00A06F1E" w:rsidRDefault="00B607BD">
            <w:pPr>
              <w:pStyle w:val="TableText"/>
              <w:rPr>
                <w:rFonts w:ascii="Franklin Gothic Book" w:hAnsi="Franklin Gothic Book"/>
              </w:rPr>
            </w:pPr>
            <w:r w:rsidRPr="00A06F1E">
              <w:rPr>
                <w:rFonts w:ascii="Franklin Gothic Book" w:hAnsi="Franklin Gothic Book"/>
              </w:rPr>
              <w:t>Native American</w:t>
            </w:r>
          </w:p>
        </w:tc>
        <w:tc>
          <w:tcPr>
            <w:tcW w:w="1530" w:type="dxa"/>
            <w:vAlign w:val="center"/>
          </w:tcPr>
          <w:p w14:paraId="1608BB15" w14:textId="6F53F3BE"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67FDE3AD" w14:textId="02BAB331"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121455E4" w14:textId="4F791952"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312FD0D7"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46.7</w:t>
            </w:r>
          </w:p>
        </w:tc>
      </w:tr>
      <w:tr w:rsidR="00B607BD" w:rsidRPr="00A06F1E" w14:paraId="4E814AA5"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21D2188" w14:textId="77777777" w:rsidR="00B607BD" w:rsidRPr="00A06F1E" w:rsidRDefault="00B607BD">
            <w:pPr>
              <w:pStyle w:val="TableText"/>
              <w:rPr>
                <w:rFonts w:ascii="Franklin Gothic Book" w:hAnsi="Franklin Gothic Book"/>
                <w:spacing w:val="-4"/>
              </w:rPr>
            </w:pPr>
            <w:r w:rsidRPr="00A06F1E">
              <w:rPr>
                <w:rFonts w:ascii="Franklin Gothic Book" w:hAnsi="Franklin Gothic Book"/>
                <w:spacing w:val="-4"/>
              </w:rPr>
              <w:t>Native Hawaiian, Pacific Islander</w:t>
            </w:r>
          </w:p>
        </w:tc>
        <w:tc>
          <w:tcPr>
            <w:tcW w:w="1530" w:type="dxa"/>
            <w:vAlign w:val="center"/>
          </w:tcPr>
          <w:p w14:paraId="729C3791" w14:textId="73CD334F"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6E0CBBB8" w14:textId="22364A59"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798A8065" w14:textId="17CEFA7F"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516C9AF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50.5</w:t>
            </w:r>
          </w:p>
        </w:tc>
      </w:tr>
      <w:tr w:rsidR="00B607BD" w:rsidRPr="00A06F1E" w14:paraId="14355B80" w14:textId="77777777">
        <w:tc>
          <w:tcPr>
            <w:tcW w:w="3232" w:type="dxa"/>
          </w:tcPr>
          <w:p w14:paraId="51198B22" w14:textId="77777777" w:rsidR="00B607BD" w:rsidRPr="00A06F1E" w:rsidRDefault="00B607BD">
            <w:pPr>
              <w:pStyle w:val="TableText"/>
              <w:rPr>
                <w:rFonts w:ascii="Franklin Gothic Book" w:hAnsi="Franklin Gothic Book"/>
              </w:rPr>
            </w:pPr>
            <w:r w:rsidRPr="00A06F1E">
              <w:rPr>
                <w:rFonts w:ascii="Franklin Gothic Book" w:hAnsi="Franklin Gothic Book"/>
              </w:rPr>
              <w:t>White</w:t>
            </w:r>
          </w:p>
        </w:tc>
        <w:tc>
          <w:tcPr>
            <w:tcW w:w="1530" w:type="dxa"/>
            <w:vAlign w:val="center"/>
          </w:tcPr>
          <w:p w14:paraId="5BFB8678"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144</w:t>
            </w:r>
          </w:p>
        </w:tc>
        <w:tc>
          <w:tcPr>
            <w:tcW w:w="1530" w:type="dxa"/>
            <w:vAlign w:val="center"/>
          </w:tcPr>
          <w:p w14:paraId="5B6291BE"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48.1</w:t>
            </w:r>
          </w:p>
        </w:tc>
        <w:tc>
          <w:tcPr>
            <w:tcW w:w="1530" w:type="dxa"/>
            <w:vAlign w:val="center"/>
          </w:tcPr>
          <w:p w14:paraId="6F7E124B"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49.1</w:t>
            </w:r>
          </w:p>
        </w:tc>
        <w:tc>
          <w:tcPr>
            <w:tcW w:w="1522" w:type="dxa"/>
            <w:vAlign w:val="center"/>
          </w:tcPr>
          <w:p w14:paraId="5290B324"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50.0</w:t>
            </w:r>
          </w:p>
        </w:tc>
      </w:tr>
      <w:tr w:rsidR="00B607BD" w:rsidRPr="00A06F1E" w14:paraId="7C44F8A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E03F4CC" w14:textId="77777777" w:rsidR="00B607BD" w:rsidRPr="00A06F1E" w:rsidRDefault="00B607BD">
            <w:pPr>
              <w:pStyle w:val="TableText"/>
              <w:rPr>
                <w:rFonts w:ascii="Franklin Gothic Book" w:hAnsi="Franklin Gothic Book"/>
              </w:rPr>
            </w:pPr>
            <w:r w:rsidRPr="00A06F1E">
              <w:rPr>
                <w:rFonts w:ascii="Franklin Gothic Book" w:hAnsi="Franklin Gothic Book"/>
              </w:rPr>
              <w:t>High needs</w:t>
            </w:r>
          </w:p>
        </w:tc>
        <w:tc>
          <w:tcPr>
            <w:tcW w:w="1530" w:type="dxa"/>
            <w:vAlign w:val="center"/>
          </w:tcPr>
          <w:p w14:paraId="58D311E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113</w:t>
            </w:r>
          </w:p>
        </w:tc>
        <w:tc>
          <w:tcPr>
            <w:tcW w:w="1530" w:type="dxa"/>
            <w:vAlign w:val="center"/>
          </w:tcPr>
          <w:p w14:paraId="34626B96"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46.9</w:t>
            </w:r>
          </w:p>
        </w:tc>
        <w:tc>
          <w:tcPr>
            <w:tcW w:w="1530" w:type="dxa"/>
            <w:vAlign w:val="center"/>
          </w:tcPr>
          <w:p w14:paraId="3EC63AD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46.0</w:t>
            </w:r>
          </w:p>
        </w:tc>
        <w:tc>
          <w:tcPr>
            <w:tcW w:w="1522" w:type="dxa"/>
            <w:vAlign w:val="center"/>
          </w:tcPr>
          <w:p w14:paraId="55CB889E"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47.3</w:t>
            </w:r>
          </w:p>
        </w:tc>
      </w:tr>
      <w:tr w:rsidR="00B607BD" w:rsidRPr="00A06F1E" w14:paraId="4F23D8DE" w14:textId="77777777">
        <w:tc>
          <w:tcPr>
            <w:tcW w:w="3232" w:type="dxa"/>
          </w:tcPr>
          <w:p w14:paraId="7D04F889" w14:textId="77777777" w:rsidR="00B607BD" w:rsidRPr="00A06F1E" w:rsidRDefault="00B607BD">
            <w:pPr>
              <w:pStyle w:val="TableText"/>
              <w:rPr>
                <w:rFonts w:ascii="Franklin Gothic Book" w:hAnsi="Franklin Gothic Book"/>
              </w:rPr>
            </w:pPr>
            <w:r w:rsidRPr="00A06F1E">
              <w:rPr>
                <w:rFonts w:ascii="Franklin Gothic Book" w:hAnsi="Franklin Gothic Book"/>
              </w:rPr>
              <w:t>Low income</w:t>
            </w:r>
          </w:p>
        </w:tc>
        <w:tc>
          <w:tcPr>
            <w:tcW w:w="1530" w:type="dxa"/>
            <w:vAlign w:val="center"/>
          </w:tcPr>
          <w:p w14:paraId="42BF8AFE"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98</w:t>
            </w:r>
          </w:p>
        </w:tc>
        <w:tc>
          <w:tcPr>
            <w:tcW w:w="1530" w:type="dxa"/>
            <w:vAlign w:val="center"/>
          </w:tcPr>
          <w:p w14:paraId="4944096A"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47.5</w:t>
            </w:r>
          </w:p>
        </w:tc>
        <w:tc>
          <w:tcPr>
            <w:tcW w:w="1530" w:type="dxa"/>
            <w:vAlign w:val="center"/>
          </w:tcPr>
          <w:p w14:paraId="522A0ADD"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46.7</w:t>
            </w:r>
          </w:p>
        </w:tc>
        <w:tc>
          <w:tcPr>
            <w:tcW w:w="1522" w:type="dxa"/>
            <w:vAlign w:val="center"/>
          </w:tcPr>
          <w:p w14:paraId="31EF949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47.0</w:t>
            </w:r>
          </w:p>
        </w:tc>
      </w:tr>
      <w:tr w:rsidR="00B607BD" w:rsidRPr="00A06F1E" w14:paraId="609FB5B8"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D439417" w14:textId="77777777" w:rsidR="00B607BD" w:rsidRPr="00A06F1E" w:rsidRDefault="00B607BD">
            <w:pPr>
              <w:pStyle w:val="TableText"/>
              <w:rPr>
                <w:rFonts w:ascii="Franklin Gothic Book" w:hAnsi="Franklin Gothic Book"/>
                <w:spacing w:val="-4"/>
              </w:rPr>
            </w:pPr>
            <w:r w:rsidRPr="00A06F1E">
              <w:rPr>
                <w:rFonts w:ascii="Franklin Gothic Book" w:hAnsi="Franklin Gothic Book"/>
                <w:spacing w:val="-4"/>
              </w:rPr>
              <w:t>ELs and former ELs</w:t>
            </w:r>
          </w:p>
        </w:tc>
        <w:tc>
          <w:tcPr>
            <w:tcW w:w="1530" w:type="dxa"/>
            <w:vAlign w:val="center"/>
          </w:tcPr>
          <w:p w14:paraId="14950F39" w14:textId="7A6C9C85"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3575C185" w14:textId="33BD97F9"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018DCD8F" w14:textId="0B7BF677"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381389F1"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49.7</w:t>
            </w:r>
          </w:p>
        </w:tc>
      </w:tr>
      <w:tr w:rsidR="00B607BD" w:rsidRPr="00A06F1E" w14:paraId="6F58DCF3" w14:textId="77777777">
        <w:tc>
          <w:tcPr>
            <w:tcW w:w="3232" w:type="dxa"/>
          </w:tcPr>
          <w:p w14:paraId="6A0B50F9" w14:textId="77777777" w:rsidR="00B607BD" w:rsidRPr="00A06F1E" w:rsidRDefault="00B607BD">
            <w:pPr>
              <w:pStyle w:val="TableText"/>
              <w:rPr>
                <w:rFonts w:ascii="Franklin Gothic Book" w:hAnsi="Franklin Gothic Book"/>
              </w:rPr>
            </w:pPr>
            <w:r w:rsidRPr="00A06F1E">
              <w:rPr>
                <w:rFonts w:ascii="Franklin Gothic Book" w:hAnsi="Franklin Gothic Book"/>
              </w:rPr>
              <w:t>Students w/disabilities</w:t>
            </w:r>
          </w:p>
        </w:tc>
        <w:tc>
          <w:tcPr>
            <w:tcW w:w="1530" w:type="dxa"/>
            <w:vAlign w:val="center"/>
          </w:tcPr>
          <w:p w14:paraId="4F2E475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44</w:t>
            </w:r>
          </w:p>
        </w:tc>
        <w:tc>
          <w:tcPr>
            <w:tcW w:w="1530" w:type="dxa"/>
            <w:vAlign w:val="center"/>
          </w:tcPr>
          <w:p w14:paraId="3D7370C7"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37.4</w:t>
            </w:r>
          </w:p>
        </w:tc>
        <w:tc>
          <w:tcPr>
            <w:tcW w:w="1530" w:type="dxa"/>
            <w:vAlign w:val="center"/>
          </w:tcPr>
          <w:p w14:paraId="10BA6786"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38.9</w:t>
            </w:r>
          </w:p>
        </w:tc>
        <w:tc>
          <w:tcPr>
            <w:tcW w:w="1522" w:type="dxa"/>
            <w:vAlign w:val="center"/>
          </w:tcPr>
          <w:p w14:paraId="5A22425D"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43.7</w:t>
            </w:r>
          </w:p>
        </w:tc>
      </w:tr>
    </w:tbl>
    <w:p w14:paraId="784B148A" w14:textId="545AADF0" w:rsidR="00B607BD" w:rsidRPr="00A06F1E" w:rsidRDefault="00B607BD" w:rsidP="00B7722D">
      <w:pPr>
        <w:pStyle w:val="TabletitleSectionE"/>
      </w:pPr>
      <w:bookmarkStart w:id="292" w:name="_Toc170701971"/>
      <w:bookmarkStart w:id="293" w:name="_Toc171685808"/>
      <w:r w:rsidRPr="00A06F1E">
        <w:t>Table E11</w:t>
      </w:r>
      <w:r w:rsidR="00A228CB" w:rsidRPr="00A06F1E">
        <w:t>. Mahar Regional</w:t>
      </w:r>
      <w:r w:rsidR="00F3532E" w:rsidRPr="00A06F1E">
        <w:t>:</w:t>
      </w:r>
      <w:r w:rsidRPr="00A06F1E">
        <w:t xml:space="preserve"> Next-Generation MCAS ELA Mean </w:t>
      </w:r>
      <w:r w:rsidR="003A7C1C" w:rsidRPr="00A06F1E">
        <w:t>SGP</w:t>
      </w:r>
      <w:r w:rsidRPr="00A06F1E">
        <w:t xml:space="preserve"> by Student Group, Grade 10, 2022-2023</w:t>
      </w:r>
      <w:bookmarkEnd w:id="292"/>
      <w:bookmarkEnd w:id="293"/>
    </w:p>
    <w:tbl>
      <w:tblPr>
        <w:tblStyle w:val="MSVTable1"/>
        <w:tblW w:w="5000" w:type="pct"/>
        <w:tblLook w:val="0420" w:firstRow="1" w:lastRow="0" w:firstColumn="0" w:lastColumn="0" w:noHBand="0" w:noVBand="1"/>
      </w:tblPr>
      <w:tblGrid>
        <w:gridCol w:w="3232"/>
        <w:gridCol w:w="1530"/>
        <w:gridCol w:w="1530"/>
        <w:gridCol w:w="1530"/>
        <w:gridCol w:w="1522"/>
      </w:tblGrid>
      <w:tr w:rsidR="00B607BD" w:rsidRPr="00A06F1E" w14:paraId="77C232A7"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735FF242" w14:textId="77777777" w:rsidR="00B607BD" w:rsidRPr="00A06F1E" w:rsidRDefault="00B607BD">
            <w:pPr>
              <w:pStyle w:val="TableColHeadingLeft"/>
              <w:jc w:val="center"/>
            </w:pPr>
            <w:r w:rsidRPr="00A06F1E">
              <w:t>Group</w:t>
            </w:r>
          </w:p>
        </w:tc>
        <w:tc>
          <w:tcPr>
            <w:tcW w:w="1530" w:type="dxa"/>
            <w:vAlign w:val="center"/>
          </w:tcPr>
          <w:p w14:paraId="42DDBF32" w14:textId="528E634A" w:rsidR="00B607BD" w:rsidRPr="00A06F1E" w:rsidRDefault="00B607BD">
            <w:pPr>
              <w:pStyle w:val="TableColHeadingCenter"/>
            </w:pPr>
            <w:r w:rsidRPr="00A06F1E">
              <w:t xml:space="preserve"># </w:t>
            </w:r>
            <w:r w:rsidR="00FF1146" w:rsidRPr="00A06F1E">
              <w:t>included</w:t>
            </w:r>
            <w:r w:rsidRPr="00A06F1E">
              <w:t xml:space="preserve"> (2023)</w:t>
            </w:r>
          </w:p>
        </w:tc>
        <w:tc>
          <w:tcPr>
            <w:tcW w:w="1530" w:type="dxa"/>
            <w:vAlign w:val="center"/>
          </w:tcPr>
          <w:p w14:paraId="4FFCA652" w14:textId="77777777" w:rsidR="00B607BD" w:rsidRPr="00A06F1E" w:rsidRDefault="00B607BD">
            <w:pPr>
              <w:pStyle w:val="TableColHeadingCenter"/>
            </w:pPr>
            <w:r w:rsidRPr="00A06F1E">
              <w:t>2022</w:t>
            </w:r>
          </w:p>
        </w:tc>
        <w:tc>
          <w:tcPr>
            <w:tcW w:w="1530" w:type="dxa"/>
            <w:vAlign w:val="center"/>
          </w:tcPr>
          <w:p w14:paraId="2A858ABB" w14:textId="77777777" w:rsidR="00B607BD" w:rsidRPr="00A06F1E" w:rsidRDefault="00B607BD">
            <w:pPr>
              <w:pStyle w:val="TableColHeadingCenter"/>
            </w:pPr>
            <w:r w:rsidRPr="00A06F1E">
              <w:t>2023</w:t>
            </w:r>
          </w:p>
        </w:tc>
        <w:tc>
          <w:tcPr>
            <w:tcW w:w="1522" w:type="dxa"/>
            <w:vAlign w:val="center"/>
          </w:tcPr>
          <w:p w14:paraId="6027F3D6" w14:textId="77777777" w:rsidR="00B607BD" w:rsidRPr="00A06F1E" w:rsidRDefault="00B607BD">
            <w:pPr>
              <w:pStyle w:val="TableColHeadingCenter"/>
            </w:pPr>
            <w:r w:rsidRPr="00A06F1E">
              <w:t>State (2023)</w:t>
            </w:r>
          </w:p>
        </w:tc>
      </w:tr>
      <w:tr w:rsidR="00B607BD" w:rsidRPr="00A06F1E" w14:paraId="2F4DF08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01E2FAB" w14:textId="77777777" w:rsidR="00B607BD" w:rsidRPr="00A06F1E" w:rsidRDefault="00B607BD">
            <w:pPr>
              <w:pStyle w:val="TableText"/>
              <w:rPr>
                <w:rFonts w:ascii="Franklin Gothic Book" w:hAnsi="Franklin Gothic Book"/>
              </w:rPr>
            </w:pPr>
            <w:r w:rsidRPr="00A06F1E">
              <w:rPr>
                <w:rFonts w:ascii="Franklin Gothic Book" w:hAnsi="Franklin Gothic Book"/>
              </w:rPr>
              <w:t>All students</w:t>
            </w:r>
          </w:p>
        </w:tc>
        <w:tc>
          <w:tcPr>
            <w:tcW w:w="1530" w:type="dxa"/>
            <w:vAlign w:val="center"/>
          </w:tcPr>
          <w:p w14:paraId="5117AED4"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65</w:t>
            </w:r>
          </w:p>
        </w:tc>
        <w:tc>
          <w:tcPr>
            <w:tcW w:w="1530" w:type="dxa"/>
            <w:vAlign w:val="center"/>
          </w:tcPr>
          <w:p w14:paraId="149AD0A9"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30.7</w:t>
            </w:r>
          </w:p>
        </w:tc>
        <w:tc>
          <w:tcPr>
            <w:tcW w:w="1530" w:type="dxa"/>
            <w:vAlign w:val="center"/>
          </w:tcPr>
          <w:p w14:paraId="1243AE7A"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36.2</w:t>
            </w:r>
          </w:p>
        </w:tc>
        <w:tc>
          <w:tcPr>
            <w:tcW w:w="1522" w:type="dxa"/>
            <w:vAlign w:val="center"/>
          </w:tcPr>
          <w:p w14:paraId="498931F2"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49.5</w:t>
            </w:r>
          </w:p>
        </w:tc>
      </w:tr>
      <w:tr w:rsidR="00B607BD" w:rsidRPr="00A06F1E" w14:paraId="60AE90FC" w14:textId="77777777">
        <w:tc>
          <w:tcPr>
            <w:tcW w:w="3232" w:type="dxa"/>
          </w:tcPr>
          <w:p w14:paraId="5C1115D3" w14:textId="77777777" w:rsidR="00B607BD" w:rsidRPr="00A06F1E" w:rsidRDefault="00B607BD">
            <w:pPr>
              <w:pStyle w:val="TableText"/>
              <w:rPr>
                <w:rFonts w:ascii="Franklin Gothic Book" w:hAnsi="Franklin Gothic Book"/>
              </w:rPr>
            </w:pPr>
            <w:r w:rsidRPr="00A06F1E">
              <w:rPr>
                <w:rFonts w:ascii="Franklin Gothic Book" w:hAnsi="Franklin Gothic Book"/>
              </w:rPr>
              <w:t>African American/Black</w:t>
            </w:r>
          </w:p>
        </w:tc>
        <w:tc>
          <w:tcPr>
            <w:tcW w:w="1530" w:type="dxa"/>
            <w:vAlign w:val="center"/>
          </w:tcPr>
          <w:p w14:paraId="167F34FE" w14:textId="3B83FA9B"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2920B8FC" w14:textId="5131D54A"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676564AD" w14:textId="7FD04E92"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37D4257A"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45.5</w:t>
            </w:r>
          </w:p>
        </w:tc>
      </w:tr>
      <w:tr w:rsidR="00B607BD" w:rsidRPr="00A06F1E" w14:paraId="2369B283"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3FD0152" w14:textId="77777777" w:rsidR="00B607BD" w:rsidRPr="00A06F1E" w:rsidRDefault="00B607BD">
            <w:pPr>
              <w:pStyle w:val="TableText"/>
              <w:rPr>
                <w:rFonts w:ascii="Franklin Gothic Book" w:hAnsi="Franklin Gothic Book"/>
              </w:rPr>
            </w:pPr>
            <w:r w:rsidRPr="00A06F1E">
              <w:rPr>
                <w:rFonts w:ascii="Franklin Gothic Book" w:hAnsi="Franklin Gothic Book"/>
              </w:rPr>
              <w:t>Asian</w:t>
            </w:r>
          </w:p>
        </w:tc>
        <w:tc>
          <w:tcPr>
            <w:tcW w:w="1530" w:type="dxa"/>
            <w:vAlign w:val="center"/>
          </w:tcPr>
          <w:p w14:paraId="3C285E3D" w14:textId="75633D4F"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73B40D85" w14:textId="7B33ECB7"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5D778C78" w14:textId="120D33C6"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4E54B9D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56.2</w:t>
            </w:r>
          </w:p>
        </w:tc>
      </w:tr>
      <w:tr w:rsidR="00B607BD" w:rsidRPr="00A06F1E" w14:paraId="2D460DCA" w14:textId="77777777">
        <w:tc>
          <w:tcPr>
            <w:tcW w:w="3232" w:type="dxa"/>
          </w:tcPr>
          <w:p w14:paraId="28F223C8" w14:textId="77777777" w:rsidR="00B607BD" w:rsidRPr="00A06F1E" w:rsidRDefault="00B607BD">
            <w:pPr>
              <w:pStyle w:val="TableText"/>
              <w:rPr>
                <w:rFonts w:ascii="Franklin Gothic Book" w:hAnsi="Franklin Gothic Book"/>
              </w:rPr>
            </w:pPr>
            <w:r w:rsidRPr="00A06F1E">
              <w:rPr>
                <w:rFonts w:ascii="Franklin Gothic Book" w:hAnsi="Franklin Gothic Book"/>
              </w:rPr>
              <w:t>Hispanic/Latino</w:t>
            </w:r>
          </w:p>
        </w:tc>
        <w:tc>
          <w:tcPr>
            <w:tcW w:w="1530" w:type="dxa"/>
            <w:vAlign w:val="center"/>
          </w:tcPr>
          <w:p w14:paraId="6C53817A" w14:textId="1F88002F"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5A9B0CA5" w14:textId="3F7BC8F7"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0941025E" w14:textId="0AD986EC"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1E047D42"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45.1</w:t>
            </w:r>
          </w:p>
        </w:tc>
      </w:tr>
      <w:tr w:rsidR="00B607BD" w:rsidRPr="00A06F1E" w14:paraId="3C053F45"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38BDCCA" w14:textId="77777777" w:rsidR="00B607BD" w:rsidRPr="00A06F1E" w:rsidRDefault="00B607BD">
            <w:pPr>
              <w:pStyle w:val="TableText"/>
              <w:rPr>
                <w:rFonts w:ascii="Franklin Gothic Book" w:hAnsi="Franklin Gothic Book"/>
              </w:rPr>
            </w:pPr>
            <w:r w:rsidRPr="00A06F1E">
              <w:rPr>
                <w:rFonts w:ascii="Franklin Gothic Book" w:hAnsi="Franklin Gothic Book"/>
              </w:rPr>
              <w:t>Multi-Race, non-Hispanic/Latino</w:t>
            </w:r>
          </w:p>
        </w:tc>
        <w:tc>
          <w:tcPr>
            <w:tcW w:w="1530" w:type="dxa"/>
            <w:vAlign w:val="center"/>
          </w:tcPr>
          <w:p w14:paraId="57A22C7D" w14:textId="5619C162"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0391A20A" w14:textId="351CA88A"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0501F8F5" w14:textId="277A8B1A"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37B87FA2"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51.3</w:t>
            </w:r>
          </w:p>
        </w:tc>
      </w:tr>
      <w:tr w:rsidR="00B607BD" w:rsidRPr="00A06F1E" w14:paraId="28832B6B" w14:textId="77777777">
        <w:tc>
          <w:tcPr>
            <w:tcW w:w="3232" w:type="dxa"/>
          </w:tcPr>
          <w:p w14:paraId="3059169B" w14:textId="77777777" w:rsidR="00B607BD" w:rsidRPr="00A06F1E" w:rsidRDefault="00B607BD">
            <w:pPr>
              <w:pStyle w:val="TableText"/>
              <w:rPr>
                <w:rFonts w:ascii="Franklin Gothic Book" w:hAnsi="Franklin Gothic Book"/>
              </w:rPr>
            </w:pPr>
            <w:r w:rsidRPr="00A06F1E">
              <w:rPr>
                <w:rFonts w:ascii="Franklin Gothic Book" w:hAnsi="Franklin Gothic Book"/>
              </w:rPr>
              <w:t>Native American</w:t>
            </w:r>
          </w:p>
        </w:tc>
        <w:tc>
          <w:tcPr>
            <w:tcW w:w="1530" w:type="dxa"/>
            <w:vAlign w:val="center"/>
          </w:tcPr>
          <w:p w14:paraId="64C4F84C" w14:textId="23373D8A"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73765A17" w14:textId="1940897D"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1E6B266F" w14:textId="5BE73648"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0FAE3064"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46.4</w:t>
            </w:r>
          </w:p>
        </w:tc>
      </w:tr>
      <w:tr w:rsidR="00B607BD" w:rsidRPr="00A06F1E" w14:paraId="4C582511"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B257F76" w14:textId="77777777" w:rsidR="00B607BD" w:rsidRPr="00A06F1E" w:rsidRDefault="00B607BD">
            <w:pPr>
              <w:pStyle w:val="TableText"/>
              <w:rPr>
                <w:rFonts w:ascii="Franklin Gothic Book" w:hAnsi="Franklin Gothic Book"/>
                <w:spacing w:val="-4"/>
              </w:rPr>
            </w:pPr>
            <w:r w:rsidRPr="00A06F1E">
              <w:rPr>
                <w:rFonts w:ascii="Franklin Gothic Book" w:hAnsi="Franklin Gothic Book"/>
                <w:spacing w:val="-4"/>
              </w:rPr>
              <w:t>Native Hawaiian, Pacific Islander</w:t>
            </w:r>
          </w:p>
        </w:tc>
        <w:tc>
          <w:tcPr>
            <w:tcW w:w="1530" w:type="dxa"/>
            <w:vAlign w:val="center"/>
          </w:tcPr>
          <w:p w14:paraId="7897B8AA" w14:textId="501A58FF"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6F945A0D" w14:textId="1DD51D9C"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294F8E26" w14:textId="13DD9D86"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6C0D1128"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45.2</w:t>
            </w:r>
          </w:p>
        </w:tc>
      </w:tr>
      <w:tr w:rsidR="00B607BD" w:rsidRPr="00A06F1E" w14:paraId="19D26614" w14:textId="77777777">
        <w:tc>
          <w:tcPr>
            <w:tcW w:w="3232" w:type="dxa"/>
          </w:tcPr>
          <w:p w14:paraId="6C92C8A0" w14:textId="77777777" w:rsidR="00B607BD" w:rsidRPr="00A06F1E" w:rsidRDefault="00B607BD">
            <w:pPr>
              <w:pStyle w:val="TableText"/>
              <w:rPr>
                <w:rFonts w:ascii="Franklin Gothic Book" w:hAnsi="Franklin Gothic Book"/>
              </w:rPr>
            </w:pPr>
            <w:r w:rsidRPr="00A06F1E">
              <w:rPr>
                <w:rFonts w:ascii="Franklin Gothic Book" w:hAnsi="Franklin Gothic Book"/>
              </w:rPr>
              <w:t>White</w:t>
            </w:r>
          </w:p>
        </w:tc>
        <w:tc>
          <w:tcPr>
            <w:tcW w:w="1530" w:type="dxa"/>
            <w:vAlign w:val="center"/>
          </w:tcPr>
          <w:p w14:paraId="56279EF4"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51</w:t>
            </w:r>
          </w:p>
        </w:tc>
        <w:tc>
          <w:tcPr>
            <w:tcW w:w="1530" w:type="dxa"/>
            <w:vAlign w:val="center"/>
          </w:tcPr>
          <w:p w14:paraId="4909E828"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30.4</w:t>
            </w:r>
          </w:p>
        </w:tc>
        <w:tc>
          <w:tcPr>
            <w:tcW w:w="1530" w:type="dxa"/>
            <w:vAlign w:val="center"/>
          </w:tcPr>
          <w:p w14:paraId="1C1C277E"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36.7</w:t>
            </w:r>
          </w:p>
        </w:tc>
        <w:tc>
          <w:tcPr>
            <w:tcW w:w="1522" w:type="dxa"/>
            <w:vAlign w:val="center"/>
          </w:tcPr>
          <w:p w14:paraId="7F23C1E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50.7</w:t>
            </w:r>
          </w:p>
        </w:tc>
      </w:tr>
      <w:tr w:rsidR="00B607BD" w:rsidRPr="00A06F1E" w14:paraId="11D1F8DC"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7A2D8B8" w14:textId="77777777" w:rsidR="00B607BD" w:rsidRPr="00A06F1E" w:rsidRDefault="00B607BD">
            <w:pPr>
              <w:pStyle w:val="TableText"/>
              <w:rPr>
                <w:rFonts w:ascii="Franklin Gothic Book" w:hAnsi="Franklin Gothic Book"/>
              </w:rPr>
            </w:pPr>
            <w:r w:rsidRPr="00A06F1E">
              <w:rPr>
                <w:rFonts w:ascii="Franklin Gothic Book" w:hAnsi="Franklin Gothic Book"/>
              </w:rPr>
              <w:t>High needs</w:t>
            </w:r>
          </w:p>
        </w:tc>
        <w:tc>
          <w:tcPr>
            <w:tcW w:w="1530" w:type="dxa"/>
            <w:vAlign w:val="center"/>
          </w:tcPr>
          <w:p w14:paraId="7D60E14F"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42</w:t>
            </w:r>
          </w:p>
        </w:tc>
        <w:tc>
          <w:tcPr>
            <w:tcW w:w="1530" w:type="dxa"/>
            <w:vAlign w:val="center"/>
          </w:tcPr>
          <w:p w14:paraId="08B08512"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26.6</w:t>
            </w:r>
          </w:p>
        </w:tc>
        <w:tc>
          <w:tcPr>
            <w:tcW w:w="1530" w:type="dxa"/>
            <w:vAlign w:val="center"/>
          </w:tcPr>
          <w:p w14:paraId="76EDB04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38.1</w:t>
            </w:r>
          </w:p>
        </w:tc>
        <w:tc>
          <w:tcPr>
            <w:tcW w:w="1522" w:type="dxa"/>
            <w:vAlign w:val="center"/>
          </w:tcPr>
          <w:p w14:paraId="179031C4"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44.7</w:t>
            </w:r>
          </w:p>
        </w:tc>
      </w:tr>
      <w:tr w:rsidR="00B607BD" w:rsidRPr="00A06F1E" w14:paraId="57B45414" w14:textId="77777777">
        <w:tc>
          <w:tcPr>
            <w:tcW w:w="3232" w:type="dxa"/>
          </w:tcPr>
          <w:p w14:paraId="3F44BC6E" w14:textId="77777777" w:rsidR="00B607BD" w:rsidRPr="00A06F1E" w:rsidRDefault="00B607BD">
            <w:pPr>
              <w:pStyle w:val="TableText"/>
              <w:rPr>
                <w:rFonts w:ascii="Franklin Gothic Book" w:hAnsi="Franklin Gothic Book"/>
              </w:rPr>
            </w:pPr>
            <w:r w:rsidRPr="00A06F1E">
              <w:rPr>
                <w:rFonts w:ascii="Franklin Gothic Book" w:hAnsi="Franklin Gothic Book"/>
              </w:rPr>
              <w:t>Low income</w:t>
            </w:r>
          </w:p>
        </w:tc>
        <w:tc>
          <w:tcPr>
            <w:tcW w:w="1530" w:type="dxa"/>
            <w:vAlign w:val="center"/>
          </w:tcPr>
          <w:p w14:paraId="4AFD9DC1"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35</w:t>
            </w:r>
          </w:p>
        </w:tc>
        <w:tc>
          <w:tcPr>
            <w:tcW w:w="1530" w:type="dxa"/>
            <w:vAlign w:val="center"/>
          </w:tcPr>
          <w:p w14:paraId="7E99CE20"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28.3</w:t>
            </w:r>
          </w:p>
        </w:tc>
        <w:tc>
          <w:tcPr>
            <w:tcW w:w="1530" w:type="dxa"/>
            <w:vAlign w:val="center"/>
          </w:tcPr>
          <w:p w14:paraId="6D8599BC"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41.0</w:t>
            </w:r>
          </w:p>
        </w:tc>
        <w:tc>
          <w:tcPr>
            <w:tcW w:w="1522" w:type="dxa"/>
            <w:vAlign w:val="center"/>
          </w:tcPr>
          <w:p w14:paraId="3967A1BB"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44.9</w:t>
            </w:r>
          </w:p>
        </w:tc>
      </w:tr>
      <w:tr w:rsidR="00B607BD" w:rsidRPr="00A06F1E" w14:paraId="7D47E5A9"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C0A789B" w14:textId="77777777" w:rsidR="00B607BD" w:rsidRPr="00A06F1E" w:rsidRDefault="00B607BD">
            <w:pPr>
              <w:pStyle w:val="TableText"/>
              <w:rPr>
                <w:rFonts w:ascii="Franklin Gothic Book" w:hAnsi="Franklin Gothic Book"/>
                <w:spacing w:val="-4"/>
              </w:rPr>
            </w:pPr>
            <w:r w:rsidRPr="00A06F1E">
              <w:rPr>
                <w:rFonts w:ascii="Franklin Gothic Book" w:hAnsi="Franklin Gothic Book"/>
                <w:spacing w:val="-4"/>
              </w:rPr>
              <w:t>ELs and former ELs</w:t>
            </w:r>
          </w:p>
        </w:tc>
        <w:tc>
          <w:tcPr>
            <w:tcW w:w="1530" w:type="dxa"/>
            <w:vAlign w:val="center"/>
          </w:tcPr>
          <w:p w14:paraId="78C19704" w14:textId="37F0EBD5"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35CB63F3" w14:textId="30940F2A"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56C61F8B" w14:textId="3B168E5B"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09B4EF2A"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42.1</w:t>
            </w:r>
          </w:p>
        </w:tc>
      </w:tr>
      <w:tr w:rsidR="00B607BD" w:rsidRPr="00A06F1E" w14:paraId="490AA058" w14:textId="77777777">
        <w:tc>
          <w:tcPr>
            <w:tcW w:w="3232" w:type="dxa"/>
          </w:tcPr>
          <w:p w14:paraId="4A428891" w14:textId="77777777" w:rsidR="00B607BD" w:rsidRPr="00A06F1E" w:rsidRDefault="00B607BD">
            <w:pPr>
              <w:pStyle w:val="TableText"/>
              <w:rPr>
                <w:rFonts w:ascii="Franklin Gothic Book" w:hAnsi="Franklin Gothic Book"/>
              </w:rPr>
            </w:pPr>
            <w:r w:rsidRPr="00A06F1E">
              <w:rPr>
                <w:rFonts w:ascii="Franklin Gothic Book" w:hAnsi="Franklin Gothic Book"/>
              </w:rPr>
              <w:t>Students w/disabilities</w:t>
            </w:r>
          </w:p>
        </w:tc>
        <w:tc>
          <w:tcPr>
            <w:tcW w:w="1530" w:type="dxa"/>
            <w:vAlign w:val="center"/>
          </w:tcPr>
          <w:p w14:paraId="757E0C66"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24</w:t>
            </w:r>
          </w:p>
        </w:tc>
        <w:tc>
          <w:tcPr>
            <w:tcW w:w="1530" w:type="dxa"/>
            <w:vAlign w:val="center"/>
          </w:tcPr>
          <w:p w14:paraId="7FAE8A34" w14:textId="6B601990"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65F8F57C"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33.7</w:t>
            </w:r>
          </w:p>
        </w:tc>
        <w:tc>
          <w:tcPr>
            <w:tcW w:w="1522" w:type="dxa"/>
            <w:vAlign w:val="center"/>
          </w:tcPr>
          <w:p w14:paraId="1AEE74FC"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39.9</w:t>
            </w:r>
          </w:p>
        </w:tc>
      </w:tr>
    </w:tbl>
    <w:p w14:paraId="37B61DAC" w14:textId="77777777" w:rsidR="00B607BD" w:rsidRPr="00A06F1E" w:rsidRDefault="00B607BD" w:rsidP="00B607BD">
      <w:pPr>
        <w:pStyle w:val="TableNote"/>
        <w:spacing w:before="0" w:line="240" w:lineRule="auto"/>
        <w:rPr>
          <w:rFonts w:ascii="Franklin Gothic Book" w:hAnsi="Franklin Gothic Book"/>
        </w:rPr>
      </w:pPr>
    </w:p>
    <w:p w14:paraId="609D10D2" w14:textId="77777777" w:rsidR="00B607BD" w:rsidRPr="00A06F1E" w:rsidRDefault="00B607BD" w:rsidP="00B607BD">
      <w:pPr>
        <w:spacing w:line="240" w:lineRule="auto"/>
        <w:rPr>
          <w:rFonts w:ascii="Franklin Gothic Book" w:hAnsi="Franklin Gothic Book"/>
          <w:sz w:val="20"/>
          <w:szCs w:val="20"/>
        </w:rPr>
      </w:pPr>
    </w:p>
    <w:p w14:paraId="049B311E" w14:textId="77777777" w:rsidR="00B607BD" w:rsidRPr="00A06F1E" w:rsidRDefault="00B607BD" w:rsidP="00B607BD">
      <w:pPr>
        <w:spacing w:line="240" w:lineRule="auto"/>
        <w:rPr>
          <w:rFonts w:ascii="Franklin Gothic Book" w:hAnsi="Franklin Gothic Book"/>
          <w:sz w:val="20"/>
          <w:szCs w:val="20"/>
        </w:rPr>
      </w:pPr>
    </w:p>
    <w:p w14:paraId="50B803CB" w14:textId="77777777" w:rsidR="00B607BD" w:rsidRPr="00A06F1E" w:rsidRDefault="00B607BD" w:rsidP="00B607BD">
      <w:pPr>
        <w:spacing w:after="160" w:line="259" w:lineRule="auto"/>
        <w:rPr>
          <w:rFonts w:ascii="Franklin Gothic Book" w:hAnsi="Franklin Gothic Book"/>
        </w:rPr>
      </w:pPr>
      <w:r w:rsidRPr="00A06F1E">
        <w:rPr>
          <w:rFonts w:ascii="Franklin Gothic Book" w:hAnsi="Franklin Gothic Book"/>
        </w:rPr>
        <w:br w:type="page"/>
      </w:r>
    </w:p>
    <w:p w14:paraId="60B056CC" w14:textId="3BB72543" w:rsidR="00B607BD" w:rsidRPr="00A06F1E" w:rsidRDefault="00B607BD" w:rsidP="00B7722D">
      <w:pPr>
        <w:pStyle w:val="TabletitleSectionE"/>
      </w:pPr>
      <w:bookmarkStart w:id="294" w:name="_Toc170701972"/>
      <w:bookmarkStart w:id="295" w:name="_Toc171685809"/>
      <w:r w:rsidRPr="00A06F1E">
        <w:lastRenderedPageBreak/>
        <w:t>Table E12</w:t>
      </w:r>
      <w:r w:rsidR="004340B3">
        <w:t>a</w:t>
      </w:r>
      <w:r w:rsidR="00CE00AC" w:rsidRPr="00A06F1E">
        <w:t xml:space="preserve">. </w:t>
      </w:r>
      <w:r w:rsidR="00CF4F71">
        <w:t>Fisher Hill</w:t>
      </w:r>
      <w:r w:rsidR="00F3532E" w:rsidRPr="00A06F1E">
        <w:t>:</w:t>
      </w:r>
      <w:r w:rsidRPr="00A06F1E">
        <w:t xml:space="preserve"> Next-Generation MCAS Mathematics Mean </w:t>
      </w:r>
      <w:r w:rsidR="003A7C1C" w:rsidRPr="00A06F1E">
        <w:t>SGP</w:t>
      </w:r>
      <w:r w:rsidRPr="00A06F1E">
        <w:t xml:space="preserve"> by Student Group, Grades 3-8, 2022-2023</w:t>
      </w:r>
      <w:bookmarkEnd w:id="294"/>
      <w:bookmarkEnd w:id="295"/>
    </w:p>
    <w:tbl>
      <w:tblPr>
        <w:tblStyle w:val="MSVTable1"/>
        <w:tblW w:w="5000" w:type="pct"/>
        <w:tblLook w:val="0420" w:firstRow="1" w:lastRow="0" w:firstColumn="0" w:lastColumn="0" w:noHBand="0" w:noVBand="1"/>
      </w:tblPr>
      <w:tblGrid>
        <w:gridCol w:w="3232"/>
        <w:gridCol w:w="1530"/>
        <w:gridCol w:w="1530"/>
        <w:gridCol w:w="1530"/>
        <w:gridCol w:w="1522"/>
      </w:tblGrid>
      <w:tr w:rsidR="00B607BD" w:rsidRPr="00A06F1E" w14:paraId="770455DE"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67FEB470" w14:textId="77777777" w:rsidR="00B607BD" w:rsidRPr="00DF7902" w:rsidRDefault="00B607BD">
            <w:pPr>
              <w:pStyle w:val="TableColHeadingLeft"/>
              <w:jc w:val="center"/>
            </w:pPr>
            <w:r w:rsidRPr="00DF7902">
              <w:t>Group</w:t>
            </w:r>
          </w:p>
        </w:tc>
        <w:tc>
          <w:tcPr>
            <w:tcW w:w="1530" w:type="dxa"/>
            <w:vAlign w:val="center"/>
          </w:tcPr>
          <w:p w14:paraId="315D0ED8" w14:textId="40B8EE0F" w:rsidR="00B607BD" w:rsidRPr="00A06F1E" w:rsidRDefault="00B607BD">
            <w:pPr>
              <w:pStyle w:val="TableColHeadingCenter"/>
            </w:pPr>
            <w:r w:rsidRPr="00A06F1E">
              <w:t xml:space="preserve"># </w:t>
            </w:r>
            <w:r w:rsidR="00FF1146" w:rsidRPr="00A06F1E">
              <w:t>included</w:t>
            </w:r>
            <w:r w:rsidRPr="00A06F1E">
              <w:t xml:space="preserve"> (2023)</w:t>
            </w:r>
          </w:p>
        </w:tc>
        <w:tc>
          <w:tcPr>
            <w:tcW w:w="1530" w:type="dxa"/>
            <w:vAlign w:val="center"/>
          </w:tcPr>
          <w:p w14:paraId="5A0F4C5C" w14:textId="77777777" w:rsidR="00B607BD" w:rsidRPr="00A06F1E" w:rsidRDefault="00B607BD">
            <w:pPr>
              <w:pStyle w:val="TableColHeadingCenter"/>
            </w:pPr>
            <w:r w:rsidRPr="00A06F1E">
              <w:t>2022</w:t>
            </w:r>
          </w:p>
        </w:tc>
        <w:tc>
          <w:tcPr>
            <w:tcW w:w="1530" w:type="dxa"/>
            <w:vAlign w:val="center"/>
          </w:tcPr>
          <w:p w14:paraId="17F141BC" w14:textId="77777777" w:rsidR="00B607BD" w:rsidRPr="00A06F1E" w:rsidRDefault="00B607BD">
            <w:pPr>
              <w:pStyle w:val="TableColHeadingCenter"/>
            </w:pPr>
            <w:r w:rsidRPr="00A06F1E">
              <w:t>2023</w:t>
            </w:r>
          </w:p>
        </w:tc>
        <w:tc>
          <w:tcPr>
            <w:tcW w:w="1522" w:type="dxa"/>
            <w:vAlign w:val="center"/>
          </w:tcPr>
          <w:p w14:paraId="1D739ABF" w14:textId="77777777" w:rsidR="00B607BD" w:rsidRPr="00A06F1E" w:rsidRDefault="00B607BD">
            <w:pPr>
              <w:pStyle w:val="TableColHeadingCenter"/>
            </w:pPr>
            <w:r w:rsidRPr="00A06F1E">
              <w:t>State (2023)</w:t>
            </w:r>
          </w:p>
        </w:tc>
      </w:tr>
      <w:tr w:rsidR="00B607BD" w:rsidRPr="00A06F1E" w14:paraId="5355DC7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C5F2699" w14:textId="77777777" w:rsidR="00B607BD" w:rsidRPr="00A06F1E" w:rsidRDefault="00B607BD">
            <w:pPr>
              <w:pStyle w:val="TableText"/>
              <w:rPr>
                <w:rFonts w:ascii="Franklin Gothic Book" w:hAnsi="Franklin Gothic Book"/>
              </w:rPr>
            </w:pPr>
            <w:r w:rsidRPr="00A06F1E">
              <w:rPr>
                <w:rFonts w:ascii="Franklin Gothic Book" w:hAnsi="Franklin Gothic Book"/>
              </w:rPr>
              <w:t>All students</w:t>
            </w:r>
          </w:p>
        </w:tc>
        <w:tc>
          <w:tcPr>
            <w:tcW w:w="1530" w:type="dxa"/>
            <w:vAlign w:val="center"/>
          </w:tcPr>
          <w:p w14:paraId="6958ACA6"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187</w:t>
            </w:r>
          </w:p>
        </w:tc>
        <w:tc>
          <w:tcPr>
            <w:tcW w:w="1530" w:type="dxa"/>
            <w:vAlign w:val="center"/>
          </w:tcPr>
          <w:p w14:paraId="09E439E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40.2</w:t>
            </w:r>
          </w:p>
        </w:tc>
        <w:tc>
          <w:tcPr>
            <w:tcW w:w="1530" w:type="dxa"/>
            <w:vAlign w:val="center"/>
          </w:tcPr>
          <w:p w14:paraId="138DB4A6"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51.4</w:t>
            </w:r>
          </w:p>
        </w:tc>
        <w:tc>
          <w:tcPr>
            <w:tcW w:w="1522" w:type="dxa"/>
            <w:vAlign w:val="center"/>
          </w:tcPr>
          <w:p w14:paraId="3E580F7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49.8</w:t>
            </w:r>
          </w:p>
        </w:tc>
      </w:tr>
      <w:tr w:rsidR="00B607BD" w:rsidRPr="00A06F1E" w14:paraId="1E3E1668" w14:textId="77777777">
        <w:tc>
          <w:tcPr>
            <w:tcW w:w="3232" w:type="dxa"/>
          </w:tcPr>
          <w:p w14:paraId="1FF7765B" w14:textId="77777777" w:rsidR="00B607BD" w:rsidRPr="00A06F1E" w:rsidRDefault="00B607BD">
            <w:pPr>
              <w:pStyle w:val="TableText"/>
              <w:rPr>
                <w:rFonts w:ascii="Franklin Gothic Book" w:hAnsi="Franklin Gothic Book"/>
              </w:rPr>
            </w:pPr>
            <w:r w:rsidRPr="00A06F1E">
              <w:rPr>
                <w:rFonts w:ascii="Franklin Gothic Book" w:hAnsi="Franklin Gothic Book"/>
              </w:rPr>
              <w:t>African American/Black</w:t>
            </w:r>
          </w:p>
        </w:tc>
        <w:tc>
          <w:tcPr>
            <w:tcW w:w="1530" w:type="dxa"/>
            <w:vAlign w:val="center"/>
          </w:tcPr>
          <w:p w14:paraId="73845294" w14:textId="11918913"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3660E995" w14:textId="1744464B"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3EEDCFAC" w14:textId="31495B0D"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4444CB7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47.8</w:t>
            </w:r>
          </w:p>
        </w:tc>
      </w:tr>
      <w:tr w:rsidR="00B607BD" w:rsidRPr="00A06F1E" w14:paraId="5BDE334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EEE5186" w14:textId="77777777" w:rsidR="00B607BD" w:rsidRPr="00A06F1E" w:rsidRDefault="00B607BD">
            <w:pPr>
              <w:pStyle w:val="TableText"/>
              <w:rPr>
                <w:rFonts w:ascii="Franklin Gothic Book" w:hAnsi="Franklin Gothic Book"/>
              </w:rPr>
            </w:pPr>
            <w:r w:rsidRPr="00A06F1E">
              <w:rPr>
                <w:rFonts w:ascii="Franklin Gothic Book" w:hAnsi="Franklin Gothic Book"/>
              </w:rPr>
              <w:t>Asian</w:t>
            </w:r>
          </w:p>
        </w:tc>
        <w:tc>
          <w:tcPr>
            <w:tcW w:w="1530" w:type="dxa"/>
            <w:vAlign w:val="center"/>
          </w:tcPr>
          <w:p w14:paraId="27BA4EEF" w14:textId="6636D737"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3172E4B7" w14:textId="60EB3C7C"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1FBD1BAC" w14:textId="3B7C4347"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34DB4B22"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57.7</w:t>
            </w:r>
          </w:p>
        </w:tc>
      </w:tr>
      <w:tr w:rsidR="00B607BD" w:rsidRPr="00A06F1E" w14:paraId="4083FA8F" w14:textId="77777777">
        <w:tc>
          <w:tcPr>
            <w:tcW w:w="3232" w:type="dxa"/>
          </w:tcPr>
          <w:p w14:paraId="766272D9" w14:textId="77777777" w:rsidR="00B607BD" w:rsidRPr="00A06F1E" w:rsidRDefault="00B607BD">
            <w:pPr>
              <w:pStyle w:val="TableText"/>
              <w:rPr>
                <w:rFonts w:ascii="Franklin Gothic Book" w:hAnsi="Franklin Gothic Book"/>
              </w:rPr>
            </w:pPr>
            <w:r w:rsidRPr="00A06F1E">
              <w:rPr>
                <w:rFonts w:ascii="Franklin Gothic Book" w:hAnsi="Franklin Gothic Book"/>
              </w:rPr>
              <w:t>Hispanic/Latino</w:t>
            </w:r>
          </w:p>
        </w:tc>
        <w:tc>
          <w:tcPr>
            <w:tcW w:w="1530" w:type="dxa"/>
            <w:vAlign w:val="center"/>
          </w:tcPr>
          <w:p w14:paraId="39DCEE49"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17</w:t>
            </w:r>
          </w:p>
        </w:tc>
        <w:tc>
          <w:tcPr>
            <w:tcW w:w="1530" w:type="dxa"/>
            <w:vAlign w:val="center"/>
          </w:tcPr>
          <w:p w14:paraId="6BAE3F4F"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38.8</w:t>
            </w:r>
          </w:p>
        </w:tc>
        <w:tc>
          <w:tcPr>
            <w:tcW w:w="1530" w:type="dxa"/>
            <w:vAlign w:val="center"/>
          </w:tcPr>
          <w:p w14:paraId="16BF9CE8" w14:textId="292DD9A7"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4FF336A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47.5</w:t>
            </w:r>
          </w:p>
        </w:tc>
      </w:tr>
      <w:tr w:rsidR="00B607BD" w:rsidRPr="00A06F1E" w14:paraId="475932F1"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23016A5" w14:textId="77777777" w:rsidR="00B607BD" w:rsidRPr="00A06F1E" w:rsidRDefault="00B607BD">
            <w:pPr>
              <w:pStyle w:val="TableText"/>
              <w:rPr>
                <w:rFonts w:ascii="Franklin Gothic Book" w:hAnsi="Franklin Gothic Book"/>
              </w:rPr>
            </w:pPr>
            <w:r w:rsidRPr="00A06F1E">
              <w:rPr>
                <w:rFonts w:ascii="Franklin Gothic Book" w:hAnsi="Franklin Gothic Book"/>
              </w:rPr>
              <w:t>Multi-Race, non-Hispanic/Latino</w:t>
            </w:r>
          </w:p>
        </w:tc>
        <w:tc>
          <w:tcPr>
            <w:tcW w:w="1530" w:type="dxa"/>
            <w:vAlign w:val="center"/>
          </w:tcPr>
          <w:p w14:paraId="29E1717D"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9</w:t>
            </w:r>
          </w:p>
        </w:tc>
        <w:tc>
          <w:tcPr>
            <w:tcW w:w="1530" w:type="dxa"/>
            <w:vAlign w:val="center"/>
          </w:tcPr>
          <w:p w14:paraId="48CB8F11" w14:textId="5F03B3DB"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443C6408" w14:textId="2C17D0BF"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5BD64D1D"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50.3</w:t>
            </w:r>
          </w:p>
        </w:tc>
      </w:tr>
      <w:tr w:rsidR="00B607BD" w:rsidRPr="00A06F1E" w14:paraId="1D1F5E0F" w14:textId="77777777">
        <w:tc>
          <w:tcPr>
            <w:tcW w:w="3232" w:type="dxa"/>
          </w:tcPr>
          <w:p w14:paraId="4404267C" w14:textId="77777777" w:rsidR="00B607BD" w:rsidRPr="00A06F1E" w:rsidRDefault="00B607BD">
            <w:pPr>
              <w:pStyle w:val="TableText"/>
              <w:rPr>
                <w:rFonts w:ascii="Franklin Gothic Book" w:hAnsi="Franklin Gothic Book"/>
              </w:rPr>
            </w:pPr>
            <w:r w:rsidRPr="00A06F1E">
              <w:rPr>
                <w:rFonts w:ascii="Franklin Gothic Book" w:hAnsi="Franklin Gothic Book"/>
              </w:rPr>
              <w:t>Native American</w:t>
            </w:r>
          </w:p>
        </w:tc>
        <w:tc>
          <w:tcPr>
            <w:tcW w:w="1530" w:type="dxa"/>
            <w:vAlign w:val="center"/>
          </w:tcPr>
          <w:p w14:paraId="6E454234" w14:textId="28AFF05A"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7209B8F4" w14:textId="00A472AF"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7A09506A" w14:textId="3FD049B7"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525EE260"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47.1</w:t>
            </w:r>
          </w:p>
        </w:tc>
      </w:tr>
      <w:tr w:rsidR="00B607BD" w:rsidRPr="00A06F1E" w14:paraId="795BBF40"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7682F7A" w14:textId="77777777" w:rsidR="00B607BD" w:rsidRPr="00A06F1E" w:rsidRDefault="00B607BD">
            <w:pPr>
              <w:pStyle w:val="TableText"/>
              <w:rPr>
                <w:rFonts w:ascii="Franklin Gothic Book" w:hAnsi="Franklin Gothic Book"/>
                <w:spacing w:val="-4"/>
              </w:rPr>
            </w:pPr>
            <w:r w:rsidRPr="00A06F1E">
              <w:rPr>
                <w:rFonts w:ascii="Franklin Gothic Book" w:hAnsi="Franklin Gothic Book"/>
                <w:spacing w:val="-4"/>
              </w:rPr>
              <w:t>Native Hawaiian, Pacific Islander</w:t>
            </w:r>
          </w:p>
        </w:tc>
        <w:tc>
          <w:tcPr>
            <w:tcW w:w="1530" w:type="dxa"/>
            <w:vAlign w:val="center"/>
          </w:tcPr>
          <w:p w14:paraId="52F246D7" w14:textId="34A8B66B"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3394990C" w14:textId="476AEA02"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66C02D42" w14:textId="6BA01EF9"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75953D40"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51.5</w:t>
            </w:r>
          </w:p>
        </w:tc>
      </w:tr>
      <w:tr w:rsidR="00B607BD" w:rsidRPr="00A06F1E" w14:paraId="1C262B61" w14:textId="77777777">
        <w:tc>
          <w:tcPr>
            <w:tcW w:w="3232" w:type="dxa"/>
          </w:tcPr>
          <w:p w14:paraId="4FC4F5F5" w14:textId="77777777" w:rsidR="00B607BD" w:rsidRPr="00A06F1E" w:rsidRDefault="00B607BD">
            <w:pPr>
              <w:pStyle w:val="TableText"/>
              <w:rPr>
                <w:rFonts w:ascii="Franklin Gothic Book" w:hAnsi="Franklin Gothic Book"/>
              </w:rPr>
            </w:pPr>
            <w:r w:rsidRPr="00A06F1E">
              <w:rPr>
                <w:rFonts w:ascii="Franklin Gothic Book" w:hAnsi="Franklin Gothic Book"/>
              </w:rPr>
              <w:t>White</w:t>
            </w:r>
          </w:p>
        </w:tc>
        <w:tc>
          <w:tcPr>
            <w:tcW w:w="1530" w:type="dxa"/>
            <w:vAlign w:val="center"/>
          </w:tcPr>
          <w:p w14:paraId="521C8DA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156</w:t>
            </w:r>
          </w:p>
        </w:tc>
        <w:tc>
          <w:tcPr>
            <w:tcW w:w="1530" w:type="dxa"/>
            <w:vAlign w:val="center"/>
          </w:tcPr>
          <w:p w14:paraId="2C72E462"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38.9</w:t>
            </w:r>
          </w:p>
        </w:tc>
        <w:tc>
          <w:tcPr>
            <w:tcW w:w="1530" w:type="dxa"/>
            <w:vAlign w:val="center"/>
          </w:tcPr>
          <w:p w14:paraId="4EB05D97"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51.7</w:t>
            </w:r>
          </w:p>
        </w:tc>
        <w:tc>
          <w:tcPr>
            <w:tcW w:w="1522" w:type="dxa"/>
            <w:vAlign w:val="center"/>
          </w:tcPr>
          <w:p w14:paraId="5F034976"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50.1</w:t>
            </w:r>
          </w:p>
        </w:tc>
      </w:tr>
      <w:tr w:rsidR="00B607BD" w:rsidRPr="00A06F1E" w14:paraId="191BFC4B"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F5AF736" w14:textId="77777777" w:rsidR="00B607BD" w:rsidRPr="00A06F1E" w:rsidRDefault="00B607BD">
            <w:pPr>
              <w:pStyle w:val="TableText"/>
              <w:rPr>
                <w:rFonts w:ascii="Franklin Gothic Book" w:hAnsi="Franklin Gothic Book"/>
              </w:rPr>
            </w:pPr>
            <w:r w:rsidRPr="00A06F1E">
              <w:rPr>
                <w:rFonts w:ascii="Franklin Gothic Book" w:hAnsi="Franklin Gothic Book"/>
              </w:rPr>
              <w:t>High needs</w:t>
            </w:r>
          </w:p>
        </w:tc>
        <w:tc>
          <w:tcPr>
            <w:tcW w:w="1530" w:type="dxa"/>
            <w:vAlign w:val="center"/>
          </w:tcPr>
          <w:p w14:paraId="5FCABDB0"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154</w:t>
            </w:r>
          </w:p>
        </w:tc>
        <w:tc>
          <w:tcPr>
            <w:tcW w:w="1530" w:type="dxa"/>
            <w:vAlign w:val="center"/>
          </w:tcPr>
          <w:p w14:paraId="7FDBF881"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38.5</w:t>
            </w:r>
          </w:p>
        </w:tc>
        <w:tc>
          <w:tcPr>
            <w:tcW w:w="1530" w:type="dxa"/>
            <w:vAlign w:val="center"/>
          </w:tcPr>
          <w:p w14:paraId="34D95876"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50.9</w:t>
            </w:r>
          </w:p>
        </w:tc>
        <w:tc>
          <w:tcPr>
            <w:tcW w:w="1522" w:type="dxa"/>
            <w:vAlign w:val="center"/>
          </w:tcPr>
          <w:p w14:paraId="11237A6A"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47.8</w:t>
            </w:r>
          </w:p>
        </w:tc>
      </w:tr>
      <w:tr w:rsidR="00B607BD" w:rsidRPr="00A06F1E" w14:paraId="6CECD9C9" w14:textId="77777777">
        <w:tc>
          <w:tcPr>
            <w:tcW w:w="3232" w:type="dxa"/>
          </w:tcPr>
          <w:p w14:paraId="61AA7D2B" w14:textId="77777777" w:rsidR="00B607BD" w:rsidRPr="00A06F1E" w:rsidRDefault="00B607BD">
            <w:pPr>
              <w:pStyle w:val="TableText"/>
              <w:rPr>
                <w:rFonts w:ascii="Franklin Gothic Book" w:hAnsi="Franklin Gothic Book"/>
              </w:rPr>
            </w:pPr>
            <w:r w:rsidRPr="00A06F1E">
              <w:rPr>
                <w:rFonts w:ascii="Franklin Gothic Book" w:hAnsi="Franklin Gothic Book"/>
              </w:rPr>
              <w:t>Low income</w:t>
            </w:r>
          </w:p>
        </w:tc>
        <w:tc>
          <w:tcPr>
            <w:tcW w:w="1530" w:type="dxa"/>
            <w:vAlign w:val="center"/>
          </w:tcPr>
          <w:p w14:paraId="6490D61A"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142</w:t>
            </w:r>
          </w:p>
        </w:tc>
        <w:tc>
          <w:tcPr>
            <w:tcW w:w="1530" w:type="dxa"/>
            <w:vAlign w:val="center"/>
          </w:tcPr>
          <w:p w14:paraId="23728A79"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39.4</w:t>
            </w:r>
          </w:p>
        </w:tc>
        <w:tc>
          <w:tcPr>
            <w:tcW w:w="1530" w:type="dxa"/>
            <w:vAlign w:val="center"/>
          </w:tcPr>
          <w:p w14:paraId="7C37146D"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51.6</w:t>
            </w:r>
          </w:p>
        </w:tc>
        <w:tc>
          <w:tcPr>
            <w:tcW w:w="1522" w:type="dxa"/>
            <w:vAlign w:val="center"/>
          </w:tcPr>
          <w:p w14:paraId="68179CF2"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47.3</w:t>
            </w:r>
          </w:p>
        </w:tc>
      </w:tr>
      <w:tr w:rsidR="00B607BD" w:rsidRPr="00A06F1E" w14:paraId="337D2D2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56BE71C" w14:textId="77777777" w:rsidR="00B607BD" w:rsidRPr="00A06F1E" w:rsidRDefault="00B607BD">
            <w:pPr>
              <w:pStyle w:val="TableText"/>
              <w:rPr>
                <w:rFonts w:ascii="Franklin Gothic Book" w:hAnsi="Franklin Gothic Book"/>
                <w:spacing w:val="-4"/>
              </w:rPr>
            </w:pPr>
            <w:r w:rsidRPr="00A06F1E">
              <w:rPr>
                <w:rFonts w:ascii="Franklin Gothic Book" w:hAnsi="Franklin Gothic Book"/>
                <w:spacing w:val="-4"/>
              </w:rPr>
              <w:t>ELs and former ELs</w:t>
            </w:r>
          </w:p>
        </w:tc>
        <w:tc>
          <w:tcPr>
            <w:tcW w:w="1530" w:type="dxa"/>
            <w:vAlign w:val="center"/>
          </w:tcPr>
          <w:p w14:paraId="278DF703" w14:textId="78D124E6"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0C49FFC4" w14:textId="0A8181DF"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0DE5B53C" w14:textId="255FF44C"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406666A9"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49.3</w:t>
            </w:r>
          </w:p>
        </w:tc>
      </w:tr>
      <w:tr w:rsidR="00B607BD" w:rsidRPr="00A06F1E" w14:paraId="261D7412" w14:textId="77777777">
        <w:tc>
          <w:tcPr>
            <w:tcW w:w="3232" w:type="dxa"/>
          </w:tcPr>
          <w:p w14:paraId="6439D6C8" w14:textId="77777777" w:rsidR="00B607BD" w:rsidRPr="00A06F1E" w:rsidRDefault="00B607BD">
            <w:pPr>
              <w:pStyle w:val="TableText"/>
              <w:rPr>
                <w:rFonts w:ascii="Franklin Gothic Book" w:hAnsi="Franklin Gothic Book"/>
              </w:rPr>
            </w:pPr>
            <w:r w:rsidRPr="00A06F1E">
              <w:rPr>
                <w:rFonts w:ascii="Franklin Gothic Book" w:hAnsi="Franklin Gothic Book"/>
              </w:rPr>
              <w:t>Students w/disabilities</w:t>
            </w:r>
          </w:p>
        </w:tc>
        <w:tc>
          <w:tcPr>
            <w:tcW w:w="1530" w:type="dxa"/>
            <w:vAlign w:val="center"/>
          </w:tcPr>
          <w:p w14:paraId="19F1978B"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69</w:t>
            </w:r>
          </w:p>
        </w:tc>
        <w:tc>
          <w:tcPr>
            <w:tcW w:w="1530" w:type="dxa"/>
            <w:vAlign w:val="center"/>
          </w:tcPr>
          <w:p w14:paraId="644F5DA6"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34.4</w:t>
            </w:r>
          </w:p>
        </w:tc>
        <w:tc>
          <w:tcPr>
            <w:tcW w:w="1530" w:type="dxa"/>
            <w:vAlign w:val="center"/>
          </w:tcPr>
          <w:p w14:paraId="53C8A54F"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43.3</w:t>
            </w:r>
          </w:p>
        </w:tc>
        <w:tc>
          <w:tcPr>
            <w:tcW w:w="1522" w:type="dxa"/>
            <w:vAlign w:val="center"/>
          </w:tcPr>
          <w:p w14:paraId="537AB924"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44.8</w:t>
            </w:r>
          </w:p>
        </w:tc>
      </w:tr>
    </w:tbl>
    <w:p w14:paraId="716AE32A" w14:textId="2DD832A4" w:rsidR="00B607BD" w:rsidRPr="00A06F1E" w:rsidRDefault="00B607BD" w:rsidP="00B7722D">
      <w:pPr>
        <w:pStyle w:val="TabletitleSectionE"/>
      </w:pPr>
      <w:bookmarkStart w:id="296" w:name="_Toc170701973"/>
      <w:bookmarkStart w:id="297" w:name="_Toc171685810"/>
      <w:r w:rsidRPr="00A06F1E">
        <w:t>Table E12</w:t>
      </w:r>
      <w:r w:rsidR="004340B3">
        <w:t>b</w:t>
      </w:r>
      <w:r w:rsidR="007C4E08" w:rsidRPr="00A06F1E">
        <w:t xml:space="preserve">. </w:t>
      </w:r>
      <w:proofErr w:type="spellStart"/>
      <w:r w:rsidR="00652B48">
        <w:t>Petersham</w:t>
      </w:r>
      <w:proofErr w:type="spellEnd"/>
      <w:r w:rsidR="00652B48">
        <w:t xml:space="preserve"> Center</w:t>
      </w:r>
      <w:r w:rsidR="00F3532E" w:rsidRPr="00A06F1E">
        <w:t>:</w:t>
      </w:r>
      <w:r w:rsidRPr="00A06F1E">
        <w:t xml:space="preserve"> Next-Generation MCAS Mathematics Mean </w:t>
      </w:r>
      <w:r w:rsidR="003A7C1C" w:rsidRPr="00A06F1E">
        <w:t>SGP</w:t>
      </w:r>
      <w:r w:rsidRPr="00A06F1E">
        <w:t xml:space="preserve"> by Student Group, Grades 3-8, 2022-2023</w:t>
      </w:r>
      <w:bookmarkEnd w:id="296"/>
      <w:bookmarkEnd w:id="297"/>
    </w:p>
    <w:tbl>
      <w:tblPr>
        <w:tblStyle w:val="MSVTable1"/>
        <w:tblW w:w="5000" w:type="pct"/>
        <w:tblLook w:val="0420" w:firstRow="1" w:lastRow="0" w:firstColumn="0" w:lastColumn="0" w:noHBand="0" w:noVBand="1"/>
      </w:tblPr>
      <w:tblGrid>
        <w:gridCol w:w="3232"/>
        <w:gridCol w:w="1530"/>
        <w:gridCol w:w="1530"/>
        <w:gridCol w:w="1530"/>
        <w:gridCol w:w="1522"/>
      </w:tblGrid>
      <w:tr w:rsidR="00B607BD" w:rsidRPr="00A06F1E" w14:paraId="400D6D8D"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2C99B799" w14:textId="77777777" w:rsidR="00B607BD" w:rsidRPr="00A06F1E" w:rsidRDefault="00B607BD">
            <w:pPr>
              <w:pStyle w:val="TableColHeadingLeft"/>
              <w:jc w:val="center"/>
            </w:pPr>
            <w:r w:rsidRPr="00A06F1E">
              <w:t>Group</w:t>
            </w:r>
          </w:p>
        </w:tc>
        <w:tc>
          <w:tcPr>
            <w:tcW w:w="1530" w:type="dxa"/>
            <w:vAlign w:val="center"/>
          </w:tcPr>
          <w:p w14:paraId="20252D72" w14:textId="274BF31B" w:rsidR="00B607BD" w:rsidRPr="00A06F1E" w:rsidRDefault="00B607BD">
            <w:pPr>
              <w:pStyle w:val="TableColHeadingCenter"/>
            </w:pPr>
            <w:r w:rsidRPr="00A06F1E">
              <w:t xml:space="preserve"># </w:t>
            </w:r>
            <w:r w:rsidR="00FF1146" w:rsidRPr="00A06F1E">
              <w:t>included</w:t>
            </w:r>
            <w:r w:rsidRPr="00A06F1E">
              <w:t xml:space="preserve"> (2023)</w:t>
            </w:r>
          </w:p>
        </w:tc>
        <w:tc>
          <w:tcPr>
            <w:tcW w:w="1530" w:type="dxa"/>
            <w:vAlign w:val="center"/>
          </w:tcPr>
          <w:p w14:paraId="4D4D1F1E" w14:textId="77777777" w:rsidR="00B607BD" w:rsidRPr="00A06F1E" w:rsidRDefault="00B607BD">
            <w:pPr>
              <w:pStyle w:val="TableColHeadingCenter"/>
            </w:pPr>
            <w:r w:rsidRPr="00A06F1E">
              <w:t>2022</w:t>
            </w:r>
          </w:p>
        </w:tc>
        <w:tc>
          <w:tcPr>
            <w:tcW w:w="1530" w:type="dxa"/>
            <w:vAlign w:val="center"/>
          </w:tcPr>
          <w:p w14:paraId="22AF9E4A" w14:textId="77777777" w:rsidR="00B607BD" w:rsidRPr="00A06F1E" w:rsidRDefault="00B607BD">
            <w:pPr>
              <w:pStyle w:val="TableColHeadingCenter"/>
            </w:pPr>
            <w:r w:rsidRPr="00A06F1E">
              <w:t>2023</w:t>
            </w:r>
          </w:p>
        </w:tc>
        <w:tc>
          <w:tcPr>
            <w:tcW w:w="1522" w:type="dxa"/>
            <w:vAlign w:val="center"/>
          </w:tcPr>
          <w:p w14:paraId="46582EEF" w14:textId="77777777" w:rsidR="00B607BD" w:rsidRPr="00A06F1E" w:rsidRDefault="00B607BD">
            <w:pPr>
              <w:pStyle w:val="TableColHeadingCenter"/>
            </w:pPr>
            <w:r w:rsidRPr="00A06F1E">
              <w:t>State (2023)</w:t>
            </w:r>
          </w:p>
        </w:tc>
      </w:tr>
      <w:tr w:rsidR="00B607BD" w:rsidRPr="00A06F1E" w14:paraId="2DEEB36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E30952F" w14:textId="77777777" w:rsidR="00B607BD" w:rsidRPr="00A06F1E" w:rsidRDefault="00B607BD">
            <w:pPr>
              <w:pStyle w:val="TableText"/>
              <w:rPr>
                <w:rFonts w:ascii="Franklin Gothic Book" w:hAnsi="Franklin Gothic Book"/>
              </w:rPr>
            </w:pPr>
            <w:r w:rsidRPr="00A06F1E">
              <w:rPr>
                <w:rFonts w:ascii="Franklin Gothic Book" w:hAnsi="Franklin Gothic Book"/>
              </w:rPr>
              <w:t>All students</w:t>
            </w:r>
          </w:p>
        </w:tc>
        <w:tc>
          <w:tcPr>
            <w:tcW w:w="1530" w:type="dxa"/>
            <w:vAlign w:val="center"/>
          </w:tcPr>
          <w:p w14:paraId="08D8198C"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w:t>
            </w:r>
          </w:p>
        </w:tc>
        <w:tc>
          <w:tcPr>
            <w:tcW w:w="1530" w:type="dxa"/>
            <w:vAlign w:val="center"/>
          </w:tcPr>
          <w:p w14:paraId="6558D1CB"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42.8</w:t>
            </w:r>
          </w:p>
        </w:tc>
        <w:tc>
          <w:tcPr>
            <w:tcW w:w="1530" w:type="dxa"/>
            <w:vAlign w:val="center"/>
          </w:tcPr>
          <w:p w14:paraId="1B7552F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65.8</w:t>
            </w:r>
          </w:p>
        </w:tc>
        <w:tc>
          <w:tcPr>
            <w:tcW w:w="1522" w:type="dxa"/>
            <w:vAlign w:val="center"/>
          </w:tcPr>
          <w:p w14:paraId="7EFC3E4B"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49.8</w:t>
            </w:r>
          </w:p>
        </w:tc>
      </w:tr>
      <w:tr w:rsidR="00B607BD" w:rsidRPr="00A06F1E" w14:paraId="3AC3F012" w14:textId="77777777">
        <w:tc>
          <w:tcPr>
            <w:tcW w:w="3232" w:type="dxa"/>
          </w:tcPr>
          <w:p w14:paraId="3965C033" w14:textId="77777777" w:rsidR="00B607BD" w:rsidRPr="00A06F1E" w:rsidRDefault="00B607BD">
            <w:pPr>
              <w:pStyle w:val="TableText"/>
              <w:rPr>
                <w:rFonts w:ascii="Franklin Gothic Book" w:hAnsi="Franklin Gothic Book"/>
              </w:rPr>
            </w:pPr>
            <w:r w:rsidRPr="00A06F1E">
              <w:rPr>
                <w:rFonts w:ascii="Franklin Gothic Book" w:hAnsi="Franklin Gothic Book"/>
              </w:rPr>
              <w:t>African American/Black</w:t>
            </w:r>
          </w:p>
        </w:tc>
        <w:tc>
          <w:tcPr>
            <w:tcW w:w="1530" w:type="dxa"/>
            <w:vAlign w:val="center"/>
          </w:tcPr>
          <w:p w14:paraId="0F8B4470" w14:textId="27BA21B6"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6CCD4358" w14:textId="2AAC00DC"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199D6BD3" w14:textId="23A9C52D"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473E440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47.8</w:t>
            </w:r>
          </w:p>
        </w:tc>
      </w:tr>
      <w:tr w:rsidR="00B607BD" w:rsidRPr="00A06F1E" w14:paraId="20219CB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9DDB93C" w14:textId="77777777" w:rsidR="00B607BD" w:rsidRPr="00A06F1E" w:rsidRDefault="00B607BD">
            <w:pPr>
              <w:pStyle w:val="TableText"/>
              <w:rPr>
                <w:rFonts w:ascii="Franklin Gothic Book" w:hAnsi="Franklin Gothic Book"/>
              </w:rPr>
            </w:pPr>
            <w:r w:rsidRPr="00A06F1E">
              <w:rPr>
                <w:rFonts w:ascii="Franklin Gothic Book" w:hAnsi="Franklin Gothic Book"/>
              </w:rPr>
              <w:t>Asian</w:t>
            </w:r>
          </w:p>
        </w:tc>
        <w:tc>
          <w:tcPr>
            <w:tcW w:w="1530" w:type="dxa"/>
            <w:vAlign w:val="center"/>
          </w:tcPr>
          <w:p w14:paraId="1A17EC58" w14:textId="42FE0D3D"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22D2B2A1" w14:textId="274EB85A"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081B88FB" w14:textId="12030A59"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2362CB6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57.7</w:t>
            </w:r>
          </w:p>
        </w:tc>
      </w:tr>
      <w:tr w:rsidR="00B607BD" w:rsidRPr="00A06F1E" w14:paraId="591DA2CE" w14:textId="77777777">
        <w:tc>
          <w:tcPr>
            <w:tcW w:w="3232" w:type="dxa"/>
          </w:tcPr>
          <w:p w14:paraId="4486B73B" w14:textId="77777777" w:rsidR="00B607BD" w:rsidRPr="00A06F1E" w:rsidRDefault="00B607BD">
            <w:pPr>
              <w:pStyle w:val="TableText"/>
              <w:rPr>
                <w:rFonts w:ascii="Franklin Gothic Book" w:hAnsi="Franklin Gothic Book"/>
              </w:rPr>
            </w:pPr>
            <w:r w:rsidRPr="00A06F1E">
              <w:rPr>
                <w:rFonts w:ascii="Franklin Gothic Book" w:hAnsi="Franklin Gothic Book"/>
              </w:rPr>
              <w:t>Hispanic/Latino</w:t>
            </w:r>
          </w:p>
        </w:tc>
        <w:tc>
          <w:tcPr>
            <w:tcW w:w="1530" w:type="dxa"/>
            <w:vAlign w:val="center"/>
          </w:tcPr>
          <w:p w14:paraId="7F303197" w14:textId="19B0ADE9"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76EB61EB" w14:textId="2A0C7240"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3F185C26" w14:textId="3A87DA57"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2493E750"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47.5</w:t>
            </w:r>
          </w:p>
        </w:tc>
      </w:tr>
      <w:tr w:rsidR="00B607BD" w:rsidRPr="00A06F1E" w14:paraId="57A627C7"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0FBA242" w14:textId="77777777" w:rsidR="00B607BD" w:rsidRPr="00A06F1E" w:rsidRDefault="00B607BD">
            <w:pPr>
              <w:pStyle w:val="TableText"/>
              <w:rPr>
                <w:rFonts w:ascii="Franklin Gothic Book" w:hAnsi="Franklin Gothic Book"/>
              </w:rPr>
            </w:pPr>
            <w:r w:rsidRPr="00A06F1E">
              <w:rPr>
                <w:rFonts w:ascii="Franklin Gothic Book" w:hAnsi="Franklin Gothic Book"/>
              </w:rPr>
              <w:t>Multi-Race, non-Hispanic/Latino</w:t>
            </w:r>
          </w:p>
        </w:tc>
        <w:tc>
          <w:tcPr>
            <w:tcW w:w="1530" w:type="dxa"/>
            <w:vAlign w:val="center"/>
          </w:tcPr>
          <w:p w14:paraId="308CAD9F" w14:textId="08D01453"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1FED78F7" w14:textId="31A86A07"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74466B27" w14:textId="24F85906"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4C89A5B0"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50.3</w:t>
            </w:r>
          </w:p>
        </w:tc>
      </w:tr>
      <w:tr w:rsidR="00B607BD" w:rsidRPr="00A06F1E" w14:paraId="4FF6BF5F" w14:textId="77777777">
        <w:tc>
          <w:tcPr>
            <w:tcW w:w="3232" w:type="dxa"/>
          </w:tcPr>
          <w:p w14:paraId="1C50EB24" w14:textId="77777777" w:rsidR="00B607BD" w:rsidRPr="00A06F1E" w:rsidRDefault="00B607BD">
            <w:pPr>
              <w:pStyle w:val="TableText"/>
              <w:rPr>
                <w:rFonts w:ascii="Franklin Gothic Book" w:hAnsi="Franklin Gothic Book"/>
              </w:rPr>
            </w:pPr>
            <w:r w:rsidRPr="00A06F1E">
              <w:rPr>
                <w:rFonts w:ascii="Franklin Gothic Book" w:hAnsi="Franklin Gothic Book"/>
              </w:rPr>
              <w:t>Native American</w:t>
            </w:r>
          </w:p>
        </w:tc>
        <w:tc>
          <w:tcPr>
            <w:tcW w:w="1530" w:type="dxa"/>
            <w:vAlign w:val="center"/>
          </w:tcPr>
          <w:p w14:paraId="6759827E" w14:textId="667C03C8"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6FF00160" w14:textId="3EAA103C"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6571A567" w14:textId="1D3D9BF3"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53E33F0D"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47.1</w:t>
            </w:r>
          </w:p>
        </w:tc>
      </w:tr>
      <w:tr w:rsidR="00B607BD" w:rsidRPr="00A06F1E" w14:paraId="3FBFF7C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8187DB2" w14:textId="77777777" w:rsidR="00B607BD" w:rsidRPr="00A06F1E" w:rsidRDefault="00B607BD">
            <w:pPr>
              <w:pStyle w:val="TableText"/>
              <w:rPr>
                <w:rFonts w:ascii="Franklin Gothic Book" w:hAnsi="Franklin Gothic Book"/>
                <w:spacing w:val="-4"/>
              </w:rPr>
            </w:pPr>
            <w:r w:rsidRPr="00A06F1E">
              <w:rPr>
                <w:rFonts w:ascii="Franklin Gothic Book" w:hAnsi="Franklin Gothic Book"/>
                <w:spacing w:val="-4"/>
              </w:rPr>
              <w:t>Native Hawaiian, Pacific Islander</w:t>
            </w:r>
          </w:p>
        </w:tc>
        <w:tc>
          <w:tcPr>
            <w:tcW w:w="1530" w:type="dxa"/>
            <w:vAlign w:val="center"/>
          </w:tcPr>
          <w:p w14:paraId="6E9AFBDD" w14:textId="5F947E0F"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4ABD4432" w14:textId="5EB4FBE9"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59EE1631" w14:textId="6030FA27"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1DD6427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51.5</w:t>
            </w:r>
          </w:p>
        </w:tc>
      </w:tr>
      <w:tr w:rsidR="00B607BD" w:rsidRPr="00A06F1E" w14:paraId="70211156" w14:textId="77777777">
        <w:tc>
          <w:tcPr>
            <w:tcW w:w="3232" w:type="dxa"/>
          </w:tcPr>
          <w:p w14:paraId="4291DB32" w14:textId="77777777" w:rsidR="00B607BD" w:rsidRPr="00A06F1E" w:rsidRDefault="00B607BD">
            <w:pPr>
              <w:pStyle w:val="TableText"/>
              <w:rPr>
                <w:rFonts w:ascii="Franklin Gothic Book" w:hAnsi="Franklin Gothic Book"/>
              </w:rPr>
            </w:pPr>
            <w:r w:rsidRPr="00A06F1E">
              <w:rPr>
                <w:rFonts w:ascii="Franklin Gothic Book" w:hAnsi="Franklin Gothic Book"/>
              </w:rPr>
              <w:t>White</w:t>
            </w:r>
          </w:p>
        </w:tc>
        <w:tc>
          <w:tcPr>
            <w:tcW w:w="1530" w:type="dxa"/>
            <w:vAlign w:val="center"/>
          </w:tcPr>
          <w:p w14:paraId="7092ECB2"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42</w:t>
            </w:r>
          </w:p>
        </w:tc>
        <w:tc>
          <w:tcPr>
            <w:tcW w:w="1530" w:type="dxa"/>
            <w:vAlign w:val="center"/>
          </w:tcPr>
          <w:p w14:paraId="4F8F593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43.8</w:t>
            </w:r>
          </w:p>
        </w:tc>
        <w:tc>
          <w:tcPr>
            <w:tcW w:w="1530" w:type="dxa"/>
            <w:vAlign w:val="center"/>
          </w:tcPr>
          <w:p w14:paraId="495E1980"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63.7</w:t>
            </w:r>
          </w:p>
        </w:tc>
        <w:tc>
          <w:tcPr>
            <w:tcW w:w="1522" w:type="dxa"/>
            <w:vAlign w:val="center"/>
          </w:tcPr>
          <w:p w14:paraId="3A0515C6"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50.1</w:t>
            </w:r>
          </w:p>
        </w:tc>
      </w:tr>
      <w:tr w:rsidR="00B607BD" w:rsidRPr="00A06F1E" w14:paraId="0A49E8F7"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FA30A3A" w14:textId="77777777" w:rsidR="00B607BD" w:rsidRPr="00A06F1E" w:rsidRDefault="00B607BD">
            <w:pPr>
              <w:pStyle w:val="TableText"/>
              <w:rPr>
                <w:rFonts w:ascii="Franklin Gothic Book" w:hAnsi="Franklin Gothic Book"/>
              </w:rPr>
            </w:pPr>
            <w:r w:rsidRPr="00A06F1E">
              <w:rPr>
                <w:rFonts w:ascii="Franklin Gothic Book" w:hAnsi="Franklin Gothic Book"/>
              </w:rPr>
              <w:t>High needs</w:t>
            </w:r>
          </w:p>
        </w:tc>
        <w:tc>
          <w:tcPr>
            <w:tcW w:w="1530" w:type="dxa"/>
            <w:vAlign w:val="center"/>
          </w:tcPr>
          <w:p w14:paraId="6CCC21D1"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25</w:t>
            </w:r>
          </w:p>
        </w:tc>
        <w:tc>
          <w:tcPr>
            <w:tcW w:w="1530" w:type="dxa"/>
            <w:vAlign w:val="center"/>
          </w:tcPr>
          <w:p w14:paraId="6E3A4B74" w14:textId="51F98235"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4D6D9D2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58.2</w:t>
            </w:r>
          </w:p>
        </w:tc>
        <w:tc>
          <w:tcPr>
            <w:tcW w:w="1522" w:type="dxa"/>
            <w:vAlign w:val="center"/>
          </w:tcPr>
          <w:p w14:paraId="013285F6"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47.8</w:t>
            </w:r>
          </w:p>
        </w:tc>
      </w:tr>
      <w:tr w:rsidR="00B607BD" w:rsidRPr="00A06F1E" w14:paraId="0E3FE00E" w14:textId="77777777">
        <w:tc>
          <w:tcPr>
            <w:tcW w:w="3232" w:type="dxa"/>
          </w:tcPr>
          <w:p w14:paraId="507B00DB" w14:textId="77777777" w:rsidR="00B607BD" w:rsidRPr="00A06F1E" w:rsidRDefault="00B607BD">
            <w:pPr>
              <w:pStyle w:val="TableText"/>
              <w:rPr>
                <w:rFonts w:ascii="Franklin Gothic Book" w:hAnsi="Franklin Gothic Book"/>
              </w:rPr>
            </w:pPr>
            <w:r w:rsidRPr="00A06F1E">
              <w:rPr>
                <w:rFonts w:ascii="Franklin Gothic Book" w:hAnsi="Franklin Gothic Book"/>
              </w:rPr>
              <w:t>Low income</w:t>
            </w:r>
          </w:p>
        </w:tc>
        <w:tc>
          <w:tcPr>
            <w:tcW w:w="1530" w:type="dxa"/>
            <w:vAlign w:val="center"/>
          </w:tcPr>
          <w:p w14:paraId="19DCAE96"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19</w:t>
            </w:r>
          </w:p>
        </w:tc>
        <w:tc>
          <w:tcPr>
            <w:tcW w:w="1530" w:type="dxa"/>
            <w:vAlign w:val="center"/>
          </w:tcPr>
          <w:p w14:paraId="42226431" w14:textId="6C051580"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3C6A9261" w14:textId="1A16BF12"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5F7E604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47.3</w:t>
            </w:r>
          </w:p>
        </w:tc>
      </w:tr>
      <w:tr w:rsidR="00B607BD" w:rsidRPr="00A06F1E" w14:paraId="4D7FCA58"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3833A46" w14:textId="77777777" w:rsidR="00B607BD" w:rsidRPr="00A06F1E" w:rsidRDefault="00B607BD">
            <w:pPr>
              <w:pStyle w:val="TableText"/>
              <w:rPr>
                <w:rFonts w:ascii="Franklin Gothic Book" w:hAnsi="Franklin Gothic Book"/>
                <w:spacing w:val="-4"/>
              </w:rPr>
            </w:pPr>
            <w:r w:rsidRPr="00A06F1E">
              <w:rPr>
                <w:rFonts w:ascii="Franklin Gothic Book" w:hAnsi="Franklin Gothic Book"/>
                <w:spacing w:val="-4"/>
              </w:rPr>
              <w:t>ELs and former ELs</w:t>
            </w:r>
          </w:p>
        </w:tc>
        <w:tc>
          <w:tcPr>
            <w:tcW w:w="1530" w:type="dxa"/>
            <w:vAlign w:val="center"/>
          </w:tcPr>
          <w:p w14:paraId="1C5F6A52" w14:textId="75ACDAD8"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137E8BEE" w14:textId="03549159"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78CAEF84" w14:textId="5E58C6FE"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1C5394CA"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49.3</w:t>
            </w:r>
          </w:p>
        </w:tc>
      </w:tr>
      <w:tr w:rsidR="00B607BD" w:rsidRPr="00A06F1E" w14:paraId="7FA53566" w14:textId="77777777">
        <w:tc>
          <w:tcPr>
            <w:tcW w:w="3232" w:type="dxa"/>
          </w:tcPr>
          <w:p w14:paraId="3A827E51" w14:textId="77777777" w:rsidR="00B607BD" w:rsidRPr="00A06F1E" w:rsidRDefault="00B607BD">
            <w:pPr>
              <w:pStyle w:val="TableText"/>
              <w:rPr>
                <w:rFonts w:ascii="Franklin Gothic Book" w:hAnsi="Franklin Gothic Book"/>
              </w:rPr>
            </w:pPr>
            <w:r w:rsidRPr="00A06F1E">
              <w:rPr>
                <w:rFonts w:ascii="Franklin Gothic Book" w:hAnsi="Franklin Gothic Book"/>
              </w:rPr>
              <w:t>Students w/disabilities</w:t>
            </w:r>
          </w:p>
        </w:tc>
        <w:tc>
          <w:tcPr>
            <w:tcW w:w="1530" w:type="dxa"/>
            <w:vAlign w:val="center"/>
          </w:tcPr>
          <w:p w14:paraId="3B34B5EE"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13</w:t>
            </w:r>
          </w:p>
        </w:tc>
        <w:tc>
          <w:tcPr>
            <w:tcW w:w="1530" w:type="dxa"/>
            <w:vAlign w:val="center"/>
          </w:tcPr>
          <w:p w14:paraId="70343064" w14:textId="0ED6D8F1"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1D3170BB" w14:textId="634D57C9"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0CBE67EA"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44.8</w:t>
            </w:r>
          </w:p>
        </w:tc>
      </w:tr>
    </w:tbl>
    <w:p w14:paraId="7FFE8F80" w14:textId="77777777" w:rsidR="00B607BD" w:rsidRPr="00A06F1E" w:rsidRDefault="00B607BD" w:rsidP="00B607BD">
      <w:pPr>
        <w:pStyle w:val="TableNote"/>
        <w:spacing w:before="0" w:line="240" w:lineRule="auto"/>
        <w:rPr>
          <w:szCs w:val="20"/>
        </w:rPr>
      </w:pPr>
    </w:p>
    <w:p w14:paraId="63D40EAB" w14:textId="77777777" w:rsidR="00B607BD" w:rsidRPr="00A06F1E" w:rsidRDefault="00B607BD" w:rsidP="00B607BD">
      <w:pPr>
        <w:spacing w:line="240" w:lineRule="auto"/>
      </w:pPr>
    </w:p>
    <w:p w14:paraId="5943A8FC" w14:textId="77777777" w:rsidR="00B607BD" w:rsidRPr="00A06F1E" w:rsidRDefault="00B607BD" w:rsidP="00B607BD">
      <w:pPr>
        <w:spacing w:line="240" w:lineRule="auto"/>
      </w:pPr>
    </w:p>
    <w:p w14:paraId="13B6B6D9" w14:textId="77777777" w:rsidR="00B607BD" w:rsidRPr="00A06F1E" w:rsidRDefault="00B607BD" w:rsidP="00B607BD">
      <w:pPr>
        <w:spacing w:line="240" w:lineRule="auto"/>
      </w:pPr>
    </w:p>
    <w:p w14:paraId="63915A80" w14:textId="77777777" w:rsidR="00B607BD" w:rsidRPr="00A06F1E" w:rsidRDefault="00B607BD" w:rsidP="00B607BD">
      <w:pPr>
        <w:spacing w:line="240" w:lineRule="auto"/>
      </w:pPr>
    </w:p>
    <w:p w14:paraId="5A49DF21" w14:textId="77777777" w:rsidR="00B607BD" w:rsidRPr="00A06F1E" w:rsidRDefault="00B607BD" w:rsidP="00B607BD">
      <w:pPr>
        <w:spacing w:line="240" w:lineRule="auto"/>
      </w:pPr>
    </w:p>
    <w:p w14:paraId="5F01CDC7" w14:textId="005C5C54" w:rsidR="00B607BD" w:rsidRPr="00A06F1E" w:rsidRDefault="00B607BD" w:rsidP="00B7722D">
      <w:pPr>
        <w:pStyle w:val="TabletitleSectionE"/>
      </w:pPr>
      <w:bookmarkStart w:id="298" w:name="_Toc170701974"/>
      <w:bookmarkStart w:id="299" w:name="_Toc171685811"/>
      <w:r w:rsidRPr="00A06F1E">
        <w:lastRenderedPageBreak/>
        <w:t>Table E12</w:t>
      </w:r>
      <w:r w:rsidR="004340B3">
        <w:t>c</w:t>
      </w:r>
      <w:r w:rsidR="00A228CB" w:rsidRPr="00A06F1E">
        <w:t>. Mahar Regional</w:t>
      </w:r>
      <w:r w:rsidR="00F3532E" w:rsidRPr="00A06F1E">
        <w:t>:</w:t>
      </w:r>
      <w:r w:rsidRPr="00A06F1E">
        <w:t xml:space="preserve"> Next-Generation MCAS Mathematics Mean </w:t>
      </w:r>
      <w:r w:rsidR="003A7C1C" w:rsidRPr="00A06F1E">
        <w:t>SGP</w:t>
      </w:r>
      <w:r w:rsidRPr="00A06F1E">
        <w:t xml:space="preserve"> by Student Group, Grades 3-8, 2022-2023</w:t>
      </w:r>
      <w:bookmarkEnd w:id="298"/>
      <w:bookmarkEnd w:id="299"/>
    </w:p>
    <w:tbl>
      <w:tblPr>
        <w:tblStyle w:val="MSVTable1"/>
        <w:tblW w:w="5000" w:type="pct"/>
        <w:tblLook w:val="0420" w:firstRow="1" w:lastRow="0" w:firstColumn="0" w:lastColumn="0" w:noHBand="0" w:noVBand="1"/>
      </w:tblPr>
      <w:tblGrid>
        <w:gridCol w:w="3232"/>
        <w:gridCol w:w="1530"/>
        <w:gridCol w:w="1530"/>
        <w:gridCol w:w="1530"/>
        <w:gridCol w:w="1522"/>
      </w:tblGrid>
      <w:tr w:rsidR="00B607BD" w:rsidRPr="00A06F1E" w14:paraId="140DF8CA"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63402E7F" w14:textId="77777777" w:rsidR="00B607BD" w:rsidRPr="00A06F1E" w:rsidRDefault="00B607BD">
            <w:pPr>
              <w:pStyle w:val="TableColHeadingLeft"/>
              <w:jc w:val="center"/>
            </w:pPr>
            <w:r w:rsidRPr="00A06F1E">
              <w:t>Group</w:t>
            </w:r>
          </w:p>
        </w:tc>
        <w:tc>
          <w:tcPr>
            <w:tcW w:w="1530" w:type="dxa"/>
            <w:vAlign w:val="center"/>
          </w:tcPr>
          <w:p w14:paraId="3044AADC" w14:textId="3BF6E626" w:rsidR="00B607BD" w:rsidRPr="00A06F1E" w:rsidRDefault="00B607BD">
            <w:pPr>
              <w:pStyle w:val="TableColHeadingCenter"/>
            </w:pPr>
            <w:r w:rsidRPr="00A06F1E">
              <w:t xml:space="preserve"># </w:t>
            </w:r>
            <w:r w:rsidR="00FF1146" w:rsidRPr="00A06F1E">
              <w:t>included</w:t>
            </w:r>
            <w:r w:rsidRPr="00A06F1E">
              <w:t xml:space="preserve"> (2023)</w:t>
            </w:r>
          </w:p>
        </w:tc>
        <w:tc>
          <w:tcPr>
            <w:tcW w:w="1530" w:type="dxa"/>
            <w:vAlign w:val="center"/>
          </w:tcPr>
          <w:p w14:paraId="555B82E7" w14:textId="77777777" w:rsidR="00B607BD" w:rsidRPr="00A06F1E" w:rsidRDefault="00B607BD">
            <w:pPr>
              <w:pStyle w:val="TableColHeadingCenter"/>
            </w:pPr>
            <w:r w:rsidRPr="00A06F1E">
              <w:t>2022</w:t>
            </w:r>
          </w:p>
        </w:tc>
        <w:tc>
          <w:tcPr>
            <w:tcW w:w="1530" w:type="dxa"/>
            <w:vAlign w:val="center"/>
          </w:tcPr>
          <w:p w14:paraId="32B9AE9C" w14:textId="77777777" w:rsidR="00B607BD" w:rsidRPr="00A06F1E" w:rsidRDefault="00B607BD">
            <w:pPr>
              <w:pStyle w:val="TableColHeadingCenter"/>
            </w:pPr>
            <w:r w:rsidRPr="00A06F1E">
              <w:t>2023</w:t>
            </w:r>
          </w:p>
        </w:tc>
        <w:tc>
          <w:tcPr>
            <w:tcW w:w="1522" w:type="dxa"/>
            <w:vAlign w:val="center"/>
          </w:tcPr>
          <w:p w14:paraId="186C7695" w14:textId="77777777" w:rsidR="00B607BD" w:rsidRPr="00A06F1E" w:rsidRDefault="00B607BD">
            <w:pPr>
              <w:pStyle w:val="TableColHeadingCenter"/>
            </w:pPr>
            <w:r w:rsidRPr="00A06F1E">
              <w:t>State (2023)</w:t>
            </w:r>
          </w:p>
        </w:tc>
      </w:tr>
      <w:tr w:rsidR="00B607BD" w:rsidRPr="00A06F1E" w14:paraId="3F964604"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70E1BDF" w14:textId="77777777" w:rsidR="00B607BD" w:rsidRPr="00A06F1E" w:rsidRDefault="00B607BD">
            <w:pPr>
              <w:pStyle w:val="TableText"/>
              <w:rPr>
                <w:rFonts w:ascii="Franklin Gothic Book" w:hAnsi="Franklin Gothic Book"/>
              </w:rPr>
            </w:pPr>
            <w:r w:rsidRPr="00A06F1E">
              <w:rPr>
                <w:rFonts w:ascii="Franklin Gothic Book" w:hAnsi="Franklin Gothic Book"/>
              </w:rPr>
              <w:t>All students</w:t>
            </w:r>
          </w:p>
        </w:tc>
        <w:tc>
          <w:tcPr>
            <w:tcW w:w="1530" w:type="dxa"/>
            <w:vAlign w:val="center"/>
          </w:tcPr>
          <w:p w14:paraId="73502694"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168</w:t>
            </w:r>
          </w:p>
        </w:tc>
        <w:tc>
          <w:tcPr>
            <w:tcW w:w="1530" w:type="dxa"/>
            <w:vAlign w:val="center"/>
          </w:tcPr>
          <w:p w14:paraId="64E5039C"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57.4</w:t>
            </w:r>
          </w:p>
        </w:tc>
        <w:tc>
          <w:tcPr>
            <w:tcW w:w="1530" w:type="dxa"/>
            <w:vAlign w:val="center"/>
          </w:tcPr>
          <w:p w14:paraId="40C85DA6"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58.8</w:t>
            </w:r>
          </w:p>
        </w:tc>
        <w:tc>
          <w:tcPr>
            <w:tcW w:w="1522" w:type="dxa"/>
            <w:vAlign w:val="center"/>
          </w:tcPr>
          <w:p w14:paraId="61BD8B4F"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49.8</w:t>
            </w:r>
          </w:p>
        </w:tc>
      </w:tr>
      <w:tr w:rsidR="00B607BD" w:rsidRPr="00A06F1E" w14:paraId="7FCDD60B" w14:textId="77777777">
        <w:tc>
          <w:tcPr>
            <w:tcW w:w="3232" w:type="dxa"/>
          </w:tcPr>
          <w:p w14:paraId="0308EC03" w14:textId="77777777" w:rsidR="00B607BD" w:rsidRPr="00A06F1E" w:rsidRDefault="00B607BD">
            <w:pPr>
              <w:pStyle w:val="TableText"/>
              <w:rPr>
                <w:rFonts w:ascii="Franklin Gothic Book" w:hAnsi="Franklin Gothic Book"/>
              </w:rPr>
            </w:pPr>
            <w:r w:rsidRPr="00A06F1E">
              <w:rPr>
                <w:rFonts w:ascii="Franklin Gothic Book" w:hAnsi="Franklin Gothic Book"/>
              </w:rPr>
              <w:t>African American/Black</w:t>
            </w:r>
          </w:p>
        </w:tc>
        <w:tc>
          <w:tcPr>
            <w:tcW w:w="1530" w:type="dxa"/>
            <w:vAlign w:val="center"/>
          </w:tcPr>
          <w:p w14:paraId="0852D96E" w14:textId="09E813CE"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6D6BF620" w14:textId="274C6AB4"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61CE1E0D" w14:textId="39A63CF4"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3B63D421"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47.8</w:t>
            </w:r>
          </w:p>
        </w:tc>
      </w:tr>
      <w:tr w:rsidR="00B607BD" w:rsidRPr="00A06F1E" w14:paraId="374A9802"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6995EF5" w14:textId="77777777" w:rsidR="00B607BD" w:rsidRPr="00A06F1E" w:rsidRDefault="00B607BD">
            <w:pPr>
              <w:pStyle w:val="TableText"/>
              <w:rPr>
                <w:rFonts w:ascii="Franklin Gothic Book" w:hAnsi="Franklin Gothic Book"/>
              </w:rPr>
            </w:pPr>
            <w:r w:rsidRPr="00A06F1E">
              <w:rPr>
                <w:rFonts w:ascii="Franklin Gothic Book" w:hAnsi="Franklin Gothic Book"/>
              </w:rPr>
              <w:t>Asian</w:t>
            </w:r>
          </w:p>
        </w:tc>
        <w:tc>
          <w:tcPr>
            <w:tcW w:w="1530" w:type="dxa"/>
            <w:vAlign w:val="center"/>
          </w:tcPr>
          <w:p w14:paraId="14DC9354" w14:textId="397D3402"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6D0CCB70" w14:textId="134102A0"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1EE5844C" w14:textId="400E7C0E"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66110DC8"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57.7</w:t>
            </w:r>
          </w:p>
        </w:tc>
      </w:tr>
      <w:tr w:rsidR="00B607BD" w:rsidRPr="00A06F1E" w14:paraId="1AF63172" w14:textId="77777777">
        <w:tc>
          <w:tcPr>
            <w:tcW w:w="3232" w:type="dxa"/>
          </w:tcPr>
          <w:p w14:paraId="43B66336" w14:textId="77777777" w:rsidR="00B607BD" w:rsidRPr="00A06F1E" w:rsidRDefault="00B607BD">
            <w:pPr>
              <w:pStyle w:val="TableText"/>
              <w:rPr>
                <w:rFonts w:ascii="Franklin Gothic Book" w:hAnsi="Franklin Gothic Book"/>
              </w:rPr>
            </w:pPr>
            <w:r w:rsidRPr="00A06F1E">
              <w:rPr>
                <w:rFonts w:ascii="Franklin Gothic Book" w:hAnsi="Franklin Gothic Book"/>
              </w:rPr>
              <w:t>Hispanic/Latino</w:t>
            </w:r>
          </w:p>
        </w:tc>
        <w:tc>
          <w:tcPr>
            <w:tcW w:w="1530" w:type="dxa"/>
            <w:vAlign w:val="center"/>
          </w:tcPr>
          <w:p w14:paraId="4708EA54"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17</w:t>
            </w:r>
          </w:p>
        </w:tc>
        <w:tc>
          <w:tcPr>
            <w:tcW w:w="1530" w:type="dxa"/>
            <w:vAlign w:val="center"/>
          </w:tcPr>
          <w:p w14:paraId="3C127EF1" w14:textId="06BA0D51"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2C9CC901" w14:textId="2A9D82F1"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15D802F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47.5</w:t>
            </w:r>
          </w:p>
        </w:tc>
      </w:tr>
      <w:tr w:rsidR="00B607BD" w:rsidRPr="00A06F1E" w14:paraId="77060375"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1D39DFB" w14:textId="77777777" w:rsidR="00B607BD" w:rsidRPr="00A06F1E" w:rsidRDefault="00B607BD">
            <w:pPr>
              <w:pStyle w:val="TableText"/>
              <w:rPr>
                <w:rFonts w:ascii="Franklin Gothic Book" w:hAnsi="Franklin Gothic Book"/>
              </w:rPr>
            </w:pPr>
            <w:r w:rsidRPr="00A06F1E">
              <w:rPr>
                <w:rFonts w:ascii="Franklin Gothic Book" w:hAnsi="Franklin Gothic Book"/>
              </w:rPr>
              <w:t>Multi-Race, non-Hispanic/Latino</w:t>
            </w:r>
          </w:p>
        </w:tc>
        <w:tc>
          <w:tcPr>
            <w:tcW w:w="1530" w:type="dxa"/>
            <w:vAlign w:val="center"/>
          </w:tcPr>
          <w:p w14:paraId="5E608F88" w14:textId="77B518F6"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396F3D3B" w14:textId="798B8528"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7B8CDEB1" w14:textId="78805008"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66481978"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50.3</w:t>
            </w:r>
          </w:p>
        </w:tc>
      </w:tr>
      <w:tr w:rsidR="00B607BD" w:rsidRPr="00A06F1E" w14:paraId="6E9ED0AC" w14:textId="77777777">
        <w:tc>
          <w:tcPr>
            <w:tcW w:w="3232" w:type="dxa"/>
          </w:tcPr>
          <w:p w14:paraId="3CBF8ACD" w14:textId="77777777" w:rsidR="00B607BD" w:rsidRPr="00A06F1E" w:rsidRDefault="00B607BD">
            <w:pPr>
              <w:pStyle w:val="TableText"/>
              <w:rPr>
                <w:rFonts w:ascii="Franklin Gothic Book" w:hAnsi="Franklin Gothic Book"/>
              </w:rPr>
            </w:pPr>
            <w:r w:rsidRPr="00A06F1E">
              <w:rPr>
                <w:rFonts w:ascii="Franklin Gothic Book" w:hAnsi="Franklin Gothic Book"/>
              </w:rPr>
              <w:t>Native American</w:t>
            </w:r>
          </w:p>
        </w:tc>
        <w:tc>
          <w:tcPr>
            <w:tcW w:w="1530" w:type="dxa"/>
            <w:vAlign w:val="center"/>
          </w:tcPr>
          <w:p w14:paraId="1B3CB883" w14:textId="6D8B3086"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037F2B7F" w14:textId="0FD17AFF"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40B45990" w14:textId="726834EB"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61DCCC84"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47.1</w:t>
            </w:r>
          </w:p>
        </w:tc>
      </w:tr>
      <w:tr w:rsidR="00B607BD" w:rsidRPr="00A06F1E" w14:paraId="096792D8"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DB845D4" w14:textId="77777777" w:rsidR="00B607BD" w:rsidRPr="00A06F1E" w:rsidRDefault="00B607BD">
            <w:pPr>
              <w:pStyle w:val="TableText"/>
              <w:rPr>
                <w:rFonts w:ascii="Franklin Gothic Book" w:hAnsi="Franklin Gothic Book"/>
                <w:spacing w:val="-4"/>
              </w:rPr>
            </w:pPr>
            <w:r w:rsidRPr="00A06F1E">
              <w:rPr>
                <w:rFonts w:ascii="Franklin Gothic Book" w:hAnsi="Franklin Gothic Book"/>
                <w:spacing w:val="-4"/>
              </w:rPr>
              <w:t>Native Hawaiian, Pacific Islander</w:t>
            </w:r>
          </w:p>
        </w:tc>
        <w:tc>
          <w:tcPr>
            <w:tcW w:w="1530" w:type="dxa"/>
            <w:vAlign w:val="center"/>
          </w:tcPr>
          <w:p w14:paraId="015BACDD" w14:textId="22C302A0"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35033B68" w14:textId="2E48734A"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580AC332" w14:textId="2C7BBC72"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2FEF464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51.5</w:t>
            </w:r>
          </w:p>
        </w:tc>
      </w:tr>
      <w:tr w:rsidR="00B607BD" w:rsidRPr="00A06F1E" w14:paraId="3CCF9DED" w14:textId="77777777">
        <w:tc>
          <w:tcPr>
            <w:tcW w:w="3232" w:type="dxa"/>
          </w:tcPr>
          <w:p w14:paraId="657930C6" w14:textId="77777777" w:rsidR="00B607BD" w:rsidRPr="00A06F1E" w:rsidRDefault="00B607BD">
            <w:pPr>
              <w:pStyle w:val="TableText"/>
              <w:rPr>
                <w:rFonts w:ascii="Franklin Gothic Book" w:hAnsi="Franklin Gothic Book"/>
              </w:rPr>
            </w:pPr>
            <w:r w:rsidRPr="00A06F1E">
              <w:rPr>
                <w:rFonts w:ascii="Franklin Gothic Book" w:hAnsi="Franklin Gothic Book"/>
              </w:rPr>
              <w:t>White</w:t>
            </w:r>
          </w:p>
        </w:tc>
        <w:tc>
          <w:tcPr>
            <w:tcW w:w="1530" w:type="dxa"/>
            <w:vAlign w:val="center"/>
          </w:tcPr>
          <w:p w14:paraId="755100A1"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142</w:t>
            </w:r>
          </w:p>
        </w:tc>
        <w:tc>
          <w:tcPr>
            <w:tcW w:w="1530" w:type="dxa"/>
            <w:vAlign w:val="center"/>
          </w:tcPr>
          <w:p w14:paraId="3F92257D"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56.5</w:t>
            </w:r>
          </w:p>
        </w:tc>
        <w:tc>
          <w:tcPr>
            <w:tcW w:w="1530" w:type="dxa"/>
            <w:vAlign w:val="center"/>
          </w:tcPr>
          <w:p w14:paraId="64B4EFC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58.0</w:t>
            </w:r>
          </w:p>
        </w:tc>
        <w:tc>
          <w:tcPr>
            <w:tcW w:w="1522" w:type="dxa"/>
            <w:vAlign w:val="center"/>
          </w:tcPr>
          <w:p w14:paraId="0C5F3DB9"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50.1</w:t>
            </w:r>
          </w:p>
        </w:tc>
      </w:tr>
      <w:tr w:rsidR="00B607BD" w:rsidRPr="00A06F1E" w14:paraId="608C6753"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3EA5E06" w14:textId="77777777" w:rsidR="00B607BD" w:rsidRPr="00A06F1E" w:rsidRDefault="00B607BD">
            <w:pPr>
              <w:pStyle w:val="TableText"/>
              <w:rPr>
                <w:rFonts w:ascii="Franklin Gothic Book" w:hAnsi="Franklin Gothic Book"/>
              </w:rPr>
            </w:pPr>
            <w:r w:rsidRPr="00A06F1E">
              <w:rPr>
                <w:rFonts w:ascii="Franklin Gothic Book" w:hAnsi="Franklin Gothic Book"/>
              </w:rPr>
              <w:t>High needs</w:t>
            </w:r>
          </w:p>
        </w:tc>
        <w:tc>
          <w:tcPr>
            <w:tcW w:w="1530" w:type="dxa"/>
            <w:vAlign w:val="center"/>
          </w:tcPr>
          <w:p w14:paraId="5125C640"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110</w:t>
            </w:r>
          </w:p>
        </w:tc>
        <w:tc>
          <w:tcPr>
            <w:tcW w:w="1530" w:type="dxa"/>
            <w:vAlign w:val="center"/>
          </w:tcPr>
          <w:p w14:paraId="3133565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55.6</w:t>
            </w:r>
          </w:p>
        </w:tc>
        <w:tc>
          <w:tcPr>
            <w:tcW w:w="1530" w:type="dxa"/>
            <w:vAlign w:val="center"/>
          </w:tcPr>
          <w:p w14:paraId="19837629"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60.1</w:t>
            </w:r>
          </w:p>
        </w:tc>
        <w:tc>
          <w:tcPr>
            <w:tcW w:w="1522" w:type="dxa"/>
            <w:vAlign w:val="center"/>
          </w:tcPr>
          <w:p w14:paraId="6358CBB9"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47.8</w:t>
            </w:r>
          </w:p>
        </w:tc>
      </w:tr>
      <w:tr w:rsidR="00B607BD" w:rsidRPr="00A06F1E" w14:paraId="5771F748" w14:textId="77777777">
        <w:tc>
          <w:tcPr>
            <w:tcW w:w="3232" w:type="dxa"/>
          </w:tcPr>
          <w:p w14:paraId="0564C34E" w14:textId="77777777" w:rsidR="00B607BD" w:rsidRPr="00A06F1E" w:rsidRDefault="00B607BD">
            <w:pPr>
              <w:pStyle w:val="TableText"/>
              <w:rPr>
                <w:rFonts w:ascii="Franklin Gothic Book" w:hAnsi="Franklin Gothic Book"/>
              </w:rPr>
            </w:pPr>
            <w:r w:rsidRPr="00A06F1E">
              <w:rPr>
                <w:rFonts w:ascii="Franklin Gothic Book" w:hAnsi="Franklin Gothic Book"/>
              </w:rPr>
              <w:t>Low income</w:t>
            </w:r>
          </w:p>
        </w:tc>
        <w:tc>
          <w:tcPr>
            <w:tcW w:w="1530" w:type="dxa"/>
            <w:vAlign w:val="center"/>
          </w:tcPr>
          <w:p w14:paraId="05A54D3F"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95</w:t>
            </w:r>
          </w:p>
        </w:tc>
        <w:tc>
          <w:tcPr>
            <w:tcW w:w="1530" w:type="dxa"/>
            <w:vAlign w:val="center"/>
          </w:tcPr>
          <w:p w14:paraId="31912F6C"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55.6</w:t>
            </w:r>
          </w:p>
        </w:tc>
        <w:tc>
          <w:tcPr>
            <w:tcW w:w="1530" w:type="dxa"/>
            <w:vAlign w:val="center"/>
          </w:tcPr>
          <w:p w14:paraId="29D50B4B"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62.3</w:t>
            </w:r>
          </w:p>
        </w:tc>
        <w:tc>
          <w:tcPr>
            <w:tcW w:w="1522" w:type="dxa"/>
            <w:vAlign w:val="center"/>
          </w:tcPr>
          <w:p w14:paraId="6D1EF38A"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47.3</w:t>
            </w:r>
          </w:p>
        </w:tc>
      </w:tr>
      <w:tr w:rsidR="00B607BD" w:rsidRPr="00A06F1E" w14:paraId="1379A4A5"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A2872A0" w14:textId="77777777" w:rsidR="00B607BD" w:rsidRPr="00A06F1E" w:rsidRDefault="00B607BD">
            <w:pPr>
              <w:pStyle w:val="TableText"/>
              <w:rPr>
                <w:rFonts w:ascii="Franklin Gothic Book" w:hAnsi="Franklin Gothic Book"/>
                <w:spacing w:val="-4"/>
              </w:rPr>
            </w:pPr>
            <w:r w:rsidRPr="00A06F1E">
              <w:rPr>
                <w:rFonts w:ascii="Franklin Gothic Book" w:hAnsi="Franklin Gothic Book"/>
                <w:spacing w:val="-4"/>
              </w:rPr>
              <w:t>ELs and former ELs</w:t>
            </w:r>
          </w:p>
        </w:tc>
        <w:tc>
          <w:tcPr>
            <w:tcW w:w="1530" w:type="dxa"/>
            <w:vAlign w:val="center"/>
          </w:tcPr>
          <w:p w14:paraId="0CC24C6E" w14:textId="21F91DBC"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14FAC572" w14:textId="6CF6713D"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737563B4" w14:textId="456316FD"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797EE08E"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49.3</w:t>
            </w:r>
          </w:p>
        </w:tc>
      </w:tr>
      <w:tr w:rsidR="00B607BD" w:rsidRPr="00A06F1E" w14:paraId="143FB149" w14:textId="77777777">
        <w:tc>
          <w:tcPr>
            <w:tcW w:w="3232" w:type="dxa"/>
          </w:tcPr>
          <w:p w14:paraId="3CAE0790" w14:textId="77777777" w:rsidR="00B607BD" w:rsidRPr="00A06F1E" w:rsidRDefault="00B607BD">
            <w:pPr>
              <w:pStyle w:val="TableText"/>
              <w:rPr>
                <w:rFonts w:ascii="Franklin Gothic Book" w:hAnsi="Franklin Gothic Book"/>
              </w:rPr>
            </w:pPr>
            <w:r w:rsidRPr="00A06F1E">
              <w:rPr>
                <w:rFonts w:ascii="Franklin Gothic Book" w:hAnsi="Franklin Gothic Book"/>
              </w:rPr>
              <w:t>Students w/disabilities</w:t>
            </w:r>
          </w:p>
        </w:tc>
        <w:tc>
          <w:tcPr>
            <w:tcW w:w="1530" w:type="dxa"/>
            <w:vAlign w:val="center"/>
          </w:tcPr>
          <w:p w14:paraId="7B64ECEF"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43</w:t>
            </w:r>
          </w:p>
        </w:tc>
        <w:tc>
          <w:tcPr>
            <w:tcW w:w="1530" w:type="dxa"/>
            <w:vAlign w:val="center"/>
          </w:tcPr>
          <w:p w14:paraId="69E293EB"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40.9</w:t>
            </w:r>
          </w:p>
        </w:tc>
        <w:tc>
          <w:tcPr>
            <w:tcW w:w="1530" w:type="dxa"/>
            <w:vAlign w:val="center"/>
          </w:tcPr>
          <w:p w14:paraId="34518B6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51.4</w:t>
            </w:r>
          </w:p>
        </w:tc>
        <w:tc>
          <w:tcPr>
            <w:tcW w:w="1522" w:type="dxa"/>
            <w:vAlign w:val="center"/>
          </w:tcPr>
          <w:p w14:paraId="375D602F"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44.8</w:t>
            </w:r>
          </w:p>
        </w:tc>
      </w:tr>
    </w:tbl>
    <w:p w14:paraId="70CC8B3E" w14:textId="20ACFCF0" w:rsidR="00B607BD" w:rsidRPr="00A06F1E" w:rsidRDefault="00B607BD" w:rsidP="00B7722D">
      <w:pPr>
        <w:pStyle w:val="TabletitleSectionE"/>
      </w:pPr>
      <w:bookmarkStart w:id="300" w:name="_Toc170701975"/>
      <w:bookmarkStart w:id="301" w:name="_Toc171685812"/>
      <w:r w:rsidRPr="00A06F1E">
        <w:t>Table E13</w:t>
      </w:r>
      <w:r w:rsidR="00A228CB" w:rsidRPr="00A06F1E">
        <w:t>. Mahar Regional</w:t>
      </w:r>
      <w:r w:rsidR="00F3532E" w:rsidRPr="00A06F1E">
        <w:t>:</w:t>
      </w:r>
      <w:r w:rsidRPr="00A06F1E">
        <w:t xml:space="preserve"> Next-Generation MCAS Mathematics Mean </w:t>
      </w:r>
      <w:r w:rsidR="003A7C1C" w:rsidRPr="00A06F1E">
        <w:t>SGP</w:t>
      </w:r>
      <w:r w:rsidRPr="00A06F1E">
        <w:t xml:space="preserve"> by Student Group, Grade 10, 2022-2023</w:t>
      </w:r>
      <w:bookmarkEnd w:id="300"/>
      <w:bookmarkEnd w:id="301"/>
    </w:p>
    <w:tbl>
      <w:tblPr>
        <w:tblStyle w:val="MSVTable1"/>
        <w:tblW w:w="5000" w:type="pct"/>
        <w:tblLook w:val="0420" w:firstRow="1" w:lastRow="0" w:firstColumn="0" w:lastColumn="0" w:noHBand="0" w:noVBand="1"/>
      </w:tblPr>
      <w:tblGrid>
        <w:gridCol w:w="3232"/>
        <w:gridCol w:w="1530"/>
        <w:gridCol w:w="1530"/>
        <w:gridCol w:w="1530"/>
        <w:gridCol w:w="1522"/>
      </w:tblGrid>
      <w:tr w:rsidR="00B607BD" w:rsidRPr="00A06F1E" w14:paraId="651FDB7F"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7206CF0B" w14:textId="77777777" w:rsidR="00B607BD" w:rsidRPr="00A06F1E" w:rsidRDefault="00B607BD">
            <w:pPr>
              <w:pStyle w:val="TableColHeadingLeft"/>
              <w:keepNext/>
              <w:keepLines/>
              <w:jc w:val="center"/>
            </w:pPr>
            <w:r w:rsidRPr="00A06F1E">
              <w:t>Group</w:t>
            </w:r>
          </w:p>
        </w:tc>
        <w:tc>
          <w:tcPr>
            <w:tcW w:w="1530" w:type="dxa"/>
            <w:vAlign w:val="center"/>
          </w:tcPr>
          <w:p w14:paraId="0A41CD37" w14:textId="4701B3B4" w:rsidR="00B607BD" w:rsidRPr="00A06F1E" w:rsidRDefault="00B607BD">
            <w:pPr>
              <w:pStyle w:val="TableColHeadingCenter"/>
            </w:pPr>
            <w:r w:rsidRPr="00A06F1E">
              <w:t xml:space="preserve"># </w:t>
            </w:r>
            <w:r w:rsidR="00FF1146" w:rsidRPr="00A06F1E">
              <w:t>included</w:t>
            </w:r>
            <w:r w:rsidRPr="00A06F1E">
              <w:t xml:space="preserve"> (2023)</w:t>
            </w:r>
          </w:p>
        </w:tc>
        <w:tc>
          <w:tcPr>
            <w:tcW w:w="1530" w:type="dxa"/>
            <w:vAlign w:val="center"/>
          </w:tcPr>
          <w:p w14:paraId="196A5FF8" w14:textId="77777777" w:rsidR="00B607BD" w:rsidRPr="00A06F1E" w:rsidRDefault="00B607BD">
            <w:pPr>
              <w:pStyle w:val="TableColHeadingCenter"/>
            </w:pPr>
            <w:r w:rsidRPr="00A06F1E">
              <w:t>2022</w:t>
            </w:r>
          </w:p>
        </w:tc>
        <w:tc>
          <w:tcPr>
            <w:tcW w:w="1530" w:type="dxa"/>
            <w:vAlign w:val="center"/>
          </w:tcPr>
          <w:p w14:paraId="20F06E49" w14:textId="77777777" w:rsidR="00B607BD" w:rsidRPr="00A06F1E" w:rsidRDefault="00B607BD">
            <w:pPr>
              <w:pStyle w:val="TableColHeadingCenter"/>
            </w:pPr>
            <w:r w:rsidRPr="00A06F1E">
              <w:t>2023</w:t>
            </w:r>
          </w:p>
        </w:tc>
        <w:tc>
          <w:tcPr>
            <w:tcW w:w="1522" w:type="dxa"/>
            <w:vAlign w:val="center"/>
          </w:tcPr>
          <w:p w14:paraId="42C39B0B" w14:textId="77777777" w:rsidR="00B607BD" w:rsidRPr="00A06F1E" w:rsidRDefault="00B607BD">
            <w:pPr>
              <w:pStyle w:val="TableColHeadingCenter"/>
            </w:pPr>
            <w:r w:rsidRPr="00A06F1E">
              <w:t>State (2023)</w:t>
            </w:r>
          </w:p>
        </w:tc>
      </w:tr>
      <w:tr w:rsidR="00B607BD" w:rsidRPr="00A06F1E" w14:paraId="21DCF540"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2348390" w14:textId="77777777" w:rsidR="00B607BD" w:rsidRPr="00A06F1E" w:rsidRDefault="00B607BD">
            <w:pPr>
              <w:pStyle w:val="TableText"/>
              <w:rPr>
                <w:rFonts w:ascii="Franklin Gothic Book" w:hAnsi="Franklin Gothic Book"/>
              </w:rPr>
            </w:pPr>
            <w:r w:rsidRPr="00A06F1E">
              <w:rPr>
                <w:rFonts w:ascii="Franklin Gothic Book" w:hAnsi="Franklin Gothic Book"/>
              </w:rPr>
              <w:t>All students</w:t>
            </w:r>
          </w:p>
        </w:tc>
        <w:tc>
          <w:tcPr>
            <w:tcW w:w="1530" w:type="dxa"/>
            <w:vAlign w:val="center"/>
          </w:tcPr>
          <w:p w14:paraId="03A7D86C"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63</w:t>
            </w:r>
          </w:p>
        </w:tc>
        <w:tc>
          <w:tcPr>
            <w:tcW w:w="1530" w:type="dxa"/>
            <w:vAlign w:val="center"/>
          </w:tcPr>
          <w:p w14:paraId="5926680C"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31.9</w:t>
            </w:r>
          </w:p>
        </w:tc>
        <w:tc>
          <w:tcPr>
            <w:tcW w:w="1530" w:type="dxa"/>
            <w:vAlign w:val="center"/>
          </w:tcPr>
          <w:p w14:paraId="317272C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42.9</w:t>
            </w:r>
          </w:p>
        </w:tc>
        <w:tc>
          <w:tcPr>
            <w:tcW w:w="1522" w:type="dxa"/>
            <w:vAlign w:val="center"/>
          </w:tcPr>
          <w:p w14:paraId="0EA9C450"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49.6</w:t>
            </w:r>
          </w:p>
        </w:tc>
      </w:tr>
      <w:tr w:rsidR="00B607BD" w:rsidRPr="00A06F1E" w14:paraId="5EDADC2A" w14:textId="77777777">
        <w:tc>
          <w:tcPr>
            <w:tcW w:w="3232" w:type="dxa"/>
          </w:tcPr>
          <w:p w14:paraId="34B956F7" w14:textId="77777777" w:rsidR="00B607BD" w:rsidRPr="00A06F1E" w:rsidRDefault="00B607BD">
            <w:pPr>
              <w:pStyle w:val="TableText"/>
              <w:rPr>
                <w:rFonts w:ascii="Franklin Gothic Book" w:hAnsi="Franklin Gothic Book"/>
              </w:rPr>
            </w:pPr>
            <w:r w:rsidRPr="00A06F1E">
              <w:rPr>
                <w:rFonts w:ascii="Franklin Gothic Book" w:hAnsi="Franklin Gothic Book"/>
              </w:rPr>
              <w:t>African American/Black</w:t>
            </w:r>
          </w:p>
        </w:tc>
        <w:tc>
          <w:tcPr>
            <w:tcW w:w="1530" w:type="dxa"/>
            <w:vAlign w:val="center"/>
          </w:tcPr>
          <w:p w14:paraId="454A1CD8" w14:textId="2757D18A"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47415F83" w14:textId="6F0E6A1B"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31FA04A6" w14:textId="170978E2"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5F9128E6"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41.4</w:t>
            </w:r>
          </w:p>
        </w:tc>
      </w:tr>
      <w:tr w:rsidR="00B607BD" w:rsidRPr="00A06F1E" w14:paraId="659382B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D3D2495" w14:textId="77777777" w:rsidR="00B607BD" w:rsidRPr="00A06F1E" w:rsidRDefault="00B607BD">
            <w:pPr>
              <w:pStyle w:val="TableText"/>
              <w:rPr>
                <w:rFonts w:ascii="Franklin Gothic Book" w:hAnsi="Franklin Gothic Book"/>
              </w:rPr>
            </w:pPr>
            <w:r w:rsidRPr="00A06F1E">
              <w:rPr>
                <w:rFonts w:ascii="Franklin Gothic Book" w:hAnsi="Franklin Gothic Book"/>
              </w:rPr>
              <w:t>Asian</w:t>
            </w:r>
          </w:p>
        </w:tc>
        <w:tc>
          <w:tcPr>
            <w:tcW w:w="1530" w:type="dxa"/>
            <w:vAlign w:val="center"/>
          </w:tcPr>
          <w:p w14:paraId="7DB11C20" w14:textId="616F3F4E"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0E90FA14" w14:textId="03DC7EF0"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6AD68DE1" w14:textId="3CFE6A5F"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440DEEEB"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55.9</w:t>
            </w:r>
          </w:p>
        </w:tc>
      </w:tr>
      <w:tr w:rsidR="00B607BD" w:rsidRPr="00A06F1E" w14:paraId="63481366" w14:textId="77777777">
        <w:tc>
          <w:tcPr>
            <w:tcW w:w="3232" w:type="dxa"/>
          </w:tcPr>
          <w:p w14:paraId="670A7C0C" w14:textId="77777777" w:rsidR="00B607BD" w:rsidRPr="00A06F1E" w:rsidRDefault="00B607BD">
            <w:pPr>
              <w:pStyle w:val="TableText"/>
              <w:rPr>
                <w:rFonts w:ascii="Franklin Gothic Book" w:hAnsi="Franklin Gothic Book"/>
              </w:rPr>
            </w:pPr>
            <w:r w:rsidRPr="00A06F1E">
              <w:rPr>
                <w:rFonts w:ascii="Franklin Gothic Book" w:hAnsi="Franklin Gothic Book"/>
              </w:rPr>
              <w:t>Hispanic/Latino</w:t>
            </w:r>
          </w:p>
        </w:tc>
        <w:tc>
          <w:tcPr>
            <w:tcW w:w="1530" w:type="dxa"/>
            <w:vAlign w:val="center"/>
          </w:tcPr>
          <w:p w14:paraId="1845C2D6" w14:textId="0743864C"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4750437D" w14:textId="4483C589"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6D39F1A4" w14:textId="0E3DEDE4"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62F81B9C"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41.8</w:t>
            </w:r>
          </w:p>
        </w:tc>
      </w:tr>
      <w:tr w:rsidR="00B607BD" w:rsidRPr="00A06F1E" w14:paraId="31587A6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F1D2730" w14:textId="77777777" w:rsidR="00B607BD" w:rsidRPr="00A06F1E" w:rsidRDefault="00B607BD">
            <w:pPr>
              <w:pStyle w:val="TableText"/>
              <w:rPr>
                <w:rFonts w:ascii="Franklin Gothic Book" w:hAnsi="Franklin Gothic Book"/>
              </w:rPr>
            </w:pPr>
            <w:r w:rsidRPr="00A06F1E">
              <w:rPr>
                <w:rFonts w:ascii="Franklin Gothic Book" w:hAnsi="Franklin Gothic Book"/>
              </w:rPr>
              <w:t>Multi-Race, non-Hispanic/Latino</w:t>
            </w:r>
          </w:p>
        </w:tc>
        <w:tc>
          <w:tcPr>
            <w:tcW w:w="1530" w:type="dxa"/>
            <w:vAlign w:val="center"/>
          </w:tcPr>
          <w:p w14:paraId="7C75554B" w14:textId="78DC047D"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3C561DED" w14:textId="2BA5263F"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4EC6D45B" w14:textId="79B91C05"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3CCD76EF"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51.1</w:t>
            </w:r>
          </w:p>
        </w:tc>
      </w:tr>
      <w:tr w:rsidR="00B607BD" w:rsidRPr="00A06F1E" w14:paraId="0B6DE381" w14:textId="77777777">
        <w:tc>
          <w:tcPr>
            <w:tcW w:w="3232" w:type="dxa"/>
          </w:tcPr>
          <w:p w14:paraId="2A5D8C01" w14:textId="77777777" w:rsidR="00B607BD" w:rsidRPr="00A06F1E" w:rsidRDefault="00B607BD">
            <w:pPr>
              <w:pStyle w:val="TableText"/>
              <w:rPr>
                <w:rFonts w:ascii="Franklin Gothic Book" w:hAnsi="Franklin Gothic Book"/>
              </w:rPr>
            </w:pPr>
            <w:r w:rsidRPr="00A06F1E">
              <w:rPr>
                <w:rFonts w:ascii="Franklin Gothic Book" w:hAnsi="Franklin Gothic Book"/>
              </w:rPr>
              <w:t>Native American</w:t>
            </w:r>
          </w:p>
        </w:tc>
        <w:tc>
          <w:tcPr>
            <w:tcW w:w="1530" w:type="dxa"/>
            <w:vAlign w:val="center"/>
          </w:tcPr>
          <w:p w14:paraId="61D0C51F" w14:textId="4D74E38D"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21273066" w14:textId="184A7C41"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77786F60" w14:textId="7C8D8FE5"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6255AA29"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45.4</w:t>
            </w:r>
          </w:p>
        </w:tc>
      </w:tr>
      <w:tr w:rsidR="00B607BD" w:rsidRPr="00A06F1E" w14:paraId="7D6EC224"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1BD81F7" w14:textId="77777777" w:rsidR="00B607BD" w:rsidRPr="00A06F1E" w:rsidRDefault="00B607BD">
            <w:pPr>
              <w:pStyle w:val="TableText"/>
              <w:rPr>
                <w:rFonts w:ascii="Franklin Gothic Book" w:hAnsi="Franklin Gothic Book"/>
                <w:spacing w:val="-4"/>
              </w:rPr>
            </w:pPr>
            <w:r w:rsidRPr="00A06F1E">
              <w:rPr>
                <w:rFonts w:ascii="Franklin Gothic Book" w:hAnsi="Franklin Gothic Book"/>
                <w:spacing w:val="-4"/>
              </w:rPr>
              <w:t>Native Hawaiian, Pacific Islander</w:t>
            </w:r>
          </w:p>
        </w:tc>
        <w:tc>
          <w:tcPr>
            <w:tcW w:w="1530" w:type="dxa"/>
            <w:vAlign w:val="center"/>
          </w:tcPr>
          <w:p w14:paraId="2E2F99C1" w14:textId="5DD62C91"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732A3D5A" w14:textId="7C78918F"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3680A766" w14:textId="387527D1"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00A2B7B8"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56.1</w:t>
            </w:r>
          </w:p>
        </w:tc>
      </w:tr>
      <w:tr w:rsidR="00B607BD" w:rsidRPr="00A06F1E" w14:paraId="7D973125" w14:textId="77777777">
        <w:tc>
          <w:tcPr>
            <w:tcW w:w="3232" w:type="dxa"/>
          </w:tcPr>
          <w:p w14:paraId="1D1AD70B" w14:textId="77777777" w:rsidR="00B607BD" w:rsidRPr="00A06F1E" w:rsidRDefault="00B607BD">
            <w:pPr>
              <w:pStyle w:val="TableText"/>
              <w:rPr>
                <w:rFonts w:ascii="Franklin Gothic Book" w:hAnsi="Franklin Gothic Book"/>
              </w:rPr>
            </w:pPr>
            <w:r w:rsidRPr="00A06F1E">
              <w:rPr>
                <w:rFonts w:ascii="Franklin Gothic Book" w:hAnsi="Franklin Gothic Book"/>
              </w:rPr>
              <w:t>White</w:t>
            </w:r>
          </w:p>
        </w:tc>
        <w:tc>
          <w:tcPr>
            <w:tcW w:w="1530" w:type="dxa"/>
            <w:vAlign w:val="center"/>
          </w:tcPr>
          <w:p w14:paraId="29B878AB"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w:t>
            </w:r>
          </w:p>
        </w:tc>
        <w:tc>
          <w:tcPr>
            <w:tcW w:w="1530" w:type="dxa"/>
            <w:vAlign w:val="center"/>
          </w:tcPr>
          <w:p w14:paraId="24FA106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31.1</w:t>
            </w:r>
          </w:p>
        </w:tc>
        <w:tc>
          <w:tcPr>
            <w:tcW w:w="1530" w:type="dxa"/>
            <w:vAlign w:val="center"/>
          </w:tcPr>
          <w:p w14:paraId="28537EC2"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42.4</w:t>
            </w:r>
          </w:p>
        </w:tc>
        <w:tc>
          <w:tcPr>
            <w:tcW w:w="1522" w:type="dxa"/>
            <w:vAlign w:val="center"/>
          </w:tcPr>
          <w:p w14:paraId="26329552"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52.9</w:t>
            </w:r>
          </w:p>
        </w:tc>
      </w:tr>
      <w:tr w:rsidR="00B607BD" w:rsidRPr="00A06F1E" w14:paraId="33BBE654"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C4547C9" w14:textId="77777777" w:rsidR="00B607BD" w:rsidRPr="00A06F1E" w:rsidRDefault="00B607BD">
            <w:pPr>
              <w:pStyle w:val="TableText"/>
              <w:rPr>
                <w:rFonts w:ascii="Franklin Gothic Book" w:hAnsi="Franklin Gothic Book"/>
              </w:rPr>
            </w:pPr>
            <w:r w:rsidRPr="00A06F1E">
              <w:rPr>
                <w:rFonts w:ascii="Franklin Gothic Book" w:hAnsi="Franklin Gothic Book"/>
              </w:rPr>
              <w:t>High needs</w:t>
            </w:r>
          </w:p>
        </w:tc>
        <w:tc>
          <w:tcPr>
            <w:tcW w:w="1530" w:type="dxa"/>
            <w:vAlign w:val="center"/>
          </w:tcPr>
          <w:p w14:paraId="78DFC0DC"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41</w:t>
            </w:r>
          </w:p>
        </w:tc>
        <w:tc>
          <w:tcPr>
            <w:tcW w:w="1530" w:type="dxa"/>
            <w:vAlign w:val="center"/>
          </w:tcPr>
          <w:p w14:paraId="3AF6A5C4"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23.8</w:t>
            </w:r>
          </w:p>
        </w:tc>
        <w:tc>
          <w:tcPr>
            <w:tcW w:w="1530" w:type="dxa"/>
            <w:vAlign w:val="center"/>
          </w:tcPr>
          <w:p w14:paraId="23423522"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46.8</w:t>
            </w:r>
          </w:p>
        </w:tc>
        <w:tc>
          <w:tcPr>
            <w:tcW w:w="1522" w:type="dxa"/>
            <w:vAlign w:val="center"/>
          </w:tcPr>
          <w:p w14:paraId="3DFD2687"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43.9</w:t>
            </w:r>
          </w:p>
        </w:tc>
      </w:tr>
      <w:tr w:rsidR="00B607BD" w:rsidRPr="00A06F1E" w14:paraId="76A8576B" w14:textId="77777777">
        <w:tc>
          <w:tcPr>
            <w:tcW w:w="3232" w:type="dxa"/>
          </w:tcPr>
          <w:p w14:paraId="4A8003D3" w14:textId="77777777" w:rsidR="00B607BD" w:rsidRPr="00A06F1E" w:rsidRDefault="00B607BD">
            <w:pPr>
              <w:pStyle w:val="TableText"/>
              <w:rPr>
                <w:rFonts w:ascii="Franklin Gothic Book" w:hAnsi="Franklin Gothic Book"/>
              </w:rPr>
            </w:pPr>
            <w:r w:rsidRPr="00A06F1E">
              <w:rPr>
                <w:rFonts w:ascii="Franklin Gothic Book" w:hAnsi="Franklin Gothic Book"/>
              </w:rPr>
              <w:t>Low income</w:t>
            </w:r>
          </w:p>
        </w:tc>
        <w:tc>
          <w:tcPr>
            <w:tcW w:w="1530" w:type="dxa"/>
            <w:vAlign w:val="center"/>
          </w:tcPr>
          <w:p w14:paraId="2C1F914B"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34</w:t>
            </w:r>
          </w:p>
        </w:tc>
        <w:tc>
          <w:tcPr>
            <w:tcW w:w="1530" w:type="dxa"/>
            <w:vAlign w:val="center"/>
          </w:tcPr>
          <w:p w14:paraId="5215A357"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24.4</w:t>
            </w:r>
          </w:p>
        </w:tc>
        <w:tc>
          <w:tcPr>
            <w:tcW w:w="1530" w:type="dxa"/>
            <w:vAlign w:val="center"/>
          </w:tcPr>
          <w:p w14:paraId="23282A2E"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45.4</w:t>
            </w:r>
          </w:p>
        </w:tc>
        <w:tc>
          <w:tcPr>
            <w:tcW w:w="1522" w:type="dxa"/>
            <w:vAlign w:val="center"/>
          </w:tcPr>
          <w:p w14:paraId="56E6FDED"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43.2</w:t>
            </w:r>
          </w:p>
        </w:tc>
      </w:tr>
      <w:tr w:rsidR="00B607BD" w:rsidRPr="00A06F1E" w14:paraId="69ABC66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32E9A69" w14:textId="77777777" w:rsidR="00B607BD" w:rsidRPr="00A06F1E" w:rsidRDefault="00B607BD">
            <w:pPr>
              <w:pStyle w:val="TableText"/>
              <w:rPr>
                <w:rFonts w:ascii="Franklin Gothic Book" w:hAnsi="Franklin Gothic Book"/>
                <w:spacing w:val="-4"/>
              </w:rPr>
            </w:pPr>
            <w:r w:rsidRPr="00A06F1E">
              <w:rPr>
                <w:rFonts w:ascii="Franklin Gothic Book" w:hAnsi="Franklin Gothic Book"/>
                <w:spacing w:val="-4"/>
              </w:rPr>
              <w:t>ELs and former ELs</w:t>
            </w:r>
          </w:p>
        </w:tc>
        <w:tc>
          <w:tcPr>
            <w:tcW w:w="1530" w:type="dxa"/>
            <w:vAlign w:val="center"/>
          </w:tcPr>
          <w:p w14:paraId="1DE66F69" w14:textId="018542FD"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2C4CCAA4" w14:textId="70679104"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1906B199" w14:textId="50332DA1"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22" w:type="dxa"/>
            <w:vAlign w:val="center"/>
          </w:tcPr>
          <w:p w14:paraId="30D80104"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40.2</w:t>
            </w:r>
          </w:p>
        </w:tc>
      </w:tr>
      <w:tr w:rsidR="00B607BD" w:rsidRPr="00A06F1E" w14:paraId="1E678B63" w14:textId="77777777">
        <w:tc>
          <w:tcPr>
            <w:tcW w:w="3232" w:type="dxa"/>
          </w:tcPr>
          <w:p w14:paraId="7DE72FFC" w14:textId="77777777" w:rsidR="00B607BD" w:rsidRPr="00A06F1E" w:rsidRDefault="00B607BD">
            <w:pPr>
              <w:pStyle w:val="TableText"/>
              <w:rPr>
                <w:rFonts w:ascii="Franklin Gothic Book" w:hAnsi="Franklin Gothic Book"/>
              </w:rPr>
            </w:pPr>
            <w:r w:rsidRPr="00A06F1E">
              <w:rPr>
                <w:rFonts w:ascii="Franklin Gothic Book" w:hAnsi="Franklin Gothic Book"/>
              </w:rPr>
              <w:t>Students w/disabilities</w:t>
            </w:r>
          </w:p>
        </w:tc>
        <w:tc>
          <w:tcPr>
            <w:tcW w:w="1530" w:type="dxa"/>
            <w:vAlign w:val="center"/>
          </w:tcPr>
          <w:p w14:paraId="2928DD32"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23</w:t>
            </w:r>
          </w:p>
        </w:tc>
        <w:tc>
          <w:tcPr>
            <w:tcW w:w="1530" w:type="dxa"/>
            <w:vAlign w:val="center"/>
          </w:tcPr>
          <w:p w14:paraId="1FBA8A61" w14:textId="566A6383"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1530" w:type="dxa"/>
            <w:vAlign w:val="center"/>
          </w:tcPr>
          <w:p w14:paraId="525B5C17"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46.0</w:t>
            </w:r>
          </w:p>
        </w:tc>
        <w:tc>
          <w:tcPr>
            <w:tcW w:w="1522" w:type="dxa"/>
            <w:vAlign w:val="center"/>
          </w:tcPr>
          <w:p w14:paraId="15E8C8AE"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41.7</w:t>
            </w:r>
          </w:p>
        </w:tc>
      </w:tr>
    </w:tbl>
    <w:p w14:paraId="055B1615" w14:textId="77777777" w:rsidR="00B607BD" w:rsidRPr="00A06F1E" w:rsidRDefault="00B607BD" w:rsidP="00B607BD">
      <w:pPr>
        <w:spacing w:line="240" w:lineRule="auto"/>
        <w:rPr>
          <w:rFonts w:ascii="Franklin Gothic Book" w:hAnsi="Franklin Gothic Book"/>
          <w:sz w:val="20"/>
          <w:szCs w:val="20"/>
        </w:rPr>
      </w:pPr>
    </w:p>
    <w:p w14:paraId="126AD130" w14:textId="77777777" w:rsidR="00B607BD" w:rsidRPr="00A06F1E" w:rsidRDefault="00B607BD" w:rsidP="00B607BD">
      <w:pPr>
        <w:spacing w:line="240" w:lineRule="auto"/>
        <w:rPr>
          <w:rFonts w:ascii="Franklin Gothic Book" w:hAnsi="Franklin Gothic Book"/>
          <w:sz w:val="20"/>
          <w:szCs w:val="20"/>
        </w:rPr>
      </w:pPr>
    </w:p>
    <w:p w14:paraId="26E7E2B3" w14:textId="77777777" w:rsidR="00B607BD" w:rsidRPr="00A06F1E" w:rsidRDefault="00B607BD" w:rsidP="00B607BD">
      <w:pPr>
        <w:spacing w:line="240" w:lineRule="auto"/>
        <w:rPr>
          <w:rFonts w:ascii="Franklin Gothic Book" w:hAnsi="Franklin Gothic Book"/>
          <w:sz w:val="20"/>
          <w:szCs w:val="20"/>
        </w:rPr>
      </w:pPr>
    </w:p>
    <w:p w14:paraId="28F0B2B6" w14:textId="77777777" w:rsidR="00B607BD" w:rsidRPr="00A06F1E" w:rsidRDefault="00B607BD" w:rsidP="00B607BD">
      <w:pPr>
        <w:spacing w:after="160" w:line="259" w:lineRule="auto"/>
        <w:rPr>
          <w:rFonts w:ascii="Franklin Gothic Book" w:hAnsi="Franklin Gothic Book"/>
          <w:sz w:val="20"/>
          <w:szCs w:val="20"/>
        </w:rPr>
        <w:sectPr w:rsidR="00B607BD" w:rsidRPr="00A06F1E" w:rsidSect="00B607BD">
          <w:pgSz w:w="12240" w:h="15840"/>
          <w:pgMar w:top="1440" w:right="1440" w:bottom="1440" w:left="1440" w:header="720" w:footer="720" w:gutter="0"/>
          <w:cols w:space="720"/>
          <w:docGrid w:linePitch="360"/>
        </w:sectPr>
      </w:pPr>
      <w:r w:rsidRPr="00A06F1E">
        <w:rPr>
          <w:rFonts w:ascii="Franklin Gothic Book" w:hAnsi="Franklin Gothic Book"/>
          <w:sz w:val="20"/>
          <w:szCs w:val="20"/>
        </w:rPr>
        <w:br w:type="page"/>
      </w:r>
    </w:p>
    <w:p w14:paraId="13575298" w14:textId="23F8374C" w:rsidR="00B607BD" w:rsidRPr="00A06F1E" w:rsidRDefault="00B607BD" w:rsidP="00B7722D">
      <w:pPr>
        <w:pStyle w:val="TabletitleSectionE"/>
      </w:pPr>
      <w:bookmarkStart w:id="302" w:name="_Toc170701976"/>
      <w:bookmarkStart w:id="303" w:name="_Toc171685813"/>
      <w:r w:rsidRPr="00A06F1E">
        <w:lastRenderedPageBreak/>
        <w:t>Table E14</w:t>
      </w:r>
      <w:r w:rsidR="00C50DFE">
        <w:t>a</w:t>
      </w:r>
      <w:r w:rsidR="00CE00AC" w:rsidRPr="00A06F1E">
        <w:t xml:space="preserve">. </w:t>
      </w:r>
      <w:r w:rsidR="00CF4F71">
        <w:t>Fisher Hill</w:t>
      </w:r>
      <w:r w:rsidR="00F3532E" w:rsidRPr="00A06F1E">
        <w:t>:</w:t>
      </w:r>
      <w:r w:rsidRPr="00A06F1E">
        <w:t xml:space="preserve"> Next-Generation MCAS ELA Mean </w:t>
      </w:r>
      <w:r w:rsidR="003A7C1C" w:rsidRPr="00A06F1E">
        <w:t>SGP</w:t>
      </w:r>
      <w:r w:rsidRPr="00A06F1E">
        <w:t xml:space="preserve"> by Grade, 2022-2023</w:t>
      </w:r>
      <w:bookmarkEnd w:id="302"/>
      <w:bookmarkEnd w:id="303"/>
    </w:p>
    <w:tbl>
      <w:tblPr>
        <w:tblStyle w:val="MSVTable1"/>
        <w:tblW w:w="5000" w:type="pct"/>
        <w:tblLook w:val="0420" w:firstRow="1" w:lastRow="0" w:firstColumn="0" w:lastColumn="0" w:noHBand="0" w:noVBand="1"/>
      </w:tblPr>
      <w:tblGrid>
        <w:gridCol w:w="1307"/>
        <w:gridCol w:w="2019"/>
        <w:gridCol w:w="2004"/>
        <w:gridCol w:w="2003"/>
        <w:gridCol w:w="2011"/>
      </w:tblGrid>
      <w:tr w:rsidR="00B607BD" w:rsidRPr="00A06F1E" w14:paraId="40D3AE6D"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18084765" w14:textId="77777777" w:rsidR="00B607BD" w:rsidRPr="00A06F1E" w:rsidRDefault="00B607BD">
            <w:pPr>
              <w:pStyle w:val="TableColHeadingCenter"/>
              <w:spacing w:before="30" w:after="30"/>
            </w:pPr>
            <w:r w:rsidRPr="00A06F1E">
              <w:t>Grade</w:t>
            </w:r>
          </w:p>
        </w:tc>
        <w:tc>
          <w:tcPr>
            <w:tcW w:w="2019" w:type="dxa"/>
          </w:tcPr>
          <w:p w14:paraId="10A7ADAF" w14:textId="02F9356A" w:rsidR="00B607BD" w:rsidRPr="00A06F1E" w:rsidRDefault="00B607BD">
            <w:pPr>
              <w:pStyle w:val="TableColHeadingCenter"/>
              <w:spacing w:before="30" w:after="30"/>
            </w:pPr>
            <w:r w:rsidRPr="00A06F1E">
              <w:t xml:space="preserve"># </w:t>
            </w:r>
            <w:r w:rsidR="00FF1146" w:rsidRPr="00A06F1E">
              <w:t>included</w:t>
            </w:r>
            <w:r w:rsidRPr="00A06F1E">
              <w:t xml:space="preserve"> (2023)</w:t>
            </w:r>
          </w:p>
        </w:tc>
        <w:tc>
          <w:tcPr>
            <w:tcW w:w="2004" w:type="dxa"/>
          </w:tcPr>
          <w:p w14:paraId="0BBECAB3" w14:textId="77777777" w:rsidR="00B607BD" w:rsidRPr="00A06F1E" w:rsidRDefault="00B607BD">
            <w:pPr>
              <w:pStyle w:val="TableColHeadingCenter"/>
              <w:spacing w:before="30" w:after="30"/>
            </w:pPr>
            <w:r w:rsidRPr="00A06F1E">
              <w:t>2022</w:t>
            </w:r>
          </w:p>
        </w:tc>
        <w:tc>
          <w:tcPr>
            <w:tcW w:w="2003" w:type="dxa"/>
          </w:tcPr>
          <w:p w14:paraId="3172EA61" w14:textId="77777777" w:rsidR="00B607BD" w:rsidRPr="00A06F1E" w:rsidRDefault="00B607BD">
            <w:pPr>
              <w:pStyle w:val="TableColHeadingCenter"/>
              <w:spacing w:before="30" w:after="30"/>
            </w:pPr>
            <w:r w:rsidRPr="00A06F1E">
              <w:t>2023</w:t>
            </w:r>
          </w:p>
        </w:tc>
        <w:tc>
          <w:tcPr>
            <w:tcW w:w="2011" w:type="dxa"/>
          </w:tcPr>
          <w:p w14:paraId="20964B4E" w14:textId="77777777" w:rsidR="00B607BD" w:rsidRPr="00A06F1E" w:rsidRDefault="00B607BD">
            <w:pPr>
              <w:pStyle w:val="TableColHeadingCenter"/>
              <w:spacing w:before="30" w:after="30"/>
            </w:pPr>
            <w:r w:rsidRPr="00A06F1E">
              <w:t>State (2023)</w:t>
            </w:r>
          </w:p>
        </w:tc>
      </w:tr>
      <w:tr w:rsidR="00B607BD" w:rsidRPr="00A06F1E" w14:paraId="50674693"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13D76331"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3</w:t>
            </w:r>
          </w:p>
        </w:tc>
        <w:tc>
          <w:tcPr>
            <w:tcW w:w="2019" w:type="dxa"/>
            <w:vAlign w:val="center"/>
          </w:tcPr>
          <w:p w14:paraId="49050F3D" w14:textId="2D82E239"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4" w:type="dxa"/>
            <w:vAlign w:val="center"/>
          </w:tcPr>
          <w:p w14:paraId="62267917" w14:textId="112D7FD3"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3" w:type="dxa"/>
            <w:vAlign w:val="center"/>
          </w:tcPr>
          <w:p w14:paraId="790050B4" w14:textId="198D8757"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11" w:type="dxa"/>
            <w:vAlign w:val="bottom"/>
          </w:tcPr>
          <w:p w14:paraId="1C24F211" w14:textId="658DC53B"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r>
      <w:tr w:rsidR="00B607BD" w:rsidRPr="00A06F1E" w14:paraId="24CA852D" w14:textId="77777777">
        <w:tc>
          <w:tcPr>
            <w:tcW w:w="1307" w:type="dxa"/>
          </w:tcPr>
          <w:p w14:paraId="250B4B6C"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4</w:t>
            </w:r>
          </w:p>
        </w:tc>
        <w:tc>
          <w:tcPr>
            <w:tcW w:w="2019" w:type="dxa"/>
            <w:vAlign w:val="center"/>
          </w:tcPr>
          <w:p w14:paraId="3D5935CB"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57</w:t>
            </w:r>
          </w:p>
        </w:tc>
        <w:tc>
          <w:tcPr>
            <w:tcW w:w="2004" w:type="dxa"/>
            <w:vAlign w:val="center"/>
          </w:tcPr>
          <w:p w14:paraId="22717222"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36.8</w:t>
            </w:r>
          </w:p>
        </w:tc>
        <w:tc>
          <w:tcPr>
            <w:tcW w:w="2003" w:type="dxa"/>
            <w:vAlign w:val="center"/>
          </w:tcPr>
          <w:p w14:paraId="75343D78"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36.1</w:t>
            </w:r>
          </w:p>
        </w:tc>
        <w:tc>
          <w:tcPr>
            <w:tcW w:w="2011" w:type="dxa"/>
            <w:vAlign w:val="bottom"/>
          </w:tcPr>
          <w:p w14:paraId="70270A7E"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49.4</w:t>
            </w:r>
          </w:p>
        </w:tc>
      </w:tr>
      <w:tr w:rsidR="00B607BD" w:rsidRPr="00A06F1E" w14:paraId="7FAFBAED"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0863DD80"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5</w:t>
            </w:r>
          </w:p>
        </w:tc>
        <w:tc>
          <w:tcPr>
            <w:tcW w:w="2019" w:type="dxa"/>
            <w:vAlign w:val="center"/>
          </w:tcPr>
          <w:p w14:paraId="7A353C48"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63</w:t>
            </w:r>
          </w:p>
        </w:tc>
        <w:tc>
          <w:tcPr>
            <w:tcW w:w="2004" w:type="dxa"/>
            <w:vAlign w:val="center"/>
          </w:tcPr>
          <w:p w14:paraId="67568C9E"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38.8</w:t>
            </w:r>
          </w:p>
        </w:tc>
        <w:tc>
          <w:tcPr>
            <w:tcW w:w="2003" w:type="dxa"/>
            <w:vAlign w:val="center"/>
          </w:tcPr>
          <w:p w14:paraId="7E5D69FA"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41.7</w:t>
            </w:r>
          </w:p>
        </w:tc>
        <w:tc>
          <w:tcPr>
            <w:tcW w:w="2011" w:type="dxa"/>
            <w:vAlign w:val="bottom"/>
          </w:tcPr>
          <w:p w14:paraId="60B7A131"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49.8</w:t>
            </w:r>
          </w:p>
        </w:tc>
      </w:tr>
      <w:tr w:rsidR="00B607BD" w:rsidRPr="00A06F1E" w14:paraId="102DF21D" w14:textId="77777777">
        <w:tc>
          <w:tcPr>
            <w:tcW w:w="1307" w:type="dxa"/>
          </w:tcPr>
          <w:p w14:paraId="13A3060B"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6</w:t>
            </w:r>
          </w:p>
        </w:tc>
        <w:tc>
          <w:tcPr>
            <w:tcW w:w="2019" w:type="dxa"/>
            <w:vAlign w:val="center"/>
          </w:tcPr>
          <w:p w14:paraId="702B95DB"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69</w:t>
            </w:r>
          </w:p>
        </w:tc>
        <w:tc>
          <w:tcPr>
            <w:tcW w:w="2004" w:type="dxa"/>
            <w:vAlign w:val="center"/>
          </w:tcPr>
          <w:p w14:paraId="5320E5CC"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50.2</w:t>
            </w:r>
          </w:p>
        </w:tc>
        <w:tc>
          <w:tcPr>
            <w:tcW w:w="2003" w:type="dxa"/>
            <w:vAlign w:val="center"/>
          </w:tcPr>
          <w:p w14:paraId="301CAB09"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60.5</w:t>
            </w:r>
          </w:p>
        </w:tc>
        <w:tc>
          <w:tcPr>
            <w:tcW w:w="2011" w:type="dxa"/>
            <w:vAlign w:val="bottom"/>
          </w:tcPr>
          <w:p w14:paraId="56DA4FA3"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49.9</w:t>
            </w:r>
          </w:p>
        </w:tc>
      </w:tr>
      <w:tr w:rsidR="00B607BD" w:rsidRPr="00A06F1E" w14:paraId="362D231D"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4DAE0A77"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7</w:t>
            </w:r>
          </w:p>
        </w:tc>
        <w:tc>
          <w:tcPr>
            <w:tcW w:w="2019" w:type="dxa"/>
            <w:vAlign w:val="center"/>
          </w:tcPr>
          <w:p w14:paraId="28D45F75" w14:textId="0AD46438"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4" w:type="dxa"/>
            <w:vAlign w:val="center"/>
          </w:tcPr>
          <w:p w14:paraId="765ED861" w14:textId="11156E85"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3" w:type="dxa"/>
            <w:vAlign w:val="center"/>
          </w:tcPr>
          <w:p w14:paraId="2F9FE904" w14:textId="7E3DA44D"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11" w:type="dxa"/>
            <w:vAlign w:val="bottom"/>
          </w:tcPr>
          <w:p w14:paraId="24BB07F6"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49.9</w:t>
            </w:r>
          </w:p>
        </w:tc>
      </w:tr>
      <w:tr w:rsidR="00B607BD" w:rsidRPr="00A06F1E" w14:paraId="4BD0F97D" w14:textId="77777777">
        <w:tc>
          <w:tcPr>
            <w:tcW w:w="1307" w:type="dxa"/>
          </w:tcPr>
          <w:p w14:paraId="7CA8D298"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8</w:t>
            </w:r>
          </w:p>
        </w:tc>
        <w:tc>
          <w:tcPr>
            <w:tcW w:w="2019" w:type="dxa"/>
            <w:vAlign w:val="center"/>
          </w:tcPr>
          <w:p w14:paraId="73A400DC" w14:textId="1DD522D3"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4" w:type="dxa"/>
            <w:vAlign w:val="center"/>
          </w:tcPr>
          <w:p w14:paraId="75C1EAA2" w14:textId="14A5AE14"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3" w:type="dxa"/>
            <w:vAlign w:val="center"/>
          </w:tcPr>
          <w:p w14:paraId="2B534CA7" w14:textId="3313FC4C"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11" w:type="dxa"/>
            <w:vAlign w:val="bottom"/>
          </w:tcPr>
          <w:p w14:paraId="35B069A0"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49.7</w:t>
            </w:r>
          </w:p>
        </w:tc>
      </w:tr>
      <w:tr w:rsidR="00B607BD" w:rsidRPr="00A06F1E" w14:paraId="676E0930"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2B000C80"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3-8</w:t>
            </w:r>
          </w:p>
        </w:tc>
        <w:tc>
          <w:tcPr>
            <w:tcW w:w="2019" w:type="dxa"/>
            <w:vAlign w:val="center"/>
          </w:tcPr>
          <w:p w14:paraId="3BEC470B"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189</w:t>
            </w:r>
          </w:p>
        </w:tc>
        <w:tc>
          <w:tcPr>
            <w:tcW w:w="2004" w:type="dxa"/>
            <w:vAlign w:val="center"/>
          </w:tcPr>
          <w:p w14:paraId="726E41D7"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41.8</w:t>
            </w:r>
          </w:p>
        </w:tc>
        <w:tc>
          <w:tcPr>
            <w:tcW w:w="2003" w:type="dxa"/>
            <w:vAlign w:val="center"/>
          </w:tcPr>
          <w:p w14:paraId="0AE0D4F0"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46.9</w:t>
            </w:r>
          </w:p>
        </w:tc>
        <w:tc>
          <w:tcPr>
            <w:tcW w:w="2011" w:type="dxa"/>
            <w:vAlign w:val="bottom"/>
          </w:tcPr>
          <w:p w14:paraId="6E55AA2A"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49.7</w:t>
            </w:r>
          </w:p>
        </w:tc>
      </w:tr>
      <w:tr w:rsidR="00B607BD" w:rsidRPr="00A06F1E" w14:paraId="5FFDF5C7" w14:textId="77777777">
        <w:tc>
          <w:tcPr>
            <w:tcW w:w="1307" w:type="dxa"/>
          </w:tcPr>
          <w:p w14:paraId="03636111"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10</w:t>
            </w:r>
          </w:p>
        </w:tc>
        <w:tc>
          <w:tcPr>
            <w:tcW w:w="2019" w:type="dxa"/>
            <w:vAlign w:val="center"/>
          </w:tcPr>
          <w:p w14:paraId="168F6880" w14:textId="20C2D0F2"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4" w:type="dxa"/>
            <w:vAlign w:val="center"/>
          </w:tcPr>
          <w:p w14:paraId="16A8A722" w14:textId="6CD68584"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3" w:type="dxa"/>
            <w:vAlign w:val="center"/>
          </w:tcPr>
          <w:p w14:paraId="5F207268" w14:textId="7CCCFC3B"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11" w:type="dxa"/>
            <w:vAlign w:val="bottom"/>
          </w:tcPr>
          <w:p w14:paraId="7AD1DC50"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49.5</w:t>
            </w:r>
          </w:p>
        </w:tc>
      </w:tr>
    </w:tbl>
    <w:p w14:paraId="7718BABE" w14:textId="0C4EB042" w:rsidR="00B607BD" w:rsidRPr="00A06F1E" w:rsidRDefault="00B607BD" w:rsidP="00B7722D">
      <w:pPr>
        <w:pStyle w:val="TabletitleSectionE"/>
      </w:pPr>
      <w:bookmarkStart w:id="304" w:name="_Toc170701977"/>
      <w:bookmarkStart w:id="305" w:name="_Toc171685814"/>
      <w:r w:rsidRPr="00A06F1E">
        <w:t>Table E14</w:t>
      </w:r>
      <w:r w:rsidR="00C50DFE">
        <w:t>b</w:t>
      </w:r>
      <w:r w:rsidR="007C4E08" w:rsidRPr="00A06F1E">
        <w:t xml:space="preserve">. </w:t>
      </w:r>
      <w:proofErr w:type="spellStart"/>
      <w:r w:rsidR="00652B48">
        <w:t>Petersham</w:t>
      </w:r>
      <w:proofErr w:type="spellEnd"/>
      <w:r w:rsidR="00652B48">
        <w:t xml:space="preserve"> Center</w:t>
      </w:r>
      <w:r w:rsidR="00F3532E" w:rsidRPr="00A06F1E">
        <w:t>:</w:t>
      </w:r>
      <w:r w:rsidRPr="00A06F1E">
        <w:t xml:space="preserve"> Next-Generation MCAS ELA Mean </w:t>
      </w:r>
      <w:r w:rsidR="003A7C1C" w:rsidRPr="00A06F1E">
        <w:t>SGP</w:t>
      </w:r>
      <w:r w:rsidRPr="00A06F1E">
        <w:t xml:space="preserve"> by Grade, 2022-2023</w:t>
      </w:r>
      <w:bookmarkEnd w:id="304"/>
      <w:bookmarkEnd w:id="305"/>
    </w:p>
    <w:tbl>
      <w:tblPr>
        <w:tblStyle w:val="MSVTable1"/>
        <w:tblW w:w="5000" w:type="pct"/>
        <w:tblLook w:val="0420" w:firstRow="1" w:lastRow="0" w:firstColumn="0" w:lastColumn="0" w:noHBand="0" w:noVBand="1"/>
      </w:tblPr>
      <w:tblGrid>
        <w:gridCol w:w="1307"/>
        <w:gridCol w:w="2019"/>
        <w:gridCol w:w="2004"/>
        <w:gridCol w:w="2003"/>
        <w:gridCol w:w="2011"/>
      </w:tblGrid>
      <w:tr w:rsidR="00B607BD" w:rsidRPr="00A06F1E" w14:paraId="5F89F1A5"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0AC10F93" w14:textId="77777777" w:rsidR="00B607BD" w:rsidRPr="00A06F1E" w:rsidRDefault="00B607BD">
            <w:pPr>
              <w:pStyle w:val="TableColHeadingCenter"/>
              <w:spacing w:before="30" w:after="30"/>
            </w:pPr>
            <w:r w:rsidRPr="00A06F1E">
              <w:t>Grade</w:t>
            </w:r>
          </w:p>
        </w:tc>
        <w:tc>
          <w:tcPr>
            <w:tcW w:w="2019" w:type="dxa"/>
          </w:tcPr>
          <w:p w14:paraId="2B7F3A51" w14:textId="44CA5C47" w:rsidR="00B607BD" w:rsidRPr="00A06F1E" w:rsidRDefault="00B607BD">
            <w:pPr>
              <w:pStyle w:val="TableColHeadingCenter"/>
              <w:spacing w:before="30" w:after="30"/>
            </w:pPr>
            <w:r w:rsidRPr="00A06F1E">
              <w:t xml:space="preserve"># </w:t>
            </w:r>
            <w:r w:rsidR="00FF1146" w:rsidRPr="00A06F1E">
              <w:t>included</w:t>
            </w:r>
            <w:r w:rsidRPr="00A06F1E">
              <w:t xml:space="preserve"> (2023)</w:t>
            </w:r>
          </w:p>
        </w:tc>
        <w:tc>
          <w:tcPr>
            <w:tcW w:w="2004" w:type="dxa"/>
          </w:tcPr>
          <w:p w14:paraId="4AED0CF1" w14:textId="77777777" w:rsidR="00B607BD" w:rsidRPr="00A06F1E" w:rsidRDefault="00B607BD">
            <w:pPr>
              <w:pStyle w:val="TableColHeadingCenter"/>
              <w:spacing w:before="30" w:after="30"/>
            </w:pPr>
            <w:r w:rsidRPr="00A06F1E">
              <w:t>2022</w:t>
            </w:r>
          </w:p>
        </w:tc>
        <w:tc>
          <w:tcPr>
            <w:tcW w:w="2003" w:type="dxa"/>
          </w:tcPr>
          <w:p w14:paraId="03165963" w14:textId="77777777" w:rsidR="00B607BD" w:rsidRPr="00A06F1E" w:rsidRDefault="00B607BD">
            <w:pPr>
              <w:pStyle w:val="TableColHeadingCenter"/>
              <w:spacing w:before="30" w:after="30"/>
            </w:pPr>
            <w:r w:rsidRPr="00A06F1E">
              <w:t>2023</w:t>
            </w:r>
          </w:p>
        </w:tc>
        <w:tc>
          <w:tcPr>
            <w:tcW w:w="2011" w:type="dxa"/>
          </w:tcPr>
          <w:p w14:paraId="0B6FEAA8" w14:textId="77777777" w:rsidR="00B607BD" w:rsidRPr="00A06F1E" w:rsidRDefault="00B607BD">
            <w:pPr>
              <w:pStyle w:val="TableColHeadingCenter"/>
              <w:spacing w:before="30" w:after="30"/>
            </w:pPr>
            <w:r w:rsidRPr="00A06F1E">
              <w:t>State (2023)</w:t>
            </w:r>
          </w:p>
        </w:tc>
      </w:tr>
      <w:tr w:rsidR="00B607BD" w:rsidRPr="00A06F1E" w14:paraId="735694CA"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4A0823C5"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3</w:t>
            </w:r>
          </w:p>
        </w:tc>
        <w:tc>
          <w:tcPr>
            <w:tcW w:w="2019" w:type="dxa"/>
            <w:vAlign w:val="center"/>
          </w:tcPr>
          <w:p w14:paraId="35510925" w14:textId="2242D94D"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4" w:type="dxa"/>
            <w:vAlign w:val="center"/>
          </w:tcPr>
          <w:p w14:paraId="00D89C59" w14:textId="799719B7"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3" w:type="dxa"/>
            <w:vAlign w:val="center"/>
          </w:tcPr>
          <w:p w14:paraId="10F2B5E3" w14:textId="34C26AE8"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11" w:type="dxa"/>
            <w:vAlign w:val="bottom"/>
          </w:tcPr>
          <w:p w14:paraId="4A3877BE" w14:textId="218C0FA3"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r>
      <w:tr w:rsidR="00B607BD" w:rsidRPr="00A06F1E" w14:paraId="6727BFA9" w14:textId="77777777">
        <w:tc>
          <w:tcPr>
            <w:tcW w:w="1307" w:type="dxa"/>
          </w:tcPr>
          <w:p w14:paraId="5B970CF5"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4</w:t>
            </w:r>
          </w:p>
        </w:tc>
        <w:tc>
          <w:tcPr>
            <w:tcW w:w="2019" w:type="dxa"/>
            <w:vAlign w:val="center"/>
          </w:tcPr>
          <w:p w14:paraId="4CD8EB58"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24</w:t>
            </w:r>
          </w:p>
        </w:tc>
        <w:tc>
          <w:tcPr>
            <w:tcW w:w="2004" w:type="dxa"/>
            <w:vAlign w:val="center"/>
          </w:tcPr>
          <w:p w14:paraId="38C96EBA" w14:textId="1540B363"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3" w:type="dxa"/>
            <w:vAlign w:val="center"/>
          </w:tcPr>
          <w:p w14:paraId="22A9B4A8"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49.7</w:t>
            </w:r>
          </w:p>
        </w:tc>
        <w:tc>
          <w:tcPr>
            <w:tcW w:w="2011" w:type="dxa"/>
            <w:vAlign w:val="bottom"/>
          </w:tcPr>
          <w:p w14:paraId="638457C3"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49.4</w:t>
            </w:r>
          </w:p>
        </w:tc>
      </w:tr>
      <w:tr w:rsidR="00B607BD" w:rsidRPr="00A06F1E" w14:paraId="343D3D67"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7AF09ED7"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5</w:t>
            </w:r>
          </w:p>
        </w:tc>
        <w:tc>
          <w:tcPr>
            <w:tcW w:w="2019" w:type="dxa"/>
            <w:vAlign w:val="center"/>
          </w:tcPr>
          <w:p w14:paraId="7C0AA63F"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11</w:t>
            </w:r>
          </w:p>
        </w:tc>
        <w:tc>
          <w:tcPr>
            <w:tcW w:w="2004" w:type="dxa"/>
            <w:vAlign w:val="center"/>
          </w:tcPr>
          <w:p w14:paraId="3F98C0BD" w14:textId="6E2EA844"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3" w:type="dxa"/>
            <w:vAlign w:val="center"/>
          </w:tcPr>
          <w:p w14:paraId="6226E441" w14:textId="0EFA279A"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11" w:type="dxa"/>
            <w:vAlign w:val="bottom"/>
          </w:tcPr>
          <w:p w14:paraId="090F8A67"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49.8</w:t>
            </w:r>
          </w:p>
        </w:tc>
      </w:tr>
      <w:tr w:rsidR="00B607BD" w:rsidRPr="00A06F1E" w14:paraId="40A9A309" w14:textId="77777777">
        <w:tc>
          <w:tcPr>
            <w:tcW w:w="1307" w:type="dxa"/>
          </w:tcPr>
          <w:p w14:paraId="2C6963CC"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6</w:t>
            </w:r>
          </w:p>
        </w:tc>
        <w:tc>
          <w:tcPr>
            <w:tcW w:w="2019" w:type="dxa"/>
            <w:vAlign w:val="center"/>
          </w:tcPr>
          <w:p w14:paraId="6226589B"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15</w:t>
            </w:r>
          </w:p>
        </w:tc>
        <w:tc>
          <w:tcPr>
            <w:tcW w:w="2004" w:type="dxa"/>
            <w:vAlign w:val="center"/>
          </w:tcPr>
          <w:p w14:paraId="742227CB" w14:textId="2DCDEBD4"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3" w:type="dxa"/>
            <w:vAlign w:val="center"/>
          </w:tcPr>
          <w:p w14:paraId="5D5D8FC1" w14:textId="4FDCF649"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11" w:type="dxa"/>
            <w:vAlign w:val="bottom"/>
          </w:tcPr>
          <w:p w14:paraId="6960C670"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49.9</w:t>
            </w:r>
          </w:p>
        </w:tc>
      </w:tr>
      <w:tr w:rsidR="00B607BD" w:rsidRPr="00A06F1E" w14:paraId="2CF83B95"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46E05CC5"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7</w:t>
            </w:r>
          </w:p>
        </w:tc>
        <w:tc>
          <w:tcPr>
            <w:tcW w:w="2019" w:type="dxa"/>
            <w:vAlign w:val="center"/>
          </w:tcPr>
          <w:p w14:paraId="2853DCDE" w14:textId="6AE1394A"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4" w:type="dxa"/>
            <w:vAlign w:val="center"/>
          </w:tcPr>
          <w:p w14:paraId="344CE852" w14:textId="5D5FC5DD"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3" w:type="dxa"/>
            <w:vAlign w:val="center"/>
          </w:tcPr>
          <w:p w14:paraId="05796A0F" w14:textId="3E36A466"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11" w:type="dxa"/>
            <w:vAlign w:val="bottom"/>
          </w:tcPr>
          <w:p w14:paraId="1DE673E1"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49.9</w:t>
            </w:r>
          </w:p>
        </w:tc>
      </w:tr>
      <w:tr w:rsidR="00B607BD" w:rsidRPr="00A06F1E" w14:paraId="3C917300" w14:textId="77777777">
        <w:tc>
          <w:tcPr>
            <w:tcW w:w="1307" w:type="dxa"/>
          </w:tcPr>
          <w:p w14:paraId="4A12897C"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8</w:t>
            </w:r>
          </w:p>
        </w:tc>
        <w:tc>
          <w:tcPr>
            <w:tcW w:w="2019" w:type="dxa"/>
            <w:vAlign w:val="center"/>
          </w:tcPr>
          <w:p w14:paraId="44314964" w14:textId="514DB339"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4" w:type="dxa"/>
            <w:vAlign w:val="center"/>
          </w:tcPr>
          <w:p w14:paraId="31D95805" w14:textId="2CE16734"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3" w:type="dxa"/>
            <w:vAlign w:val="center"/>
          </w:tcPr>
          <w:p w14:paraId="7A1297B9" w14:textId="5E40F308"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11" w:type="dxa"/>
            <w:vAlign w:val="bottom"/>
          </w:tcPr>
          <w:p w14:paraId="3653813B"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49.7</w:t>
            </w:r>
          </w:p>
        </w:tc>
      </w:tr>
      <w:tr w:rsidR="00B607BD" w:rsidRPr="00A06F1E" w14:paraId="0A7F94DD"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32F5942D"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3-8</w:t>
            </w:r>
          </w:p>
        </w:tc>
        <w:tc>
          <w:tcPr>
            <w:tcW w:w="2019" w:type="dxa"/>
            <w:vAlign w:val="center"/>
          </w:tcPr>
          <w:p w14:paraId="12425FA3"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50</w:t>
            </w:r>
          </w:p>
        </w:tc>
        <w:tc>
          <w:tcPr>
            <w:tcW w:w="2004" w:type="dxa"/>
            <w:vAlign w:val="center"/>
          </w:tcPr>
          <w:p w14:paraId="175BA92A"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63.2</w:t>
            </w:r>
          </w:p>
        </w:tc>
        <w:tc>
          <w:tcPr>
            <w:tcW w:w="2003" w:type="dxa"/>
            <w:vAlign w:val="center"/>
          </w:tcPr>
          <w:p w14:paraId="32756588"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59.7</w:t>
            </w:r>
          </w:p>
        </w:tc>
        <w:tc>
          <w:tcPr>
            <w:tcW w:w="2011" w:type="dxa"/>
            <w:vAlign w:val="bottom"/>
          </w:tcPr>
          <w:p w14:paraId="5CC4F1DD"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49.7</w:t>
            </w:r>
          </w:p>
        </w:tc>
      </w:tr>
      <w:tr w:rsidR="00B607BD" w:rsidRPr="00A06F1E" w14:paraId="6F16A8CE" w14:textId="77777777">
        <w:tc>
          <w:tcPr>
            <w:tcW w:w="1307" w:type="dxa"/>
          </w:tcPr>
          <w:p w14:paraId="5B7E9323"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10</w:t>
            </w:r>
          </w:p>
        </w:tc>
        <w:tc>
          <w:tcPr>
            <w:tcW w:w="2019" w:type="dxa"/>
            <w:vAlign w:val="center"/>
          </w:tcPr>
          <w:p w14:paraId="21DF900A" w14:textId="7CB85C22"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4" w:type="dxa"/>
            <w:vAlign w:val="center"/>
          </w:tcPr>
          <w:p w14:paraId="18A59FCF" w14:textId="47B38993"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3" w:type="dxa"/>
            <w:vAlign w:val="center"/>
          </w:tcPr>
          <w:p w14:paraId="24F08950" w14:textId="4DB1A4BE"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11" w:type="dxa"/>
            <w:vAlign w:val="bottom"/>
          </w:tcPr>
          <w:p w14:paraId="3AD095FC"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49.5</w:t>
            </w:r>
          </w:p>
        </w:tc>
      </w:tr>
    </w:tbl>
    <w:p w14:paraId="44E4FF3E" w14:textId="0615ACA8" w:rsidR="00B607BD" w:rsidRPr="00A06F1E" w:rsidRDefault="00B607BD" w:rsidP="00B7722D">
      <w:pPr>
        <w:pStyle w:val="TabletitleSectionE"/>
      </w:pPr>
      <w:bookmarkStart w:id="306" w:name="_Toc170701978"/>
      <w:bookmarkStart w:id="307" w:name="_Toc171685815"/>
      <w:r w:rsidRPr="00A06F1E">
        <w:t>Table E14</w:t>
      </w:r>
      <w:r w:rsidR="008F14CC">
        <w:t>c</w:t>
      </w:r>
      <w:r w:rsidR="00A228CB" w:rsidRPr="00A06F1E">
        <w:t>. Mahar Regional</w:t>
      </w:r>
      <w:r w:rsidR="00F3532E" w:rsidRPr="00A06F1E">
        <w:t>:</w:t>
      </w:r>
      <w:r w:rsidRPr="00A06F1E">
        <w:t xml:space="preserve"> Next-Generation MCAS ELA Mean </w:t>
      </w:r>
      <w:r w:rsidR="003A7C1C" w:rsidRPr="00A06F1E">
        <w:t>SGP</w:t>
      </w:r>
      <w:r w:rsidRPr="00A06F1E">
        <w:t xml:space="preserve"> by Grade, 2022-2023</w:t>
      </w:r>
      <w:bookmarkEnd w:id="306"/>
      <w:bookmarkEnd w:id="307"/>
    </w:p>
    <w:tbl>
      <w:tblPr>
        <w:tblStyle w:val="MSVTable1"/>
        <w:tblW w:w="5000" w:type="pct"/>
        <w:tblLook w:val="0420" w:firstRow="1" w:lastRow="0" w:firstColumn="0" w:lastColumn="0" w:noHBand="0" w:noVBand="1"/>
      </w:tblPr>
      <w:tblGrid>
        <w:gridCol w:w="1307"/>
        <w:gridCol w:w="2019"/>
        <w:gridCol w:w="2004"/>
        <w:gridCol w:w="2003"/>
        <w:gridCol w:w="2011"/>
      </w:tblGrid>
      <w:tr w:rsidR="00B607BD" w:rsidRPr="00A06F1E" w14:paraId="370E0339"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2020D0E1" w14:textId="77777777" w:rsidR="00B607BD" w:rsidRPr="00A06F1E" w:rsidRDefault="00B607BD">
            <w:pPr>
              <w:pStyle w:val="TableColHeadingCenter"/>
              <w:spacing w:before="30" w:after="30"/>
            </w:pPr>
            <w:r w:rsidRPr="00A06F1E">
              <w:t>Grade</w:t>
            </w:r>
          </w:p>
        </w:tc>
        <w:tc>
          <w:tcPr>
            <w:tcW w:w="2019" w:type="dxa"/>
          </w:tcPr>
          <w:p w14:paraId="25FA1C09" w14:textId="416DC6C0" w:rsidR="00B607BD" w:rsidRPr="00A06F1E" w:rsidRDefault="00B607BD">
            <w:pPr>
              <w:pStyle w:val="TableColHeadingCenter"/>
              <w:spacing w:before="30" w:after="30"/>
            </w:pPr>
            <w:r w:rsidRPr="00A06F1E">
              <w:t xml:space="preserve"># </w:t>
            </w:r>
            <w:r w:rsidR="00FF1146" w:rsidRPr="00A06F1E">
              <w:t>included</w:t>
            </w:r>
            <w:r w:rsidRPr="00A06F1E">
              <w:t xml:space="preserve"> (2023)</w:t>
            </w:r>
          </w:p>
        </w:tc>
        <w:tc>
          <w:tcPr>
            <w:tcW w:w="2004" w:type="dxa"/>
          </w:tcPr>
          <w:p w14:paraId="07124603" w14:textId="77777777" w:rsidR="00B607BD" w:rsidRPr="00A06F1E" w:rsidRDefault="00B607BD">
            <w:pPr>
              <w:pStyle w:val="TableColHeadingCenter"/>
              <w:spacing w:before="30" w:after="30"/>
            </w:pPr>
            <w:r w:rsidRPr="00A06F1E">
              <w:t>2022</w:t>
            </w:r>
          </w:p>
        </w:tc>
        <w:tc>
          <w:tcPr>
            <w:tcW w:w="2003" w:type="dxa"/>
          </w:tcPr>
          <w:p w14:paraId="6314922B" w14:textId="77777777" w:rsidR="00B607BD" w:rsidRPr="00A06F1E" w:rsidRDefault="00B607BD">
            <w:pPr>
              <w:pStyle w:val="TableColHeadingCenter"/>
              <w:spacing w:before="30" w:after="30"/>
            </w:pPr>
            <w:r w:rsidRPr="00A06F1E">
              <w:t>2023</w:t>
            </w:r>
          </w:p>
        </w:tc>
        <w:tc>
          <w:tcPr>
            <w:tcW w:w="2011" w:type="dxa"/>
          </w:tcPr>
          <w:p w14:paraId="2738547D" w14:textId="77777777" w:rsidR="00B607BD" w:rsidRPr="00A06F1E" w:rsidRDefault="00B607BD">
            <w:pPr>
              <w:pStyle w:val="TableColHeadingCenter"/>
              <w:spacing w:before="30" w:after="30"/>
            </w:pPr>
            <w:r w:rsidRPr="00A06F1E">
              <w:t>State (2023)</w:t>
            </w:r>
          </w:p>
        </w:tc>
      </w:tr>
      <w:tr w:rsidR="00B607BD" w:rsidRPr="00A06F1E" w14:paraId="4525B1F5"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2F9E63F2"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3</w:t>
            </w:r>
          </w:p>
        </w:tc>
        <w:tc>
          <w:tcPr>
            <w:tcW w:w="2019" w:type="dxa"/>
            <w:vAlign w:val="center"/>
          </w:tcPr>
          <w:p w14:paraId="6A6D0444" w14:textId="2B6E8101"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4" w:type="dxa"/>
            <w:vAlign w:val="center"/>
          </w:tcPr>
          <w:p w14:paraId="73499E3C" w14:textId="4957C141"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3" w:type="dxa"/>
            <w:vAlign w:val="center"/>
          </w:tcPr>
          <w:p w14:paraId="6A485576" w14:textId="469DB5CD"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11" w:type="dxa"/>
            <w:vAlign w:val="bottom"/>
          </w:tcPr>
          <w:p w14:paraId="74037ED5" w14:textId="2B54557C"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r>
      <w:tr w:rsidR="00B607BD" w:rsidRPr="00A06F1E" w14:paraId="760D4CDA" w14:textId="77777777">
        <w:tc>
          <w:tcPr>
            <w:tcW w:w="1307" w:type="dxa"/>
          </w:tcPr>
          <w:p w14:paraId="5228D227"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4</w:t>
            </w:r>
          </w:p>
        </w:tc>
        <w:tc>
          <w:tcPr>
            <w:tcW w:w="2019" w:type="dxa"/>
            <w:vAlign w:val="center"/>
          </w:tcPr>
          <w:p w14:paraId="03130D52" w14:textId="5D6051FB"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4" w:type="dxa"/>
            <w:vAlign w:val="center"/>
          </w:tcPr>
          <w:p w14:paraId="0CF2AC87" w14:textId="53360584"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3" w:type="dxa"/>
            <w:vAlign w:val="center"/>
          </w:tcPr>
          <w:p w14:paraId="54D17130" w14:textId="5A7E720B"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11" w:type="dxa"/>
            <w:vAlign w:val="bottom"/>
          </w:tcPr>
          <w:p w14:paraId="01F02D7A"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49.4</w:t>
            </w:r>
          </w:p>
        </w:tc>
      </w:tr>
      <w:tr w:rsidR="00B607BD" w:rsidRPr="00A06F1E" w14:paraId="1A8057B1"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774A357D"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5</w:t>
            </w:r>
          </w:p>
        </w:tc>
        <w:tc>
          <w:tcPr>
            <w:tcW w:w="2019" w:type="dxa"/>
            <w:vAlign w:val="center"/>
          </w:tcPr>
          <w:p w14:paraId="74F2FBB6" w14:textId="3FE9E8B6"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4" w:type="dxa"/>
            <w:vAlign w:val="center"/>
          </w:tcPr>
          <w:p w14:paraId="28AF6656" w14:textId="0B916A5C"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3" w:type="dxa"/>
            <w:vAlign w:val="center"/>
          </w:tcPr>
          <w:p w14:paraId="6BF5B666" w14:textId="64A9EF89"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11" w:type="dxa"/>
            <w:vAlign w:val="bottom"/>
          </w:tcPr>
          <w:p w14:paraId="4C6359FF"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49.8</w:t>
            </w:r>
          </w:p>
        </w:tc>
      </w:tr>
      <w:tr w:rsidR="00B607BD" w:rsidRPr="00A06F1E" w14:paraId="0E47F4BE" w14:textId="77777777">
        <w:tc>
          <w:tcPr>
            <w:tcW w:w="1307" w:type="dxa"/>
          </w:tcPr>
          <w:p w14:paraId="48B0E2CA"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6</w:t>
            </w:r>
          </w:p>
        </w:tc>
        <w:tc>
          <w:tcPr>
            <w:tcW w:w="2019" w:type="dxa"/>
            <w:vAlign w:val="center"/>
          </w:tcPr>
          <w:p w14:paraId="44F92FC8" w14:textId="665749BC"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4" w:type="dxa"/>
            <w:vAlign w:val="center"/>
          </w:tcPr>
          <w:p w14:paraId="26AAE1AD" w14:textId="3DB4B1E0"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03" w:type="dxa"/>
            <w:vAlign w:val="center"/>
          </w:tcPr>
          <w:p w14:paraId="04A07168" w14:textId="5818AC86" w:rsidR="00B607BD" w:rsidRPr="00A06F1E" w:rsidRDefault="00805266">
            <w:pPr>
              <w:pStyle w:val="TableTextCentered"/>
              <w:spacing w:before="30" w:after="30"/>
              <w:rPr>
                <w:rFonts w:ascii="Franklin Gothic Book" w:hAnsi="Franklin Gothic Book"/>
              </w:rPr>
            </w:pPr>
            <w:r w:rsidRPr="00A06F1E">
              <w:rPr>
                <w:rFonts w:ascii="Franklin Gothic Book" w:hAnsi="Franklin Gothic Book" w:cs="Calibri"/>
              </w:rPr>
              <w:t>—</w:t>
            </w:r>
          </w:p>
        </w:tc>
        <w:tc>
          <w:tcPr>
            <w:tcW w:w="2011" w:type="dxa"/>
            <w:vAlign w:val="bottom"/>
          </w:tcPr>
          <w:p w14:paraId="1A2B682B"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49.9</w:t>
            </w:r>
          </w:p>
        </w:tc>
      </w:tr>
      <w:tr w:rsidR="00B607BD" w:rsidRPr="00A06F1E" w14:paraId="1751C98A"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7984DC8F"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7</w:t>
            </w:r>
          </w:p>
        </w:tc>
        <w:tc>
          <w:tcPr>
            <w:tcW w:w="2019" w:type="dxa"/>
            <w:vAlign w:val="center"/>
          </w:tcPr>
          <w:p w14:paraId="790E5B59"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81</w:t>
            </w:r>
          </w:p>
        </w:tc>
        <w:tc>
          <w:tcPr>
            <w:tcW w:w="2004" w:type="dxa"/>
            <w:vAlign w:val="center"/>
          </w:tcPr>
          <w:p w14:paraId="36D359D9"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56.7</w:t>
            </w:r>
          </w:p>
        </w:tc>
        <w:tc>
          <w:tcPr>
            <w:tcW w:w="2003" w:type="dxa"/>
            <w:vAlign w:val="center"/>
          </w:tcPr>
          <w:p w14:paraId="652A9EB0"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47.2</w:t>
            </w:r>
          </w:p>
        </w:tc>
        <w:tc>
          <w:tcPr>
            <w:tcW w:w="2011" w:type="dxa"/>
            <w:vAlign w:val="bottom"/>
          </w:tcPr>
          <w:p w14:paraId="2F16C35E"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49.9</w:t>
            </w:r>
          </w:p>
        </w:tc>
      </w:tr>
      <w:tr w:rsidR="00B607BD" w:rsidRPr="00A06F1E" w14:paraId="3AB26C13" w14:textId="77777777">
        <w:tc>
          <w:tcPr>
            <w:tcW w:w="1307" w:type="dxa"/>
          </w:tcPr>
          <w:p w14:paraId="37AD6530"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8</w:t>
            </w:r>
          </w:p>
        </w:tc>
        <w:tc>
          <w:tcPr>
            <w:tcW w:w="2019" w:type="dxa"/>
            <w:vAlign w:val="center"/>
          </w:tcPr>
          <w:p w14:paraId="120FA2CE"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89</w:t>
            </w:r>
          </w:p>
        </w:tc>
        <w:tc>
          <w:tcPr>
            <w:tcW w:w="2004" w:type="dxa"/>
            <w:vAlign w:val="center"/>
          </w:tcPr>
          <w:p w14:paraId="7CE56D6F"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41.8</w:t>
            </w:r>
          </w:p>
        </w:tc>
        <w:tc>
          <w:tcPr>
            <w:tcW w:w="2003" w:type="dxa"/>
            <w:vAlign w:val="center"/>
          </w:tcPr>
          <w:p w14:paraId="08A428CC"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50.5</w:t>
            </w:r>
          </w:p>
        </w:tc>
        <w:tc>
          <w:tcPr>
            <w:tcW w:w="2011" w:type="dxa"/>
            <w:vAlign w:val="bottom"/>
          </w:tcPr>
          <w:p w14:paraId="1CBDDC20"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49.7</w:t>
            </w:r>
          </w:p>
        </w:tc>
      </w:tr>
      <w:tr w:rsidR="00B607BD" w:rsidRPr="00A06F1E" w14:paraId="7AD45FCA"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69E8F46F"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3-8</w:t>
            </w:r>
          </w:p>
        </w:tc>
        <w:tc>
          <w:tcPr>
            <w:tcW w:w="2019" w:type="dxa"/>
            <w:vAlign w:val="center"/>
          </w:tcPr>
          <w:p w14:paraId="28F636DE"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170</w:t>
            </w:r>
          </w:p>
        </w:tc>
        <w:tc>
          <w:tcPr>
            <w:tcW w:w="2004" w:type="dxa"/>
            <w:vAlign w:val="center"/>
          </w:tcPr>
          <w:p w14:paraId="08A3B5BF"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48.1</w:t>
            </w:r>
          </w:p>
        </w:tc>
        <w:tc>
          <w:tcPr>
            <w:tcW w:w="2003" w:type="dxa"/>
            <w:vAlign w:val="center"/>
          </w:tcPr>
          <w:p w14:paraId="0B8024BA"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48.9</w:t>
            </w:r>
          </w:p>
        </w:tc>
        <w:tc>
          <w:tcPr>
            <w:tcW w:w="2011" w:type="dxa"/>
            <w:vAlign w:val="bottom"/>
          </w:tcPr>
          <w:p w14:paraId="4E0D99DC"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49.7</w:t>
            </w:r>
          </w:p>
        </w:tc>
      </w:tr>
      <w:tr w:rsidR="00B607BD" w:rsidRPr="00A06F1E" w14:paraId="572D5681" w14:textId="77777777">
        <w:tc>
          <w:tcPr>
            <w:tcW w:w="1307" w:type="dxa"/>
          </w:tcPr>
          <w:p w14:paraId="406BC48A"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rPr>
              <w:t>10</w:t>
            </w:r>
          </w:p>
        </w:tc>
        <w:tc>
          <w:tcPr>
            <w:tcW w:w="2019" w:type="dxa"/>
            <w:vAlign w:val="center"/>
          </w:tcPr>
          <w:p w14:paraId="015FBB3A"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65</w:t>
            </w:r>
          </w:p>
        </w:tc>
        <w:tc>
          <w:tcPr>
            <w:tcW w:w="2004" w:type="dxa"/>
            <w:vAlign w:val="center"/>
          </w:tcPr>
          <w:p w14:paraId="509E526C"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30.7</w:t>
            </w:r>
          </w:p>
        </w:tc>
        <w:tc>
          <w:tcPr>
            <w:tcW w:w="2003" w:type="dxa"/>
            <w:vAlign w:val="center"/>
          </w:tcPr>
          <w:p w14:paraId="64CCD578"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36.2</w:t>
            </w:r>
          </w:p>
        </w:tc>
        <w:tc>
          <w:tcPr>
            <w:tcW w:w="2011" w:type="dxa"/>
            <w:vAlign w:val="bottom"/>
          </w:tcPr>
          <w:p w14:paraId="212658E7" w14:textId="77777777" w:rsidR="00B607BD" w:rsidRPr="00A06F1E" w:rsidRDefault="00B607BD">
            <w:pPr>
              <w:pStyle w:val="TableTextCentered"/>
              <w:spacing w:before="30" w:after="30"/>
              <w:rPr>
                <w:rFonts w:ascii="Franklin Gothic Book" w:hAnsi="Franklin Gothic Book"/>
              </w:rPr>
            </w:pPr>
            <w:r w:rsidRPr="00A06F1E">
              <w:rPr>
                <w:rFonts w:ascii="Franklin Gothic Book" w:hAnsi="Franklin Gothic Book" w:cs="Calibri"/>
              </w:rPr>
              <w:t>49.5</w:t>
            </w:r>
          </w:p>
        </w:tc>
      </w:tr>
    </w:tbl>
    <w:p w14:paraId="015C82BC" w14:textId="77777777" w:rsidR="00B607BD" w:rsidRPr="00A06F1E" w:rsidRDefault="00B607BD" w:rsidP="00B607BD">
      <w:pPr>
        <w:spacing w:line="240" w:lineRule="auto"/>
        <w:rPr>
          <w:rFonts w:ascii="Franklin Gothic Book" w:hAnsi="Franklin Gothic Book"/>
          <w:sz w:val="20"/>
          <w:szCs w:val="20"/>
        </w:rPr>
      </w:pPr>
    </w:p>
    <w:p w14:paraId="126BCC33" w14:textId="77777777" w:rsidR="00F3532E" w:rsidRPr="00A06F1E" w:rsidRDefault="00F3532E">
      <w:pPr>
        <w:spacing w:line="240" w:lineRule="auto"/>
        <w:rPr>
          <w:rFonts w:ascii="Franklin Gothic Demi" w:hAnsi="Franklin Gothic Demi"/>
        </w:rPr>
      </w:pPr>
      <w:bookmarkStart w:id="308" w:name="_Toc170701979"/>
      <w:r w:rsidRPr="00A06F1E">
        <w:br w:type="page"/>
      </w:r>
    </w:p>
    <w:p w14:paraId="5B749C59" w14:textId="0AB60ADF" w:rsidR="00B607BD" w:rsidRPr="00A06F1E" w:rsidRDefault="00B607BD" w:rsidP="00B7722D">
      <w:pPr>
        <w:pStyle w:val="TabletitleSectionE"/>
      </w:pPr>
      <w:bookmarkStart w:id="309" w:name="_Toc171685816"/>
      <w:r w:rsidRPr="00A06F1E">
        <w:lastRenderedPageBreak/>
        <w:t>Table E15</w:t>
      </w:r>
      <w:r w:rsidR="003C78E9">
        <w:t>a</w:t>
      </w:r>
      <w:r w:rsidR="00CE00AC" w:rsidRPr="00A06F1E">
        <w:t xml:space="preserve">. </w:t>
      </w:r>
      <w:r w:rsidR="00CF4F71">
        <w:t>Fisher Hill</w:t>
      </w:r>
      <w:r w:rsidR="00F3532E" w:rsidRPr="00A06F1E">
        <w:t>:</w:t>
      </w:r>
      <w:r w:rsidRPr="00A06F1E">
        <w:t xml:space="preserve"> Next-Generation MCAS Mathematics Mean </w:t>
      </w:r>
      <w:r w:rsidR="003A7C1C" w:rsidRPr="00A06F1E">
        <w:t>SGP</w:t>
      </w:r>
      <w:r w:rsidRPr="00A06F1E">
        <w:t xml:space="preserve"> by Grade, 2022-2023</w:t>
      </w:r>
      <w:bookmarkEnd w:id="308"/>
      <w:bookmarkEnd w:id="309"/>
    </w:p>
    <w:tbl>
      <w:tblPr>
        <w:tblStyle w:val="MSVTable1"/>
        <w:tblW w:w="5000" w:type="pct"/>
        <w:tblLook w:val="0420" w:firstRow="1" w:lastRow="0" w:firstColumn="0" w:lastColumn="0" w:noHBand="0" w:noVBand="1"/>
      </w:tblPr>
      <w:tblGrid>
        <w:gridCol w:w="1307"/>
        <w:gridCol w:w="2019"/>
        <w:gridCol w:w="2004"/>
        <w:gridCol w:w="2003"/>
        <w:gridCol w:w="2011"/>
      </w:tblGrid>
      <w:tr w:rsidR="00B607BD" w:rsidRPr="00A06F1E" w14:paraId="3EF14DB5"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239EE76A" w14:textId="77777777" w:rsidR="00B607BD" w:rsidRPr="00DF7902" w:rsidRDefault="00B607BD">
            <w:pPr>
              <w:pStyle w:val="TableColHeadingCenter"/>
              <w:keepNext/>
              <w:keepLines/>
            </w:pPr>
            <w:r w:rsidRPr="00DF7902">
              <w:t>Grade</w:t>
            </w:r>
          </w:p>
        </w:tc>
        <w:tc>
          <w:tcPr>
            <w:tcW w:w="2019" w:type="dxa"/>
          </w:tcPr>
          <w:p w14:paraId="22208242" w14:textId="73253793" w:rsidR="00B607BD" w:rsidRPr="00A06F1E" w:rsidRDefault="00B607BD">
            <w:pPr>
              <w:pStyle w:val="TableColHeadingCenter"/>
            </w:pPr>
            <w:r w:rsidRPr="00A06F1E">
              <w:t xml:space="preserve"># </w:t>
            </w:r>
            <w:r w:rsidR="00FF1146" w:rsidRPr="00A06F1E">
              <w:t>included</w:t>
            </w:r>
            <w:r w:rsidRPr="00A06F1E">
              <w:t xml:space="preserve"> (2023)</w:t>
            </w:r>
          </w:p>
        </w:tc>
        <w:tc>
          <w:tcPr>
            <w:tcW w:w="2004" w:type="dxa"/>
          </w:tcPr>
          <w:p w14:paraId="5431F305" w14:textId="77777777" w:rsidR="00B607BD" w:rsidRPr="00A06F1E" w:rsidRDefault="00B607BD">
            <w:pPr>
              <w:pStyle w:val="TableColHeadingCenter"/>
            </w:pPr>
            <w:r w:rsidRPr="00A06F1E">
              <w:t>2022</w:t>
            </w:r>
          </w:p>
        </w:tc>
        <w:tc>
          <w:tcPr>
            <w:tcW w:w="2003" w:type="dxa"/>
          </w:tcPr>
          <w:p w14:paraId="1B44E6E1" w14:textId="77777777" w:rsidR="00B607BD" w:rsidRPr="00A06F1E" w:rsidRDefault="00B607BD">
            <w:pPr>
              <w:pStyle w:val="TableColHeadingCenter"/>
            </w:pPr>
            <w:r w:rsidRPr="00A06F1E">
              <w:t>2023</w:t>
            </w:r>
          </w:p>
        </w:tc>
        <w:tc>
          <w:tcPr>
            <w:tcW w:w="2011" w:type="dxa"/>
          </w:tcPr>
          <w:p w14:paraId="3D59F3F8" w14:textId="77777777" w:rsidR="00B607BD" w:rsidRPr="00A06F1E" w:rsidRDefault="00B607BD">
            <w:pPr>
              <w:pStyle w:val="TableColHeadingCenter"/>
            </w:pPr>
            <w:r w:rsidRPr="00A06F1E">
              <w:t>State (2023)</w:t>
            </w:r>
          </w:p>
        </w:tc>
      </w:tr>
      <w:tr w:rsidR="00B607BD" w:rsidRPr="00A06F1E" w14:paraId="0A704F4E"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4A3EDFB6" w14:textId="77777777" w:rsidR="00B607BD" w:rsidRPr="00A06F1E" w:rsidRDefault="00B607BD">
            <w:pPr>
              <w:pStyle w:val="TableTextCentered"/>
              <w:keepNext/>
              <w:keepLines/>
              <w:rPr>
                <w:rFonts w:ascii="Franklin Gothic Book" w:hAnsi="Franklin Gothic Book"/>
              </w:rPr>
            </w:pPr>
            <w:r w:rsidRPr="00A06F1E">
              <w:rPr>
                <w:rFonts w:ascii="Franklin Gothic Book" w:hAnsi="Franklin Gothic Book"/>
              </w:rPr>
              <w:t>3</w:t>
            </w:r>
          </w:p>
        </w:tc>
        <w:tc>
          <w:tcPr>
            <w:tcW w:w="2019" w:type="dxa"/>
            <w:vAlign w:val="center"/>
          </w:tcPr>
          <w:p w14:paraId="6919237B" w14:textId="75D1EDFF"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4" w:type="dxa"/>
            <w:vAlign w:val="center"/>
          </w:tcPr>
          <w:p w14:paraId="047301C6" w14:textId="11A4498C"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3" w:type="dxa"/>
            <w:vAlign w:val="center"/>
          </w:tcPr>
          <w:p w14:paraId="4B17C579" w14:textId="66A647B7"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11" w:type="dxa"/>
            <w:vAlign w:val="bottom"/>
          </w:tcPr>
          <w:p w14:paraId="69FF83CD" w14:textId="141A18BE"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r>
      <w:tr w:rsidR="00B607BD" w:rsidRPr="00A06F1E" w14:paraId="4B065F1C" w14:textId="77777777">
        <w:tc>
          <w:tcPr>
            <w:tcW w:w="1307" w:type="dxa"/>
          </w:tcPr>
          <w:p w14:paraId="119F122B" w14:textId="77777777" w:rsidR="00B607BD" w:rsidRPr="00A06F1E" w:rsidRDefault="00B607BD">
            <w:pPr>
              <w:pStyle w:val="TableTextCentered"/>
              <w:keepNext/>
              <w:keepLines/>
              <w:rPr>
                <w:rFonts w:ascii="Franklin Gothic Book" w:hAnsi="Franklin Gothic Book"/>
              </w:rPr>
            </w:pPr>
            <w:r w:rsidRPr="00A06F1E">
              <w:rPr>
                <w:rFonts w:ascii="Franklin Gothic Book" w:hAnsi="Franklin Gothic Book"/>
              </w:rPr>
              <w:t>4</w:t>
            </w:r>
          </w:p>
        </w:tc>
        <w:tc>
          <w:tcPr>
            <w:tcW w:w="2019" w:type="dxa"/>
            <w:vAlign w:val="center"/>
          </w:tcPr>
          <w:p w14:paraId="1E88C341"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58</w:t>
            </w:r>
          </w:p>
        </w:tc>
        <w:tc>
          <w:tcPr>
            <w:tcW w:w="2004" w:type="dxa"/>
            <w:vAlign w:val="center"/>
          </w:tcPr>
          <w:p w14:paraId="7FB760F6"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36.0</w:t>
            </w:r>
          </w:p>
        </w:tc>
        <w:tc>
          <w:tcPr>
            <w:tcW w:w="2003" w:type="dxa"/>
            <w:vAlign w:val="center"/>
          </w:tcPr>
          <w:p w14:paraId="390FC118"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39.2</w:t>
            </w:r>
          </w:p>
        </w:tc>
        <w:tc>
          <w:tcPr>
            <w:tcW w:w="2011" w:type="dxa"/>
            <w:vAlign w:val="bottom"/>
          </w:tcPr>
          <w:p w14:paraId="2C6F75C9"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49.6</w:t>
            </w:r>
          </w:p>
        </w:tc>
      </w:tr>
      <w:tr w:rsidR="00B607BD" w:rsidRPr="00A06F1E" w14:paraId="2C1A217B"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4E7B8CC3" w14:textId="77777777" w:rsidR="00B607BD" w:rsidRPr="00A06F1E" w:rsidRDefault="00B607BD">
            <w:pPr>
              <w:pStyle w:val="TableTextCentered"/>
              <w:rPr>
                <w:rFonts w:ascii="Franklin Gothic Book" w:hAnsi="Franklin Gothic Book"/>
              </w:rPr>
            </w:pPr>
            <w:r w:rsidRPr="00A06F1E">
              <w:rPr>
                <w:rFonts w:ascii="Franklin Gothic Book" w:hAnsi="Franklin Gothic Book"/>
              </w:rPr>
              <w:t>5</w:t>
            </w:r>
          </w:p>
        </w:tc>
        <w:tc>
          <w:tcPr>
            <w:tcW w:w="2019" w:type="dxa"/>
            <w:vAlign w:val="center"/>
          </w:tcPr>
          <w:p w14:paraId="74D3FBA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64</w:t>
            </w:r>
          </w:p>
        </w:tc>
        <w:tc>
          <w:tcPr>
            <w:tcW w:w="2004" w:type="dxa"/>
            <w:vAlign w:val="center"/>
          </w:tcPr>
          <w:p w14:paraId="0369A48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40.6</w:t>
            </w:r>
          </w:p>
        </w:tc>
        <w:tc>
          <w:tcPr>
            <w:tcW w:w="2003" w:type="dxa"/>
            <w:vAlign w:val="center"/>
          </w:tcPr>
          <w:p w14:paraId="06D8F8A8"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53.1</w:t>
            </w:r>
          </w:p>
        </w:tc>
        <w:tc>
          <w:tcPr>
            <w:tcW w:w="2011" w:type="dxa"/>
            <w:vAlign w:val="bottom"/>
          </w:tcPr>
          <w:p w14:paraId="4CC7E7F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50.0</w:t>
            </w:r>
          </w:p>
        </w:tc>
      </w:tr>
      <w:tr w:rsidR="00B607BD" w:rsidRPr="00A06F1E" w14:paraId="41B7E43E" w14:textId="77777777">
        <w:tc>
          <w:tcPr>
            <w:tcW w:w="1307" w:type="dxa"/>
          </w:tcPr>
          <w:p w14:paraId="01833B1D" w14:textId="77777777" w:rsidR="00B607BD" w:rsidRPr="00A06F1E" w:rsidRDefault="00B607BD">
            <w:pPr>
              <w:pStyle w:val="TableTextCentered"/>
              <w:rPr>
                <w:rFonts w:ascii="Franklin Gothic Book" w:hAnsi="Franklin Gothic Book"/>
              </w:rPr>
            </w:pPr>
            <w:r w:rsidRPr="00A06F1E">
              <w:rPr>
                <w:rFonts w:ascii="Franklin Gothic Book" w:hAnsi="Franklin Gothic Book"/>
              </w:rPr>
              <w:t>6</w:t>
            </w:r>
          </w:p>
        </w:tc>
        <w:tc>
          <w:tcPr>
            <w:tcW w:w="2019" w:type="dxa"/>
            <w:vAlign w:val="center"/>
          </w:tcPr>
          <w:p w14:paraId="227F6954"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65</w:t>
            </w:r>
          </w:p>
        </w:tc>
        <w:tc>
          <w:tcPr>
            <w:tcW w:w="2004" w:type="dxa"/>
            <w:vAlign w:val="center"/>
          </w:tcPr>
          <w:p w14:paraId="0CF8924A"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44.2</w:t>
            </w:r>
          </w:p>
        </w:tc>
        <w:tc>
          <w:tcPr>
            <w:tcW w:w="2003" w:type="dxa"/>
            <w:vAlign w:val="center"/>
          </w:tcPr>
          <w:p w14:paraId="3710C689"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60.7</w:t>
            </w:r>
          </w:p>
        </w:tc>
        <w:tc>
          <w:tcPr>
            <w:tcW w:w="2011" w:type="dxa"/>
            <w:vAlign w:val="bottom"/>
          </w:tcPr>
          <w:p w14:paraId="199D46F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49.9</w:t>
            </w:r>
          </w:p>
        </w:tc>
      </w:tr>
      <w:tr w:rsidR="00B607BD" w:rsidRPr="00A06F1E" w14:paraId="6E4BF481"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46BC040D" w14:textId="77777777" w:rsidR="00B607BD" w:rsidRPr="00A06F1E" w:rsidRDefault="00B607BD">
            <w:pPr>
              <w:pStyle w:val="TableTextCentered"/>
              <w:rPr>
                <w:rFonts w:ascii="Franklin Gothic Book" w:hAnsi="Franklin Gothic Book"/>
              </w:rPr>
            </w:pPr>
            <w:r w:rsidRPr="00A06F1E">
              <w:rPr>
                <w:rFonts w:ascii="Franklin Gothic Book" w:hAnsi="Franklin Gothic Book"/>
              </w:rPr>
              <w:t>7</w:t>
            </w:r>
          </w:p>
        </w:tc>
        <w:tc>
          <w:tcPr>
            <w:tcW w:w="2019" w:type="dxa"/>
            <w:vAlign w:val="center"/>
          </w:tcPr>
          <w:p w14:paraId="35F44548" w14:textId="4833DBA8"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4" w:type="dxa"/>
            <w:vAlign w:val="center"/>
          </w:tcPr>
          <w:p w14:paraId="7712BDD5" w14:textId="087EA370"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3" w:type="dxa"/>
            <w:vAlign w:val="center"/>
          </w:tcPr>
          <w:p w14:paraId="25099D0D" w14:textId="7D50A646"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11" w:type="dxa"/>
            <w:vAlign w:val="bottom"/>
          </w:tcPr>
          <w:p w14:paraId="7CDABB2F"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49.9</w:t>
            </w:r>
          </w:p>
        </w:tc>
      </w:tr>
      <w:tr w:rsidR="00B607BD" w:rsidRPr="00A06F1E" w14:paraId="4B3D7490" w14:textId="77777777">
        <w:tc>
          <w:tcPr>
            <w:tcW w:w="1307" w:type="dxa"/>
          </w:tcPr>
          <w:p w14:paraId="72EFF192" w14:textId="77777777" w:rsidR="00B607BD" w:rsidRPr="00A06F1E" w:rsidRDefault="00B607BD">
            <w:pPr>
              <w:pStyle w:val="TableTextCentered"/>
              <w:rPr>
                <w:rFonts w:ascii="Franklin Gothic Book" w:hAnsi="Franklin Gothic Book"/>
              </w:rPr>
            </w:pPr>
            <w:r w:rsidRPr="00A06F1E">
              <w:rPr>
                <w:rFonts w:ascii="Franklin Gothic Book" w:hAnsi="Franklin Gothic Book"/>
              </w:rPr>
              <w:t>8</w:t>
            </w:r>
          </w:p>
        </w:tc>
        <w:tc>
          <w:tcPr>
            <w:tcW w:w="2019" w:type="dxa"/>
            <w:vAlign w:val="center"/>
          </w:tcPr>
          <w:p w14:paraId="7A135FDA" w14:textId="1A07BA2D"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4" w:type="dxa"/>
            <w:vAlign w:val="center"/>
          </w:tcPr>
          <w:p w14:paraId="54512B1A" w14:textId="357E15CF"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3" w:type="dxa"/>
            <w:vAlign w:val="center"/>
          </w:tcPr>
          <w:p w14:paraId="48EF567E" w14:textId="41176849"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11" w:type="dxa"/>
            <w:vAlign w:val="bottom"/>
          </w:tcPr>
          <w:p w14:paraId="20D5F5A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49.7</w:t>
            </w:r>
          </w:p>
        </w:tc>
      </w:tr>
      <w:tr w:rsidR="00B607BD" w:rsidRPr="00A06F1E" w14:paraId="7CC64D5B" w14:textId="77777777">
        <w:trPr>
          <w:cnfStyle w:val="000000100000" w:firstRow="0" w:lastRow="0" w:firstColumn="0" w:lastColumn="0" w:oddVBand="0" w:evenVBand="0" w:oddHBand="1" w:evenHBand="0" w:firstRowFirstColumn="0" w:firstRowLastColumn="0" w:lastRowFirstColumn="0" w:lastRowLastColumn="0"/>
          <w:trHeight w:val="80"/>
        </w:trPr>
        <w:tc>
          <w:tcPr>
            <w:tcW w:w="1307" w:type="dxa"/>
          </w:tcPr>
          <w:p w14:paraId="0FAD85F1" w14:textId="77777777" w:rsidR="00B607BD" w:rsidRPr="00A06F1E" w:rsidRDefault="00B607BD">
            <w:pPr>
              <w:pStyle w:val="TableTextCentered"/>
              <w:rPr>
                <w:rFonts w:ascii="Franklin Gothic Book" w:hAnsi="Franklin Gothic Book"/>
              </w:rPr>
            </w:pPr>
            <w:r w:rsidRPr="00A06F1E">
              <w:rPr>
                <w:rFonts w:ascii="Franklin Gothic Book" w:hAnsi="Franklin Gothic Book"/>
              </w:rPr>
              <w:t>3-8</w:t>
            </w:r>
          </w:p>
        </w:tc>
        <w:tc>
          <w:tcPr>
            <w:tcW w:w="2019" w:type="dxa"/>
            <w:vAlign w:val="center"/>
          </w:tcPr>
          <w:p w14:paraId="0EF828EC"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187</w:t>
            </w:r>
          </w:p>
        </w:tc>
        <w:tc>
          <w:tcPr>
            <w:tcW w:w="2004" w:type="dxa"/>
            <w:vAlign w:val="center"/>
          </w:tcPr>
          <w:p w14:paraId="6146AC51"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40.2</w:t>
            </w:r>
          </w:p>
        </w:tc>
        <w:tc>
          <w:tcPr>
            <w:tcW w:w="2003" w:type="dxa"/>
            <w:vAlign w:val="center"/>
          </w:tcPr>
          <w:p w14:paraId="6F4D7D4F"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51.4</w:t>
            </w:r>
          </w:p>
        </w:tc>
        <w:tc>
          <w:tcPr>
            <w:tcW w:w="2011" w:type="dxa"/>
            <w:vAlign w:val="bottom"/>
          </w:tcPr>
          <w:p w14:paraId="0ACD306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49.8</w:t>
            </w:r>
          </w:p>
        </w:tc>
      </w:tr>
      <w:tr w:rsidR="00B607BD" w:rsidRPr="00A06F1E" w14:paraId="61939003" w14:textId="77777777">
        <w:tc>
          <w:tcPr>
            <w:tcW w:w="1307" w:type="dxa"/>
          </w:tcPr>
          <w:p w14:paraId="5E92A4E0" w14:textId="77777777" w:rsidR="00B607BD" w:rsidRPr="00A06F1E" w:rsidRDefault="00B607BD">
            <w:pPr>
              <w:pStyle w:val="TableTextCentered"/>
              <w:rPr>
                <w:rFonts w:ascii="Franklin Gothic Book" w:hAnsi="Franklin Gothic Book"/>
              </w:rPr>
            </w:pPr>
            <w:r w:rsidRPr="00A06F1E">
              <w:rPr>
                <w:rFonts w:ascii="Franklin Gothic Book" w:hAnsi="Franklin Gothic Book"/>
              </w:rPr>
              <w:t>10</w:t>
            </w:r>
          </w:p>
        </w:tc>
        <w:tc>
          <w:tcPr>
            <w:tcW w:w="2019" w:type="dxa"/>
            <w:vAlign w:val="center"/>
          </w:tcPr>
          <w:p w14:paraId="3ACC194A" w14:textId="3A089A4D"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4" w:type="dxa"/>
            <w:vAlign w:val="center"/>
          </w:tcPr>
          <w:p w14:paraId="42F305A6" w14:textId="77145762"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3" w:type="dxa"/>
            <w:vAlign w:val="center"/>
          </w:tcPr>
          <w:p w14:paraId="002C7C03" w14:textId="62693B84"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11" w:type="dxa"/>
            <w:vAlign w:val="bottom"/>
          </w:tcPr>
          <w:p w14:paraId="459E363D"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49.6</w:t>
            </w:r>
          </w:p>
        </w:tc>
      </w:tr>
    </w:tbl>
    <w:p w14:paraId="670BC189" w14:textId="0A8BEABE" w:rsidR="00B607BD" w:rsidRPr="00A06F1E" w:rsidRDefault="00B607BD" w:rsidP="00B7722D">
      <w:pPr>
        <w:pStyle w:val="TabletitleSectionE"/>
      </w:pPr>
      <w:bookmarkStart w:id="310" w:name="_Toc170701980"/>
      <w:bookmarkStart w:id="311" w:name="_Toc171685817"/>
      <w:r w:rsidRPr="00A06F1E">
        <w:t>Table E15</w:t>
      </w:r>
      <w:r w:rsidR="003C78E9">
        <w:t>b</w:t>
      </w:r>
      <w:r w:rsidR="007C4E08" w:rsidRPr="00A06F1E">
        <w:t xml:space="preserve">. </w:t>
      </w:r>
      <w:proofErr w:type="spellStart"/>
      <w:r w:rsidR="00652B48">
        <w:t>Petersham</w:t>
      </w:r>
      <w:proofErr w:type="spellEnd"/>
      <w:r w:rsidR="00652B48">
        <w:t xml:space="preserve"> Center</w:t>
      </w:r>
      <w:r w:rsidR="00F3532E" w:rsidRPr="00A06F1E">
        <w:t>:</w:t>
      </w:r>
      <w:r w:rsidRPr="00A06F1E">
        <w:t xml:space="preserve"> Next-Generation MCAS Mathematics Mean </w:t>
      </w:r>
      <w:r w:rsidR="003A7C1C" w:rsidRPr="00A06F1E">
        <w:t>SGP</w:t>
      </w:r>
      <w:r w:rsidRPr="00A06F1E">
        <w:t xml:space="preserve"> by Grade, 2022-2023</w:t>
      </w:r>
      <w:bookmarkEnd w:id="310"/>
      <w:bookmarkEnd w:id="311"/>
    </w:p>
    <w:tbl>
      <w:tblPr>
        <w:tblStyle w:val="MSVTable1"/>
        <w:tblW w:w="5000" w:type="pct"/>
        <w:tblLook w:val="0420" w:firstRow="1" w:lastRow="0" w:firstColumn="0" w:lastColumn="0" w:noHBand="0" w:noVBand="1"/>
      </w:tblPr>
      <w:tblGrid>
        <w:gridCol w:w="1307"/>
        <w:gridCol w:w="2019"/>
        <w:gridCol w:w="2004"/>
        <w:gridCol w:w="2003"/>
        <w:gridCol w:w="2011"/>
      </w:tblGrid>
      <w:tr w:rsidR="00B607BD" w:rsidRPr="00A06F1E" w14:paraId="710AAD35"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490C923D" w14:textId="77777777" w:rsidR="00B607BD" w:rsidRPr="00A06F1E" w:rsidRDefault="00B607BD">
            <w:pPr>
              <w:pStyle w:val="TableColHeadingCenter"/>
              <w:keepNext/>
              <w:keepLines/>
            </w:pPr>
            <w:r w:rsidRPr="00A06F1E">
              <w:t>Grade</w:t>
            </w:r>
          </w:p>
        </w:tc>
        <w:tc>
          <w:tcPr>
            <w:tcW w:w="2019" w:type="dxa"/>
          </w:tcPr>
          <w:p w14:paraId="02531677" w14:textId="427344C3" w:rsidR="00B607BD" w:rsidRPr="00A06F1E" w:rsidRDefault="00B607BD">
            <w:pPr>
              <w:pStyle w:val="TableColHeadingCenter"/>
            </w:pPr>
            <w:r w:rsidRPr="00A06F1E">
              <w:t xml:space="preserve"># </w:t>
            </w:r>
            <w:r w:rsidR="00FF1146" w:rsidRPr="00A06F1E">
              <w:t>included</w:t>
            </w:r>
            <w:r w:rsidRPr="00A06F1E">
              <w:t xml:space="preserve"> (2023)</w:t>
            </w:r>
          </w:p>
        </w:tc>
        <w:tc>
          <w:tcPr>
            <w:tcW w:w="2004" w:type="dxa"/>
          </w:tcPr>
          <w:p w14:paraId="489180B6" w14:textId="77777777" w:rsidR="00B607BD" w:rsidRPr="00A06F1E" w:rsidRDefault="00B607BD">
            <w:pPr>
              <w:pStyle w:val="TableColHeadingCenter"/>
            </w:pPr>
            <w:r w:rsidRPr="00A06F1E">
              <w:t>2022</w:t>
            </w:r>
          </w:p>
        </w:tc>
        <w:tc>
          <w:tcPr>
            <w:tcW w:w="2003" w:type="dxa"/>
          </w:tcPr>
          <w:p w14:paraId="1103A9C7" w14:textId="77777777" w:rsidR="00B607BD" w:rsidRPr="00A06F1E" w:rsidRDefault="00B607BD">
            <w:pPr>
              <w:pStyle w:val="TableColHeadingCenter"/>
            </w:pPr>
            <w:r w:rsidRPr="00A06F1E">
              <w:t>2023</w:t>
            </w:r>
          </w:p>
        </w:tc>
        <w:tc>
          <w:tcPr>
            <w:tcW w:w="2011" w:type="dxa"/>
          </w:tcPr>
          <w:p w14:paraId="5494F1BC" w14:textId="77777777" w:rsidR="00B607BD" w:rsidRPr="00A06F1E" w:rsidRDefault="00B607BD">
            <w:pPr>
              <w:pStyle w:val="TableColHeadingCenter"/>
            </w:pPr>
            <w:r w:rsidRPr="00A06F1E">
              <w:t>State (2023)</w:t>
            </w:r>
          </w:p>
        </w:tc>
      </w:tr>
      <w:tr w:rsidR="00B607BD" w:rsidRPr="00A06F1E" w14:paraId="000DBB28"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41A3CA62" w14:textId="77777777" w:rsidR="00B607BD" w:rsidRPr="00A06F1E" w:rsidRDefault="00B607BD">
            <w:pPr>
              <w:pStyle w:val="TableTextCentered"/>
              <w:keepNext/>
              <w:keepLines/>
              <w:rPr>
                <w:rFonts w:ascii="Franklin Gothic Book" w:hAnsi="Franklin Gothic Book"/>
              </w:rPr>
            </w:pPr>
            <w:r w:rsidRPr="00A06F1E">
              <w:rPr>
                <w:rFonts w:ascii="Franklin Gothic Book" w:hAnsi="Franklin Gothic Book"/>
              </w:rPr>
              <w:t>3</w:t>
            </w:r>
          </w:p>
        </w:tc>
        <w:tc>
          <w:tcPr>
            <w:tcW w:w="2019" w:type="dxa"/>
            <w:vAlign w:val="center"/>
          </w:tcPr>
          <w:p w14:paraId="4397DC74" w14:textId="5B21CA93"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4" w:type="dxa"/>
            <w:vAlign w:val="center"/>
          </w:tcPr>
          <w:p w14:paraId="33F13997" w14:textId="3A654C29"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3" w:type="dxa"/>
            <w:vAlign w:val="center"/>
          </w:tcPr>
          <w:p w14:paraId="483B1B77" w14:textId="5B2783CE"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11" w:type="dxa"/>
            <w:vAlign w:val="bottom"/>
          </w:tcPr>
          <w:p w14:paraId="1E997442" w14:textId="15F8578C"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r>
      <w:tr w:rsidR="00B607BD" w:rsidRPr="00A06F1E" w14:paraId="14AD7ABC" w14:textId="77777777">
        <w:tc>
          <w:tcPr>
            <w:tcW w:w="1307" w:type="dxa"/>
          </w:tcPr>
          <w:p w14:paraId="29D1A355" w14:textId="77777777" w:rsidR="00B607BD" w:rsidRPr="00A06F1E" w:rsidRDefault="00B607BD">
            <w:pPr>
              <w:pStyle w:val="TableTextCentered"/>
              <w:keepNext/>
              <w:keepLines/>
              <w:rPr>
                <w:rFonts w:ascii="Franklin Gothic Book" w:hAnsi="Franklin Gothic Book"/>
              </w:rPr>
            </w:pPr>
            <w:r w:rsidRPr="00A06F1E">
              <w:rPr>
                <w:rFonts w:ascii="Franklin Gothic Book" w:hAnsi="Franklin Gothic Book"/>
              </w:rPr>
              <w:t>4</w:t>
            </w:r>
          </w:p>
        </w:tc>
        <w:tc>
          <w:tcPr>
            <w:tcW w:w="2019" w:type="dxa"/>
            <w:vAlign w:val="center"/>
          </w:tcPr>
          <w:p w14:paraId="6A73B76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24</w:t>
            </w:r>
          </w:p>
        </w:tc>
        <w:tc>
          <w:tcPr>
            <w:tcW w:w="2004" w:type="dxa"/>
            <w:vAlign w:val="center"/>
          </w:tcPr>
          <w:p w14:paraId="744F51B0" w14:textId="734343F0"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3" w:type="dxa"/>
            <w:vAlign w:val="center"/>
          </w:tcPr>
          <w:p w14:paraId="21FDCF64"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64.9</w:t>
            </w:r>
          </w:p>
        </w:tc>
        <w:tc>
          <w:tcPr>
            <w:tcW w:w="2011" w:type="dxa"/>
            <w:vAlign w:val="bottom"/>
          </w:tcPr>
          <w:p w14:paraId="2109EBF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49.6</w:t>
            </w:r>
          </w:p>
        </w:tc>
      </w:tr>
      <w:tr w:rsidR="00B607BD" w:rsidRPr="00A06F1E" w14:paraId="4735C2EC"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5E4A2D47" w14:textId="77777777" w:rsidR="00B607BD" w:rsidRPr="00A06F1E" w:rsidRDefault="00B607BD">
            <w:pPr>
              <w:pStyle w:val="TableTextCentered"/>
              <w:rPr>
                <w:rFonts w:ascii="Franklin Gothic Book" w:hAnsi="Franklin Gothic Book"/>
              </w:rPr>
            </w:pPr>
            <w:r w:rsidRPr="00A06F1E">
              <w:rPr>
                <w:rFonts w:ascii="Franklin Gothic Book" w:hAnsi="Franklin Gothic Book"/>
              </w:rPr>
              <w:t>5</w:t>
            </w:r>
          </w:p>
        </w:tc>
        <w:tc>
          <w:tcPr>
            <w:tcW w:w="2019" w:type="dxa"/>
            <w:vAlign w:val="center"/>
          </w:tcPr>
          <w:p w14:paraId="5EB7D25C"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11</w:t>
            </w:r>
          </w:p>
        </w:tc>
        <w:tc>
          <w:tcPr>
            <w:tcW w:w="2004" w:type="dxa"/>
            <w:vAlign w:val="center"/>
          </w:tcPr>
          <w:p w14:paraId="4D0DFDE5" w14:textId="76924339"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3" w:type="dxa"/>
            <w:vAlign w:val="center"/>
          </w:tcPr>
          <w:p w14:paraId="2CD2184E" w14:textId="6429D76B"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11" w:type="dxa"/>
            <w:vAlign w:val="bottom"/>
          </w:tcPr>
          <w:p w14:paraId="12FB2136"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50.0</w:t>
            </w:r>
          </w:p>
        </w:tc>
      </w:tr>
      <w:tr w:rsidR="00B607BD" w:rsidRPr="00A06F1E" w14:paraId="28CDB1F9" w14:textId="77777777">
        <w:tc>
          <w:tcPr>
            <w:tcW w:w="1307" w:type="dxa"/>
          </w:tcPr>
          <w:p w14:paraId="7483BB50" w14:textId="77777777" w:rsidR="00B607BD" w:rsidRPr="00A06F1E" w:rsidRDefault="00B607BD">
            <w:pPr>
              <w:pStyle w:val="TableTextCentered"/>
              <w:rPr>
                <w:rFonts w:ascii="Franklin Gothic Book" w:hAnsi="Franklin Gothic Book"/>
              </w:rPr>
            </w:pPr>
            <w:r w:rsidRPr="00A06F1E">
              <w:rPr>
                <w:rFonts w:ascii="Franklin Gothic Book" w:hAnsi="Franklin Gothic Book"/>
              </w:rPr>
              <w:t>6</w:t>
            </w:r>
          </w:p>
        </w:tc>
        <w:tc>
          <w:tcPr>
            <w:tcW w:w="2019" w:type="dxa"/>
            <w:vAlign w:val="center"/>
          </w:tcPr>
          <w:p w14:paraId="7CB5D542"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15</w:t>
            </w:r>
          </w:p>
        </w:tc>
        <w:tc>
          <w:tcPr>
            <w:tcW w:w="2004" w:type="dxa"/>
            <w:vAlign w:val="center"/>
          </w:tcPr>
          <w:p w14:paraId="66C34613" w14:textId="343A0B7F"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3" w:type="dxa"/>
            <w:vAlign w:val="center"/>
          </w:tcPr>
          <w:p w14:paraId="6C6445E7" w14:textId="31D7E8FF"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11" w:type="dxa"/>
            <w:vAlign w:val="bottom"/>
          </w:tcPr>
          <w:p w14:paraId="5DDAAA8C"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49.9</w:t>
            </w:r>
          </w:p>
        </w:tc>
      </w:tr>
      <w:tr w:rsidR="00B607BD" w:rsidRPr="00A06F1E" w14:paraId="2624B827"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7631739F" w14:textId="77777777" w:rsidR="00B607BD" w:rsidRPr="00A06F1E" w:rsidRDefault="00B607BD">
            <w:pPr>
              <w:pStyle w:val="TableTextCentered"/>
              <w:rPr>
                <w:rFonts w:ascii="Franklin Gothic Book" w:hAnsi="Franklin Gothic Book"/>
              </w:rPr>
            </w:pPr>
            <w:r w:rsidRPr="00A06F1E">
              <w:rPr>
                <w:rFonts w:ascii="Franklin Gothic Book" w:hAnsi="Franklin Gothic Book"/>
              </w:rPr>
              <w:t>7</w:t>
            </w:r>
          </w:p>
        </w:tc>
        <w:tc>
          <w:tcPr>
            <w:tcW w:w="2019" w:type="dxa"/>
            <w:vAlign w:val="center"/>
          </w:tcPr>
          <w:p w14:paraId="622D969E" w14:textId="43123AA8"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4" w:type="dxa"/>
            <w:vAlign w:val="center"/>
          </w:tcPr>
          <w:p w14:paraId="09F80EFB" w14:textId="2D610577"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3" w:type="dxa"/>
            <w:vAlign w:val="center"/>
          </w:tcPr>
          <w:p w14:paraId="0C637606" w14:textId="7E1B762D"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11" w:type="dxa"/>
            <w:vAlign w:val="bottom"/>
          </w:tcPr>
          <w:p w14:paraId="5EB3788E"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49.9</w:t>
            </w:r>
          </w:p>
        </w:tc>
      </w:tr>
      <w:tr w:rsidR="00B607BD" w:rsidRPr="00A06F1E" w14:paraId="4157B102" w14:textId="77777777">
        <w:tc>
          <w:tcPr>
            <w:tcW w:w="1307" w:type="dxa"/>
          </w:tcPr>
          <w:p w14:paraId="69B97E77" w14:textId="77777777" w:rsidR="00B607BD" w:rsidRPr="00A06F1E" w:rsidRDefault="00B607BD">
            <w:pPr>
              <w:pStyle w:val="TableTextCentered"/>
              <w:rPr>
                <w:rFonts w:ascii="Franklin Gothic Book" w:hAnsi="Franklin Gothic Book"/>
              </w:rPr>
            </w:pPr>
            <w:r w:rsidRPr="00A06F1E">
              <w:rPr>
                <w:rFonts w:ascii="Franklin Gothic Book" w:hAnsi="Franklin Gothic Book"/>
              </w:rPr>
              <w:t>8</w:t>
            </w:r>
          </w:p>
        </w:tc>
        <w:tc>
          <w:tcPr>
            <w:tcW w:w="2019" w:type="dxa"/>
            <w:vAlign w:val="center"/>
          </w:tcPr>
          <w:p w14:paraId="0C359451" w14:textId="7E919547"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4" w:type="dxa"/>
            <w:vAlign w:val="center"/>
          </w:tcPr>
          <w:p w14:paraId="7E87AF47" w14:textId="3218CB97"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3" w:type="dxa"/>
            <w:vAlign w:val="center"/>
          </w:tcPr>
          <w:p w14:paraId="365C3E6A" w14:textId="7C473100"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11" w:type="dxa"/>
            <w:vAlign w:val="bottom"/>
          </w:tcPr>
          <w:p w14:paraId="0BD339A9"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49.7</w:t>
            </w:r>
          </w:p>
        </w:tc>
      </w:tr>
      <w:tr w:rsidR="00B607BD" w:rsidRPr="00A06F1E" w14:paraId="5C6A2484" w14:textId="77777777">
        <w:trPr>
          <w:cnfStyle w:val="000000100000" w:firstRow="0" w:lastRow="0" w:firstColumn="0" w:lastColumn="0" w:oddVBand="0" w:evenVBand="0" w:oddHBand="1" w:evenHBand="0" w:firstRowFirstColumn="0" w:firstRowLastColumn="0" w:lastRowFirstColumn="0" w:lastRowLastColumn="0"/>
          <w:trHeight w:val="80"/>
        </w:trPr>
        <w:tc>
          <w:tcPr>
            <w:tcW w:w="1307" w:type="dxa"/>
          </w:tcPr>
          <w:p w14:paraId="5C2E5E6F" w14:textId="77777777" w:rsidR="00B607BD" w:rsidRPr="00A06F1E" w:rsidRDefault="00B607BD">
            <w:pPr>
              <w:pStyle w:val="TableTextCentered"/>
              <w:rPr>
                <w:rFonts w:ascii="Franklin Gothic Book" w:hAnsi="Franklin Gothic Book"/>
              </w:rPr>
            </w:pPr>
            <w:r w:rsidRPr="00A06F1E">
              <w:rPr>
                <w:rFonts w:ascii="Franklin Gothic Book" w:hAnsi="Franklin Gothic Book"/>
              </w:rPr>
              <w:t>3-8</w:t>
            </w:r>
          </w:p>
        </w:tc>
        <w:tc>
          <w:tcPr>
            <w:tcW w:w="2019" w:type="dxa"/>
            <w:vAlign w:val="center"/>
          </w:tcPr>
          <w:p w14:paraId="79E9B7D0"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w:t>
            </w:r>
          </w:p>
        </w:tc>
        <w:tc>
          <w:tcPr>
            <w:tcW w:w="2004" w:type="dxa"/>
            <w:vAlign w:val="center"/>
          </w:tcPr>
          <w:p w14:paraId="163DB18F"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42.8</w:t>
            </w:r>
          </w:p>
        </w:tc>
        <w:tc>
          <w:tcPr>
            <w:tcW w:w="2003" w:type="dxa"/>
            <w:vAlign w:val="center"/>
          </w:tcPr>
          <w:p w14:paraId="57D16C5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65.8</w:t>
            </w:r>
          </w:p>
        </w:tc>
        <w:tc>
          <w:tcPr>
            <w:tcW w:w="2011" w:type="dxa"/>
            <w:vAlign w:val="bottom"/>
          </w:tcPr>
          <w:p w14:paraId="1835A0E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49.8</w:t>
            </w:r>
          </w:p>
        </w:tc>
      </w:tr>
      <w:tr w:rsidR="00B607BD" w:rsidRPr="00A06F1E" w14:paraId="4DF55CD7" w14:textId="77777777">
        <w:tc>
          <w:tcPr>
            <w:tcW w:w="1307" w:type="dxa"/>
          </w:tcPr>
          <w:p w14:paraId="6F07C60D" w14:textId="77777777" w:rsidR="00B607BD" w:rsidRPr="00A06F1E" w:rsidRDefault="00B607BD">
            <w:pPr>
              <w:pStyle w:val="TableTextCentered"/>
              <w:rPr>
                <w:rFonts w:ascii="Franklin Gothic Book" w:hAnsi="Franklin Gothic Book"/>
              </w:rPr>
            </w:pPr>
            <w:r w:rsidRPr="00A06F1E">
              <w:rPr>
                <w:rFonts w:ascii="Franklin Gothic Book" w:hAnsi="Franklin Gothic Book"/>
              </w:rPr>
              <w:t>10</w:t>
            </w:r>
          </w:p>
        </w:tc>
        <w:tc>
          <w:tcPr>
            <w:tcW w:w="2019" w:type="dxa"/>
            <w:vAlign w:val="center"/>
          </w:tcPr>
          <w:p w14:paraId="1845C25B" w14:textId="522FC256"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4" w:type="dxa"/>
            <w:vAlign w:val="center"/>
          </w:tcPr>
          <w:p w14:paraId="473DEA9C" w14:textId="0D3F4878"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3" w:type="dxa"/>
            <w:vAlign w:val="center"/>
          </w:tcPr>
          <w:p w14:paraId="2D5E3C70" w14:textId="4FCBD44C"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11" w:type="dxa"/>
            <w:vAlign w:val="bottom"/>
          </w:tcPr>
          <w:p w14:paraId="13415F65"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49.6</w:t>
            </w:r>
          </w:p>
        </w:tc>
      </w:tr>
    </w:tbl>
    <w:p w14:paraId="27DB9348" w14:textId="45BE0771" w:rsidR="00B607BD" w:rsidRPr="00A06F1E" w:rsidRDefault="00B607BD" w:rsidP="00B7722D">
      <w:pPr>
        <w:pStyle w:val="TabletitleSectionE"/>
      </w:pPr>
      <w:bookmarkStart w:id="312" w:name="_Toc170701981"/>
      <w:bookmarkStart w:id="313" w:name="_Toc171685818"/>
      <w:r w:rsidRPr="00A06F1E">
        <w:t>Table E15</w:t>
      </w:r>
      <w:r w:rsidR="003C78E9">
        <w:t>c</w:t>
      </w:r>
      <w:r w:rsidR="00A228CB" w:rsidRPr="00A06F1E">
        <w:t>. Mahar Regional</w:t>
      </w:r>
      <w:r w:rsidR="00F3532E" w:rsidRPr="00A06F1E">
        <w:t>:</w:t>
      </w:r>
      <w:r w:rsidRPr="00A06F1E">
        <w:t xml:space="preserve"> Next-Generation MCAS Mathematics Mean </w:t>
      </w:r>
      <w:r w:rsidR="003A7C1C" w:rsidRPr="00A06F1E">
        <w:t>SGP</w:t>
      </w:r>
      <w:r w:rsidRPr="00A06F1E">
        <w:t xml:space="preserve"> by Grade, 2022-2023</w:t>
      </w:r>
      <w:bookmarkEnd w:id="312"/>
      <w:bookmarkEnd w:id="313"/>
    </w:p>
    <w:tbl>
      <w:tblPr>
        <w:tblStyle w:val="MSVTable1"/>
        <w:tblW w:w="5000" w:type="pct"/>
        <w:tblLook w:val="0420" w:firstRow="1" w:lastRow="0" w:firstColumn="0" w:lastColumn="0" w:noHBand="0" w:noVBand="1"/>
      </w:tblPr>
      <w:tblGrid>
        <w:gridCol w:w="1307"/>
        <w:gridCol w:w="2019"/>
        <w:gridCol w:w="2004"/>
        <w:gridCol w:w="2003"/>
        <w:gridCol w:w="2011"/>
      </w:tblGrid>
      <w:tr w:rsidR="00B607BD" w:rsidRPr="00A06F1E" w14:paraId="574F1C8F"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2DADEB61" w14:textId="77777777" w:rsidR="00B607BD" w:rsidRPr="00A06F1E" w:rsidRDefault="00B607BD">
            <w:pPr>
              <w:pStyle w:val="TableColHeadingCenter"/>
              <w:keepNext/>
              <w:keepLines/>
            </w:pPr>
            <w:r w:rsidRPr="00A06F1E">
              <w:t>Grade</w:t>
            </w:r>
          </w:p>
        </w:tc>
        <w:tc>
          <w:tcPr>
            <w:tcW w:w="2019" w:type="dxa"/>
          </w:tcPr>
          <w:p w14:paraId="042BA0E3" w14:textId="6F83F89C" w:rsidR="00B607BD" w:rsidRPr="00A06F1E" w:rsidRDefault="00B607BD">
            <w:pPr>
              <w:pStyle w:val="TableColHeadingCenter"/>
            </w:pPr>
            <w:r w:rsidRPr="00A06F1E">
              <w:t xml:space="preserve"># </w:t>
            </w:r>
            <w:r w:rsidR="00FF1146" w:rsidRPr="00A06F1E">
              <w:t>included</w:t>
            </w:r>
            <w:r w:rsidRPr="00A06F1E">
              <w:t xml:space="preserve"> (2023)</w:t>
            </w:r>
          </w:p>
        </w:tc>
        <w:tc>
          <w:tcPr>
            <w:tcW w:w="2004" w:type="dxa"/>
          </w:tcPr>
          <w:p w14:paraId="18C7E43B" w14:textId="77777777" w:rsidR="00B607BD" w:rsidRPr="00A06F1E" w:rsidRDefault="00B607BD">
            <w:pPr>
              <w:pStyle w:val="TableColHeadingCenter"/>
            </w:pPr>
            <w:r w:rsidRPr="00A06F1E">
              <w:t>2022</w:t>
            </w:r>
          </w:p>
        </w:tc>
        <w:tc>
          <w:tcPr>
            <w:tcW w:w="2003" w:type="dxa"/>
          </w:tcPr>
          <w:p w14:paraId="478B7503" w14:textId="77777777" w:rsidR="00B607BD" w:rsidRPr="00A06F1E" w:rsidRDefault="00B607BD">
            <w:pPr>
              <w:pStyle w:val="TableColHeadingCenter"/>
            </w:pPr>
            <w:r w:rsidRPr="00A06F1E">
              <w:t>2023</w:t>
            </w:r>
          </w:p>
        </w:tc>
        <w:tc>
          <w:tcPr>
            <w:tcW w:w="2011" w:type="dxa"/>
          </w:tcPr>
          <w:p w14:paraId="4C14DC2A" w14:textId="77777777" w:rsidR="00B607BD" w:rsidRPr="00A06F1E" w:rsidRDefault="00B607BD">
            <w:pPr>
              <w:pStyle w:val="TableColHeadingCenter"/>
            </w:pPr>
            <w:r w:rsidRPr="00A06F1E">
              <w:t>State (2023)</w:t>
            </w:r>
          </w:p>
        </w:tc>
      </w:tr>
      <w:tr w:rsidR="00B607BD" w:rsidRPr="00A06F1E" w14:paraId="4DD3DB52"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110789F8" w14:textId="77777777" w:rsidR="00B607BD" w:rsidRPr="00A06F1E" w:rsidRDefault="00B607BD">
            <w:pPr>
              <w:pStyle w:val="TableTextCentered"/>
              <w:keepNext/>
              <w:keepLines/>
              <w:rPr>
                <w:rFonts w:ascii="Franklin Gothic Book" w:hAnsi="Franklin Gothic Book"/>
              </w:rPr>
            </w:pPr>
            <w:r w:rsidRPr="00A06F1E">
              <w:rPr>
                <w:rFonts w:ascii="Franklin Gothic Book" w:hAnsi="Franklin Gothic Book"/>
              </w:rPr>
              <w:t>3</w:t>
            </w:r>
          </w:p>
        </w:tc>
        <w:tc>
          <w:tcPr>
            <w:tcW w:w="2019" w:type="dxa"/>
            <w:vAlign w:val="center"/>
          </w:tcPr>
          <w:p w14:paraId="6944B7C6" w14:textId="34E55F40"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4" w:type="dxa"/>
            <w:vAlign w:val="center"/>
          </w:tcPr>
          <w:p w14:paraId="0C4B081D" w14:textId="5E83E75A"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3" w:type="dxa"/>
            <w:vAlign w:val="center"/>
          </w:tcPr>
          <w:p w14:paraId="35830A91" w14:textId="054F3E04"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11" w:type="dxa"/>
            <w:vAlign w:val="bottom"/>
          </w:tcPr>
          <w:p w14:paraId="7F3921D5" w14:textId="4C0ADC85"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r>
      <w:tr w:rsidR="00B607BD" w:rsidRPr="00A06F1E" w14:paraId="7B5A7944" w14:textId="77777777">
        <w:tc>
          <w:tcPr>
            <w:tcW w:w="1307" w:type="dxa"/>
          </w:tcPr>
          <w:p w14:paraId="5391A4D7" w14:textId="77777777" w:rsidR="00B607BD" w:rsidRPr="00A06F1E" w:rsidRDefault="00B607BD">
            <w:pPr>
              <w:pStyle w:val="TableTextCentered"/>
              <w:keepNext/>
              <w:keepLines/>
              <w:rPr>
                <w:rFonts w:ascii="Franklin Gothic Book" w:hAnsi="Franklin Gothic Book"/>
              </w:rPr>
            </w:pPr>
            <w:r w:rsidRPr="00A06F1E">
              <w:rPr>
                <w:rFonts w:ascii="Franklin Gothic Book" w:hAnsi="Franklin Gothic Book"/>
              </w:rPr>
              <w:t>4</w:t>
            </w:r>
          </w:p>
        </w:tc>
        <w:tc>
          <w:tcPr>
            <w:tcW w:w="2019" w:type="dxa"/>
            <w:vAlign w:val="center"/>
          </w:tcPr>
          <w:p w14:paraId="156DB3F6" w14:textId="57BAB594"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4" w:type="dxa"/>
            <w:vAlign w:val="center"/>
          </w:tcPr>
          <w:p w14:paraId="2C9D8E67" w14:textId="30D4D1BF"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3" w:type="dxa"/>
            <w:vAlign w:val="center"/>
          </w:tcPr>
          <w:p w14:paraId="336CDB70" w14:textId="6F7F6433"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11" w:type="dxa"/>
            <w:vAlign w:val="bottom"/>
          </w:tcPr>
          <w:p w14:paraId="722B1F3E"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49.6</w:t>
            </w:r>
          </w:p>
        </w:tc>
      </w:tr>
      <w:tr w:rsidR="00B607BD" w:rsidRPr="00A06F1E" w14:paraId="7AC0726C"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58EB2DB2" w14:textId="77777777" w:rsidR="00B607BD" w:rsidRPr="00A06F1E" w:rsidRDefault="00B607BD">
            <w:pPr>
              <w:pStyle w:val="TableTextCentered"/>
              <w:rPr>
                <w:rFonts w:ascii="Franklin Gothic Book" w:hAnsi="Franklin Gothic Book"/>
              </w:rPr>
            </w:pPr>
            <w:r w:rsidRPr="00A06F1E">
              <w:rPr>
                <w:rFonts w:ascii="Franklin Gothic Book" w:hAnsi="Franklin Gothic Book"/>
              </w:rPr>
              <w:t>5</w:t>
            </w:r>
          </w:p>
        </w:tc>
        <w:tc>
          <w:tcPr>
            <w:tcW w:w="2019" w:type="dxa"/>
            <w:vAlign w:val="center"/>
          </w:tcPr>
          <w:p w14:paraId="5144F994" w14:textId="0533F43D"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4" w:type="dxa"/>
            <w:vAlign w:val="center"/>
          </w:tcPr>
          <w:p w14:paraId="5E277C87" w14:textId="352D7771"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3" w:type="dxa"/>
            <w:vAlign w:val="center"/>
          </w:tcPr>
          <w:p w14:paraId="2BE1381C" w14:textId="2C4BF521"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11" w:type="dxa"/>
            <w:vAlign w:val="bottom"/>
          </w:tcPr>
          <w:p w14:paraId="7A3267AE"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50.0</w:t>
            </w:r>
          </w:p>
        </w:tc>
      </w:tr>
      <w:tr w:rsidR="00B607BD" w:rsidRPr="00A06F1E" w14:paraId="1676822A" w14:textId="77777777">
        <w:tc>
          <w:tcPr>
            <w:tcW w:w="1307" w:type="dxa"/>
          </w:tcPr>
          <w:p w14:paraId="43F28EF2" w14:textId="77777777" w:rsidR="00B607BD" w:rsidRPr="00A06F1E" w:rsidRDefault="00B607BD">
            <w:pPr>
              <w:pStyle w:val="TableTextCentered"/>
              <w:rPr>
                <w:rFonts w:ascii="Franklin Gothic Book" w:hAnsi="Franklin Gothic Book"/>
              </w:rPr>
            </w:pPr>
            <w:r w:rsidRPr="00A06F1E">
              <w:rPr>
                <w:rFonts w:ascii="Franklin Gothic Book" w:hAnsi="Franklin Gothic Book"/>
              </w:rPr>
              <w:t>6</w:t>
            </w:r>
          </w:p>
        </w:tc>
        <w:tc>
          <w:tcPr>
            <w:tcW w:w="2019" w:type="dxa"/>
            <w:vAlign w:val="center"/>
          </w:tcPr>
          <w:p w14:paraId="4B62C18A" w14:textId="7907CCF9"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4" w:type="dxa"/>
            <w:vAlign w:val="center"/>
          </w:tcPr>
          <w:p w14:paraId="26A7ACFE" w14:textId="3B4F726E"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03" w:type="dxa"/>
            <w:vAlign w:val="center"/>
          </w:tcPr>
          <w:p w14:paraId="09A4484B" w14:textId="71E5B71B" w:rsidR="00B607BD" w:rsidRPr="00A06F1E" w:rsidRDefault="00805266">
            <w:pPr>
              <w:pStyle w:val="TableTextCentered"/>
              <w:rPr>
                <w:rFonts w:ascii="Franklin Gothic Book" w:hAnsi="Franklin Gothic Book"/>
              </w:rPr>
            </w:pPr>
            <w:r w:rsidRPr="00A06F1E">
              <w:rPr>
                <w:rFonts w:ascii="Franklin Gothic Book" w:hAnsi="Franklin Gothic Book" w:cs="Calibri"/>
              </w:rPr>
              <w:t>—</w:t>
            </w:r>
          </w:p>
        </w:tc>
        <w:tc>
          <w:tcPr>
            <w:tcW w:w="2011" w:type="dxa"/>
            <w:vAlign w:val="bottom"/>
          </w:tcPr>
          <w:p w14:paraId="7E762BAD"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49.9</w:t>
            </w:r>
          </w:p>
        </w:tc>
      </w:tr>
      <w:tr w:rsidR="00B607BD" w:rsidRPr="00A06F1E" w14:paraId="1FA5740A"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5B6C318A" w14:textId="77777777" w:rsidR="00B607BD" w:rsidRPr="00A06F1E" w:rsidRDefault="00B607BD">
            <w:pPr>
              <w:pStyle w:val="TableTextCentered"/>
              <w:rPr>
                <w:rFonts w:ascii="Franklin Gothic Book" w:hAnsi="Franklin Gothic Book"/>
              </w:rPr>
            </w:pPr>
            <w:r w:rsidRPr="00A06F1E">
              <w:rPr>
                <w:rFonts w:ascii="Franklin Gothic Book" w:hAnsi="Franklin Gothic Book"/>
              </w:rPr>
              <w:t>7</w:t>
            </w:r>
          </w:p>
        </w:tc>
        <w:tc>
          <w:tcPr>
            <w:tcW w:w="2019" w:type="dxa"/>
            <w:vAlign w:val="center"/>
          </w:tcPr>
          <w:p w14:paraId="60B56262"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80</w:t>
            </w:r>
          </w:p>
        </w:tc>
        <w:tc>
          <w:tcPr>
            <w:tcW w:w="2004" w:type="dxa"/>
            <w:vAlign w:val="center"/>
          </w:tcPr>
          <w:p w14:paraId="298C2EFB"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56.4</w:t>
            </w:r>
          </w:p>
        </w:tc>
        <w:tc>
          <w:tcPr>
            <w:tcW w:w="2003" w:type="dxa"/>
            <w:vAlign w:val="center"/>
          </w:tcPr>
          <w:p w14:paraId="01F323D0"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66.0</w:t>
            </w:r>
          </w:p>
        </w:tc>
        <w:tc>
          <w:tcPr>
            <w:tcW w:w="2011" w:type="dxa"/>
            <w:vAlign w:val="bottom"/>
          </w:tcPr>
          <w:p w14:paraId="67B180C2"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49.9</w:t>
            </w:r>
          </w:p>
        </w:tc>
      </w:tr>
      <w:tr w:rsidR="00B607BD" w:rsidRPr="00A06F1E" w14:paraId="550CF857" w14:textId="77777777">
        <w:tc>
          <w:tcPr>
            <w:tcW w:w="1307" w:type="dxa"/>
          </w:tcPr>
          <w:p w14:paraId="29615AC8" w14:textId="77777777" w:rsidR="00B607BD" w:rsidRPr="00A06F1E" w:rsidRDefault="00B607BD">
            <w:pPr>
              <w:pStyle w:val="TableTextCentered"/>
              <w:rPr>
                <w:rFonts w:ascii="Franklin Gothic Book" w:hAnsi="Franklin Gothic Book"/>
              </w:rPr>
            </w:pPr>
            <w:r w:rsidRPr="00A06F1E">
              <w:rPr>
                <w:rFonts w:ascii="Franklin Gothic Book" w:hAnsi="Franklin Gothic Book"/>
              </w:rPr>
              <w:t>8</w:t>
            </w:r>
          </w:p>
        </w:tc>
        <w:tc>
          <w:tcPr>
            <w:tcW w:w="2019" w:type="dxa"/>
            <w:vAlign w:val="center"/>
          </w:tcPr>
          <w:p w14:paraId="16E47882"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88</w:t>
            </w:r>
          </w:p>
        </w:tc>
        <w:tc>
          <w:tcPr>
            <w:tcW w:w="2004" w:type="dxa"/>
            <w:vAlign w:val="center"/>
          </w:tcPr>
          <w:p w14:paraId="55EFE280"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58.1</w:t>
            </w:r>
          </w:p>
        </w:tc>
        <w:tc>
          <w:tcPr>
            <w:tcW w:w="2003" w:type="dxa"/>
            <w:vAlign w:val="center"/>
          </w:tcPr>
          <w:p w14:paraId="6ED12914"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52.3</w:t>
            </w:r>
          </w:p>
        </w:tc>
        <w:tc>
          <w:tcPr>
            <w:tcW w:w="2011" w:type="dxa"/>
            <w:vAlign w:val="bottom"/>
          </w:tcPr>
          <w:p w14:paraId="6921E9A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49.7</w:t>
            </w:r>
          </w:p>
        </w:tc>
      </w:tr>
      <w:tr w:rsidR="00B607BD" w:rsidRPr="00A06F1E" w14:paraId="21BEDF26" w14:textId="77777777">
        <w:trPr>
          <w:cnfStyle w:val="000000100000" w:firstRow="0" w:lastRow="0" w:firstColumn="0" w:lastColumn="0" w:oddVBand="0" w:evenVBand="0" w:oddHBand="1" w:evenHBand="0" w:firstRowFirstColumn="0" w:firstRowLastColumn="0" w:lastRowFirstColumn="0" w:lastRowLastColumn="0"/>
          <w:trHeight w:val="80"/>
        </w:trPr>
        <w:tc>
          <w:tcPr>
            <w:tcW w:w="1307" w:type="dxa"/>
          </w:tcPr>
          <w:p w14:paraId="6DA0118C" w14:textId="77777777" w:rsidR="00B607BD" w:rsidRPr="00A06F1E" w:rsidRDefault="00B607BD">
            <w:pPr>
              <w:pStyle w:val="TableTextCentered"/>
              <w:rPr>
                <w:rFonts w:ascii="Franklin Gothic Book" w:hAnsi="Franklin Gothic Book"/>
              </w:rPr>
            </w:pPr>
            <w:r w:rsidRPr="00A06F1E">
              <w:rPr>
                <w:rFonts w:ascii="Franklin Gothic Book" w:hAnsi="Franklin Gothic Book"/>
              </w:rPr>
              <w:t>3-8</w:t>
            </w:r>
          </w:p>
        </w:tc>
        <w:tc>
          <w:tcPr>
            <w:tcW w:w="2019" w:type="dxa"/>
            <w:vAlign w:val="center"/>
          </w:tcPr>
          <w:p w14:paraId="30CE0FF0"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168</w:t>
            </w:r>
          </w:p>
        </w:tc>
        <w:tc>
          <w:tcPr>
            <w:tcW w:w="2004" w:type="dxa"/>
            <w:vAlign w:val="center"/>
          </w:tcPr>
          <w:p w14:paraId="6C46293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57.4</w:t>
            </w:r>
          </w:p>
        </w:tc>
        <w:tc>
          <w:tcPr>
            <w:tcW w:w="2003" w:type="dxa"/>
            <w:vAlign w:val="center"/>
          </w:tcPr>
          <w:p w14:paraId="5AA7808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58.8</w:t>
            </w:r>
          </w:p>
        </w:tc>
        <w:tc>
          <w:tcPr>
            <w:tcW w:w="2011" w:type="dxa"/>
            <w:vAlign w:val="bottom"/>
          </w:tcPr>
          <w:p w14:paraId="66FA0C8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49.8</w:t>
            </w:r>
          </w:p>
        </w:tc>
      </w:tr>
      <w:tr w:rsidR="00B607BD" w:rsidRPr="00A06F1E" w14:paraId="0E452BCA" w14:textId="77777777">
        <w:tc>
          <w:tcPr>
            <w:tcW w:w="1307" w:type="dxa"/>
          </w:tcPr>
          <w:p w14:paraId="32837B50" w14:textId="77777777" w:rsidR="00B607BD" w:rsidRPr="00A06F1E" w:rsidRDefault="00B607BD">
            <w:pPr>
              <w:pStyle w:val="TableTextCentered"/>
              <w:rPr>
                <w:rFonts w:ascii="Franklin Gothic Book" w:hAnsi="Franklin Gothic Book"/>
              </w:rPr>
            </w:pPr>
            <w:r w:rsidRPr="00A06F1E">
              <w:rPr>
                <w:rFonts w:ascii="Franklin Gothic Book" w:hAnsi="Franklin Gothic Book"/>
              </w:rPr>
              <w:t>10</w:t>
            </w:r>
          </w:p>
        </w:tc>
        <w:tc>
          <w:tcPr>
            <w:tcW w:w="2019" w:type="dxa"/>
            <w:vAlign w:val="center"/>
          </w:tcPr>
          <w:p w14:paraId="791E82FA"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63</w:t>
            </w:r>
          </w:p>
        </w:tc>
        <w:tc>
          <w:tcPr>
            <w:tcW w:w="2004" w:type="dxa"/>
            <w:vAlign w:val="center"/>
          </w:tcPr>
          <w:p w14:paraId="2293A5A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31.9</w:t>
            </w:r>
          </w:p>
        </w:tc>
        <w:tc>
          <w:tcPr>
            <w:tcW w:w="2003" w:type="dxa"/>
            <w:vAlign w:val="center"/>
          </w:tcPr>
          <w:p w14:paraId="15461896"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42.9</w:t>
            </w:r>
          </w:p>
        </w:tc>
        <w:tc>
          <w:tcPr>
            <w:tcW w:w="2011" w:type="dxa"/>
            <w:vAlign w:val="bottom"/>
          </w:tcPr>
          <w:p w14:paraId="3D29F913" w14:textId="77777777" w:rsidR="00B607BD" w:rsidRPr="00A06F1E" w:rsidRDefault="00B607BD">
            <w:pPr>
              <w:pStyle w:val="TableTextCentered"/>
              <w:rPr>
                <w:rFonts w:ascii="Franklin Gothic Book" w:hAnsi="Franklin Gothic Book"/>
              </w:rPr>
            </w:pPr>
            <w:r w:rsidRPr="00A06F1E">
              <w:rPr>
                <w:rFonts w:ascii="Franklin Gothic Book" w:hAnsi="Franklin Gothic Book" w:cs="Calibri"/>
              </w:rPr>
              <w:t>49.6</w:t>
            </w:r>
          </w:p>
        </w:tc>
      </w:tr>
    </w:tbl>
    <w:p w14:paraId="44F4E087" w14:textId="77777777" w:rsidR="00B607BD" w:rsidRPr="00A06F1E" w:rsidRDefault="00B607BD" w:rsidP="00B607BD">
      <w:pPr>
        <w:spacing w:line="240" w:lineRule="auto"/>
        <w:rPr>
          <w:rFonts w:ascii="Franklin Gothic Book" w:hAnsi="Franklin Gothic Book"/>
          <w:sz w:val="20"/>
          <w:szCs w:val="20"/>
        </w:rPr>
      </w:pPr>
    </w:p>
    <w:p w14:paraId="01567303" w14:textId="04DD82AB" w:rsidR="00B607BD" w:rsidRPr="00A06F1E" w:rsidRDefault="00B607BD" w:rsidP="00B7722D">
      <w:pPr>
        <w:pStyle w:val="TabletitleSectionE"/>
      </w:pPr>
      <w:bookmarkStart w:id="314" w:name="_Toc170701982"/>
      <w:bookmarkStart w:id="315" w:name="_Toc171685819"/>
      <w:r w:rsidRPr="00A06F1E">
        <w:t>Table E16</w:t>
      </w:r>
      <w:r w:rsidR="00A228CB" w:rsidRPr="00A06F1E">
        <w:t>. Mahar Regional</w:t>
      </w:r>
      <w:r w:rsidR="00F3532E" w:rsidRPr="00A06F1E">
        <w:t>:</w:t>
      </w:r>
      <w:r w:rsidRPr="00A06F1E">
        <w:t xml:space="preserve"> Four-Year Cohort Graduation Rates by Student Group, 2020-2022</w:t>
      </w:r>
      <w:bookmarkEnd w:id="314"/>
      <w:bookmarkEnd w:id="315"/>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B607BD" w:rsidRPr="00A06F1E" w14:paraId="6F532DB1"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6C86F701" w14:textId="77777777" w:rsidR="00B607BD" w:rsidRPr="00A06F1E" w:rsidRDefault="00B607BD" w:rsidP="006D2709">
            <w:pPr>
              <w:pStyle w:val="TableColHeadingCenter"/>
            </w:pPr>
            <w:r w:rsidRPr="00A06F1E">
              <w:t>Group</w:t>
            </w:r>
          </w:p>
        </w:tc>
        <w:tc>
          <w:tcPr>
            <w:tcW w:w="1254" w:type="dxa"/>
            <w:vAlign w:val="center"/>
          </w:tcPr>
          <w:p w14:paraId="10BED50F" w14:textId="5DE3F666" w:rsidR="00B607BD" w:rsidRPr="00A06F1E" w:rsidRDefault="00B607BD" w:rsidP="006D2709">
            <w:pPr>
              <w:pStyle w:val="TableColHeadingCenter"/>
            </w:pPr>
            <w:r w:rsidRPr="00A06F1E">
              <w:t xml:space="preserve"># </w:t>
            </w:r>
            <w:r w:rsidR="00FF1146" w:rsidRPr="00A06F1E">
              <w:t>included</w:t>
            </w:r>
            <w:r w:rsidRPr="00A06F1E">
              <w:t xml:space="preserve"> (2022)</w:t>
            </w:r>
          </w:p>
        </w:tc>
        <w:tc>
          <w:tcPr>
            <w:tcW w:w="1255" w:type="dxa"/>
            <w:vAlign w:val="center"/>
          </w:tcPr>
          <w:p w14:paraId="04004A7D" w14:textId="77777777" w:rsidR="00B607BD" w:rsidRPr="00A06F1E" w:rsidRDefault="00B607BD" w:rsidP="006D2709">
            <w:pPr>
              <w:pStyle w:val="TableColHeadingCenter"/>
            </w:pPr>
            <w:r w:rsidRPr="00A06F1E">
              <w:t>2020</w:t>
            </w:r>
          </w:p>
        </w:tc>
        <w:tc>
          <w:tcPr>
            <w:tcW w:w="1254" w:type="dxa"/>
            <w:vAlign w:val="center"/>
          </w:tcPr>
          <w:p w14:paraId="1A364D11" w14:textId="77777777" w:rsidR="00B607BD" w:rsidRPr="00A06F1E" w:rsidRDefault="00B607BD" w:rsidP="006D2709">
            <w:pPr>
              <w:pStyle w:val="TableColHeadingCenter"/>
            </w:pPr>
            <w:r w:rsidRPr="00A06F1E">
              <w:t>2021</w:t>
            </w:r>
          </w:p>
        </w:tc>
        <w:tc>
          <w:tcPr>
            <w:tcW w:w="1255" w:type="dxa"/>
            <w:vAlign w:val="center"/>
          </w:tcPr>
          <w:p w14:paraId="30374CBC" w14:textId="77777777" w:rsidR="00B607BD" w:rsidRPr="00A06F1E" w:rsidRDefault="00B607BD" w:rsidP="006D2709">
            <w:pPr>
              <w:pStyle w:val="TableColHeadingCenter"/>
            </w:pPr>
            <w:r w:rsidRPr="00A06F1E">
              <w:t>2022</w:t>
            </w:r>
          </w:p>
        </w:tc>
        <w:tc>
          <w:tcPr>
            <w:tcW w:w="1255" w:type="dxa"/>
            <w:vAlign w:val="center"/>
          </w:tcPr>
          <w:p w14:paraId="54878DAE" w14:textId="77777777" w:rsidR="00B607BD" w:rsidRPr="00A06F1E" w:rsidRDefault="00B607BD" w:rsidP="006D2709">
            <w:pPr>
              <w:pStyle w:val="TableColHeadingCenter"/>
            </w:pPr>
            <w:r w:rsidRPr="00A06F1E">
              <w:t>State (2022)</w:t>
            </w:r>
          </w:p>
        </w:tc>
      </w:tr>
      <w:tr w:rsidR="00B607BD" w:rsidRPr="00A06F1E" w14:paraId="283F35B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50CC534" w14:textId="77777777" w:rsidR="00B607BD" w:rsidRPr="00A06F1E" w:rsidRDefault="00B607BD" w:rsidP="006D2709">
            <w:pPr>
              <w:pStyle w:val="TableText"/>
            </w:pPr>
            <w:r w:rsidRPr="00A06F1E">
              <w:lastRenderedPageBreak/>
              <w:t>All</w:t>
            </w:r>
          </w:p>
        </w:tc>
        <w:tc>
          <w:tcPr>
            <w:tcW w:w="1254" w:type="dxa"/>
          </w:tcPr>
          <w:p w14:paraId="35F636EE" w14:textId="77777777" w:rsidR="00B607BD" w:rsidRPr="00A06F1E" w:rsidRDefault="00B607BD" w:rsidP="006D2709">
            <w:pPr>
              <w:pStyle w:val="TableTextCentered"/>
            </w:pPr>
            <w:r w:rsidRPr="00A06F1E">
              <w:t>94</w:t>
            </w:r>
          </w:p>
        </w:tc>
        <w:tc>
          <w:tcPr>
            <w:tcW w:w="1255" w:type="dxa"/>
          </w:tcPr>
          <w:p w14:paraId="41A61689" w14:textId="77777777" w:rsidR="00B607BD" w:rsidRPr="00A06F1E" w:rsidRDefault="00B607BD" w:rsidP="006D2709">
            <w:pPr>
              <w:pStyle w:val="TableTextCentered"/>
            </w:pPr>
            <w:r w:rsidRPr="00A06F1E">
              <w:t>79.8</w:t>
            </w:r>
          </w:p>
        </w:tc>
        <w:tc>
          <w:tcPr>
            <w:tcW w:w="1254" w:type="dxa"/>
          </w:tcPr>
          <w:p w14:paraId="1BBB69F4" w14:textId="77777777" w:rsidR="00B607BD" w:rsidRPr="00A06F1E" w:rsidRDefault="00B607BD" w:rsidP="006D2709">
            <w:pPr>
              <w:pStyle w:val="TableTextCentered"/>
            </w:pPr>
            <w:r w:rsidRPr="00A06F1E">
              <w:t>90.2</w:t>
            </w:r>
          </w:p>
        </w:tc>
        <w:tc>
          <w:tcPr>
            <w:tcW w:w="1255" w:type="dxa"/>
          </w:tcPr>
          <w:p w14:paraId="7FDC637E" w14:textId="77777777" w:rsidR="00B607BD" w:rsidRPr="00A06F1E" w:rsidRDefault="00B607BD" w:rsidP="006D2709">
            <w:pPr>
              <w:pStyle w:val="TableTextCentered"/>
            </w:pPr>
            <w:r w:rsidRPr="00A06F1E">
              <w:t>80.9</w:t>
            </w:r>
          </w:p>
        </w:tc>
        <w:tc>
          <w:tcPr>
            <w:tcW w:w="1255" w:type="dxa"/>
          </w:tcPr>
          <w:p w14:paraId="44E1DF45" w14:textId="77777777" w:rsidR="00B607BD" w:rsidRPr="00A06F1E" w:rsidRDefault="00B607BD" w:rsidP="006D2709">
            <w:pPr>
              <w:pStyle w:val="TableTextCentered"/>
            </w:pPr>
            <w:r w:rsidRPr="00A06F1E">
              <w:t>90.1</w:t>
            </w:r>
          </w:p>
        </w:tc>
      </w:tr>
      <w:tr w:rsidR="00B607BD" w:rsidRPr="00A06F1E" w14:paraId="3BE2A77C" w14:textId="77777777">
        <w:trPr>
          <w:jc w:val="center"/>
        </w:trPr>
        <w:tc>
          <w:tcPr>
            <w:tcW w:w="3052" w:type="dxa"/>
          </w:tcPr>
          <w:p w14:paraId="1BFC19DA" w14:textId="77777777" w:rsidR="00B607BD" w:rsidRPr="00A06F1E" w:rsidRDefault="00B607BD" w:rsidP="006D2709">
            <w:pPr>
              <w:pStyle w:val="TableText"/>
            </w:pPr>
            <w:r w:rsidRPr="00A06F1E">
              <w:t>African American/Black</w:t>
            </w:r>
          </w:p>
        </w:tc>
        <w:tc>
          <w:tcPr>
            <w:tcW w:w="1254" w:type="dxa"/>
          </w:tcPr>
          <w:p w14:paraId="31788368" w14:textId="77777777" w:rsidR="00B607BD" w:rsidRPr="00A06F1E" w:rsidRDefault="00B607BD" w:rsidP="006D2709">
            <w:pPr>
              <w:pStyle w:val="TableTextCentered"/>
            </w:pPr>
            <w:r w:rsidRPr="00A06F1E">
              <w:t>2</w:t>
            </w:r>
          </w:p>
        </w:tc>
        <w:tc>
          <w:tcPr>
            <w:tcW w:w="1255" w:type="dxa"/>
          </w:tcPr>
          <w:p w14:paraId="775603FF" w14:textId="0D709B6C" w:rsidR="00B607BD" w:rsidRPr="00A06F1E" w:rsidRDefault="00805266" w:rsidP="006D2709">
            <w:pPr>
              <w:pStyle w:val="TableTextCentered"/>
            </w:pPr>
            <w:r w:rsidRPr="00A06F1E">
              <w:t>—</w:t>
            </w:r>
          </w:p>
        </w:tc>
        <w:tc>
          <w:tcPr>
            <w:tcW w:w="1254" w:type="dxa"/>
          </w:tcPr>
          <w:p w14:paraId="39E437F6" w14:textId="34073515" w:rsidR="00B607BD" w:rsidRPr="00A06F1E" w:rsidRDefault="00805266" w:rsidP="006D2709">
            <w:pPr>
              <w:pStyle w:val="TableTextCentered"/>
            </w:pPr>
            <w:r w:rsidRPr="00A06F1E">
              <w:t>—</w:t>
            </w:r>
          </w:p>
        </w:tc>
        <w:tc>
          <w:tcPr>
            <w:tcW w:w="1255" w:type="dxa"/>
          </w:tcPr>
          <w:p w14:paraId="0343A89F" w14:textId="138C3EF9" w:rsidR="00B607BD" w:rsidRPr="00A06F1E" w:rsidRDefault="00805266" w:rsidP="006D2709">
            <w:pPr>
              <w:pStyle w:val="TableTextCentered"/>
            </w:pPr>
            <w:r w:rsidRPr="00A06F1E">
              <w:t>—</w:t>
            </w:r>
          </w:p>
        </w:tc>
        <w:tc>
          <w:tcPr>
            <w:tcW w:w="1255" w:type="dxa"/>
          </w:tcPr>
          <w:p w14:paraId="55A87D7A" w14:textId="77777777" w:rsidR="00B607BD" w:rsidRPr="00A06F1E" w:rsidRDefault="00B607BD" w:rsidP="006D2709">
            <w:pPr>
              <w:pStyle w:val="TableTextCentered"/>
            </w:pPr>
            <w:r w:rsidRPr="00A06F1E">
              <w:t>86.2</w:t>
            </w:r>
          </w:p>
        </w:tc>
      </w:tr>
      <w:tr w:rsidR="00B607BD" w:rsidRPr="00A06F1E" w14:paraId="441DE54D"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1401BB0" w14:textId="77777777" w:rsidR="00B607BD" w:rsidRPr="00A06F1E" w:rsidRDefault="00B607BD" w:rsidP="006D2709">
            <w:pPr>
              <w:pStyle w:val="TableText"/>
            </w:pPr>
            <w:r w:rsidRPr="00A06F1E">
              <w:t>Asian</w:t>
            </w:r>
          </w:p>
        </w:tc>
        <w:tc>
          <w:tcPr>
            <w:tcW w:w="1254" w:type="dxa"/>
          </w:tcPr>
          <w:p w14:paraId="1372E809" w14:textId="77777777" w:rsidR="00B607BD" w:rsidRPr="00A06F1E" w:rsidRDefault="00B607BD" w:rsidP="006D2709">
            <w:pPr>
              <w:pStyle w:val="TableTextCentered"/>
            </w:pPr>
            <w:r w:rsidRPr="00A06F1E">
              <w:t>1</w:t>
            </w:r>
          </w:p>
        </w:tc>
        <w:tc>
          <w:tcPr>
            <w:tcW w:w="1255" w:type="dxa"/>
          </w:tcPr>
          <w:p w14:paraId="3A3C647B" w14:textId="06588FDB" w:rsidR="00B607BD" w:rsidRPr="00A06F1E" w:rsidRDefault="00805266" w:rsidP="006D2709">
            <w:pPr>
              <w:pStyle w:val="TableTextCentered"/>
            </w:pPr>
            <w:r w:rsidRPr="00A06F1E">
              <w:t>—</w:t>
            </w:r>
          </w:p>
        </w:tc>
        <w:tc>
          <w:tcPr>
            <w:tcW w:w="1254" w:type="dxa"/>
          </w:tcPr>
          <w:p w14:paraId="39E7A567" w14:textId="0E937D48" w:rsidR="00B607BD" w:rsidRPr="00A06F1E" w:rsidRDefault="00805266" w:rsidP="006D2709">
            <w:pPr>
              <w:pStyle w:val="TableTextCentered"/>
            </w:pPr>
            <w:r w:rsidRPr="00A06F1E">
              <w:t>—</w:t>
            </w:r>
          </w:p>
        </w:tc>
        <w:tc>
          <w:tcPr>
            <w:tcW w:w="1255" w:type="dxa"/>
          </w:tcPr>
          <w:p w14:paraId="06C132FE" w14:textId="4B39F9E3" w:rsidR="00B607BD" w:rsidRPr="00A06F1E" w:rsidRDefault="00805266" w:rsidP="006D2709">
            <w:pPr>
              <w:pStyle w:val="TableTextCentered"/>
            </w:pPr>
            <w:r w:rsidRPr="00A06F1E">
              <w:t>—</w:t>
            </w:r>
          </w:p>
        </w:tc>
        <w:tc>
          <w:tcPr>
            <w:tcW w:w="1255" w:type="dxa"/>
          </w:tcPr>
          <w:p w14:paraId="3CCDF432" w14:textId="77777777" w:rsidR="00B607BD" w:rsidRPr="00A06F1E" w:rsidRDefault="00B607BD" w:rsidP="006D2709">
            <w:pPr>
              <w:pStyle w:val="TableTextCentered"/>
            </w:pPr>
            <w:r w:rsidRPr="00A06F1E">
              <w:t>96.2</w:t>
            </w:r>
          </w:p>
        </w:tc>
      </w:tr>
      <w:tr w:rsidR="00B607BD" w:rsidRPr="00A06F1E" w14:paraId="74AF36E1" w14:textId="77777777">
        <w:trPr>
          <w:jc w:val="center"/>
        </w:trPr>
        <w:tc>
          <w:tcPr>
            <w:tcW w:w="3052" w:type="dxa"/>
          </w:tcPr>
          <w:p w14:paraId="49F28B38" w14:textId="77777777" w:rsidR="00B607BD" w:rsidRPr="00A06F1E" w:rsidRDefault="00B607BD" w:rsidP="006D2709">
            <w:pPr>
              <w:pStyle w:val="TableText"/>
            </w:pPr>
            <w:r w:rsidRPr="00A06F1E">
              <w:t>Hispanic/Latino</w:t>
            </w:r>
          </w:p>
        </w:tc>
        <w:tc>
          <w:tcPr>
            <w:tcW w:w="1254" w:type="dxa"/>
          </w:tcPr>
          <w:p w14:paraId="78D3D1C9" w14:textId="77777777" w:rsidR="00B607BD" w:rsidRPr="00A06F1E" w:rsidRDefault="00B607BD" w:rsidP="006D2709">
            <w:pPr>
              <w:pStyle w:val="TableTextCentered"/>
            </w:pPr>
            <w:r w:rsidRPr="00A06F1E">
              <w:t>1</w:t>
            </w:r>
          </w:p>
        </w:tc>
        <w:tc>
          <w:tcPr>
            <w:tcW w:w="1255" w:type="dxa"/>
          </w:tcPr>
          <w:p w14:paraId="7124022E" w14:textId="77777777" w:rsidR="00B607BD" w:rsidRPr="00A06F1E" w:rsidRDefault="00B607BD" w:rsidP="006D2709">
            <w:pPr>
              <w:pStyle w:val="TableTextCentered"/>
            </w:pPr>
            <w:r w:rsidRPr="00A06F1E">
              <w:t>100</w:t>
            </w:r>
          </w:p>
        </w:tc>
        <w:tc>
          <w:tcPr>
            <w:tcW w:w="1254" w:type="dxa"/>
          </w:tcPr>
          <w:p w14:paraId="0D7489C9" w14:textId="77777777" w:rsidR="00B607BD" w:rsidRPr="00A06F1E" w:rsidRDefault="00B607BD" w:rsidP="006D2709">
            <w:pPr>
              <w:pStyle w:val="TableTextCentered"/>
            </w:pPr>
            <w:r w:rsidRPr="00A06F1E">
              <w:t>78.6</w:t>
            </w:r>
          </w:p>
        </w:tc>
        <w:tc>
          <w:tcPr>
            <w:tcW w:w="1255" w:type="dxa"/>
          </w:tcPr>
          <w:p w14:paraId="4AD6AD39" w14:textId="0A34654A" w:rsidR="00B607BD" w:rsidRPr="00A06F1E" w:rsidRDefault="00805266" w:rsidP="006D2709">
            <w:pPr>
              <w:pStyle w:val="TableTextCentered"/>
            </w:pPr>
            <w:r w:rsidRPr="00A06F1E">
              <w:t>—</w:t>
            </w:r>
          </w:p>
        </w:tc>
        <w:tc>
          <w:tcPr>
            <w:tcW w:w="1255" w:type="dxa"/>
          </w:tcPr>
          <w:p w14:paraId="28C04F4E" w14:textId="77777777" w:rsidR="00B607BD" w:rsidRPr="00A06F1E" w:rsidRDefault="00B607BD" w:rsidP="006D2709">
            <w:pPr>
              <w:pStyle w:val="TableTextCentered"/>
            </w:pPr>
            <w:r w:rsidRPr="00A06F1E">
              <w:t>81.2</w:t>
            </w:r>
          </w:p>
        </w:tc>
      </w:tr>
      <w:tr w:rsidR="00B607BD" w:rsidRPr="00A06F1E" w14:paraId="1B04935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0D943E3" w14:textId="77777777" w:rsidR="00B607BD" w:rsidRPr="00A06F1E" w:rsidRDefault="00B607BD" w:rsidP="006D2709">
            <w:pPr>
              <w:pStyle w:val="TableText"/>
            </w:pPr>
            <w:r w:rsidRPr="00A06F1E">
              <w:rPr>
                <w:rFonts w:cstheme="minorHAnsi"/>
              </w:rPr>
              <w:t>Multi-Race, non-Hispanic/Latino</w:t>
            </w:r>
          </w:p>
        </w:tc>
        <w:tc>
          <w:tcPr>
            <w:tcW w:w="1254" w:type="dxa"/>
          </w:tcPr>
          <w:p w14:paraId="2A0E0F8B" w14:textId="77777777" w:rsidR="00B607BD" w:rsidRPr="00A06F1E" w:rsidRDefault="00B607BD" w:rsidP="006D2709">
            <w:pPr>
              <w:pStyle w:val="TableTextCentered"/>
            </w:pPr>
            <w:r w:rsidRPr="00A06F1E">
              <w:t>8</w:t>
            </w:r>
          </w:p>
        </w:tc>
        <w:tc>
          <w:tcPr>
            <w:tcW w:w="1255" w:type="dxa"/>
          </w:tcPr>
          <w:p w14:paraId="78770430" w14:textId="171E89F9" w:rsidR="00B607BD" w:rsidRPr="00A06F1E" w:rsidRDefault="00805266" w:rsidP="006D2709">
            <w:pPr>
              <w:pStyle w:val="TableTextCentered"/>
            </w:pPr>
            <w:r w:rsidRPr="00A06F1E">
              <w:t>—</w:t>
            </w:r>
          </w:p>
        </w:tc>
        <w:tc>
          <w:tcPr>
            <w:tcW w:w="1254" w:type="dxa"/>
          </w:tcPr>
          <w:p w14:paraId="08E88FBA" w14:textId="77777777" w:rsidR="00B607BD" w:rsidRPr="00A06F1E" w:rsidRDefault="00B607BD" w:rsidP="006D2709">
            <w:pPr>
              <w:pStyle w:val="TableTextCentered"/>
            </w:pPr>
            <w:r w:rsidRPr="00A06F1E">
              <w:t>83.3</w:t>
            </w:r>
          </w:p>
        </w:tc>
        <w:tc>
          <w:tcPr>
            <w:tcW w:w="1255" w:type="dxa"/>
          </w:tcPr>
          <w:p w14:paraId="5CDE8C30" w14:textId="77777777" w:rsidR="00B607BD" w:rsidRPr="00A06F1E" w:rsidRDefault="00B607BD" w:rsidP="006D2709">
            <w:pPr>
              <w:pStyle w:val="TableTextCentered"/>
            </w:pPr>
            <w:r w:rsidRPr="00A06F1E">
              <w:t>62.5</w:t>
            </w:r>
          </w:p>
        </w:tc>
        <w:tc>
          <w:tcPr>
            <w:tcW w:w="1255" w:type="dxa"/>
          </w:tcPr>
          <w:p w14:paraId="60B5016D" w14:textId="77777777" w:rsidR="00B607BD" w:rsidRPr="00A06F1E" w:rsidRDefault="00B607BD" w:rsidP="006D2709">
            <w:pPr>
              <w:pStyle w:val="TableTextCentered"/>
            </w:pPr>
            <w:r w:rsidRPr="00A06F1E">
              <w:t>88.7</w:t>
            </w:r>
          </w:p>
        </w:tc>
      </w:tr>
      <w:tr w:rsidR="00B607BD" w:rsidRPr="00A06F1E" w14:paraId="3980E5BD" w14:textId="77777777">
        <w:trPr>
          <w:jc w:val="center"/>
        </w:trPr>
        <w:tc>
          <w:tcPr>
            <w:tcW w:w="3052" w:type="dxa"/>
          </w:tcPr>
          <w:p w14:paraId="1994EA77" w14:textId="77777777" w:rsidR="00B607BD" w:rsidRPr="00A06F1E" w:rsidRDefault="00B607BD" w:rsidP="006D2709">
            <w:pPr>
              <w:pStyle w:val="TableText"/>
            </w:pPr>
            <w:r w:rsidRPr="00A06F1E">
              <w:t>Native American</w:t>
            </w:r>
          </w:p>
        </w:tc>
        <w:tc>
          <w:tcPr>
            <w:tcW w:w="1254" w:type="dxa"/>
          </w:tcPr>
          <w:p w14:paraId="00F38EC2" w14:textId="099FD0E1" w:rsidR="00B607BD" w:rsidRPr="00A06F1E" w:rsidRDefault="00805266" w:rsidP="006D2709">
            <w:pPr>
              <w:pStyle w:val="TableTextCentered"/>
            </w:pPr>
            <w:r w:rsidRPr="00A06F1E">
              <w:t>—</w:t>
            </w:r>
          </w:p>
        </w:tc>
        <w:tc>
          <w:tcPr>
            <w:tcW w:w="1255" w:type="dxa"/>
          </w:tcPr>
          <w:p w14:paraId="1AB84C72" w14:textId="531CFCC9" w:rsidR="00B607BD" w:rsidRPr="00A06F1E" w:rsidRDefault="00805266" w:rsidP="006D2709">
            <w:pPr>
              <w:pStyle w:val="TableTextCentered"/>
            </w:pPr>
            <w:r w:rsidRPr="00A06F1E">
              <w:t>—</w:t>
            </w:r>
          </w:p>
        </w:tc>
        <w:tc>
          <w:tcPr>
            <w:tcW w:w="1254" w:type="dxa"/>
          </w:tcPr>
          <w:p w14:paraId="2B596C16" w14:textId="1A1A9BF0" w:rsidR="00B607BD" w:rsidRPr="00A06F1E" w:rsidRDefault="00805266" w:rsidP="006D2709">
            <w:pPr>
              <w:pStyle w:val="TableTextCentered"/>
            </w:pPr>
            <w:r w:rsidRPr="00A06F1E">
              <w:t>—</w:t>
            </w:r>
          </w:p>
        </w:tc>
        <w:tc>
          <w:tcPr>
            <w:tcW w:w="1255" w:type="dxa"/>
          </w:tcPr>
          <w:p w14:paraId="20944F97" w14:textId="09DD15C4" w:rsidR="00B607BD" w:rsidRPr="00A06F1E" w:rsidRDefault="00805266" w:rsidP="006D2709">
            <w:pPr>
              <w:pStyle w:val="TableTextCentered"/>
            </w:pPr>
            <w:r w:rsidRPr="00A06F1E">
              <w:t>—</w:t>
            </w:r>
          </w:p>
        </w:tc>
        <w:tc>
          <w:tcPr>
            <w:tcW w:w="1255" w:type="dxa"/>
          </w:tcPr>
          <w:p w14:paraId="74BE098A" w14:textId="77777777" w:rsidR="00B607BD" w:rsidRPr="00A06F1E" w:rsidRDefault="00B607BD" w:rsidP="006D2709">
            <w:pPr>
              <w:pStyle w:val="TableTextCentered"/>
            </w:pPr>
            <w:r w:rsidRPr="00A06F1E">
              <w:t>82.2</w:t>
            </w:r>
          </w:p>
        </w:tc>
      </w:tr>
      <w:tr w:rsidR="00B607BD" w:rsidRPr="00A06F1E" w14:paraId="1388F3F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0FA436D" w14:textId="77777777" w:rsidR="00B607BD" w:rsidRPr="00A06F1E" w:rsidRDefault="00B607BD" w:rsidP="006D2709">
            <w:pPr>
              <w:pStyle w:val="TableText"/>
            </w:pPr>
            <w:r w:rsidRPr="00A06F1E">
              <w:rPr>
                <w:rFonts w:eastAsia="Times New Roman"/>
                <w:spacing w:val="-4"/>
              </w:rPr>
              <w:t>Native Hawaiian, Pacific Islander</w:t>
            </w:r>
          </w:p>
        </w:tc>
        <w:tc>
          <w:tcPr>
            <w:tcW w:w="1254" w:type="dxa"/>
          </w:tcPr>
          <w:p w14:paraId="3BF9762E" w14:textId="0198AFF0" w:rsidR="00B607BD" w:rsidRPr="00A06F1E" w:rsidRDefault="00805266" w:rsidP="006D2709">
            <w:pPr>
              <w:pStyle w:val="TableTextCentered"/>
            </w:pPr>
            <w:r w:rsidRPr="00A06F1E">
              <w:t>—</w:t>
            </w:r>
          </w:p>
        </w:tc>
        <w:tc>
          <w:tcPr>
            <w:tcW w:w="1255" w:type="dxa"/>
          </w:tcPr>
          <w:p w14:paraId="6C37846C" w14:textId="59A23259" w:rsidR="00B607BD" w:rsidRPr="00A06F1E" w:rsidRDefault="00805266" w:rsidP="006D2709">
            <w:pPr>
              <w:pStyle w:val="TableTextCentered"/>
            </w:pPr>
            <w:r w:rsidRPr="00A06F1E">
              <w:t>—</w:t>
            </w:r>
          </w:p>
        </w:tc>
        <w:tc>
          <w:tcPr>
            <w:tcW w:w="1254" w:type="dxa"/>
          </w:tcPr>
          <w:p w14:paraId="28E0088A" w14:textId="3E7267F6" w:rsidR="00B607BD" w:rsidRPr="00A06F1E" w:rsidRDefault="00805266" w:rsidP="006D2709">
            <w:pPr>
              <w:pStyle w:val="TableTextCentered"/>
            </w:pPr>
            <w:r w:rsidRPr="00A06F1E">
              <w:t>—</w:t>
            </w:r>
          </w:p>
        </w:tc>
        <w:tc>
          <w:tcPr>
            <w:tcW w:w="1255" w:type="dxa"/>
          </w:tcPr>
          <w:p w14:paraId="35B45FCA" w14:textId="460B0F53" w:rsidR="00B607BD" w:rsidRPr="00A06F1E" w:rsidRDefault="00805266" w:rsidP="006D2709">
            <w:pPr>
              <w:pStyle w:val="TableTextCentered"/>
            </w:pPr>
            <w:r w:rsidRPr="00A06F1E">
              <w:t>—</w:t>
            </w:r>
          </w:p>
        </w:tc>
        <w:tc>
          <w:tcPr>
            <w:tcW w:w="1255" w:type="dxa"/>
          </w:tcPr>
          <w:p w14:paraId="63CB9110" w14:textId="77777777" w:rsidR="00B607BD" w:rsidRPr="00A06F1E" w:rsidRDefault="00B607BD" w:rsidP="006D2709">
            <w:pPr>
              <w:pStyle w:val="TableTextCentered"/>
            </w:pPr>
            <w:r w:rsidRPr="00A06F1E">
              <w:t>81.3</w:t>
            </w:r>
          </w:p>
        </w:tc>
      </w:tr>
      <w:tr w:rsidR="00B607BD" w:rsidRPr="00A06F1E" w14:paraId="03B352A6" w14:textId="77777777">
        <w:trPr>
          <w:jc w:val="center"/>
        </w:trPr>
        <w:tc>
          <w:tcPr>
            <w:tcW w:w="3052" w:type="dxa"/>
          </w:tcPr>
          <w:p w14:paraId="080547AB" w14:textId="77777777" w:rsidR="00B607BD" w:rsidRPr="00A06F1E" w:rsidRDefault="00B607BD" w:rsidP="006D2709">
            <w:pPr>
              <w:pStyle w:val="TableText"/>
            </w:pPr>
            <w:r w:rsidRPr="00A06F1E">
              <w:t>White</w:t>
            </w:r>
          </w:p>
        </w:tc>
        <w:tc>
          <w:tcPr>
            <w:tcW w:w="1254" w:type="dxa"/>
          </w:tcPr>
          <w:p w14:paraId="4D9B3048" w14:textId="77777777" w:rsidR="00B607BD" w:rsidRPr="00A06F1E" w:rsidRDefault="00B607BD" w:rsidP="006D2709">
            <w:pPr>
              <w:pStyle w:val="TableTextCentered"/>
            </w:pPr>
            <w:r w:rsidRPr="00A06F1E">
              <w:t>82</w:t>
            </w:r>
          </w:p>
        </w:tc>
        <w:tc>
          <w:tcPr>
            <w:tcW w:w="1255" w:type="dxa"/>
          </w:tcPr>
          <w:p w14:paraId="559806BB" w14:textId="77777777" w:rsidR="00B607BD" w:rsidRPr="00A06F1E" w:rsidRDefault="00B607BD" w:rsidP="006D2709">
            <w:pPr>
              <w:pStyle w:val="TableTextCentered"/>
            </w:pPr>
            <w:r w:rsidRPr="00A06F1E">
              <w:t>77.6</w:t>
            </w:r>
          </w:p>
        </w:tc>
        <w:tc>
          <w:tcPr>
            <w:tcW w:w="1254" w:type="dxa"/>
          </w:tcPr>
          <w:p w14:paraId="44472633" w14:textId="77777777" w:rsidR="00B607BD" w:rsidRPr="00A06F1E" w:rsidRDefault="00B607BD" w:rsidP="006D2709">
            <w:pPr>
              <w:pStyle w:val="TableTextCentered"/>
            </w:pPr>
            <w:r w:rsidRPr="00A06F1E">
              <w:t>92.0</w:t>
            </w:r>
          </w:p>
        </w:tc>
        <w:tc>
          <w:tcPr>
            <w:tcW w:w="1255" w:type="dxa"/>
          </w:tcPr>
          <w:p w14:paraId="78914C70" w14:textId="77777777" w:rsidR="00B607BD" w:rsidRPr="00A06F1E" w:rsidRDefault="00B607BD" w:rsidP="006D2709">
            <w:pPr>
              <w:pStyle w:val="TableTextCentered"/>
            </w:pPr>
            <w:r w:rsidRPr="00A06F1E">
              <w:t>85.4</w:t>
            </w:r>
          </w:p>
        </w:tc>
        <w:tc>
          <w:tcPr>
            <w:tcW w:w="1255" w:type="dxa"/>
          </w:tcPr>
          <w:p w14:paraId="792E63B0" w14:textId="77777777" w:rsidR="00B607BD" w:rsidRPr="00A06F1E" w:rsidRDefault="00B607BD" w:rsidP="006D2709">
            <w:pPr>
              <w:pStyle w:val="TableTextCentered"/>
            </w:pPr>
            <w:r w:rsidRPr="00A06F1E">
              <w:t>93.2</w:t>
            </w:r>
          </w:p>
        </w:tc>
      </w:tr>
      <w:tr w:rsidR="00B607BD" w:rsidRPr="00A06F1E" w14:paraId="38F2A847"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1765996" w14:textId="77777777" w:rsidR="00B607BD" w:rsidRPr="00A06F1E" w:rsidRDefault="00B607BD" w:rsidP="006D2709">
            <w:pPr>
              <w:pStyle w:val="TableText"/>
            </w:pPr>
            <w:r w:rsidRPr="00A06F1E">
              <w:t>High needs</w:t>
            </w:r>
          </w:p>
        </w:tc>
        <w:tc>
          <w:tcPr>
            <w:tcW w:w="1254" w:type="dxa"/>
          </w:tcPr>
          <w:p w14:paraId="04579A93" w14:textId="77777777" w:rsidR="00B607BD" w:rsidRPr="00A06F1E" w:rsidRDefault="00B607BD" w:rsidP="006D2709">
            <w:pPr>
              <w:pStyle w:val="TableTextCentered"/>
            </w:pPr>
            <w:r w:rsidRPr="00A06F1E">
              <w:t>68</w:t>
            </w:r>
          </w:p>
        </w:tc>
        <w:tc>
          <w:tcPr>
            <w:tcW w:w="1255" w:type="dxa"/>
          </w:tcPr>
          <w:p w14:paraId="2FD1AD07" w14:textId="77777777" w:rsidR="00B607BD" w:rsidRPr="00A06F1E" w:rsidRDefault="00B607BD" w:rsidP="006D2709">
            <w:pPr>
              <w:pStyle w:val="TableTextCentered"/>
            </w:pPr>
            <w:r w:rsidRPr="00A06F1E">
              <w:t>76.7</w:t>
            </w:r>
          </w:p>
        </w:tc>
        <w:tc>
          <w:tcPr>
            <w:tcW w:w="1254" w:type="dxa"/>
          </w:tcPr>
          <w:p w14:paraId="19E7C527" w14:textId="77777777" w:rsidR="00B607BD" w:rsidRPr="00A06F1E" w:rsidRDefault="00B607BD" w:rsidP="006D2709">
            <w:pPr>
              <w:pStyle w:val="TableTextCentered"/>
            </w:pPr>
            <w:r w:rsidRPr="00A06F1E">
              <w:t>84.4</w:t>
            </w:r>
          </w:p>
        </w:tc>
        <w:tc>
          <w:tcPr>
            <w:tcW w:w="1255" w:type="dxa"/>
          </w:tcPr>
          <w:p w14:paraId="6B833A50" w14:textId="77777777" w:rsidR="00B607BD" w:rsidRPr="00A06F1E" w:rsidRDefault="00B607BD" w:rsidP="006D2709">
            <w:pPr>
              <w:pStyle w:val="TableTextCentered"/>
            </w:pPr>
            <w:r w:rsidRPr="00A06F1E">
              <w:t>73.5</w:t>
            </w:r>
          </w:p>
        </w:tc>
        <w:tc>
          <w:tcPr>
            <w:tcW w:w="1255" w:type="dxa"/>
          </w:tcPr>
          <w:p w14:paraId="24610467" w14:textId="77777777" w:rsidR="00B607BD" w:rsidRPr="00A06F1E" w:rsidRDefault="00B607BD" w:rsidP="006D2709">
            <w:pPr>
              <w:pStyle w:val="TableTextCentered"/>
            </w:pPr>
            <w:r w:rsidRPr="00A06F1E">
              <w:t>83.9</w:t>
            </w:r>
          </w:p>
        </w:tc>
      </w:tr>
      <w:tr w:rsidR="00B607BD" w:rsidRPr="00A06F1E" w14:paraId="081C065C" w14:textId="77777777">
        <w:trPr>
          <w:jc w:val="center"/>
        </w:trPr>
        <w:tc>
          <w:tcPr>
            <w:tcW w:w="3052" w:type="dxa"/>
          </w:tcPr>
          <w:p w14:paraId="502E82DC" w14:textId="77777777" w:rsidR="00B607BD" w:rsidRPr="00A06F1E" w:rsidRDefault="00B607BD" w:rsidP="006D2709">
            <w:pPr>
              <w:pStyle w:val="TableText"/>
            </w:pPr>
            <w:r w:rsidRPr="00A06F1E">
              <w:t>Low income</w:t>
            </w:r>
          </w:p>
        </w:tc>
        <w:tc>
          <w:tcPr>
            <w:tcW w:w="1254" w:type="dxa"/>
          </w:tcPr>
          <w:p w14:paraId="235F0E4F" w14:textId="77777777" w:rsidR="00B607BD" w:rsidRPr="00A06F1E" w:rsidRDefault="00B607BD" w:rsidP="006D2709">
            <w:pPr>
              <w:pStyle w:val="TableTextCentered"/>
            </w:pPr>
            <w:r w:rsidRPr="00A06F1E">
              <w:t>64</w:t>
            </w:r>
          </w:p>
        </w:tc>
        <w:tc>
          <w:tcPr>
            <w:tcW w:w="1255" w:type="dxa"/>
          </w:tcPr>
          <w:p w14:paraId="10B4C51E" w14:textId="77777777" w:rsidR="00B607BD" w:rsidRPr="00A06F1E" w:rsidRDefault="00B607BD" w:rsidP="006D2709">
            <w:pPr>
              <w:pStyle w:val="TableTextCentered"/>
            </w:pPr>
            <w:r w:rsidRPr="00A06F1E">
              <w:t>77.8</w:t>
            </w:r>
          </w:p>
        </w:tc>
        <w:tc>
          <w:tcPr>
            <w:tcW w:w="1254" w:type="dxa"/>
          </w:tcPr>
          <w:p w14:paraId="01FAD044" w14:textId="77777777" w:rsidR="00B607BD" w:rsidRPr="00A06F1E" w:rsidRDefault="00B607BD" w:rsidP="006D2709">
            <w:pPr>
              <w:pStyle w:val="TableTextCentered"/>
            </w:pPr>
            <w:r w:rsidRPr="00A06F1E">
              <w:t>83.9</w:t>
            </w:r>
          </w:p>
        </w:tc>
        <w:tc>
          <w:tcPr>
            <w:tcW w:w="1255" w:type="dxa"/>
          </w:tcPr>
          <w:p w14:paraId="0E14754E" w14:textId="77777777" w:rsidR="00B607BD" w:rsidRPr="00A06F1E" w:rsidRDefault="00B607BD" w:rsidP="006D2709">
            <w:pPr>
              <w:pStyle w:val="TableTextCentered"/>
            </w:pPr>
            <w:r w:rsidRPr="00A06F1E">
              <w:t>75.0</w:t>
            </w:r>
          </w:p>
        </w:tc>
        <w:tc>
          <w:tcPr>
            <w:tcW w:w="1255" w:type="dxa"/>
          </w:tcPr>
          <w:p w14:paraId="41E4F872" w14:textId="77777777" w:rsidR="00B607BD" w:rsidRPr="00A06F1E" w:rsidRDefault="00B607BD" w:rsidP="006D2709">
            <w:pPr>
              <w:pStyle w:val="TableTextCentered"/>
            </w:pPr>
            <w:r w:rsidRPr="00A06F1E">
              <w:t>83.2</w:t>
            </w:r>
          </w:p>
        </w:tc>
      </w:tr>
      <w:tr w:rsidR="00B607BD" w:rsidRPr="00A06F1E" w14:paraId="2F3DB9BD"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62C9BD7" w14:textId="19D7D921" w:rsidR="00B607BD" w:rsidRPr="00A06F1E" w:rsidRDefault="009E35D3" w:rsidP="006D2709">
            <w:pPr>
              <w:pStyle w:val="TableText"/>
            </w:pPr>
            <w:r w:rsidRPr="00A06F1E">
              <w:rPr>
                <w:spacing w:val="-4"/>
              </w:rPr>
              <w:t>E</w:t>
            </w:r>
            <w:r>
              <w:rPr>
                <w:spacing w:val="-4"/>
              </w:rPr>
              <w:t>nglish learners</w:t>
            </w:r>
          </w:p>
        </w:tc>
        <w:tc>
          <w:tcPr>
            <w:tcW w:w="1254" w:type="dxa"/>
          </w:tcPr>
          <w:p w14:paraId="68634538" w14:textId="77777777" w:rsidR="00B607BD" w:rsidRPr="00A06F1E" w:rsidRDefault="00B607BD" w:rsidP="006D2709">
            <w:pPr>
              <w:pStyle w:val="TableTextCentered"/>
            </w:pPr>
            <w:r w:rsidRPr="00A06F1E">
              <w:t>1</w:t>
            </w:r>
          </w:p>
        </w:tc>
        <w:tc>
          <w:tcPr>
            <w:tcW w:w="1255" w:type="dxa"/>
          </w:tcPr>
          <w:p w14:paraId="43636570" w14:textId="77777777" w:rsidR="00B607BD" w:rsidRPr="00A06F1E" w:rsidRDefault="00B607BD" w:rsidP="006D2709">
            <w:pPr>
              <w:pStyle w:val="TableTextCentered"/>
            </w:pPr>
            <w:r w:rsidRPr="00A06F1E">
              <w:t>100</w:t>
            </w:r>
          </w:p>
        </w:tc>
        <w:tc>
          <w:tcPr>
            <w:tcW w:w="1254" w:type="dxa"/>
          </w:tcPr>
          <w:p w14:paraId="57374956" w14:textId="0E0E4D0B" w:rsidR="00B607BD" w:rsidRPr="00A06F1E" w:rsidRDefault="00805266" w:rsidP="006D2709">
            <w:pPr>
              <w:pStyle w:val="TableTextCentered"/>
            </w:pPr>
            <w:r w:rsidRPr="00A06F1E">
              <w:t>—</w:t>
            </w:r>
          </w:p>
        </w:tc>
        <w:tc>
          <w:tcPr>
            <w:tcW w:w="1255" w:type="dxa"/>
          </w:tcPr>
          <w:p w14:paraId="7F05454D" w14:textId="55AE5B8A" w:rsidR="00B607BD" w:rsidRPr="00A06F1E" w:rsidRDefault="00805266" w:rsidP="006D2709">
            <w:pPr>
              <w:pStyle w:val="TableTextCentered"/>
            </w:pPr>
            <w:r w:rsidRPr="00A06F1E">
              <w:t>—</w:t>
            </w:r>
          </w:p>
        </w:tc>
        <w:tc>
          <w:tcPr>
            <w:tcW w:w="1255" w:type="dxa"/>
          </w:tcPr>
          <w:p w14:paraId="08408BBE" w14:textId="77777777" w:rsidR="00B607BD" w:rsidRPr="00A06F1E" w:rsidRDefault="00B607BD" w:rsidP="006D2709">
            <w:pPr>
              <w:pStyle w:val="TableTextCentered"/>
            </w:pPr>
            <w:r w:rsidRPr="00A06F1E">
              <w:t>73.1</w:t>
            </w:r>
          </w:p>
        </w:tc>
      </w:tr>
      <w:tr w:rsidR="00B607BD" w:rsidRPr="00A06F1E" w14:paraId="3E2EEDAA" w14:textId="77777777">
        <w:trPr>
          <w:jc w:val="center"/>
        </w:trPr>
        <w:tc>
          <w:tcPr>
            <w:tcW w:w="3052" w:type="dxa"/>
          </w:tcPr>
          <w:p w14:paraId="6E0B4699" w14:textId="77777777" w:rsidR="00B607BD" w:rsidRPr="00A06F1E" w:rsidRDefault="00B607BD" w:rsidP="006D2709">
            <w:pPr>
              <w:pStyle w:val="TableText"/>
            </w:pPr>
            <w:r w:rsidRPr="00A06F1E">
              <w:t>Students w/disabilities</w:t>
            </w:r>
          </w:p>
        </w:tc>
        <w:tc>
          <w:tcPr>
            <w:tcW w:w="1254" w:type="dxa"/>
          </w:tcPr>
          <w:p w14:paraId="41A04B9A" w14:textId="77777777" w:rsidR="00B607BD" w:rsidRPr="00A06F1E" w:rsidRDefault="00B607BD" w:rsidP="006D2709">
            <w:pPr>
              <w:pStyle w:val="TableTextCentered"/>
            </w:pPr>
            <w:r w:rsidRPr="00A06F1E">
              <w:t>19</w:t>
            </w:r>
          </w:p>
        </w:tc>
        <w:tc>
          <w:tcPr>
            <w:tcW w:w="1255" w:type="dxa"/>
          </w:tcPr>
          <w:p w14:paraId="3D811BB3" w14:textId="77777777" w:rsidR="00B607BD" w:rsidRPr="00A06F1E" w:rsidRDefault="00B607BD" w:rsidP="006D2709">
            <w:pPr>
              <w:pStyle w:val="TableTextCentered"/>
            </w:pPr>
            <w:r w:rsidRPr="00A06F1E">
              <w:t>53.6</w:t>
            </w:r>
          </w:p>
        </w:tc>
        <w:tc>
          <w:tcPr>
            <w:tcW w:w="1254" w:type="dxa"/>
          </w:tcPr>
          <w:p w14:paraId="1D108A2E" w14:textId="77777777" w:rsidR="00B607BD" w:rsidRPr="00A06F1E" w:rsidRDefault="00B607BD" w:rsidP="006D2709">
            <w:pPr>
              <w:pStyle w:val="TableTextCentered"/>
            </w:pPr>
            <w:r w:rsidRPr="00A06F1E">
              <w:t>82.6</w:t>
            </w:r>
          </w:p>
        </w:tc>
        <w:tc>
          <w:tcPr>
            <w:tcW w:w="1255" w:type="dxa"/>
          </w:tcPr>
          <w:p w14:paraId="1E91CC9F" w14:textId="77777777" w:rsidR="00B607BD" w:rsidRPr="00A06F1E" w:rsidRDefault="00B607BD" w:rsidP="006D2709">
            <w:pPr>
              <w:pStyle w:val="TableTextCentered"/>
            </w:pPr>
            <w:r w:rsidRPr="00A06F1E">
              <w:t>52.6</w:t>
            </w:r>
          </w:p>
        </w:tc>
        <w:tc>
          <w:tcPr>
            <w:tcW w:w="1255" w:type="dxa"/>
          </w:tcPr>
          <w:p w14:paraId="5A63B54B" w14:textId="77777777" w:rsidR="00B607BD" w:rsidRPr="00A06F1E" w:rsidRDefault="00B607BD" w:rsidP="006D2709">
            <w:pPr>
              <w:pStyle w:val="TableTextCentered"/>
            </w:pPr>
            <w:r w:rsidRPr="00A06F1E">
              <w:t>78.0</w:t>
            </w:r>
          </w:p>
        </w:tc>
      </w:tr>
    </w:tbl>
    <w:p w14:paraId="5035DCEE" w14:textId="77777777" w:rsidR="00B607BD" w:rsidRPr="00A06F1E" w:rsidRDefault="00B607BD" w:rsidP="00B7722D">
      <w:pPr>
        <w:pStyle w:val="TabletitleSectionE"/>
      </w:pPr>
      <w:bookmarkStart w:id="316" w:name="_Toc170701983"/>
      <w:bookmarkStart w:id="317" w:name="_Toc171685820"/>
      <w:bookmarkStart w:id="318" w:name="_Hlk138323648"/>
      <w:r w:rsidRPr="00A06F1E">
        <w:t>Table E17. Five-Year Cohort Graduation Rates by Student Group, 2019-2021</w:t>
      </w:r>
      <w:bookmarkEnd w:id="316"/>
      <w:bookmarkEnd w:id="317"/>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B607BD" w:rsidRPr="00A06F1E" w14:paraId="006C8C36" w14:textId="77777777">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3D696E81" w14:textId="77777777" w:rsidR="00B607BD" w:rsidRPr="00A06F1E" w:rsidRDefault="00B607BD" w:rsidP="006D2709">
            <w:pPr>
              <w:pStyle w:val="TableColHeadingCenter"/>
            </w:pPr>
            <w:r w:rsidRPr="00A06F1E">
              <w:t>Group</w:t>
            </w:r>
          </w:p>
        </w:tc>
        <w:tc>
          <w:tcPr>
            <w:tcW w:w="1295" w:type="dxa"/>
            <w:vAlign w:val="center"/>
          </w:tcPr>
          <w:p w14:paraId="10C10EC0" w14:textId="1CFA8DFC" w:rsidR="00B607BD" w:rsidRPr="00A06F1E" w:rsidRDefault="00B607BD" w:rsidP="006D2709">
            <w:pPr>
              <w:pStyle w:val="TableColHeadingCenter"/>
            </w:pPr>
            <w:r w:rsidRPr="00A06F1E">
              <w:t xml:space="preserve"># </w:t>
            </w:r>
            <w:r w:rsidR="00FF1146" w:rsidRPr="00A06F1E">
              <w:t>included</w:t>
            </w:r>
            <w:r w:rsidRPr="00A06F1E">
              <w:t xml:space="preserve"> (2021)</w:t>
            </w:r>
          </w:p>
        </w:tc>
        <w:tc>
          <w:tcPr>
            <w:tcW w:w="1295" w:type="dxa"/>
            <w:vAlign w:val="center"/>
          </w:tcPr>
          <w:p w14:paraId="595FA4F4" w14:textId="77777777" w:rsidR="00B607BD" w:rsidRPr="00A06F1E" w:rsidRDefault="00B607BD" w:rsidP="006D2709">
            <w:pPr>
              <w:pStyle w:val="TableColHeadingCenter"/>
            </w:pPr>
            <w:r w:rsidRPr="00A06F1E">
              <w:t>2019</w:t>
            </w:r>
          </w:p>
        </w:tc>
        <w:tc>
          <w:tcPr>
            <w:tcW w:w="1296" w:type="dxa"/>
            <w:vAlign w:val="center"/>
          </w:tcPr>
          <w:p w14:paraId="4548103D" w14:textId="77777777" w:rsidR="00B607BD" w:rsidRPr="00A06F1E" w:rsidRDefault="00B607BD" w:rsidP="006D2709">
            <w:pPr>
              <w:pStyle w:val="TableColHeadingCenter"/>
            </w:pPr>
            <w:r w:rsidRPr="00A06F1E">
              <w:t>2020</w:t>
            </w:r>
          </w:p>
        </w:tc>
        <w:tc>
          <w:tcPr>
            <w:tcW w:w="1295" w:type="dxa"/>
            <w:vAlign w:val="center"/>
          </w:tcPr>
          <w:p w14:paraId="78A3C7B4" w14:textId="77777777" w:rsidR="00B607BD" w:rsidRPr="00A06F1E" w:rsidRDefault="00B607BD" w:rsidP="006D2709">
            <w:pPr>
              <w:pStyle w:val="TableColHeadingCenter"/>
            </w:pPr>
            <w:r w:rsidRPr="00A06F1E">
              <w:t>2021</w:t>
            </w:r>
          </w:p>
        </w:tc>
        <w:tc>
          <w:tcPr>
            <w:tcW w:w="1296" w:type="dxa"/>
            <w:vAlign w:val="center"/>
          </w:tcPr>
          <w:p w14:paraId="3E313289" w14:textId="77777777" w:rsidR="00B607BD" w:rsidRPr="00A06F1E" w:rsidRDefault="00B607BD" w:rsidP="006D2709">
            <w:pPr>
              <w:pStyle w:val="TableColHeadingCenter"/>
            </w:pPr>
            <w:r w:rsidRPr="00A06F1E">
              <w:t>State (2021)</w:t>
            </w:r>
          </w:p>
        </w:tc>
      </w:tr>
      <w:tr w:rsidR="00B607BD" w:rsidRPr="00A06F1E" w14:paraId="7DD7343E"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5F4BB04F" w14:textId="77777777" w:rsidR="00B607BD" w:rsidRPr="00A06F1E" w:rsidRDefault="00B607BD" w:rsidP="006D2709">
            <w:pPr>
              <w:pStyle w:val="TableText"/>
            </w:pPr>
            <w:r w:rsidRPr="00A06F1E">
              <w:t>All</w:t>
            </w:r>
          </w:p>
        </w:tc>
        <w:tc>
          <w:tcPr>
            <w:tcW w:w="1295" w:type="dxa"/>
          </w:tcPr>
          <w:p w14:paraId="75B7A57B" w14:textId="77777777" w:rsidR="00B607BD" w:rsidRPr="00A06F1E" w:rsidRDefault="00B607BD" w:rsidP="006D2709">
            <w:pPr>
              <w:pStyle w:val="TableTextCentered"/>
            </w:pPr>
            <w:r w:rsidRPr="00A06F1E">
              <w:t>102</w:t>
            </w:r>
          </w:p>
        </w:tc>
        <w:tc>
          <w:tcPr>
            <w:tcW w:w="1295" w:type="dxa"/>
          </w:tcPr>
          <w:p w14:paraId="215462BC" w14:textId="77777777" w:rsidR="00B607BD" w:rsidRPr="00A06F1E" w:rsidRDefault="00B607BD" w:rsidP="006D2709">
            <w:pPr>
              <w:pStyle w:val="TableTextCentered"/>
            </w:pPr>
            <w:r w:rsidRPr="00A06F1E">
              <w:t>90.6</w:t>
            </w:r>
          </w:p>
        </w:tc>
        <w:tc>
          <w:tcPr>
            <w:tcW w:w="1296" w:type="dxa"/>
          </w:tcPr>
          <w:p w14:paraId="3D5C944C" w14:textId="77777777" w:rsidR="00B607BD" w:rsidRPr="00A06F1E" w:rsidRDefault="00B607BD" w:rsidP="006D2709">
            <w:pPr>
              <w:pStyle w:val="TableTextCentered"/>
            </w:pPr>
            <w:r w:rsidRPr="00A06F1E">
              <w:t>85.6</w:t>
            </w:r>
          </w:p>
        </w:tc>
        <w:tc>
          <w:tcPr>
            <w:tcW w:w="1295" w:type="dxa"/>
          </w:tcPr>
          <w:p w14:paraId="23B204D2" w14:textId="77777777" w:rsidR="00B607BD" w:rsidRPr="00A06F1E" w:rsidRDefault="00B607BD" w:rsidP="006D2709">
            <w:pPr>
              <w:pStyle w:val="TableTextCentered"/>
            </w:pPr>
            <w:r w:rsidRPr="00A06F1E">
              <w:t>90.2</w:t>
            </w:r>
          </w:p>
        </w:tc>
        <w:tc>
          <w:tcPr>
            <w:tcW w:w="1296" w:type="dxa"/>
          </w:tcPr>
          <w:p w14:paraId="7F6FC4A0" w14:textId="77777777" w:rsidR="00B607BD" w:rsidRPr="00A06F1E" w:rsidRDefault="00B607BD" w:rsidP="006D2709">
            <w:pPr>
              <w:pStyle w:val="TableTextCentered"/>
            </w:pPr>
            <w:r w:rsidRPr="00A06F1E">
              <w:t>91.8</w:t>
            </w:r>
          </w:p>
        </w:tc>
      </w:tr>
      <w:tr w:rsidR="00B607BD" w:rsidRPr="00A06F1E" w14:paraId="1A490671" w14:textId="77777777">
        <w:tc>
          <w:tcPr>
            <w:tcW w:w="2965" w:type="dxa"/>
          </w:tcPr>
          <w:p w14:paraId="43FC341F" w14:textId="77777777" w:rsidR="00B607BD" w:rsidRPr="00A06F1E" w:rsidRDefault="00B607BD" w:rsidP="006D2709">
            <w:pPr>
              <w:pStyle w:val="TableText"/>
            </w:pPr>
            <w:r w:rsidRPr="00A06F1E">
              <w:t>African American/Black</w:t>
            </w:r>
          </w:p>
        </w:tc>
        <w:tc>
          <w:tcPr>
            <w:tcW w:w="1295" w:type="dxa"/>
          </w:tcPr>
          <w:p w14:paraId="3D685E02" w14:textId="77777777" w:rsidR="00B607BD" w:rsidRPr="00A06F1E" w:rsidRDefault="00B607BD" w:rsidP="006D2709">
            <w:pPr>
              <w:pStyle w:val="TableTextCentered"/>
            </w:pPr>
            <w:r w:rsidRPr="00A06F1E">
              <w:t>5</w:t>
            </w:r>
          </w:p>
        </w:tc>
        <w:tc>
          <w:tcPr>
            <w:tcW w:w="1295" w:type="dxa"/>
          </w:tcPr>
          <w:p w14:paraId="67EB36E9" w14:textId="5325AFA6" w:rsidR="00B607BD" w:rsidRPr="00A06F1E" w:rsidRDefault="00805266" w:rsidP="006D2709">
            <w:pPr>
              <w:pStyle w:val="TableTextCentered"/>
            </w:pPr>
            <w:r w:rsidRPr="00A06F1E">
              <w:t>—</w:t>
            </w:r>
          </w:p>
        </w:tc>
        <w:tc>
          <w:tcPr>
            <w:tcW w:w="1296" w:type="dxa"/>
          </w:tcPr>
          <w:p w14:paraId="45A66DB9" w14:textId="67D0487F" w:rsidR="00B607BD" w:rsidRPr="00A06F1E" w:rsidRDefault="00805266" w:rsidP="006D2709">
            <w:pPr>
              <w:pStyle w:val="TableTextCentered"/>
            </w:pPr>
            <w:r w:rsidRPr="00A06F1E">
              <w:t>—</w:t>
            </w:r>
          </w:p>
        </w:tc>
        <w:tc>
          <w:tcPr>
            <w:tcW w:w="1295" w:type="dxa"/>
          </w:tcPr>
          <w:p w14:paraId="1CCC2D53" w14:textId="3C7A1E22" w:rsidR="00B607BD" w:rsidRPr="00A06F1E" w:rsidRDefault="00805266" w:rsidP="006D2709">
            <w:pPr>
              <w:pStyle w:val="TableTextCentered"/>
            </w:pPr>
            <w:r w:rsidRPr="00A06F1E">
              <w:t>—</w:t>
            </w:r>
          </w:p>
        </w:tc>
        <w:tc>
          <w:tcPr>
            <w:tcW w:w="1296" w:type="dxa"/>
          </w:tcPr>
          <w:p w14:paraId="5FF377D5" w14:textId="77777777" w:rsidR="00B607BD" w:rsidRPr="00A06F1E" w:rsidRDefault="00B607BD" w:rsidP="006D2709">
            <w:pPr>
              <w:pStyle w:val="TableTextCentered"/>
            </w:pPr>
            <w:r w:rsidRPr="00A06F1E">
              <w:t>88.1</w:t>
            </w:r>
          </w:p>
        </w:tc>
      </w:tr>
      <w:tr w:rsidR="00B607BD" w:rsidRPr="00A06F1E" w14:paraId="73166A7C"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7E88CB47" w14:textId="77777777" w:rsidR="00B607BD" w:rsidRPr="00A06F1E" w:rsidRDefault="00B607BD" w:rsidP="006D2709">
            <w:pPr>
              <w:pStyle w:val="TableText"/>
            </w:pPr>
            <w:r w:rsidRPr="00A06F1E">
              <w:t>Asian</w:t>
            </w:r>
          </w:p>
        </w:tc>
        <w:tc>
          <w:tcPr>
            <w:tcW w:w="1295" w:type="dxa"/>
          </w:tcPr>
          <w:p w14:paraId="60EB65C4" w14:textId="77777777" w:rsidR="00B607BD" w:rsidRPr="00A06F1E" w:rsidRDefault="00B607BD" w:rsidP="006D2709">
            <w:pPr>
              <w:pStyle w:val="TableTextCentered"/>
            </w:pPr>
            <w:r w:rsidRPr="00A06F1E">
              <w:t>2</w:t>
            </w:r>
          </w:p>
        </w:tc>
        <w:tc>
          <w:tcPr>
            <w:tcW w:w="1295" w:type="dxa"/>
          </w:tcPr>
          <w:p w14:paraId="41ABFD86" w14:textId="33E2CAB4" w:rsidR="00B607BD" w:rsidRPr="00A06F1E" w:rsidRDefault="00805266" w:rsidP="006D2709">
            <w:pPr>
              <w:pStyle w:val="TableTextCentered"/>
            </w:pPr>
            <w:r w:rsidRPr="00A06F1E">
              <w:t>—</w:t>
            </w:r>
          </w:p>
        </w:tc>
        <w:tc>
          <w:tcPr>
            <w:tcW w:w="1296" w:type="dxa"/>
          </w:tcPr>
          <w:p w14:paraId="7E29D80A" w14:textId="1E8738C1" w:rsidR="00B607BD" w:rsidRPr="00A06F1E" w:rsidRDefault="00805266" w:rsidP="006D2709">
            <w:pPr>
              <w:pStyle w:val="TableTextCentered"/>
            </w:pPr>
            <w:r w:rsidRPr="00A06F1E">
              <w:t>—</w:t>
            </w:r>
          </w:p>
        </w:tc>
        <w:tc>
          <w:tcPr>
            <w:tcW w:w="1295" w:type="dxa"/>
          </w:tcPr>
          <w:p w14:paraId="2651FA16" w14:textId="44990407" w:rsidR="00B607BD" w:rsidRPr="00A06F1E" w:rsidRDefault="00805266" w:rsidP="006D2709">
            <w:pPr>
              <w:pStyle w:val="TableTextCentered"/>
            </w:pPr>
            <w:r w:rsidRPr="00A06F1E">
              <w:t>—</w:t>
            </w:r>
          </w:p>
        </w:tc>
        <w:tc>
          <w:tcPr>
            <w:tcW w:w="1296" w:type="dxa"/>
          </w:tcPr>
          <w:p w14:paraId="31F3DA9C" w14:textId="77777777" w:rsidR="00B607BD" w:rsidRPr="00A06F1E" w:rsidRDefault="00B607BD" w:rsidP="006D2709">
            <w:pPr>
              <w:pStyle w:val="TableTextCentered"/>
            </w:pPr>
            <w:r w:rsidRPr="00A06F1E">
              <w:t>97.0</w:t>
            </w:r>
          </w:p>
        </w:tc>
      </w:tr>
      <w:tr w:rsidR="00B607BD" w:rsidRPr="00A06F1E" w14:paraId="50828722" w14:textId="77777777">
        <w:tc>
          <w:tcPr>
            <w:tcW w:w="2965" w:type="dxa"/>
          </w:tcPr>
          <w:p w14:paraId="3E0012C1" w14:textId="77777777" w:rsidR="00B607BD" w:rsidRPr="00A06F1E" w:rsidRDefault="00B607BD" w:rsidP="006D2709">
            <w:pPr>
              <w:pStyle w:val="TableText"/>
            </w:pPr>
            <w:r w:rsidRPr="00A06F1E">
              <w:t>Hispanic/Latino</w:t>
            </w:r>
          </w:p>
        </w:tc>
        <w:tc>
          <w:tcPr>
            <w:tcW w:w="1295" w:type="dxa"/>
          </w:tcPr>
          <w:p w14:paraId="23DC4BC2" w14:textId="77777777" w:rsidR="00B607BD" w:rsidRPr="00A06F1E" w:rsidRDefault="00B607BD" w:rsidP="006D2709">
            <w:pPr>
              <w:pStyle w:val="TableTextCentered"/>
            </w:pPr>
            <w:r w:rsidRPr="00A06F1E">
              <w:t>14</w:t>
            </w:r>
          </w:p>
        </w:tc>
        <w:tc>
          <w:tcPr>
            <w:tcW w:w="1295" w:type="dxa"/>
          </w:tcPr>
          <w:p w14:paraId="55531C8E" w14:textId="77777777" w:rsidR="00B607BD" w:rsidRPr="00A06F1E" w:rsidRDefault="00B607BD" w:rsidP="006D2709">
            <w:pPr>
              <w:pStyle w:val="TableTextCentered"/>
            </w:pPr>
            <w:r w:rsidRPr="00A06F1E">
              <w:t>78.6</w:t>
            </w:r>
          </w:p>
        </w:tc>
        <w:tc>
          <w:tcPr>
            <w:tcW w:w="1296" w:type="dxa"/>
          </w:tcPr>
          <w:p w14:paraId="707B4D92" w14:textId="77777777" w:rsidR="00B607BD" w:rsidRPr="00A06F1E" w:rsidRDefault="00B607BD" w:rsidP="006D2709">
            <w:pPr>
              <w:pStyle w:val="TableTextCentered"/>
            </w:pPr>
            <w:r w:rsidRPr="00A06F1E">
              <w:t>100</w:t>
            </w:r>
          </w:p>
        </w:tc>
        <w:tc>
          <w:tcPr>
            <w:tcW w:w="1295" w:type="dxa"/>
          </w:tcPr>
          <w:p w14:paraId="455BE003" w14:textId="77777777" w:rsidR="00B607BD" w:rsidRPr="00A06F1E" w:rsidRDefault="00B607BD" w:rsidP="006D2709">
            <w:pPr>
              <w:pStyle w:val="TableTextCentered"/>
            </w:pPr>
            <w:r w:rsidRPr="00A06F1E">
              <w:t>78.6</w:t>
            </w:r>
          </w:p>
        </w:tc>
        <w:tc>
          <w:tcPr>
            <w:tcW w:w="1296" w:type="dxa"/>
          </w:tcPr>
          <w:p w14:paraId="70ADA43C" w14:textId="77777777" w:rsidR="00B607BD" w:rsidRPr="00A06F1E" w:rsidRDefault="00B607BD" w:rsidP="006D2709">
            <w:pPr>
              <w:pStyle w:val="TableTextCentered"/>
            </w:pPr>
            <w:r w:rsidRPr="00A06F1E">
              <w:t>84.0</w:t>
            </w:r>
          </w:p>
        </w:tc>
      </w:tr>
      <w:tr w:rsidR="00B607BD" w:rsidRPr="00A06F1E" w14:paraId="31FCB5DE"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3A870E93" w14:textId="77777777" w:rsidR="00B607BD" w:rsidRPr="00A06F1E" w:rsidRDefault="00B607BD" w:rsidP="006D2709">
            <w:pPr>
              <w:pStyle w:val="TableText"/>
            </w:pPr>
            <w:r w:rsidRPr="00A06F1E">
              <w:rPr>
                <w:rFonts w:cstheme="minorHAnsi"/>
              </w:rPr>
              <w:t>Multi-Race, non-Hispanic/Latino</w:t>
            </w:r>
          </w:p>
        </w:tc>
        <w:tc>
          <w:tcPr>
            <w:tcW w:w="1295" w:type="dxa"/>
          </w:tcPr>
          <w:p w14:paraId="6A46F477" w14:textId="77777777" w:rsidR="00B607BD" w:rsidRPr="00A06F1E" w:rsidRDefault="00B607BD" w:rsidP="006D2709">
            <w:pPr>
              <w:pStyle w:val="TableTextCentered"/>
            </w:pPr>
            <w:r w:rsidRPr="00A06F1E">
              <w:t>6</w:t>
            </w:r>
          </w:p>
        </w:tc>
        <w:tc>
          <w:tcPr>
            <w:tcW w:w="1295" w:type="dxa"/>
          </w:tcPr>
          <w:p w14:paraId="3F1D7BFB" w14:textId="3D3C580F" w:rsidR="00B607BD" w:rsidRPr="00A06F1E" w:rsidRDefault="00805266" w:rsidP="006D2709">
            <w:pPr>
              <w:pStyle w:val="TableTextCentered"/>
            </w:pPr>
            <w:r w:rsidRPr="00A06F1E">
              <w:t>—</w:t>
            </w:r>
          </w:p>
        </w:tc>
        <w:tc>
          <w:tcPr>
            <w:tcW w:w="1296" w:type="dxa"/>
          </w:tcPr>
          <w:p w14:paraId="692A2499" w14:textId="4F0B1748" w:rsidR="00B607BD" w:rsidRPr="00A06F1E" w:rsidRDefault="00805266" w:rsidP="006D2709">
            <w:pPr>
              <w:pStyle w:val="TableTextCentered"/>
            </w:pPr>
            <w:r w:rsidRPr="00A06F1E">
              <w:t>—</w:t>
            </w:r>
          </w:p>
        </w:tc>
        <w:tc>
          <w:tcPr>
            <w:tcW w:w="1295" w:type="dxa"/>
          </w:tcPr>
          <w:p w14:paraId="10CAE850" w14:textId="77777777" w:rsidR="00B607BD" w:rsidRPr="00A06F1E" w:rsidRDefault="00B607BD" w:rsidP="006D2709">
            <w:pPr>
              <w:pStyle w:val="TableTextCentered"/>
            </w:pPr>
            <w:r w:rsidRPr="00A06F1E">
              <w:t>83.3</w:t>
            </w:r>
          </w:p>
        </w:tc>
        <w:tc>
          <w:tcPr>
            <w:tcW w:w="1296" w:type="dxa"/>
          </w:tcPr>
          <w:p w14:paraId="533EF9A9" w14:textId="77777777" w:rsidR="00B607BD" w:rsidRPr="00A06F1E" w:rsidRDefault="00B607BD" w:rsidP="006D2709">
            <w:pPr>
              <w:pStyle w:val="TableTextCentered"/>
            </w:pPr>
            <w:r w:rsidRPr="00A06F1E">
              <w:t>91.2</w:t>
            </w:r>
          </w:p>
        </w:tc>
      </w:tr>
      <w:tr w:rsidR="00B607BD" w:rsidRPr="00A06F1E" w14:paraId="75C4FA2E" w14:textId="77777777">
        <w:tc>
          <w:tcPr>
            <w:tcW w:w="2965" w:type="dxa"/>
          </w:tcPr>
          <w:p w14:paraId="46D9C796" w14:textId="77777777" w:rsidR="00B607BD" w:rsidRPr="00A06F1E" w:rsidRDefault="00B607BD" w:rsidP="006D2709">
            <w:pPr>
              <w:pStyle w:val="TableText"/>
            </w:pPr>
            <w:r w:rsidRPr="00A06F1E">
              <w:t>Native American</w:t>
            </w:r>
          </w:p>
        </w:tc>
        <w:tc>
          <w:tcPr>
            <w:tcW w:w="1295" w:type="dxa"/>
          </w:tcPr>
          <w:p w14:paraId="2BCA9957" w14:textId="77890B35" w:rsidR="00B607BD" w:rsidRPr="00A06F1E" w:rsidRDefault="00805266" w:rsidP="006D2709">
            <w:pPr>
              <w:pStyle w:val="TableTextCentered"/>
            </w:pPr>
            <w:r w:rsidRPr="00A06F1E">
              <w:t>—</w:t>
            </w:r>
          </w:p>
        </w:tc>
        <w:tc>
          <w:tcPr>
            <w:tcW w:w="1295" w:type="dxa"/>
          </w:tcPr>
          <w:p w14:paraId="16695BE6" w14:textId="5F7FD93A" w:rsidR="00B607BD" w:rsidRPr="00A06F1E" w:rsidRDefault="00805266" w:rsidP="006D2709">
            <w:pPr>
              <w:pStyle w:val="TableTextCentered"/>
            </w:pPr>
            <w:r w:rsidRPr="00A06F1E">
              <w:t>—</w:t>
            </w:r>
          </w:p>
        </w:tc>
        <w:tc>
          <w:tcPr>
            <w:tcW w:w="1296" w:type="dxa"/>
          </w:tcPr>
          <w:p w14:paraId="62F7505B" w14:textId="46BD7257" w:rsidR="00B607BD" w:rsidRPr="00A06F1E" w:rsidRDefault="00805266" w:rsidP="006D2709">
            <w:pPr>
              <w:pStyle w:val="TableTextCentered"/>
            </w:pPr>
            <w:r w:rsidRPr="00A06F1E">
              <w:t>—</w:t>
            </w:r>
          </w:p>
        </w:tc>
        <w:tc>
          <w:tcPr>
            <w:tcW w:w="1295" w:type="dxa"/>
          </w:tcPr>
          <w:p w14:paraId="44D2B00A" w14:textId="6CD85F80" w:rsidR="00B607BD" w:rsidRPr="00A06F1E" w:rsidRDefault="00805266" w:rsidP="006D2709">
            <w:pPr>
              <w:pStyle w:val="TableTextCentered"/>
            </w:pPr>
            <w:r w:rsidRPr="00A06F1E">
              <w:t>—</w:t>
            </w:r>
          </w:p>
        </w:tc>
        <w:tc>
          <w:tcPr>
            <w:tcW w:w="1296" w:type="dxa"/>
          </w:tcPr>
          <w:p w14:paraId="61B84892" w14:textId="77777777" w:rsidR="00B607BD" w:rsidRPr="00A06F1E" w:rsidRDefault="00B607BD" w:rsidP="006D2709">
            <w:pPr>
              <w:pStyle w:val="TableTextCentered"/>
            </w:pPr>
            <w:r w:rsidRPr="00A06F1E">
              <w:t>84.1</w:t>
            </w:r>
          </w:p>
        </w:tc>
      </w:tr>
      <w:tr w:rsidR="00B607BD" w:rsidRPr="00A06F1E" w14:paraId="38C35B11"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20BE9B31" w14:textId="77777777" w:rsidR="00B607BD" w:rsidRPr="00A06F1E" w:rsidRDefault="00B607BD" w:rsidP="006D2709">
            <w:pPr>
              <w:pStyle w:val="TableText"/>
            </w:pPr>
            <w:r w:rsidRPr="00A06F1E">
              <w:rPr>
                <w:rFonts w:eastAsia="Times New Roman"/>
                <w:spacing w:val="-4"/>
              </w:rPr>
              <w:t>Native Hawaiian, Pacific Islander</w:t>
            </w:r>
          </w:p>
        </w:tc>
        <w:tc>
          <w:tcPr>
            <w:tcW w:w="1295" w:type="dxa"/>
          </w:tcPr>
          <w:p w14:paraId="4B54709B" w14:textId="43D4A0EB" w:rsidR="00B607BD" w:rsidRPr="00A06F1E" w:rsidRDefault="00805266" w:rsidP="006D2709">
            <w:pPr>
              <w:pStyle w:val="TableTextCentered"/>
            </w:pPr>
            <w:r w:rsidRPr="00A06F1E">
              <w:t>—</w:t>
            </w:r>
          </w:p>
        </w:tc>
        <w:tc>
          <w:tcPr>
            <w:tcW w:w="1295" w:type="dxa"/>
          </w:tcPr>
          <w:p w14:paraId="0170C0EE" w14:textId="4F2E351B" w:rsidR="00B607BD" w:rsidRPr="00A06F1E" w:rsidRDefault="00805266" w:rsidP="006D2709">
            <w:pPr>
              <w:pStyle w:val="TableTextCentered"/>
            </w:pPr>
            <w:r w:rsidRPr="00A06F1E">
              <w:t>—</w:t>
            </w:r>
          </w:p>
        </w:tc>
        <w:tc>
          <w:tcPr>
            <w:tcW w:w="1296" w:type="dxa"/>
          </w:tcPr>
          <w:p w14:paraId="5DA61D09" w14:textId="3AB82F91" w:rsidR="00B607BD" w:rsidRPr="00A06F1E" w:rsidRDefault="00805266" w:rsidP="006D2709">
            <w:pPr>
              <w:pStyle w:val="TableTextCentered"/>
            </w:pPr>
            <w:r w:rsidRPr="00A06F1E">
              <w:t>—</w:t>
            </w:r>
          </w:p>
        </w:tc>
        <w:tc>
          <w:tcPr>
            <w:tcW w:w="1295" w:type="dxa"/>
          </w:tcPr>
          <w:p w14:paraId="48B4D36A" w14:textId="47059096" w:rsidR="00B607BD" w:rsidRPr="00A06F1E" w:rsidRDefault="00805266" w:rsidP="006D2709">
            <w:pPr>
              <w:pStyle w:val="TableTextCentered"/>
            </w:pPr>
            <w:r w:rsidRPr="00A06F1E">
              <w:t>—</w:t>
            </w:r>
          </w:p>
        </w:tc>
        <w:tc>
          <w:tcPr>
            <w:tcW w:w="1296" w:type="dxa"/>
          </w:tcPr>
          <w:p w14:paraId="5C1F5316" w14:textId="77777777" w:rsidR="00B607BD" w:rsidRPr="00A06F1E" w:rsidRDefault="00B607BD" w:rsidP="006D2709">
            <w:pPr>
              <w:pStyle w:val="TableTextCentered"/>
            </w:pPr>
            <w:r w:rsidRPr="00A06F1E">
              <w:t>87.7</w:t>
            </w:r>
          </w:p>
        </w:tc>
      </w:tr>
      <w:tr w:rsidR="00B607BD" w:rsidRPr="00A06F1E" w14:paraId="0A6BED6B" w14:textId="77777777">
        <w:tc>
          <w:tcPr>
            <w:tcW w:w="2965" w:type="dxa"/>
          </w:tcPr>
          <w:p w14:paraId="3989807B" w14:textId="77777777" w:rsidR="00B607BD" w:rsidRPr="00A06F1E" w:rsidRDefault="00B607BD" w:rsidP="006D2709">
            <w:pPr>
              <w:pStyle w:val="TableText"/>
            </w:pPr>
            <w:r w:rsidRPr="00A06F1E">
              <w:t>White</w:t>
            </w:r>
          </w:p>
        </w:tc>
        <w:tc>
          <w:tcPr>
            <w:tcW w:w="1295" w:type="dxa"/>
          </w:tcPr>
          <w:p w14:paraId="6B12B856" w14:textId="77777777" w:rsidR="00B607BD" w:rsidRPr="00A06F1E" w:rsidRDefault="00B607BD" w:rsidP="006D2709">
            <w:pPr>
              <w:pStyle w:val="TableTextCentered"/>
            </w:pPr>
            <w:r w:rsidRPr="00A06F1E">
              <w:t>75</w:t>
            </w:r>
          </w:p>
        </w:tc>
        <w:tc>
          <w:tcPr>
            <w:tcW w:w="1295" w:type="dxa"/>
          </w:tcPr>
          <w:p w14:paraId="4836AA49" w14:textId="77777777" w:rsidR="00B607BD" w:rsidRPr="00A06F1E" w:rsidRDefault="00B607BD" w:rsidP="006D2709">
            <w:pPr>
              <w:pStyle w:val="TableTextCentered"/>
            </w:pPr>
            <w:r w:rsidRPr="00A06F1E">
              <w:t>92.6</w:t>
            </w:r>
          </w:p>
        </w:tc>
        <w:tc>
          <w:tcPr>
            <w:tcW w:w="1296" w:type="dxa"/>
          </w:tcPr>
          <w:p w14:paraId="742F93D9" w14:textId="77777777" w:rsidR="00B607BD" w:rsidRPr="00A06F1E" w:rsidRDefault="00B607BD" w:rsidP="006D2709">
            <w:pPr>
              <w:pStyle w:val="TableTextCentered"/>
            </w:pPr>
            <w:r w:rsidRPr="00A06F1E">
              <w:t>84.7</w:t>
            </w:r>
          </w:p>
        </w:tc>
        <w:tc>
          <w:tcPr>
            <w:tcW w:w="1295" w:type="dxa"/>
          </w:tcPr>
          <w:p w14:paraId="6047EA29" w14:textId="77777777" w:rsidR="00B607BD" w:rsidRPr="00A06F1E" w:rsidRDefault="00B607BD" w:rsidP="006D2709">
            <w:pPr>
              <w:pStyle w:val="TableTextCentered"/>
            </w:pPr>
            <w:r w:rsidRPr="00A06F1E">
              <w:t>92.0</w:t>
            </w:r>
          </w:p>
        </w:tc>
        <w:tc>
          <w:tcPr>
            <w:tcW w:w="1296" w:type="dxa"/>
          </w:tcPr>
          <w:p w14:paraId="41EF0A53" w14:textId="77777777" w:rsidR="00B607BD" w:rsidRPr="00A06F1E" w:rsidRDefault="00B607BD" w:rsidP="006D2709">
            <w:pPr>
              <w:pStyle w:val="TableTextCentered"/>
            </w:pPr>
            <w:r w:rsidRPr="00A06F1E">
              <w:t>94.4</w:t>
            </w:r>
          </w:p>
        </w:tc>
      </w:tr>
      <w:tr w:rsidR="00B607BD" w:rsidRPr="00A06F1E" w14:paraId="41C7C0C8"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697FDE7C" w14:textId="77777777" w:rsidR="00B607BD" w:rsidRPr="00A06F1E" w:rsidRDefault="00B607BD" w:rsidP="006D2709">
            <w:pPr>
              <w:pStyle w:val="TableText"/>
            </w:pPr>
            <w:r w:rsidRPr="00A06F1E">
              <w:t>High needs</w:t>
            </w:r>
          </w:p>
        </w:tc>
        <w:tc>
          <w:tcPr>
            <w:tcW w:w="1295" w:type="dxa"/>
          </w:tcPr>
          <w:p w14:paraId="69873939" w14:textId="77777777" w:rsidR="00B607BD" w:rsidRPr="00A06F1E" w:rsidRDefault="00B607BD" w:rsidP="006D2709">
            <w:pPr>
              <w:pStyle w:val="TableTextCentered"/>
            </w:pPr>
            <w:r w:rsidRPr="00A06F1E">
              <w:t>64</w:t>
            </w:r>
          </w:p>
        </w:tc>
        <w:tc>
          <w:tcPr>
            <w:tcW w:w="1295" w:type="dxa"/>
          </w:tcPr>
          <w:p w14:paraId="03AB3B6B" w14:textId="77777777" w:rsidR="00B607BD" w:rsidRPr="00A06F1E" w:rsidRDefault="00B607BD" w:rsidP="006D2709">
            <w:pPr>
              <w:pStyle w:val="TableTextCentered"/>
            </w:pPr>
            <w:r w:rsidRPr="00A06F1E">
              <w:t>86.8</w:t>
            </w:r>
          </w:p>
        </w:tc>
        <w:tc>
          <w:tcPr>
            <w:tcW w:w="1296" w:type="dxa"/>
          </w:tcPr>
          <w:p w14:paraId="5B132713" w14:textId="77777777" w:rsidR="00B607BD" w:rsidRPr="00A06F1E" w:rsidRDefault="00B607BD" w:rsidP="006D2709">
            <w:pPr>
              <w:pStyle w:val="TableTextCentered"/>
            </w:pPr>
            <w:r w:rsidRPr="00A06F1E">
              <w:t>84.9</w:t>
            </w:r>
          </w:p>
        </w:tc>
        <w:tc>
          <w:tcPr>
            <w:tcW w:w="1295" w:type="dxa"/>
          </w:tcPr>
          <w:p w14:paraId="08CEEE61" w14:textId="77777777" w:rsidR="00B607BD" w:rsidRPr="00A06F1E" w:rsidRDefault="00B607BD" w:rsidP="006D2709">
            <w:pPr>
              <w:pStyle w:val="TableTextCentered"/>
            </w:pPr>
            <w:r w:rsidRPr="00A06F1E">
              <w:t>84.4</w:t>
            </w:r>
          </w:p>
        </w:tc>
        <w:tc>
          <w:tcPr>
            <w:tcW w:w="1296" w:type="dxa"/>
          </w:tcPr>
          <w:p w14:paraId="059BB6FD" w14:textId="77777777" w:rsidR="00B607BD" w:rsidRPr="00A06F1E" w:rsidRDefault="00B607BD" w:rsidP="006D2709">
            <w:pPr>
              <w:pStyle w:val="TableTextCentered"/>
            </w:pPr>
            <w:r w:rsidRPr="00A06F1E">
              <w:t>85.8</w:t>
            </w:r>
          </w:p>
        </w:tc>
      </w:tr>
      <w:tr w:rsidR="00B607BD" w:rsidRPr="00A06F1E" w14:paraId="0B147BBC" w14:textId="77777777">
        <w:tc>
          <w:tcPr>
            <w:tcW w:w="2965" w:type="dxa"/>
          </w:tcPr>
          <w:p w14:paraId="273B8D54" w14:textId="77777777" w:rsidR="00B607BD" w:rsidRPr="00A06F1E" w:rsidRDefault="00B607BD" w:rsidP="006D2709">
            <w:pPr>
              <w:pStyle w:val="TableText"/>
            </w:pPr>
            <w:r w:rsidRPr="00A06F1E">
              <w:t>Low income</w:t>
            </w:r>
          </w:p>
        </w:tc>
        <w:tc>
          <w:tcPr>
            <w:tcW w:w="1295" w:type="dxa"/>
          </w:tcPr>
          <w:p w14:paraId="32A98CBC" w14:textId="77777777" w:rsidR="00B607BD" w:rsidRPr="00A06F1E" w:rsidRDefault="00B607BD" w:rsidP="006D2709">
            <w:pPr>
              <w:pStyle w:val="TableTextCentered"/>
            </w:pPr>
            <w:r w:rsidRPr="00A06F1E">
              <w:t>62</w:t>
            </w:r>
          </w:p>
        </w:tc>
        <w:tc>
          <w:tcPr>
            <w:tcW w:w="1295" w:type="dxa"/>
          </w:tcPr>
          <w:p w14:paraId="2D88CB22" w14:textId="77777777" w:rsidR="00B607BD" w:rsidRPr="00A06F1E" w:rsidRDefault="00B607BD" w:rsidP="006D2709">
            <w:pPr>
              <w:pStyle w:val="TableTextCentered"/>
            </w:pPr>
            <w:r w:rsidRPr="00A06F1E">
              <w:t>86.6</w:t>
            </w:r>
          </w:p>
        </w:tc>
        <w:tc>
          <w:tcPr>
            <w:tcW w:w="1296" w:type="dxa"/>
          </w:tcPr>
          <w:p w14:paraId="73E5B216" w14:textId="77777777" w:rsidR="00B607BD" w:rsidRPr="00A06F1E" w:rsidRDefault="00B607BD" w:rsidP="006D2709">
            <w:pPr>
              <w:pStyle w:val="TableTextCentered"/>
            </w:pPr>
            <w:r w:rsidRPr="00A06F1E">
              <w:t>84.1</w:t>
            </w:r>
          </w:p>
        </w:tc>
        <w:tc>
          <w:tcPr>
            <w:tcW w:w="1295" w:type="dxa"/>
          </w:tcPr>
          <w:p w14:paraId="4DEDF4EC" w14:textId="77777777" w:rsidR="00B607BD" w:rsidRPr="00A06F1E" w:rsidRDefault="00B607BD" w:rsidP="006D2709">
            <w:pPr>
              <w:pStyle w:val="TableTextCentered"/>
            </w:pPr>
            <w:r w:rsidRPr="00A06F1E">
              <w:t>83.9</w:t>
            </w:r>
          </w:p>
        </w:tc>
        <w:tc>
          <w:tcPr>
            <w:tcW w:w="1296" w:type="dxa"/>
          </w:tcPr>
          <w:p w14:paraId="3CD9D02F" w14:textId="77777777" w:rsidR="00B607BD" w:rsidRPr="00A06F1E" w:rsidRDefault="00B607BD" w:rsidP="006D2709">
            <w:pPr>
              <w:pStyle w:val="TableTextCentered"/>
            </w:pPr>
            <w:r w:rsidRPr="00A06F1E">
              <w:t>85.1</w:t>
            </w:r>
          </w:p>
        </w:tc>
      </w:tr>
      <w:tr w:rsidR="00B607BD" w:rsidRPr="00A06F1E" w14:paraId="3044729B"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2BDB9AEA" w14:textId="38E697D1" w:rsidR="00B607BD" w:rsidRPr="00A06F1E" w:rsidRDefault="009E35D3" w:rsidP="006D2709">
            <w:pPr>
              <w:pStyle w:val="TableText"/>
            </w:pPr>
            <w:r w:rsidRPr="00A06F1E">
              <w:rPr>
                <w:spacing w:val="-4"/>
              </w:rPr>
              <w:t>E</w:t>
            </w:r>
            <w:r>
              <w:rPr>
                <w:spacing w:val="-4"/>
              </w:rPr>
              <w:t>nglish learners</w:t>
            </w:r>
          </w:p>
        </w:tc>
        <w:tc>
          <w:tcPr>
            <w:tcW w:w="1295" w:type="dxa"/>
          </w:tcPr>
          <w:p w14:paraId="22D2BEA7" w14:textId="77777777" w:rsidR="00B607BD" w:rsidRPr="00A06F1E" w:rsidRDefault="00B607BD" w:rsidP="006D2709">
            <w:pPr>
              <w:pStyle w:val="TableTextCentered"/>
            </w:pPr>
            <w:r w:rsidRPr="00A06F1E">
              <w:t>5</w:t>
            </w:r>
          </w:p>
        </w:tc>
        <w:tc>
          <w:tcPr>
            <w:tcW w:w="1295" w:type="dxa"/>
          </w:tcPr>
          <w:p w14:paraId="09E8D6A0" w14:textId="0542F4FA" w:rsidR="00B607BD" w:rsidRPr="00A06F1E" w:rsidRDefault="00805266" w:rsidP="006D2709">
            <w:pPr>
              <w:pStyle w:val="TableTextCentered"/>
            </w:pPr>
            <w:r w:rsidRPr="00A06F1E">
              <w:t>—</w:t>
            </w:r>
          </w:p>
        </w:tc>
        <w:tc>
          <w:tcPr>
            <w:tcW w:w="1296" w:type="dxa"/>
          </w:tcPr>
          <w:p w14:paraId="447E7651" w14:textId="77777777" w:rsidR="00B607BD" w:rsidRPr="00A06F1E" w:rsidRDefault="00B607BD" w:rsidP="006D2709">
            <w:pPr>
              <w:pStyle w:val="TableTextCentered"/>
            </w:pPr>
            <w:r w:rsidRPr="00A06F1E">
              <w:t>100</w:t>
            </w:r>
          </w:p>
        </w:tc>
        <w:tc>
          <w:tcPr>
            <w:tcW w:w="1295" w:type="dxa"/>
          </w:tcPr>
          <w:p w14:paraId="428DD220" w14:textId="74BCC321" w:rsidR="00B607BD" w:rsidRPr="00A06F1E" w:rsidRDefault="00805266" w:rsidP="006D2709">
            <w:pPr>
              <w:pStyle w:val="TableTextCentered"/>
            </w:pPr>
            <w:r w:rsidRPr="00A06F1E">
              <w:t>—</w:t>
            </w:r>
          </w:p>
        </w:tc>
        <w:tc>
          <w:tcPr>
            <w:tcW w:w="1296" w:type="dxa"/>
          </w:tcPr>
          <w:p w14:paraId="55C2E127" w14:textId="77777777" w:rsidR="00B607BD" w:rsidRPr="00A06F1E" w:rsidRDefault="00B607BD" w:rsidP="006D2709">
            <w:pPr>
              <w:pStyle w:val="TableTextCentered"/>
            </w:pPr>
            <w:r w:rsidRPr="00A06F1E">
              <w:t>78.0</w:t>
            </w:r>
          </w:p>
        </w:tc>
      </w:tr>
      <w:tr w:rsidR="00B607BD" w:rsidRPr="00A06F1E" w14:paraId="4205BCC5" w14:textId="77777777">
        <w:tc>
          <w:tcPr>
            <w:tcW w:w="2965" w:type="dxa"/>
          </w:tcPr>
          <w:p w14:paraId="4CED6B31" w14:textId="77777777" w:rsidR="00B607BD" w:rsidRPr="00A06F1E" w:rsidRDefault="00B607BD" w:rsidP="006D2709">
            <w:pPr>
              <w:pStyle w:val="TableText"/>
            </w:pPr>
            <w:r w:rsidRPr="00A06F1E">
              <w:t>Students w/disabilities</w:t>
            </w:r>
          </w:p>
        </w:tc>
        <w:tc>
          <w:tcPr>
            <w:tcW w:w="1295" w:type="dxa"/>
          </w:tcPr>
          <w:p w14:paraId="4B360A32" w14:textId="77777777" w:rsidR="00B607BD" w:rsidRPr="00A06F1E" w:rsidRDefault="00B607BD" w:rsidP="006D2709">
            <w:pPr>
              <w:pStyle w:val="TableTextCentered"/>
            </w:pPr>
            <w:r w:rsidRPr="00A06F1E">
              <w:t>23</w:t>
            </w:r>
          </w:p>
        </w:tc>
        <w:tc>
          <w:tcPr>
            <w:tcW w:w="1295" w:type="dxa"/>
          </w:tcPr>
          <w:p w14:paraId="7332005F" w14:textId="77777777" w:rsidR="00B607BD" w:rsidRPr="00A06F1E" w:rsidRDefault="00B607BD" w:rsidP="006D2709">
            <w:pPr>
              <w:pStyle w:val="TableTextCentered"/>
            </w:pPr>
            <w:r w:rsidRPr="00A06F1E">
              <w:t>80.8</w:t>
            </w:r>
          </w:p>
        </w:tc>
        <w:tc>
          <w:tcPr>
            <w:tcW w:w="1296" w:type="dxa"/>
          </w:tcPr>
          <w:p w14:paraId="60451F0A" w14:textId="77777777" w:rsidR="00B607BD" w:rsidRPr="00A06F1E" w:rsidRDefault="00B607BD" w:rsidP="006D2709">
            <w:pPr>
              <w:pStyle w:val="TableTextCentered"/>
            </w:pPr>
            <w:r w:rsidRPr="00A06F1E">
              <w:t>71.4</w:t>
            </w:r>
          </w:p>
        </w:tc>
        <w:tc>
          <w:tcPr>
            <w:tcW w:w="1295" w:type="dxa"/>
          </w:tcPr>
          <w:p w14:paraId="56C4BD70" w14:textId="77777777" w:rsidR="00B607BD" w:rsidRPr="00A06F1E" w:rsidRDefault="00B607BD" w:rsidP="006D2709">
            <w:pPr>
              <w:pStyle w:val="TableTextCentered"/>
            </w:pPr>
            <w:r w:rsidRPr="00A06F1E">
              <w:t>82.6</w:t>
            </w:r>
          </w:p>
        </w:tc>
        <w:tc>
          <w:tcPr>
            <w:tcW w:w="1296" w:type="dxa"/>
          </w:tcPr>
          <w:p w14:paraId="54A466B9" w14:textId="77777777" w:rsidR="00B607BD" w:rsidRPr="00A06F1E" w:rsidRDefault="00B607BD" w:rsidP="006D2709">
            <w:pPr>
              <w:pStyle w:val="TableTextCentered"/>
            </w:pPr>
            <w:r w:rsidRPr="00A06F1E">
              <w:t>80.6</w:t>
            </w:r>
          </w:p>
        </w:tc>
      </w:tr>
    </w:tbl>
    <w:p w14:paraId="0FDD1A08" w14:textId="77777777" w:rsidR="006D2709" w:rsidRPr="00A06F1E" w:rsidRDefault="006D2709" w:rsidP="006D2709">
      <w:pPr>
        <w:pStyle w:val="TableTitle0"/>
      </w:pPr>
    </w:p>
    <w:p w14:paraId="19D1CE57" w14:textId="77777777" w:rsidR="006D2709" w:rsidRPr="00A06F1E" w:rsidRDefault="006D2709">
      <w:pPr>
        <w:spacing w:line="240" w:lineRule="auto"/>
        <w:rPr>
          <w:rFonts w:ascii="Franklin Gothic Demi" w:hAnsi="Franklin Gothic Demi"/>
        </w:rPr>
      </w:pPr>
      <w:r w:rsidRPr="00A06F1E">
        <w:br w:type="page"/>
      </w:r>
    </w:p>
    <w:p w14:paraId="19DEE6D8" w14:textId="0896BE8E" w:rsidR="00B607BD" w:rsidRPr="00A06F1E" w:rsidRDefault="00B607BD" w:rsidP="00B7722D">
      <w:pPr>
        <w:pStyle w:val="TabletitleSectionE"/>
      </w:pPr>
      <w:bookmarkStart w:id="319" w:name="_Toc170701984"/>
      <w:bookmarkStart w:id="320" w:name="_Toc171685821"/>
      <w:r w:rsidRPr="00A06F1E">
        <w:lastRenderedPageBreak/>
        <w:t>Table E18. Annual Dropout Rates by Student Group, 2020-2022</w:t>
      </w:r>
      <w:bookmarkEnd w:id="319"/>
      <w:bookmarkEnd w:id="320"/>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B607BD" w:rsidRPr="00A06F1E" w14:paraId="71C35FBD" w14:textId="77777777">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174AABF0" w14:textId="77777777" w:rsidR="00B607BD" w:rsidRPr="00A06F1E" w:rsidRDefault="00B607BD" w:rsidP="007D5F1C">
            <w:pPr>
              <w:pStyle w:val="TableColHeadingCenter"/>
            </w:pPr>
            <w:r w:rsidRPr="00A06F1E">
              <w:t>Group</w:t>
            </w:r>
          </w:p>
        </w:tc>
        <w:tc>
          <w:tcPr>
            <w:tcW w:w="1295" w:type="dxa"/>
            <w:vAlign w:val="center"/>
          </w:tcPr>
          <w:p w14:paraId="26B2C3E5" w14:textId="1A1900EA" w:rsidR="00B607BD" w:rsidRPr="00A06F1E" w:rsidRDefault="00B607BD" w:rsidP="007D5F1C">
            <w:pPr>
              <w:pStyle w:val="TableColHeadingCenter"/>
            </w:pPr>
            <w:r w:rsidRPr="00A06F1E">
              <w:t xml:space="preserve"># </w:t>
            </w:r>
            <w:r w:rsidR="00FF1146" w:rsidRPr="00A06F1E">
              <w:t>included</w:t>
            </w:r>
            <w:r w:rsidRPr="00A06F1E">
              <w:t xml:space="preserve"> (2022)</w:t>
            </w:r>
          </w:p>
        </w:tc>
        <w:tc>
          <w:tcPr>
            <w:tcW w:w="1295" w:type="dxa"/>
            <w:vAlign w:val="center"/>
          </w:tcPr>
          <w:p w14:paraId="3311FA64" w14:textId="77777777" w:rsidR="00B607BD" w:rsidRPr="00A06F1E" w:rsidRDefault="00B607BD" w:rsidP="007D5F1C">
            <w:pPr>
              <w:pStyle w:val="TableColHeadingCenter"/>
            </w:pPr>
            <w:r w:rsidRPr="00A06F1E">
              <w:t>2020</w:t>
            </w:r>
          </w:p>
        </w:tc>
        <w:tc>
          <w:tcPr>
            <w:tcW w:w="1296" w:type="dxa"/>
            <w:vAlign w:val="center"/>
          </w:tcPr>
          <w:p w14:paraId="53BF8BC5" w14:textId="77777777" w:rsidR="00B607BD" w:rsidRPr="00A06F1E" w:rsidRDefault="00B607BD" w:rsidP="007D5F1C">
            <w:pPr>
              <w:pStyle w:val="TableColHeadingCenter"/>
            </w:pPr>
            <w:r w:rsidRPr="00A06F1E">
              <w:t>2021</w:t>
            </w:r>
          </w:p>
        </w:tc>
        <w:tc>
          <w:tcPr>
            <w:tcW w:w="1295" w:type="dxa"/>
            <w:vAlign w:val="center"/>
          </w:tcPr>
          <w:p w14:paraId="7661DC4E" w14:textId="77777777" w:rsidR="00B607BD" w:rsidRPr="00A06F1E" w:rsidRDefault="00B607BD" w:rsidP="007D5F1C">
            <w:pPr>
              <w:pStyle w:val="TableColHeadingCenter"/>
            </w:pPr>
            <w:r w:rsidRPr="00A06F1E">
              <w:t>2022</w:t>
            </w:r>
          </w:p>
        </w:tc>
        <w:tc>
          <w:tcPr>
            <w:tcW w:w="1296" w:type="dxa"/>
            <w:vAlign w:val="center"/>
          </w:tcPr>
          <w:p w14:paraId="234D9114" w14:textId="77777777" w:rsidR="00B607BD" w:rsidRPr="00A06F1E" w:rsidRDefault="00B607BD" w:rsidP="007D5F1C">
            <w:pPr>
              <w:pStyle w:val="TableColHeadingCenter"/>
            </w:pPr>
            <w:r w:rsidRPr="00A06F1E">
              <w:t>State (2022)</w:t>
            </w:r>
          </w:p>
        </w:tc>
      </w:tr>
      <w:tr w:rsidR="00B607BD" w:rsidRPr="00A06F1E" w14:paraId="5DF0072C"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6F3CCDB1" w14:textId="77777777" w:rsidR="00B607BD" w:rsidRPr="00A06F1E" w:rsidRDefault="00B607BD" w:rsidP="007D5F1C">
            <w:pPr>
              <w:pStyle w:val="TableText"/>
            </w:pPr>
            <w:r w:rsidRPr="00A06F1E">
              <w:t>All</w:t>
            </w:r>
          </w:p>
        </w:tc>
        <w:tc>
          <w:tcPr>
            <w:tcW w:w="1295" w:type="dxa"/>
          </w:tcPr>
          <w:p w14:paraId="0AABFF35" w14:textId="77777777" w:rsidR="00B607BD" w:rsidRPr="00A06F1E" w:rsidRDefault="00B607BD" w:rsidP="007D5F1C">
            <w:pPr>
              <w:pStyle w:val="TableTextCentered"/>
            </w:pPr>
            <w:r w:rsidRPr="00A06F1E">
              <w:t>337</w:t>
            </w:r>
          </w:p>
        </w:tc>
        <w:tc>
          <w:tcPr>
            <w:tcW w:w="1295" w:type="dxa"/>
          </w:tcPr>
          <w:p w14:paraId="036A4A22" w14:textId="77777777" w:rsidR="00B607BD" w:rsidRPr="00A06F1E" w:rsidRDefault="00B607BD" w:rsidP="007D5F1C">
            <w:pPr>
              <w:pStyle w:val="TableTextCentered"/>
            </w:pPr>
            <w:r w:rsidRPr="00A06F1E">
              <w:t>3.3</w:t>
            </w:r>
          </w:p>
        </w:tc>
        <w:tc>
          <w:tcPr>
            <w:tcW w:w="1296" w:type="dxa"/>
          </w:tcPr>
          <w:p w14:paraId="1FAA9E78" w14:textId="77777777" w:rsidR="00B607BD" w:rsidRPr="00A06F1E" w:rsidRDefault="00B607BD" w:rsidP="007D5F1C">
            <w:pPr>
              <w:pStyle w:val="TableTextCentered"/>
            </w:pPr>
            <w:r w:rsidRPr="00A06F1E">
              <w:t>3.6</w:t>
            </w:r>
          </w:p>
        </w:tc>
        <w:tc>
          <w:tcPr>
            <w:tcW w:w="1295" w:type="dxa"/>
          </w:tcPr>
          <w:p w14:paraId="6F8E2A32" w14:textId="77777777" w:rsidR="00B607BD" w:rsidRPr="00A06F1E" w:rsidRDefault="00B607BD" w:rsidP="007D5F1C">
            <w:pPr>
              <w:pStyle w:val="TableTextCentered"/>
            </w:pPr>
            <w:r w:rsidRPr="00A06F1E">
              <w:t>5.6</w:t>
            </w:r>
          </w:p>
        </w:tc>
        <w:tc>
          <w:tcPr>
            <w:tcW w:w="1296" w:type="dxa"/>
          </w:tcPr>
          <w:p w14:paraId="3BF5C0BE" w14:textId="77777777" w:rsidR="00B607BD" w:rsidRPr="00A06F1E" w:rsidRDefault="00B607BD" w:rsidP="007D5F1C">
            <w:pPr>
              <w:pStyle w:val="TableTextCentered"/>
            </w:pPr>
            <w:r w:rsidRPr="00A06F1E">
              <w:t>2.1</w:t>
            </w:r>
          </w:p>
        </w:tc>
      </w:tr>
      <w:tr w:rsidR="00B607BD" w:rsidRPr="00A06F1E" w14:paraId="3A668C9B" w14:textId="77777777">
        <w:tc>
          <w:tcPr>
            <w:tcW w:w="2965" w:type="dxa"/>
          </w:tcPr>
          <w:p w14:paraId="5C500E21" w14:textId="77777777" w:rsidR="00B607BD" w:rsidRPr="00A06F1E" w:rsidRDefault="00B607BD" w:rsidP="007D5F1C">
            <w:pPr>
              <w:pStyle w:val="TableText"/>
            </w:pPr>
            <w:r w:rsidRPr="00A06F1E">
              <w:t>African American/Black</w:t>
            </w:r>
          </w:p>
        </w:tc>
        <w:tc>
          <w:tcPr>
            <w:tcW w:w="1295" w:type="dxa"/>
          </w:tcPr>
          <w:p w14:paraId="063AFE74" w14:textId="77777777" w:rsidR="00B607BD" w:rsidRPr="00A06F1E" w:rsidRDefault="00B607BD" w:rsidP="007D5F1C">
            <w:pPr>
              <w:pStyle w:val="TableTextCentered"/>
            </w:pPr>
            <w:r w:rsidRPr="00A06F1E">
              <w:t>6</w:t>
            </w:r>
          </w:p>
        </w:tc>
        <w:tc>
          <w:tcPr>
            <w:tcW w:w="1295" w:type="dxa"/>
          </w:tcPr>
          <w:p w14:paraId="2040624A" w14:textId="77777777" w:rsidR="00B607BD" w:rsidRPr="00A06F1E" w:rsidRDefault="00B607BD" w:rsidP="007D5F1C">
            <w:pPr>
              <w:pStyle w:val="TableTextCentered"/>
            </w:pPr>
            <w:r w:rsidRPr="00A06F1E">
              <w:t>0.0</w:t>
            </w:r>
          </w:p>
        </w:tc>
        <w:tc>
          <w:tcPr>
            <w:tcW w:w="1296" w:type="dxa"/>
          </w:tcPr>
          <w:p w14:paraId="6107628F" w14:textId="77777777" w:rsidR="00B607BD" w:rsidRPr="00A06F1E" w:rsidRDefault="00B607BD" w:rsidP="007D5F1C">
            <w:pPr>
              <w:pStyle w:val="TableTextCentered"/>
            </w:pPr>
            <w:r w:rsidRPr="00A06F1E">
              <w:t>25.0</w:t>
            </w:r>
          </w:p>
        </w:tc>
        <w:tc>
          <w:tcPr>
            <w:tcW w:w="1295" w:type="dxa"/>
          </w:tcPr>
          <w:p w14:paraId="735CF232" w14:textId="77777777" w:rsidR="00B607BD" w:rsidRPr="00A06F1E" w:rsidRDefault="00B607BD" w:rsidP="007D5F1C">
            <w:pPr>
              <w:pStyle w:val="TableTextCentered"/>
            </w:pPr>
            <w:r w:rsidRPr="00A06F1E">
              <w:t>16.7</w:t>
            </w:r>
          </w:p>
        </w:tc>
        <w:tc>
          <w:tcPr>
            <w:tcW w:w="1296" w:type="dxa"/>
          </w:tcPr>
          <w:p w14:paraId="4FC457BB" w14:textId="77777777" w:rsidR="00B607BD" w:rsidRPr="00A06F1E" w:rsidRDefault="00B607BD" w:rsidP="007D5F1C">
            <w:pPr>
              <w:pStyle w:val="TableTextCentered"/>
            </w:pPr>
            <w:r w:rsidRPr="00A06F1E">
              <w:t>2.8</w:t>
            </w:r>
          </w:p>
        </w:tc>
      </w:tr>
      <w:tr w:rsidR="00B607BD" w:rsidRPr="00A06F1E" w14:paraId="25CE1D59"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0B2CF0D3" w14:textId="77777777" w:rsidR="00B607BD" w:rsidRPr="00A06F1E" w:rsidRDefault="00B607BD" w:rsidP="007D5F1C">
            <w:pPr>
              <w:pStyle w:val="TableText"/>
            </w:pPr>
            <w:r w:rsidRPr="00A06F1E">
              <w:t>Asian</w:t>
            </w:r>
          </w:p>
        </w:tc>
        <w:tc>
          <w:tcPr>
            <w:tcW w:w="1295" w:type="dxa"/>
          </w:tcPr>
          <w:p w14:paraId="561F9250" w14:textId="77777777" w:rsidR="00B607BD" w:rsidRPr="00A06F1E" w:rsidRDefault="00B607BD" w:rsidP="007D5F1C">
            <w:pPr>
              <w:pStyle w:val="TableTextCentered"/>
            </w:pPr>
            <w:r w:rsidRPr="00A06F1E">
              <w:t>3</w:t>
            </w:r>
          </w:p>
        </w:tc>
        <w:tc>
          <w:tcPr>
            <w:tcW w:w="1295" w:type="dxa"/>
          </w:tcPr>
          <w:p w14:paraId="143CE1BB" w14:textId="77777777" w:rsidR="00B607BD" w:rsidRPr="00A06F1E" w:rsidRDefault="00B607BD" w:rsidP="007D5F1C">
            <w:pPr>
              <w:pStyle w:val="TableTextCentered"/>
            </w:pPr>
            <w:r w:rsidRPr="00A06F1E">
              <w:t>14.3</w:t>
            </w:r>
          </w:p>
        </w:tc>
        <w:tc>
          <w:tcPr>
            <w:tcW w:w="1296" w:type="dxa"/>
          </w:tcPr>
          <w:p w14:paraId="7EAC6E2A" w14:textId="4C44D4BE" w:rsidR="00B607BD" w:rsidRPr="00A06F1E" w:rsidRDefault="00805266" w:rsidP="007D5F1C">
            <w:pPr>
              <w:pStyle w:val="TableTextCentered"/>
            </w:pPr>
            <w:r w:rsidRPr="00A06F1E">
              <w:t>—</w:t>
            </w:r>
          </w:p>
        </w:tc>
        <w:tc>
          <w:tcPr>
            <w:tcW w:w="1295" w:type="dxa"/>
          </w:tcPr>
          <w:p w14:paraId="380B3A0B" w14:textId="07A25EA9" w:rsidR="00B607BD" w:rsidRPr="00A06F1E" w:rsidRDefault="00805266" w:rsidP="007D5F1C">
            <w:pPr>
              <w:pStyle w:val="TableTextCentered"/>
            </w:pPr>
            <w:r w:rsidRPr="00A06F1E">
              <w:t>—</w:t>
            </w:r>
          </w:p>
        </w:tc>
        <w:tc>
          <w:tcPr>
            <w:tcW w:w="1296" w:type="dxa"/>
          </w:tcPr>
          <w:p w14:paraId="21BE8A58" w14:textId="77777777" w:rsidR="00B607BD" w:rsidRPr="00A06F1E" w:rsidRDefault="00B607BD" w:rsidP="007D5F1C">
            <w:pPr>
              <w:pStyle w:val="TableTextCentered"/>
            </w:pPr>
            <w:r w:rsidRPr="00A06F1E">
              <w:t>0.6</w:t>
            </w:r>
          </w:p>
        </w:tc>
      </w:tr>
      <w:tr w:rsidR="00B607BD" w:rsidRPr="00A06F1E" w14:paraId="679A1C02" w14:textId="77777777">
        <w:tc>
          <w:tcPr>
            <w:tcW w:w="2965" w:type="dxa"/>
          </w:tcPr>
          <w:p w14:paraId="6F48AED4" w14:textId="77777777" w:rsidR="00B607BD" w:rsidRPr="00A06F1E" w:rsidRDefault="00B607BD" w:rsidP="007D5F1C">
            <w:pPr>
              <w:pStyle w:val="TableText"/>
            </w:pPr>
            <w:r w:rsidRPr="00A06F1E">
              <w:t>Hispanic/Latino</w:t>
            </w:r>
          </w:p>
        </w:tc>
        <w:tc>
          <w:tcPr>
            <w:tcW w:w="1295" w:type="dxa"/>
          </w:tcPr>
          <w:p w14:paraId="5267F081" w14:textId="77777777" w:rsidR="00B607BD" w:rsidRPr="00A06F1E" w:rsidRDefault="00B607BD" w:rsidP="007D5F1C">
            <w:pPr>
              <w:pStyle w:val="TableTextCentered"/>
            </w:pPr>
            <w:r w:rsidRPr="00A06F1E">
              <w:t>23</w:t>
            </w:r>
          </w:p>
        </w:tc>
        <w:tc>
          <w:tcPr>
            <w:tcW w:w="1295" w:type="dxa"/>
          </w:tcPr>
          <w:p w14:paraId="78825782" w14:textId="77777777" w:rsidR="00B607BD" w:rsidRPr="00A06F1E" w:rsidRDefault="00B607BD" w:rsidP="007D5F1C">
            <w:pPr>
              <w:pStyle w:val="TableTextCentered"/>
            </w:pPr>
            <w:r w:rsidRPr="00A06F1E">
              <w:t>5.7</w:t>
            </w:r>
          </w:p>
        </w:tc>
        <w:tc>
          <w:tcPr>
            <w:tcW w:w="1296" w:type="dxa"/>
          </w:tcPr>
          <w:p w14:paraId="3B63FD7A" w14:textId="77777777" w:rsidR="00B607BD" w:rsidRPr="00A06F1E" w:rsidRDefault="00B607BD" w:rsidP="007D5F1C">
            <w:pPr>
              <w:pStyle w:val="TableTextCentered"/>
            </w:pPr>
            <w:r w:rsidRPr="00A06F1E">
              <w:t>0.0</w:t>
            </w:r>
          </w:p>
        </w:tc>
        <w:tc>
          <w:tcPr>
            <w:tcW w:w="1295" w:type="dxa"/>
          </w:tcPr>
          <w:p w14:paraId="060016DA" w14:textId="77777777" w:rsidR="00B607BD" w:rsidRPr="00A06F1E" w:rsidRDefault="00B607BD" w:rsidP="007D5F1C">
            <w:pPr>
              <w:pStyle w:val="TableTextCentered"/>
            </w:pPr>
            <w:r w:rsidRPr="00A06F1E">
              <w:t>21.7</w:t>
            </w:r>
          </w:p>
        </w:tc>
        <w:tc>
          <w:tcPr>
            <w:tcW w:w="1296" w:type="dxa"/>
          </w:tcPr>
          <w:p w14:paraId="4C796164" w14:textId="77777777" w:rsidR="00B607BD" w:rsidRPr="00A06F1E" w:rsidRDefault="00B607BD" w:rsidP="007D5F1C">
            <w:pPr>
              <w:pStyle w:val="TableTextCentered"/>
            </w:pPr>
            <w:r w:rsidRPr="00A06F1E">
              <w:t>4.3</w:t>
            </w:r>
          </w:p>
        </w:tc>
      </w:tr>
      <w:tr w:rsidR="00B607BD" w:rsidRPr="00A06F1E" w14:paraId="7737B9DB"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1E315B09" w14:textId="77777777" w:rsidR="00B607BD" w:rsidRPr="00A06F1E" w:rsidRDefault="00B607BD" w:rsidP="007D5F1C">
            <w:pPr>
              <w:pStyle w:val="TableText"/>
            </w:pPr>
            <w:r w:rsidRPr="00A06F1E">
              <w:rPr>
                <w:rFonts w:cstheme="minorHAnsi"/>
              </w:rPr>
              <w:t>Multi-Race, non-Hispanic/Latino</w:t>
            </w:r>
          </w:p>
        </w:tc>
        <w:tc>
          <w:tcPr>
            <w:tcW w:w="1295" w:type="dxa"/>
          </w:tcPr>
          <w:p w14:paraId="667E27BB" w14:textId="77777777" w:rsidR="00B607BD" w:rsidRPr="00A06F1E" w:rsidRDefault="00B607BD" w:rsidP="007D5F1C">
            <w:pPr>
              <w:pStyle w:val="TableTextCentered"/>
            </w:pPr>
            <w:r w:rsidRPr="00A06F1E">
              <w:t>16</w:t>
            </w:r>
          </w:p>
        </w:tc>
        <w:tc>
          <w:tcPr>
            <w:tcW w:w="1295" w:type="dxa"/>
          </w:tcPr>
          <w:p w14:paraId="10C72B5F" w14:textId="77777777" w:rsidR="00B607BD" w:rsidRPr="00A06F1E" w:rsidRDefault="00B607BD" w:rsidP="007D5F1C">
            <w:pPr>
              <w:pStyle w:val="TableTextCentered"/>
            </w:pPr>
            <w:r w:rsidRPr="00A06F1E">
              <w:t>9.5</w:t>
            </w:r>
          </w:p>
        </w:tc>
        <w:tc>
          <w:tcPr>
            <w:tcW w:w="1296" w:type="dxa"/>
          </w:tcPr>
          <w:p w14:paraId="43D78758" w14:textId="77777777" w:rsidR="00B607BD" w:rsidRPr="00A06F1E" w:rsidRDefault="00B607BD" w:rsidP="007D5F1C">
            <w:pPr>
              <w:pStyle w:val="TableTextCentered"/>
            </w:pPr>
            <w:r w:rsidRPr="00A06F1E">
              <w:t>5.9</w:t>
            </w:r>
          </w:p>
        </w:tc>
        <w:tc>
          <w:tcPr>
            <w:tcW w:w="1295" w:type="dxa"/>
          </w:tcPr>
          <w:p w14:paraId="3E701EC6" w14:textId="77777777" w:rsidR="00B607BD" w:rsidRPr="00A06F1E" w:rsidRDefault="00B607BD" w:rsidP="007D5F1C">
            <w:pPr>
              <w:pStyle w:val="TableTextCentered"/>
            </w:pPr>
            <w:r w:rsidRPr="00A06F1E">
              <w:t>6.3</w:t>
            </w:r>
          </w:p>
        </w:tc>
        <w:tc>
          <w:tcPr>
            <w:tcW w:w="1296" w:type="dxa"/>
          </w:tcPr>
          <w:p w14:paraId="6E5969AB" w14:textId="77777777" w:rsidR="00B607BD" w:rsidRPr="00A06F1E" w:rsidRDefault="00B607BD" w:rsidP="007D5F1C">
            <w:pPr>
              <w:pStyle w:val="TableTextCentered"/>
            </w:pPr>
            <w:r w:rsidRPr="00A06F1E">
              <w:t>2.4</w:t>
            </w:r>
          </w:p>
        </w:tc>
      </w:tr>
      <w:tr w:rsidR="00B607BD" w:rsidRPr="00A06F1E" w14:paraId="2E196432" w14:textId="77777777">
        <w:tc>
          <w:tcPr>
            <w:tcW w:w="2965" w:type="dxa"/>
          </w:tcPr>
          <w:p w14:paraId="2FE206C3" w14:textId="77777777" w:rsidR="00B607BD" w:rsidRPr="00A06F1E" w:rsidRDefault="00B607BD" w:rsidP="007D5F1C">
            <w:pPr>
              <w:pStyle w:val="TableText"/>
            </w:pPr>
            <w:r w:rsidRPr="00A06F1E">
              <w:t>Native American</w:t>
            </w:r>
          </w:p>
        </w:tc>
        <w:tc>
          <w:tcPr>
            <w:tcW w:w="1295" w:type="dxa"/>
          </w:tcPr>
          <w:p w14:paraId="0D2A3897" w14:textId="77777777" w:rsidR="00B607BD" w:rsidRPr="00A06F1E" w:rsidRDefault="00B607BD" w:rsidP="007D5F1C">
            <w:pPr>
              <w:pStyle w:val="TableTextCentered"/>
            </w:pPr>
            <w:r w:rsidRPr="00A06F1E">
              <w:t>1</w:t>
            </w:r>
          </w:p>
        </w:tc>
        <w:tc>
          <w:tcPr>
            <w:tcW w:w="1295" w:type="dxa"/>
          </w:tcPr>
          <w:p w14:paraId="27C9B2DA" w14:textId="7B162081" w:rsidR="00B607BD" w:rsidRPr="00A06F1E" w:rsidRDefault="00805266" w:rsidP="007D5F1C">
            <w:pPr>
              <w:pStyle w:val="TableTextCentered"/>
            </w:pPr>
            <w:r w:rsidRPr="00A06F1E">
              <w:t>—</w:t>
            </w:r>
          </w:p>
        </w:tc>
        <w:tc>
          <w:tcPr>
            <w:tcW w:w="1296" w:type="dxa"/>
          </w:tcPr>
          <w:p w14:paraId="7FDF1F4C" w14:textId="1AE9EE06" w:rsidR="00B607BD" w:rsidRPr="00A06F1E" w:rsidRDefault="00805266" w:rsidP="007D5F1C">
            <w:pPr>
              <w:pStyle w:val="TableTextCentered"/>
            </w:pPr>
            <w:r w:rsidRPr="00A06F1E">
              <w:t>—</w:t>
            </w:r>
          </w:p>
        </w:tc>
        <w:tc>
          <w:tcPr>
            <w:tcW w:w="1295" w:type="dxa"/>
          </w:tcPr>
          <w:p w14:paraId="2DC0991A" w14:textId="1B5D2B15" w:rsidR="00B607BD" w:rsidRPr="00A06F1E" w:rsidRDefault="00805266" w:rsidP="007D5F1C">
            <w:pPr>
              <w:pStyle w:val="TableTextCentered"/>
            </w:pPr>
            <w:r w:rsidRPr="00A06F1E">
              <w:t>—</w:t>
            </w:r>
          </w:p>
        </w:tc>
        <w:tc>
          <w:tcPr>
            <w:tcW w:w="1296" w:type="dxa"/>
          </w:tcPr>
          <w:p w14:paraId="50BE42E6" w14:textId="77777777" w:rsidR="00B607BD" w:rsidRPr="00A06F1E" w:rsidRDefault="00B607BD" w:rsidP="007D5F1C">
            <w:pPr>
              <w:pStyle w:val="TableTextCentered"/>
            </w:pPr>
            <w:r w:rsidRPr="00A06F1E">
              <w:t>4.3</w:t>
            </w:r>
          </w:p>
        </w:tc>
      </w:tr>
      <w:tr w:rsidR="00B607BD" w:rsidRPr="00A06F1E" w14:paraId="1B7D19AD"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1F25A88F" w14:textId="77777777" w:rsidR="00B607BD" w:rsidRPr="00A06F1E" w:rsidRDefault="00B607BD" w:rsidP="007D5F1C">
            <w:pPr>
              <w:pStyle w:val="TableText"/>
            </w:pPr>
            <w:r w:rsidRPr="00A06F1E">
              <w:rPr>
                <w:rFonts w:eastAsia="Times New Roman"/>
                <w:spacing w:val="-4"/>
              </w:rPr>
              <w:t>Native Hawaiian, Pacific Islander</w:t>
            </w:r>
          </w:p>
        </w:tc>
        <w:tc>
          <w:tcPr>
            <w:tcW w:w="1295" w:type="dxa"/>
          </w:tcPr>
          <w:p w14:paraId="02C039FD" w14:textId="604A825E" w:rsidR="00B607BD" w:rsidRPr="00A06F1E" w:rsidRDefault="00805266" w:rsidP="007D5F1C">
            <w:pPr>
              <w:pStyle w:val="TableTextCentered"/>
            </w:pPr>
            <w:r w:rsidRPr="00A06F1E">
              <w:t>—</w:t>
            </w:r>
          </w:p>
        </w:tc>
        <w:tc>
          <w:tcPr>
            <w:tcW w:w="1295" w:type="dxa"/>
          </w:tcPr>
          <w:p w14:paraId="237D4FB1" w14:textId="257843C4" w:rsidR="00B607BD" w:rsidRPr="00A06F1E" w:rsidRDefault="00805266" w:rsidP="007D5F1C">
            <w:pPr>
              <w:pStyle w:val="TableTextCentered"/>
            </w:pPr>
            <w:r w:rsidRPr="00A06F1E">
              <w:t>—</w:t>
            </w:r>
          </w:p>
        </w:tc>
        <w:tc>
          <w:tcPr>
            <w:tcW w:w="1296" w:type="dxa"/>
          </w:tcPr>
          <w:p w14:paraId="1966F64C" w14:textId="11CC7419" w:rsidR="00B607BD" w:rsidRPr="00A06F1E" w:rsidRDefault="00805266" w:rsidP="007D5F1C">
            <w:pPr>
              <w:pStyle w:val="TableTextCentered"/>
            </w:pPr>
            <w:r w:rsidRPr="00A06F1E">
              <w:t>—</w:t>
            </w:r>
          </w:p>
        </w:tc>
        <w:tc>
          <w:tcPr>
            <w:tcW w:w="1295" w:type="dxa"/>
          </w:tcPr>
          <w:p w14:paraId="1E03868C" w14:textId="6B8E97E7" w:rsidR="00B607BD" w:rsidRPr="00A06F1E" w:rsidRDefault="00805266" w:rsidP="007D5F1C">
            <w:pPr>
              <w:pStyle w:val="TableTextCentered"/>
            </w:pPr>
            <w:r w:rsidRPr="00A06F1E">
              <w:t>—</w:t>
            </w:r>
          </w:p>
        </w:tc>
        <w:tc>
          <w:tcPr>
            <w:tcW w:w="1296" w:type="dxa"/>
          </w:tcPr>
          <w:p w14:paraId="084D6089" w14:textId="77777777" w:rsidR="00B607BD" w:rsidRPr="00A06F1E" w:rsidRDefault="00B607BD" w:rsidP="007D5F1C">
            <w:pPr>
              <w:pStyle w:val="TableTextCentered"/>
            </w:pPr>
            <w:r w:rsidRPr="00A06F1E">
              <w:t>1.2</w:t>
            </w:r>
          </w:p>
        </w:tc>
      </w:tr>
      <w:tr w:rsidR="00B607BD" w:rsidRPr="00A06F1E" w14:paraId="44D2AB30" w14:textId="77777777">
        <w:tc>
          <w:tcPr>
            <w:tcW w:w="2965" w:type="dxa"/>
          </w:tcPr>
          <w:p w14:paraId="294EB447" w14:textId="77777777" w:rsidR="00B607BD" w:rsidRPr="00A06F1E" w:rsidRDefault="00B607BD" w:rsidP="007D5F1C">
            <w:pPr>
              <w:pStyle w:val="TableText"/>
            </w:pPr>
            <w:r w:rsidRPr="00A06F1E">
              <w:t>White</w:t>
            </w:r>
          </w:p>
        </w:tc>
        <w:tc>
          <w:tcPr>
            <w:tcW w:w="1295" w:type="dxa"/>
          </w:tcPr>
          <w:p w14:paraId="4B66C4A2" w14:textId="77777777" w:rsidR="00B607BD" w:rsidRPr="00A06F1E" w:rsidRDefault="00B607BD" w:rsidP="007D5F1C">
            <w:pPr>
              <w:pStyle w:val="TableTextCentered"/>
            </w:pPr>
            <w:r w:rsidRPr="00A06F1E">
              <w:t>288</w:t>
            </w:r>
          </w:p>
        </w:tc>
        <w:tc>
          <w:tcPr>
            <w:tcW w:w="1295" w:type="dxa"/>
          </w:tcPr>
          <w:p w14:paraId="40926793" w14:textId="77777777" w:rsidR="00B607BD" w:rsidRPr="00A06F1E" w:rsidRDefault="00B607BD" w:rsidP="007D5F1C">
            <w:pPr>
              <w:pStyle w:val="TableTextCentered"/>
            </w:pPr>
            <w:r w:rsidRPr="00A06F1E">
              <w:t>2.5</w:t>
            </w:r>
          </w:p>
        </w:tc>
        <w:tc>
          <w:tcPr>
            <w:tcW w:w="1296" w:type="dxa"/>
          </w:tcPr>
          <w:p w14:paraId="4B9C3B62" w14:textId="77777777" w:rsidR="00B607BD" w:rsidRPr="00A06F1E" w:rsidRDefault="00B607BD" w:rsidP="007D5F1C">
            <w:pPr>
              <w:pStyle w:val="TableTextCentered"/>
            </w:pPr>
            <w:r w:rsidRPr="00A06F1E">
              <w:t>3.0</w:t>
            </w:r>
          </w:p>
        </w:tc>
        <w:tc>
          <w:tcPr>
            <w:tcW w:w="1295" w:type="dxa"/>
          </w:tcPr>
          <w:p w14:paraId="439EF54B" w14:textId="77777777" w:rsidR="00B607BD" w:rsidRPr="00A06F1E" w:rsidRDefault="00B607BD" w:rsidP="007D5F1C">
            <w:pPr>
              <w:pStyle w:val="TableTextCentered"/>
            </w:pPr>
            <w:r w:rsidRPr="00A06F1E">
              <w:t>4.2</w:t>
            </w:r>
          </w:p>
        </w:tc>
        <w:tc>
          <w:tcPr>
            <w:tcW w:w="1296" w:type="dxa"/>
          </w:tcPr>
          <w:p w14:paraId="44351E28" w14:textId="77777777" w:rsidR="00B607BD" w:rsidRPr="00A06F1E" w:rsidRDefault="00B607BD" w:rsidP="007D5F1C">
            <w:pPr>
              <w:pStyle w:val="TableTextCentered"/>
            </w:pPr>
            <w:r w:rsidRPr="00A06F1E">
              <w:t>1.3</w:t>
            </w:r>
          </w:p>
        </w:tc>
      </w:tr>
      <w:tr w:rsidR="00B607BD" w:rsidRPr="00A06F1E" w14:paraId="5ECC2FF5"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60FE354A" w14:textId="77777777" w:rsidR="00B607BD" w:rsidRPr="00A06F1E" w:rsidRDefault="00B607BD" w:rsidP="007D5F1C">
            <w:pPr>
              <w:pStyle w:val="TableText"/>
            </w:pPr>
            <w:r w:rsidRPr="00A06F1E">
              <w:t>High needs</w:t>
            </w:r>
          </w:p>
        </w:tc>
        <w:tc>
          <w:tcPr>
            <w:tcW w:w="1295" w:type="dxa"/>
          </w:tcPr>
          <w:p w14:paraId="134F4475" w14:textId="77777777" w:rsidR="00B607BD" w:rsidRPr="00A06F1E" w:rsidRDefault="00B607BD" w:rsidP="007D5F1C">
            <w:pPr>
              <w:pStyle w:val="TableTextCentered"/>
            </w:pPr>
            <w:r w:rsidRPr="00A06F1E">
              <w:t>210</w:t>
            </w:r>
          </w:p>
        </w:tc>
        <w:tc>
          <w:tcPr>
            <w:tcW w:w="1295" w:type="dxa"/>
          </w:tcPr>
          <w:p w14:paraId="6301F78C" w14:textId="77777777" w:rsidR="00B607BD" w:rsidRPr="00A06F1E" w:rsidRDefault="00B607BD" w:rsidP="007D5F1C">
            <w:pPr>
              <w:pStyle w:val="TableTextCentered"/>
            </w:pPr>
            <w:r w:rsidRPr="00A06F1E">
              <w:t>3.2</w:t>
            </w:r>
          </w:p>
        </w:tc>
        <w:tc>
          <w:tcPr>
            <w:tcW w:w="1296" w:type="dxa"/>
          </w:tcPr>
          <w:p w14:paraId="5D8294CB" w14:textId="77777777" w:rsidR="00B607BD" w:rsidRPr="00A06F1E" w:rsidRDefault="00B607BD" w:rsidP="007D5F1C">
            <w:pPr>
              <w:pStyle w:val="TableTextCentered"/>
            </w:pPr>
            <w:r w:rsidRPr="00A06F1E">
              <w:t>4.9</w:t>
            </w:r>
          </w:p>
        </w:tc>
        <w:tc>
          <w:tcPr>
            <w:tcW w:w="1295" w:type="dxa"/>
          </w:tcPr>
          <w:p w14:paraId="75930EE7" w14:textId="77777777" w:rsidR="00B607BD" w:rsidRPr="00A06F1E" w:rsidRDefault="00B607BD" w:rsidP="007D5F1C">
            <w:pPr>
              <w:pStyle w:val="TableTextCentered"/>
            </w:pPr>
            <w:r w:rsidRPr="00A06F1E">
              <w:t>8.6</w:t>
            </w:r>
          </w:p>
        </w:tc>
        <w:tc>
          <w:tcPr>
            <w:tcW w:w="1296" w:type="dxa"/>
          </w:tcPr>
          <w:p w14:paraId="25AFA7FC" w14:textId="77777777" w:rsidR="00B607BD" w:rsidRPr="00A06F1E" w:rsidRDefault="00B607BD" w:rsidP="007D5F1C">
            <w:pPr>
              <w:pStyle w:val="TableTextCentered"/>
            </w:pPr>
            <w:r w:rsidRPr="00A06F1E">
              <w:t>3.6</w:t>
            </w:r>
          </w:p>
        </w:tc>
      </w:tr>
      <w:tr w:rsidR="00B607BD" w:rsidRPr="00A06F1E" w14:paraId="21927599" w14:textId="77777777">
        <w:tc>
          <w:tcPr>
            <w:tcW w:w="2965" w:type="dxa"/>
          </w:tcPr>
          <w:p w14:paraId="5A58B9CC" w14:textId="77777777" w:rsidR="00B607BD" w:rsidRPr="00A06F1E" w:rsidRDefault="00B607BD" w:rsidP="007D5F1C">
            <w:pPr>
              <w:pStyle w:val="TableText"/>
            </w:pPr>
            <w:r w:rsidRPr="00A06F1E">
              <w:t>Low income</w:t>
            </w:r>
          </w:p>
        </w:tc>
        <w:tc>
          <w:tcPr>
            <w:tcW w:w="1295" w:type="dxa"/>
          </w:tcPr>
          <w:p w14:paraId="18DCA140" w14:textId="77777777" w:rsidR="00B607BD" w:rsidRPr="00A06F1E" w:rsidRDefault="00B607BD" w:rsidP="007D5F1C">
            <w:pPr>
              <w:pStyle w:val="TableTextCentered"/>
            </w:pPr>
            <w:r w:rsidRPr="00A06F1E">
              <w:t>194</w:t>
            </w:r>
          </w:p>
        </w:tc>
        <w:tc>
          <w:tcPr>
            <w:tcW w:w="1295" w:type="dxa"/>
          </w:tcPr>
          <w:p w14:paraId="6322DB6E" w14:textId="58667B4B" w:rsidR="00B607BD" w:rsidRPr="00A06F1E" w:rsidRDefault="00805266" w:rsidP="007D5F1C">
            <w:pPr>
              <w:pStyle w:val="TableTextCentered"/>
            </w:pPr>
            <w:r w:rsidRPr="00A06F1E">
              <w:t>—</w:t>
            </w:r>
          </w:p>
        </w:tc>
        <w:tc>
          <w:tcPr>
            <w:tcW w:w="1296" w:type="dxa"/>
          </w:tcPr>
          <w:p w14:paraId="4B48FA3B" w14:textId="6E94C82E" w:rsidR="00B607BD" w:rsidRPr="00A06F1E" w:rsidRDefault="00805266" w:rsidP="007D5F1C">
            <w:pPr>
              <w:pStyle w:val="TableTextCentered"/>
            </w:pPr>
            <w:r w:rsidRPr="00A06F1E">
              <w:t>—</w:t>
            </w:r>
          </w:p>
        </w:tc>
        <w:tc>
          <w:tcPr>
            <w:tcW w:w="1295" w:type="dxa"/>
          </w:tcPr>
          <w:p w14:paraId="49B47928" w14:textId="77777777" w:rsidR="00B607BD" w:rsidRPr="00A06F1E" w:rsidRDefault="00B607BD" w:rsidP="007D5F1C">
            <w:pPr>
              <w:pStyle w:val="TableTextCentered"/>
            </w:pPr>
            <w:r w:rsidRPr="00A06F1E">
              <w:t>7.2</w:t>
            </w:r>
          </w:p>
        </w:tc>
        <w:tc>
          <w:tcPr>
            <w:tcW w:w="1296" w:type="dxa"/>
          </w:tcPr>
          <w:p w14:paraId="2B98D790" w14:textId="77777777" w:rsidR="00B607BD" w:rsidRPr="00A06F1E" w:rsidRDefault="00B607BD" w:rsidP="007D5F1C">
            <w:pPr>
              <w:pStyle w:val="TableTextCentered"/>
            </w:pPr>
            <w:r w:rsidRPr="00A06F1E">
              <w:t>3.8</w:t>
            </w:r>
          </w:p>
        </w:tc>
      </w:tr>
      <w:tr w:rsidR="00B607BD" w:rsidRPr="00A06F1E" w14:paraId="7B59FD74"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0AB63099" w14:textId="46123338" w:rsidR="00B607BD" w:rsidRPr="00A06F1E" w:rsidRDefault="004040D2" w:rsidP="007D5F1C">
            <w:pPr>
              <w:pStyle w:val="TableText"/>
            </w:pPr>
            <w:r w:rsidRPr="00A06F1E">
              <w:rPr>
                <w:spacing w:val="-4"/>
              </w:rPr>
              <w:t>E</w:t>
            </w:r>
            <w:r>
              <w:rPr>
                <w:spacing w:val="-4"/>
              </w:rPr>
              <w:t>nglish learners</w:t>
            </w:r>
            <w:r w:rsidR="00B607BD" w:rsidRPr="00A06F1E">
              <w:rPr>
                <w:spacing w:val="-4"/>
              </w:rPr>
              <w:t xml:space="preserve"> </w:t>
            </w:r>
          </w:p>
        </w:tc>
        <w:tc>
          <w:tcPr>
            <w:tcW w:w="1295" w:type="dxa"/>
          </w:tcPr>
          <w:p w14:paraId="0A731209" w14:textId="77777777" w:rsidR="00B607BD" w:rsidRPr="00A06F1E" w:rsidRDefault="00B607BD" w:rsidP="007D5F1C">
            <w:pPr>
              <w:pStyle w:val="TableTextCentered"/>
            </w:pPr>
            <w:r w:rsidRPr="00A06F1E">
              <w:t>1</w:t>
            </w:r>
          </w:p>
        </w:tc>
        <w:tc>
          <w:tcPr>
            <w:tcW w:w="1295" w:type="dxa"/>
          </w:tcPr>
          <w:p w14:paraId="7B879C70" w14:textId="46FFE73C" w:rsidR="00B607BD" w:rsidRPr="00A06F1E" w:rsidRDefault="00805266" w:rsidP="007D5F1C">
            <w:pPr>
              <w:pStyle w:val="TableTextCentered"/>
            </w:pPr>
            <w:r w:rsidRPr="00A06F1E">
              <w:t>—</w:t>
            </w:r>
          </w:p>
        </w:tc>
        <w:tc>
          <w:tcPr>
            <w:tcW w:w="1296" w:type="dxa"/>
          </w:tcPr>
          <w:p w14:paraId="1C89653B" w14:textId="6256CF72" w:rsidR="00B607BD" w:rsidRPr="00A06F1E" w:rsidRDefault="00805266" w:rsidP="007D5F1C">
            <w:pPr>
              <w:pStyle w:val="TableTextCentered"/>
            </w:pPr>
            <w:r w:rsidRPr="00A06F1E">
              <w:t>—</w:t>
            </w:r>
          </w:p>
        </w:tc>
        <w:tc>
          <w:tcPr>
            <w:tcW w:w="1295" w:type="dxa"/>
          </w:tcPr>
          <w:p w14:paraId="5DFD5BAD" w14:textId="376142C6" w:rsidR="00B607BD" w:rsidRPr="00A06F1E" w:rsidRDefault="00805266" w:rsidP="007D5F1C">
            <w:pPr>
              <w:pStyle w:val="TableTextCentered"/>
            </w:pPr>
            <w:r w:rsidRPr="00A06F1E">
              <w:t>—</w:t>
            </w:r>
          </w:p>
        </w:tc>
        <w:tc>
          <w:tcPr>
            <w:tcW w:w="1296" w:type="dxa"/>
          </w:tcPr>
          <w:p w14:paraId="5BB2F47B" w14:textId="77777777" w:rsidR="00B607BD" w:rsidRPr="00A06F1E" w:rsidRDefault="00B607BD" w:rsidP="007D5F1C">
            <w:pPr>
              <w:pStyle w:val="TableTextCentered"/>
            </w:pPr>
            <w:r w:rsidRPr="00A06F1E">
              <w:t>7.8</w:t>
            </w:r>
          </w:p>
        </w:tc>
      </w:tr>
      <w:tr w:rsidR="00B607BD" w:rsidRPr="00A06F1E" w14:paraId="73959373" w14:textId="77777777">
        <w:tc>
          <w:tcPr>
            <w:tcW w:w="2965" w:type="dxa"/>
          </w:tcPr>
          <w:p w14:paraId="465D4520" w14:textId="77777777" w:rsidR="00B607BD" w:rsidRPr="00A06F1E" w:rsidRDefault="00B607BD" w:rsidP="007D5F1C">
            <w:pPr>
              <w:pStyle w:val="TableText"/>
            </w:pPr>
            <w:r w:rsidRPr="00A06F1E">
              <w:t>Students w/disabilities</w:t>
            </w:r>
          </w:p>
        </w:tc>
        <w:tc>
          <w:tcPr>
            <w:tcW w:w="1295" w:type="dxa"/>
          </w:tcPr>
          <w:p w14:paraId="0331AB61" w14:textId="77777777" w:rsidR="00B607BD" w:rsidRPr="00A06F1E" w:rsidRDefault="00B607BD" w:rsidP="007D5F1C">
            <w:pPr>
              <w:pStyle w:val="TableTextCentered"/>
            </w:pPr>
            <w:r w:rsidRPr="00A06F1E">
              <w:t>74</w:t>
            </w:r>
          </w:p>
        </w:tc>
        <w:tc>
          <w:tcPr>
            <w:tcW w:w="1295" w:type="dxa"/>
          </w:tcPr>
          <w:p w14:paraId="2388580B" w14:textId="77777777" w:rsidR="00B607BD" w:rsidRPr="00A06F1E" w:rsidRDefault="00B607BD" w:rsidP="007D5F1C">
            <w:pPr>
              <w:pStyle w:val="TableTextCentered"/>
            </w:pPr>
            <w:r w:rsidRPr="00A06F1E">
              <w:t>1.4</w:t>
            </w:r>
          </w:p>
        </w:tc>
        <w:tc>
          <w:tcPr>
            <w:tcW w:w="1296" w:type="dxa"/>
          </w:tcPr>
          <w:p w14:paraId="40A6737E" w14:textId="77777777" w:rsidR="00B607BD" w:rsidRPr="00A06F1E" w:rsidRDefault="00B607BD" w:rsidP="007D5F1C">
            <w:pPr>
              <w:pStyle w:val="TableTextCentered"/>
            </w:pPr>
            <w:r w:rsidRPr="00A06F1E">
              <w:t>5.7</w:t>
            </w:r>
          </w:p>
        </w:tc>
        <w:tc>
          <w:tcPr>
            <w:tcW w:w="1295" w:type="dxa"/>
          </w:tcPr>
          <w:p w14:paraId="4CA97CEB" w14:textId="77777777" w:rsidR="00B607BD" w:rsidRPr="00A06F1E" w:rsidRDefault="00B607BD" w:rsidP="007D5F1C">
            <w:pPr>
              <w:pStyle w:val="TableTextCentered"/>
            </w:pPr>
            <w:r w:rsidRPr="00A06F1E">
              <w:t>13.5</w:t>
            </w:r>
          </w:p>
        </w:tc>
        <w:tc>
          <w:tcPr>
            <w:tcW w:w="1296" w:type="dxa"/>
          </w:tcPr>
          <w:p w14:paraId="1D2A1C8A" w14:textId="77777777" w:rsidR="00B607BD" w:rsidRPr="00A06F1E" w:rsidRDefault="00B607BD" w:rsidP="007D5F1C">
            <w:pPr>
              <w:pStyle w:val="TableTextCentered"/>
            </w:pPr>
            <w:r w:rsidRPr="00A06F1E">
              <w:t>3.4</w:t>
            </w:r>
          </w:p>
        </w:tc>
      </w:tr>
    </w:tbl>
    <w:p w14:paraId="12F50919" w14:textId="5DCF6141" w:rsidR="00B607BD" w:rsidRPr="00A06F1E" w:rsidRDefault="00B607BD" w:rsidP="00B7722D">
      <w:pPr>
        <w:pStyle w:val="TabletitleSectionE"/>
      </w:pPr>
      <w:bookmarkStart w:id="321" w:name="_Toc170701985"/>
      <w:bookmarkStart w:id="322" w:name="_Toc171685822"/>
      <w:bookmarkEnd w:id="318"/>
      <w:r w:rsidRPr="00A06F1E">
        <w:t>Table E19</w:t>
      </w:r>
      <w:r w:rsidR="00E33360">
        <w:t>a</w:t>
      </w:r>
      <w:r w:rsidR="00CE00AC" w:rsidRPr="00A06F1E">
        <w:t xml:space="preserve">. </w:t>
      </w:r>
      <w:r w:rsidR="00CF4F71">
        <w:t>Fisher Hill</w:t>
      </w:r>
      <w:r w:rsidR="00F3532E" w:rsidRPr="00A06F1E">
        <w:t>:</w:t>
      </w:r>
      <w:r w:rsidRPr="00A06F1E">
        <w:t xml:space="preserve"> In-School Suspension Rates by Student Group, 2021-2023</w:t>
      </w:r>
      <w:bookmarkEnd w:id="321"/>
      <w:bookmarkEnd w:id="322"/>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B607BD" w:rsidRPr="00A06F1E" w14:paraId="1C6E870A"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5D6AC7F7" w14:textId="77777777" w:rsidR="00B607BD" w:rsidRPr="00A06F1E" w:rsidRDefault="00B607BD" w:rsidP="007D5F1C">
            <w:pPr>
              <w:pStyle w:val="TableColHeadingCenter"/>
            </w:pPr>
            <w:r w:rsidRPr="00A06F1E">
              <w:t>Group</w:t>
            </w:r>
          </w:p>
        </w:tc>
        <w:tc>
          <w:tcPr>
            <w:tcW w:w="1254" w:type="dxa"/>
            <w:vAlign w:val="center"/>
          </w:tcPr>
          <w:p w14:paraId="64863E4C" w14:textId="1C5F44E9" w:rsidR="00B607BD" w:rsidRPr="00A06F1E" w:rsidRDefault="00B607BD" w:rsidP="007D5F1C">
            <w:pPr>
              <w:pStyle w:val="TableColHeadingCenter"/>
            </w:pPr>
            <w:r w:rsidRPr="00A06F1E">
              <w:t xml:space="preserve"># </w:t>
            </w:r>
            <w:r w:rsidR="00FF1146" w:rsidRPr="00A06F1E">
              <w:t>included</w:t>
            </w:r>
            <w:r w:rsidRPr="00A06F1E">
              <w:t xml:space="preserve"> (2023)</w:t>
            </w:r>
          </w:p>
        </w:tc>
        <w:tc>
          <w:tcPr>
            <w:tcW w:w="1255" w:type="dxa"/>
            <w:vAlign w:val="center"/>
          </w:tcPr>
          <w:p w14:paraId="0D10D536" w14:textId="77777777" w:rsidR="00B607BD" w:rsidRPr="00A06F1E" w:rsidRDefault="00B607BD" w:rsidP="007D5F1C">
            <w:pPr>
              <w:pStyle w:val="TableColHeadingCenter"/>
            </w:pPr>
            <w:r w:rsidRPr="00A06F1E">
              <w:t>2021</w:t>
            </w:r>
          </w:p>
        </w:tc>
        <w:tc>
          <w:tcPr>
            <w:tcW w:w="1254" w:type="dxa"/>
            <w:vAlign w:val="center"/>
          </w:tcPr>
          <w:p w14:paraId="59D025CC" w14:textId="77777777" w:rsidR="00B607BD" w:rsidRPr="00A06F1E" w:rsidRDefault="00B607BD" w:rsidP="007D5F1C">
            <w:pPr>
              <w:pStyle w:val="TableColHeadingCenter"/>
            </w:pPr>
            <w:r w:rsidRPr="00A06F1E">
              <w:t>2022</w:t>
            </w:r>
          </w:p>
        </w:tc>
        <w:tc>
          <w:tcPr>
            <w:tcW w:w="1255" w:type="dxa"/>
            <w:vAlign w:val="center"/>
          </w:tcPr>
          <w:p w14:paraId="2146F142" w14:textId="77777777" w:rsidR="00B607BD" w:rsidRPr="00A06F1E" w:rsidRDefault="00B607BD" w:rsidP="007D5F1C">
            <w:pPr>
              <w:pStyle w:val="TableColHeadingCenter"/>
            </w:pPr>
            <w:r w:rsidRPr="00A06F1E">
              <w:t>2023</w:t>
            </w:r>
          </w:p>
        </w:tc>
        <w:tc>
          <w:tcPr>
            <w:tcW w:w="1255" w:type="dxa"/>
            <w:vAlign w:val="center"/>
          </w:tcPr>
          <w:p w14:paraId="39A224E7" w14:textId="77777777" w:rsidR="00B607BD" w:rsidRPr="00A06F1E" w:rsidRDefault="00B607BD" w:rsidP="007D5F1C">
            <w:pPr>
              <w:pStyle w:val="TableColHeadingCenter"/>
            </w:pPr>
            <w:r w:rsidRPr="00A06F1E">
              <w:t>State (2023)</w:t>
            </w:r>
          </w:p>
        </w:tc>
      </w:tr>
      <w:tr w:rsidR="00B607BD" w:rsidRPr="00A06F1E" w14:paraId="4646F42A"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73F4B4B" w14:textId="77777777" w:rsidR="00B607BD" w:rsidRPr="00A06F1E" w:rsidRDefault="00B607BD" w:rsidP="007D5F1C">
            <w:pPr>
              <w:pStyle w:val="TableText"/>
            </w:pPr>
            <w:r w:rsidRPr="00A06F1E">
              <w:t>All</w:t>
            </w:r>
          </w:p>
        </w:tc>
        <w:tc>
          <w:tcPr>
            <w:tcW w:w="1254" w:type="dxa"/>
          </w:tcPr>
          <w:p w14:paraId="32387315" w14:textId="77777777" w:rsidR="00B607BD" w:rsidRPr="00A06F1E" w:rsidRDefault="00B607BD" w:rsidP="007D5F1C">
            <w:pPr>
              <w:pStyle w:val="TableTextCentered"/>
            </w:pPr>
            <w:r w:rsidRPr="00A06F1E">
              <w:t>542</w:t>
            </w:r>
          </w:p>
        </w:tc>
        <w:tc>
          <w:tcPr>
            <w:tcW w:w="1255" w:type="dxa"/>
          </w:tcPr>
          <w:p w14:paraId="3AA3C99E" w14:textId="77777777" w:rsidR="00B607BD" w:rsidRPr="00A06F1E" w:rsidRDefault="00B607BD" w:rsidP="007D5F1C">
            <w:pPr>
              <w:pStyle w:val="TableTextCentered"/>
            </w:pPr>
          </w:p>
        </w:tc>
        <w:tc>
          <w:tcPr>
            <w:tcW w:w="1254" w:type="dxa"/>
          </w:tcPr>
          <w:p w14:paraId="387A75D6" w14:textId="77777777" w:rsidR="00B607BD" w:rsidRPr="00A06F1E" w:rsidRDefault="00B607BD" w:rsidP="007D5F1C">
            <w:pPr>
              <w:pStyle w:val="TableTextCentered"/>
            </w:pPr>
            <w:r w:rsidRPr="00A06F1E">
              <w:t>1.4</w:t>
            </w:r>
          </w:p>
        </w:tc>
        <w:tc>
          <w:tcPr>
            <w:tcW w:w="1255" w:type="dxa"/>
          </w:tcPr>
          <w:p w14:paraId="4D075880" w14:textId="77777777" w:rsidR="00B607BD" w:rsidRPr="00A06F1E" w:rsidRDefault="00B607BD" w:rsidP="007D5F1C">
            <w:pPr>
              <w:pStyle w:val="TableTextCentered"/>
            </w:pPr>
            <w:r w:rsidRPr="00A06F1E">
              <w:t>0.0</w:t>
            </w:r>
          </w:p>
        </w:tc>
        <w:tc>
          <w:tcPr>
            <w:tcW w:w="1255" w:type="dxa"/>
          </w:tcPr>
          <w:p w14:paraId="2DDB0476" w14:textId="77777777" w:rsidR="00B607BD" w:rsidRPr="00A06F1E" w:rsidRDefault="00B607BD" w:rsidP="007D5F1C">
            <w:pPr>
              <w:pStyle w:val="TableTextCentered"/>
            </w:pPr>
            <w:r w:rsidRPr="00A06F1E">
              <w:t>1.4</w:t>
            </w:r>
          </w:p>
        </w:tc>
      </w:tr>
      <w:tr w:rsidR="00B607BD" w:rsidRPr="00A06F1E" w14:paraId="5E8A2BE9" w14:textId="77777777">
        <w:trPr>
          <w:jc w:val="center"/>
        </w:trPr>
        <w:tc>
          <w:tcPr>
            <w:tcW w:w="3052" w:type="dxa"/>
          </w:tcPr>
          <w:p w14:paraId="2B11CC2C" w14:textId="77777777" w:rsidR="00B607BD" w:rsidRPr="00A06F1E" w:rsidRDefault="00B607BD" w:rsidP="007D5F1C">
            <w:pPr>
              <w:pStyle w:val="TableText"/>
            </w:pPr>
            <w:r w:rsidRPr="00A06F1E">
              <w:t>African American/Black</w:t>
            </w:r>
          </w:p>
        </w:tc>
        <w:tc>
          <w:tcPr>
            <w:tcW w:w="1254" w:type="dxa"/>
          </w:tcPr>
          <w:p w14:paraId="64D27073" w14:textId="77777777" w:rsidR="00B607BD" w:rsidRPr="00A06F1E" w:rsidRDefault="00B607BD" w:rsidP="007D5F1C">
            <w:pPr>
              <w:pStyle w:val="TableTextCentered"/>
            </w:pPr>
            <w:r w:rsidRPr="00A06F1E">
              <w:t>8</w:t>
            </w:r>
          </w:p>
        </w:tc>
        <w:tc>
          <w:tcPr>
            <w:tcW w:w="1255" w:type="dxa"/>
          </w:tcPr>
          <w:p w14:paraId="7830DC04" w14:textId="77777777" w:rsidR="00B607BD" w:rsidRPr="00A06F1E" w:rsidRDefault="00B607BD" w:rsidP="007D5F1C">
            <w:pPr>
              <w:pStyle w:val="TableTextCentered"/>
            </w:pPr>
          </w:p>
        </w:tc>
        <w:tc>
          <w:tcPr>
            <w:tcW w:w="1254" w:type="dxa"/>
          </w:tcPr>
          <w:p w14:paraId="05758968" w14:textId="0DE37112" w:rsidR="00B607BD" w:rsidRPr="00A06F1E" w:rsidRDefault="00805266" w:rsidP="007D5F1C">
            <w:pPr>
              <w:pStyle w:val="TableTextCentered"/>
            </w:pPr>
            <w:r w:rsidRPr="00A06F1E">
              <w:t>—</w:t>
            </w:r>
          </w:p>
        </w:tc>
        <w:tc>
          <w:tcPr>
            <w:tcW w:w="1255" w:type="dxa"/>
          </w:tcPr>
          <w:p w14:paraId="09250951" w14:textId="69756B85" w:rsidR="00B607BD" w:rsidRPr="00A06F1E" w:rsidRDefault="00805266" w:rsidP="007D5F1C">
            <w:pPr>
              <w:pStyle w:val="TableTextCentered"/>
            </w:pPr>
            <w:r w:rsidRPr="00A06F1E">
              <w:t>—</w:t>
            </w:r>
          </w:p>
        </w:tc>
        <w:tc>
          <w:tcPr>
            <w:tcW w:w="1255" w:type="dxa"/>
          </w:tcPr>
          <w:p w14:paraId="6CE3142E" w14:textId="77777777" w:rsidR="00B607BD" w:rsidRPr="00A06F1E" w:rsidRDefault="00B607BD" w:rsidP="007D5F1C">
            <w:pPr>
              <w:pStyle w:val="TableTextCentered"/>
            </w:pPr>
            <w:r w:rsidRPr="00A06F1E">
              <w:t>2.1</w:t>
            </w:r>
          </w:p>
        </w:tc>
      </w:tr>
      <w:tr w:rsidR="00B607BD" w:rsidRPr="00A06F1E" w14:paraId="6FB21249"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5C36594" w14:textId="77777777" w:rsidR="00B607BD" w:rsidRPr="00A06F1E" w:rsidRDefault="00B607BD" w:rsidP="007D5F1C">
            <w:pPr>
              <w:pStyle w:val="TableText"/>
            </w:pPr>
            <w:r w:rsidRPr="00A06F1E">
              <w:t>Asian</w:t>
            </w:r>
          </w:p>
        </w:tc>
        <w:tc>
          <w:tcPr>
            <w:tcW w:w="1254" w:type="dxa"/>
          </w:tcPr>
          <w:p w14:paraId="641CDA19" w14:textId="77777777" w:rsidR="00B607BD" w:rsidRPr="00A06F1E" w:rsidRDefault="00B607BD" w:rsidP="007D5F1C">
            <w:pPr>
              <w:pStyle w:val="TableTextCentered"/>
            </w:pPr>
            <w:r w:rsidRPr="00A06F1E">
              <w:t>8</w:t>
            </w:r>
          </w:p>
        </w:tc>
        <w:tc>
          <w:tcPr>
            <w:tcW w:w="1255" w:type="dxa"/>
          </w:tcPr>
          <w:p w14:paraId="41E7CA52" w14:textId="77777777" w:rsidR="00B607BD" w:rsidRPr="00A06F1E" w:rsidRDefault="00B607BD" w:rsidP="007D5F1C">
            <w:pPr>
              <w:pStyle w:val="TableTextCentered"/>
            </w:pPr>
          </w:p>
        </w:tc>
        <w:tc>
          <w:tcPr>
            <w:tcW w:w="1254" w:type="dxa"/>
          </w:tcPr>
          <w:p w14:paraId="74499270" w14:textId="58AABF0E" w:rsidR="00B607BD" w:rsidRPr="00A06F1E" w:rsidRDefault="00805266" w:rsidP="007D5F1C">
            <w:pPr>
              <w:pStyle w:val="TableTextCentered"/>
            </w:pPr>
            <w:r w:rsidRPr="00A06F1E">
              <w:t>—</w:t>
            </w:r>
          </w:p>
        </w:tc>
        <w:tc>
          <w:tcPr>
            <w:tcW w:w="1255" w:type="dxa"/>
          </w:tcPr>
          <w:p w14:paraId="4583CD0C" w14:textId="297071F3" w:rsidR="00B607BD" w:rsidRPr="00A06F1E" w:rsidRDefault="00805266" w:rsidP="007D5F1C">
            <w:pPr>
              <w:pStyle w:val="TableTextCentered"/>
            </w:pPr>
            <w:r w:rsidRPr="00A06F1E">
              <w:t>—</w:t>
            </w:r>
          </w:p>
        </w:tc>
        <w:tc>
          <w:tcPr>
            <w:tcW w:w="1255" w:type="dxa"/>
          </w:tcPr>
          <w:p w14:paraId="6C5E10A9" w14:textId="77777777" w:rsidR="00B607BD" w:rsidRPr="00A06F1E" w:rsidRDefault="00B607BD" w:rsidP="007D5F1C">
            <w:pPr>
              <w:pStyle w:val="TableTextCentered"/>
            </w:pPr>
            <w:r w:rsidRPr="00A06F1E">
              <w:t>0.3</w:t>
            </w:r>
          </w:p>
        </w:tc>
      </w:tr>
      <w:tr w:rsidR="00B607BD" w:rsidRPr="00A06F1E" w14:paraId="574A89A0" w14:textId="77777777">
        <w:trPr>
          <w:jc w:val="center"/>
        </w:trPr>
        <w:tc>
          <w:tcPr>
            <w:tcW w:w="3052" w:type="dxa"/>
          </w:tcPr>
          <w:p w14:paraId="1D747421" w14:textId="77777777" w:rsidR="00B607BD" w:rsidRPr="00A06F1E" w:rsidRDefault="00B607BD" w:rsidP="007D5F1C">
            <w:pPr>
              <w:pStyle w:val="TableText"/>
            </w:pPr>
            <w:r w:rsidRPr="00A06F1E">
              <w:t>Hispanic/Latino</w:t>
            </w:r>
          </w:p>
        </w:tc>
        <w:tc>
          <w:tcPr>
            <w:tcW w:w="1254" w:type="dxa"/>
          </w:tcPr>
          <w:p w14:paraId="1797E856" w14:textId="77777777" w:rsidR="00B607BD" w:rsidRPr="00A06F1E" w:rsidRDefault="00B607BD" w:rsidP="007D5F1C">
            <w:pPr>
              <w:pStyle w:val="TableTextCentered"/>
            </w:pPr>
            <w:r w:rsidRPr="00A06F1E">
              <w:t>57</w:t>
            </w:r>
          </w:p>
        </w:tc>
        <w:tc>
          <w:tcPr>
            <w:tcW w:w="1255" w:type="dxa"/>
          </w:tcPr>
          <w:p w14:paraId="39B8F69F" w14:textId="77777777" w:rsidR="00B607BD" w:rsidRPr="00A06F1E" w:rsidRDefault="00B607BD" w:rsidP="007D5F1C">
            <w:pPr>
              <w:pStyle w:val="TableTextCentered"/>
            </w:pPr>
          </w:p>
        </w:tc>
        <w:tc>
          <w:tcPr>
            <w:tcW w:w="1254" w:type="dxa"/>
          </w:tcPr>
          <w:p w14:paraId="07DA0144" w14:textId="59D04666" w:rsidR="00B607BD" w:rsidRPr="00A06F1E" w:rsidRDefault="00805266" w:rsidP="007D5F1C">
            <w:pPr>
              <w:pStyle w:val="TableTextCentered"/>
            </w:pPr>
            <w:r w:rsidRPr="00A06F1E">
              <w:t>—</w:t>
            </w:r>
          </w:p>
        </w:tc>
        <w:tc>
          <w:tcPr>
            <w:tcW w:w="1255" w:type="dxa"/>
          </w:tcPr>
          <w:p w14:paraId="516F3677" w14:textId="2629B011" w:rsidR="00B607BD" w:rsidRPr="00A06F1E" w:rsidRDefault="00805266" w:rsidP="007D5F1C">
            <w:pPr>
              <w:pStyle w:val="TableTextCentered"/>
            </w:pPr>
            <w:r w:rsidRPr="00A06F1E">
              <w:t>—</w:t>
            </w:r>
          </w:p>
        </w:tc>
        <w:tc>
          <w:tcPr>
            <w:tcW w:w="1255" w:type="dxa"/>
          </w:tcPr>
          <w:p w14:paraId="328945E1" w14:textId="77777777" w:rsidR="00B607BD" w:rsidRPr="00A06F1E" w:rsidRDefault="00B607BD" w:rsidP="007D5F1C">
            <w:pPr>
              <w:pStyle w:val="TableTextCentered"/>
            </w:pPr>
            <w:r w:rsidRPr="00A06F1E">
              <w:t>1.8</w:t>
            </w:r>
          </w:p>
        </w:tc>
      </w:tr>
      <w:tr w:rsidR="00B607BD" w:rsidRPr="00A06F1E" w14:paraId="426413E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18EA480" w14:textId="77777777" w:rsidR="00B607BD" w:rsidRPr="00A06F1E" w:rsidRDefault="00B607BD" w:rsidP="007D5F1C">
            <w:pPr>
              <w:pStyle w:val="TableText"/>
            </w:pPr>
            <w:r w:rsidRPr="00A06F1E">
              <w:rPr>
                <w:rFonts w:cstheme="minorHAnsi"/>
              </w:rPr>
              <w:t>Multi-Race, non-Hispanic/Latino</w:t>
            </w:r>
          </w:p>
        </w:tc>
        <w:tc>
          <w:tcPr>
            <w:tcW w:w="1254" w:type="dxa"/>
          </w:tcPr>
          <w:p w14:paraId="3849B97D" w14:textId="77777777" w:rsidR="00B607BD" w:rsidRPr="00A06F1E" w:rsidRDefault="00B607BD" w:rsidP="007D5F1C">
            <w:pPr>
              <w:pStyle w:val="TableTextCentered"/>
            </w:pPr>
            <w:r w:rsidRPr="00A06F1E">
              <w:t>27</w:t>
            </w:r>
          </w:p>
        </w:tc>
        <w:tc>
          <w:tcPr>
            <w:tcW w:w="1255" w:type="dxa"/>
          </w:tcPr>
          <w:p w14:paraId="7F5DB4F7" w14:textId="77777777" w:rsidR="00B607BD" w:rsidRPr="00A06F1E" w:rsidRDefault="00B607BD" w:rsidP="007D5F1C">
            <w:pPr>
              <w:pStyle w:val="TableTextCentered"/>
            </w:pPr>
          </w:p>
        </w:tc>
        <w:tc>
          <w:tcPr>
            <w:tcW w:w="1254" w:type="dxa"/>
          </w:tcPr>
          <w:p w14:paraId="48F46FA6" w14:textId="28543D11" w:rsidR="00B607BD" w:rsidRPr="00A06F1E" w:rsidRDefault="00805266" w:rsidP="007D5F1C">
            <w:pPr>
              <w:pStyle w:val="TableTextCentered"/>
            </w:pPr>
            <w:r w:rsidRPr="00A06F1E">
              <w:t>—</w:t>
            </w:r>
          </w:p>
        </w:tc>
        <w:tc>
          <w:tcPr>
            <w:tcW w:w="1255" w:type="dxa"/>
          </w:tcPr>
          <w:p w14:paraId="646C2053" w14:textId="42B77431" w:rsidR="00B607BD" w:rsidRPr="00A06F1E" w:rsidRDefault="00805266" w:rsidP="007D5F1C">
            <w:pPr>
              <w:pStyle w:val="TableTextCentered"/>
            </w:pPr>
            <w:r w:rsidRPr="00A06F1E">
              <w:t>—</w:t>
            </w:r>
          </w:p>
        </w:tc>
        <w:tc>
          <w:tcPr>
            <w:tcW w:w="1255" w:type="dxa"/>
          </w:tcPr>
          <w:p w14:paraId="2320F502" w14:textId="77777777" w:rsidR="00B607BD" w:rsidRPr="00A06F1E" w:rsidRDefault="00B607BD" w:rsidP="007D5F1C">
            <w:pPr>
              <w:pStyle w:val="TableTextCentered"/>
            </w:pPr>
            <w:r w:rsidRPr="00A06F1E">
              <w:t>1.6</w:t>
            </w:r>
          </w:p>
        </w:tc>
      </w:tr>
      <w:tr w:rsidR="00B607BD" w:rsidRPr="00A06F1E" w14:paraId="63D23185" w14:textId="77777777">
        <w:trPr>
          <w:jc w:val="center"/>
        </w:trPr>
        <w:tc>
          <w:tcPr>
            <w:tcW w:w="3052" w:type="dxa"/>
          </w:tcPr>
          <w:p w14:paraId="145D993C" w14:textId="77777777" w:rsidR="00B607BD" w:rsidRPr="00A06F1E" w:rsidRDefault="00B607BD" w:rsidP="007D5F1C">
            <w:pPr>
              <w:pStyle w:val="TableText"/>
            </w:pPr>
            <w:r w:rsidRPr="00A06F1E">
              <w:t>Native American</w:t>
            </w:r>
          </w:p>
        </w:tc>
        <w:tc>
          <w:tcPr>
            <w:tcW w:w="1254" w:type="dxa"/>
          </w:tcPr>
          <w:p w14:paraId="65CC4B5E" w14:textId="77777777" w:rsidR="00B607BD" w:rsidRPr="00A06F1E" w:rsidRDefault="00B607BD" w:rsidP="007D5F1C">
            <w:pPr>
              <w:pStyle w:val="TableTextCentered"/>
            </w:pPr>
            <w:r w:rsidRPr="00A06F1E">
              <w:t>1</w:t>
            </w:r>
          </w:p>
        </w:tc>
        <w:tc>
          <w:tcPr>
            <w:tcW w:w="1255" w:type="dxa"/>
          </w:tcPr>
          <w:p w14:paraId="6974344E" w14:textId="77777777" w:rsidR="00B607BD" w:rsidRPr="00A06F1E" w:rsidRDefault="00B607BD" w:rsidP="007D5F1C">
            <w:pPr>
              <w:pStyle w:val="TableTextCentered"/>
            </w:pPr>
          </w:p>
        </w:tc>
        <w:tc>
          <w:tcPr>
            <w:tcW w:w="1254" w:type="dxa"/>
          </w:tcPr>
          <w:p w14:paraId="2A078867" w14:textId="12F14C6D" w:rsidR="00B607BD" w:rsidRPr="00A06F1E" w:rsidRDefault="00805266" w:rsidP="007D5F1C">
            <w:pPr>
              <w:pStyle w:val="TableTextCentered"/>
            </w:pPr>
            <w:r w:rsidRPr="00A06F1E">
              <w:t>—</w:t>
            </w:r>
          </w:p>
        </w:tc>
        <w:tc>
          <w:tcPr>
            <w:tcW w:w="1255" w:type="dxa"/>
          </w:tcPr>
          <w:p w14:paraId="7E0898C1" w14:textId="4E0DB628" w:rsidR="00B607BD" w:rsidRPr="00A06F1E" w:rsidRDefault="00805266" w:rsidP="007D5F1C">
            <w:pPr>
              <w:pStyle w:val="TableTextCentered"/>
            </w:pPr>
            <w:r w:rsidRPr="00A06F1E">
              <w:t>—</w:t>
            </w:r>
          </w:p>
        </w:tc>
        <w:tc>
          <w:tcPr>
            <w:tcW w:w="1255" w:type="dxa"/>
          </w:tcPr>
          <w:p w14:paraId="2AD90CF1" w14:textId="77777777" w:rsidR="00B607BD" w:rsidRPr="00A06F1E" w:rsidRDefault="00B607BD" w:rsidP="007D5F1C">
            <w:pPr>
              <w:pStyle w:val="TableTextCentered"/>
            </w:pPr>
            <w:r w:rsidRPr="00A06F1E">
              <w:t>1.5</w:t>
            </w:r>
          </w:p>
        </w:tc>
      </w:tr>
      <w:tr w:rsidR="00B607BD" w:rsidRPr="00A06F1E" w14:paraId="203F8F72"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1C2AF75" w14:textId="77777777" w:rsidR="00B607BD" w:rsidRPr="00A06F1E" w:rsidRDefault="00B607BD" w:rsidP="007D5F1C">
            <w:pPr>
              <w:pStyle w:val="TableText"/>
            </w:pPr>
            <w:r w:rsidRPr="00A06F1E">
              <w:rPr>
                <w:rFonts w:eastAsia="Times New Roman"/>
                <w:spacing w:val="-4"/>
              </w:rPr>
              <w:t>Native Hawaiian, Pacific Islander</w:t>
            </w:r>
          </w:p>
        </w:tc>
        <w:tc>
          <w:tcPr>
            <w:tcW w:w="1254" w:type="dxa"/>
          </w:tcPr>
          <w:p w14:paraId="74D1E3CF" w14:textId="77777777" w:rsidR="00B607BD" w:rsidRPr="00A06F1E" w:rsidRDefault="00B607BD" w:rsidP="007D5F1C">
            <w:pPr>
              <w:pStyle w:val="TableTextCentered"/>
            </w:pPr>
            <w:r w:rsidRPr="00A06F1E">
              <w:t>1</w:t>
            </w:r>
          </w:p>
        </w:tc>
        <w:tc>
          <w:tcPr>
            <w:tcW w:w="1255" w:type="dxa"/>
          </w:tcPr>
          <w:p w14:paraId="331D60E7" w14:textId="77777777" w:rsidR="00B607BD" w:rsidRPr="00A06F1E" w:rsidRDefault="00B607BD" w:rsidP="007D5F1C">
            <w:pPr>
              <w:pStyle w:val="TableTextCentered"/>
            </w:pPr>
          </w:p>
        </w:tc>
        <w:tc>
          <w:tcPr>
            <w:tcW w:w="1254" w:type="dxa"/>
          </w:tcPr>
          <w:p w14:paraId="091B5C8E" w14:textId="7F11FE16" w:rsidR="00B607BD" w:rsidRPr="00A06F1E" w:rsidRDefault="00805266" w:rsidP="007D5F1C">
            <w:pPr>
              <w:pStyle w:val="TableTextCentered"/>
            </w:pPr>
            <w:r w:rsidRPr="00A06F1E">
              <w:t>—</w:t>
            </w:r>
          </w:p>
        </w:tc>
        <w:tc>
          <w:tcPr>
            <w:tcW w:w="1255" w:type="dxa"/>
          </w:tcPr>
          <w:p w14:paraId="79BA76DE" w14:textId="704D7EDC" w:rsidR="00B607BD" w:rsidRPr="00A06F1E" w:rsidRDefault="00805266" w:rsidP="007D5F1C">
            <w:pPr>
              <w:pStyle w:val="TableTextCentered"/>
            </w:pPr>
            <w:r w:rsidRPr="00A06F1E">
              <w:t>—</w:t>
            </w:r>
          </w:p>
        </w:tc>
        <w:tc>
          <w:tcPr>
            <w:tcW w:w="1255" w:type="dxa"/>
          </w:tcPr>
          <w:p w14:paraId="016F2733" w14:textId="77777777" w:rsidR="00B607BD" w:rsidRPr="00A06F1E" w:rsidRDefault="00B607BD" w:rsidP="007D5F1C">
            <w:pPr>
              <w:pStyle w:val="TableTextCentered"/>
            </w:pPr>
            <w:r w:rsidRPr="00A06F1E">
              <w:t>1.4</w:t>
            </w:r>
          </w:p>
        </w:tc>
      </w:tr>
      <w:tr w:rsidR="00B607BD" w:rsidRPr="00A06F1E" w14:paraId="5ADEE68B" w14:textId="77777777">
        <w:trPr>
          <w:jc w:val="center"/>
        </w:trPr>
        <w:tc>
          <w:tcPr>
            <w:tcW w:w="3052" w:type="dxa"/>
          </w:tcPr>
          <w:p w14:paraId="416EB992" w14:textId="77777777" w:rsidR="00B607BD" w:rsidRPr="00A06F1E" w:rsidRDefault="00B607BD" w:rsidP="007D5F1C">
            <w:pPr>
              <w:pStyle w:val="TableText"/>
            </w:pPr>
            <w:r w:rsidRPr="00A06F1E">
              <w:t>White</w:t>
            </w:r>
          </w:p>
        </w:tc>
        <w:tc>
          <w:tcPr>
            <w:tcW w:w="1254" w:type="dxa"/>
          </w:tcPr>
          <w:p w14:paraId="4FD1DB03" w14:textId="77777777" w:rsidR="00B607BD" w:rsidRPr="00A06F1E" w:rsidRDefault="00B607BD" w:rsidP="007D5F1C">
            <w:pPr>
              <w:pStyle w:val="TableTextCentered"/>
            </w:pPr>
            <w:r w:rsidRPr="00A06F1E">
              <w:t>440</w:t>
            </w:r>
          </w:p>
        </w:tc>
        <w:tc>
          <w:tcPr>
            <w:tcW w:w="1255" w:type="dxa"/>
          </w:tcPr>
          <w:p w14:paraId="40CBD077" w14:textId="77777777" w:rsidR="00B607BD" w:rsidRPr="00A06F1E" w:rsidRDefault="00B607BD" w:rsidP="007D5F1C">
            <w:pPr>
              <w:pStyle w:val="TableTextCentered"/>
            </w:pPr>
          </w:p>
        </w:tc>
        <w:tc>
          <w:tcPr>
            <w:tcW w:w="1254" w:type="dxa"/>
          </w:tcPr>
          <w:p w14:paraId="66093EEB" w14:textId="77777777" w:rsidR="00B607BD" w:rsidRPr="00A06F1E" w:rsidRDefault="00B607BD" w:rsidP="007D5F1C">
            <w:pPr>
              <w:pStyle w:val="TableTextCentered"/>
            </w:pPr>
            <w:r w:rsidRPr="00A06F1E">
              <w:t>1.7</w:t>
            </w:r>
          </w:p>
        </w:tc>
        <w:tc>
          <w:tcPr>
            <w:tcW w:w="1255" w:type="dxa"/>
          </w:tcPr>
          <w:p w14:paraId="0BBFA779" w14:textId="77777777" w:rsidR="00B607BD" w:rsidRPr="00A06F1E" w:rsidRDefault="00B607BD" w:rsidP="007D5F1C">
            <w:pPr>
              <w:pStyle w:val="TableTextCentered"/>
            </w:pPr>
            <w:r w:rsidRPr="00A06F1E">
              <w:t>0.0</w:t>
            </w:r>
          </w:p>
        </w:tc>
        <w:tc>
          <w:tcPr>
            <w:tcW w:w="1255" w:type="dxa"/>
          </w:tcPr>
          <w:p w14:paraId="52888839" w14:textId="77777777" w:rsidR="00B607BD" w:rsidRPr="00A06F1E" w:rsidRDefault="00B607BD" w:rsidP="007D5F1C">
            <w:pPr>
              <w:pStyle w:val="TableTextCentered"/>
            </w:pPr>
            <w:r w:rsidRPr="00A06F1E">
              <w:t>1.2</w:t>
            </w:r>
          </w:p>
        </w:tc>
      </w:tr>
      <w:tr w:rsidR="00B607BD" w:rsidRPr="00A06F1E" w14:paraId="02E1DD6A"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43F5BA8" w14:textId="77777777" w:rsidR="00B607BD" w:rsidRPr="00A06F1E" w:rsidRDefault="00B607BD" w:rsidP="007D5F1C">
            <w:pPr>
              <w:pStyle w:val="TableText"/>
            </w:pPr>
            <w:r w:rsidRPr="00A06F1E">
              <w:t>High needs</w:t>
            </w:r>
          </w:p>
        </w:tc>
        <w:tc>
          <w:tcPr>
            <w:tcW w:w="1254" w:type="dxa"/>
          </w:tcPr>
          <w:p w14:paraId="7DAC0ADA" w14:textId="77777777" w:rsidR="00B607BD" w:rsidRPr="00A06F1E" w:rsidRDefault="00B607BD" w:rsidP="007D5F1C">
            <w:pPr>
              <w:pStyle w:val="TableTextCentered"/>
            </w:pPr>
            <w:r w:rsidRPr="00A06F1E">
              <w:t>438</w:t>
            </w:r>
          </w:p>
        </w:tc>
        <w:tc>
          <w:tcPr>
            <w:tcW w:w="1255" w:type="dxa"/>
          </w:tcPr>
          <w:p w14:paraId="4C2950B2" w14:textId="77777777" w:rsidR="00B607BD" w:rsidRPr="00A06F1E" w:rsidRDefault="00B607BD" w:rsidP="007D5F1C">
            <w:pPr>
              <w:pStyle w:val="TableTextCentered"/>
            </w:pPr>
          </w:p>
        </w:tc>
        <w:tc>
          <w:tcPr>
            <w:tcW w:w="1254" w:type="dxa"/>
          </w:tcPr>
          <w:p w14:paraId="68098E1C" w14:textId="77777777" w:rsidR="00B607BD" w:rsidRPr="00A06F1E" w:rsidRDefault="00B607BD" w:rsidP="007D5F1C">
            <w:pPr>
              <w:pStyle w:val="TableTextCentered"/>
            </w:pPr>
            <w:r w:rsidRPr="00A06F1E">
              <w:t>1.5</w:t>
            </w:r>
          </w:p>
        </w:tc>
        <w:tc>
          <w:tcPr>
            <w:tcW w:w="1255" w:type="dxa"/>
          </w:tcPr>
          <w:p w14:paraId="519DB305" w14:textId="77777777" w:rsidR="00B607BD" w:rsidRPr="00A06F1E" w:rsidRDefault="00B607BD" w:rsidP="007D5F1C">
            <w:pPr>
              <w:pStyle w:val="TableTextCentered"/>
            </w:pPr>
            <w:r w:rsidRPr="00A06F1E">
              <w:t>0.0</w:t>
            </w:r>
          </w:p>
        </w:tc>
        <w:tc>
          <w:tcPr>
            <w:tcW w:w="1255" w:type="dxa"/>
          </w:tcPr>
          <w:p w14:paraId="29E9A168" w14:textId="77777777" w:rsidR="00B607BD" w:rsidRPr="00A06F1E" w:rsidRDefault="00B607BD" w:rsidP="007D5F1C">
            <w:pPr>
              <w:pStyle w:val="TableTextCentered"/>
            </w:pPr>
            <w:r w:rsidRPr="00A06F1E">
              <w:t>2.0</w:t>
            </w:r>
          </w:p>
        </w:tc>
      </w:tr>
      <w:tr w:rsidR="00B607BD" w:rsidRPr="00A06F1E" w14:paraId="02778E29" w14:textId="77777777">
        <w:trPr>
          <w:jc w:val="center"/>
        </w:trPr>
        <w:tc>
          <w:tcPr>
            <w:tcW w:w="3052" w:type="dxa"/>
          </w:tcPr>
          <w:p w14:paraId="2DF7DBB0" w14:textId="77777777" w:rsidR="00B607BD" w:rsidRPr="00A06F1E" w:rsidRDefault="00B607BD" w:rsidP="007D5F1C">
            <w:pPr>
              <w:pStyle w:val="TableText"/>
            </w:pPr>
            <w:r w:rsidRPr="00A06F1E">
              <w:t>Low income</w:t>
            </w:r>
          </w:p>
        </w:tc>
        <w:tc>
          <w:tcPr>
            <w:tcW w:w="1254" w:type="dxa"/>
          </w:tcPr>
          <w:p w14:paraId="18B3C0EA" w14:textId="77777777" w:rsidR="00B607BD" w:rsidRPr="00A06F1E" w:rsidRDefault="00B607BD" w:rsidP="007D5F1C">
            <w:pPr>
              <w:pStyle w:val="TableTextCentered"/>
            </w:pPr>
            <w:r w:rsidRPr="00A06F1E">
              <w:t>412</w:t>
            </w:r>
          </w:p>
        </w:tc>
        <w:tc>
          <w:tcPr>
            <w:tcW w:w="1255" w:type="dxa"/>
          </w:tcPr>
          <w:p w14:paraId="42FC908C" w14:textId="77777777" w:rsidR="00B607BD" w:rsidRPr="00A06F1E" w:rsidRDefault="00B607BD" w:rsidP="007D5F1C">
            <w:pPr>
              <w:pStyle w:val="TableTextCentered"/>
            </w:pPr>
          </w:p>
        </w:tc>
        <w:tc>
          <w:tcPr>
            <w:tcW w:w="1254" w:type="dxa"/>
          </w:tcPr>
          <w:p w14:paraId="6E4225E5" w14:textId="77777777" w:rsidR="00B607BD" w:rsidRPr="00A06F1E" w:rsidRDefault="00B607BD" w:rsidP="007D5F1C">
            <w:pPr>
              <w:pStyle w:val="TableTextCentered"/>
            </w:pPr>
            <w:r w:rsidRPr="00A06F1E">
              <w:t>1.6</w:t>
            </w:r>
          </w:p>
        </w:tc>
        <w:tc>
          <w:tcPr>
            <w:tcW w:w="1255" w:type="dxa"/>
          </w:tcPr>
          <w:p w14:paraId="7AB4B6A0" w14:textId="77777777" w:rsidR="00B607BD" w:rsidRPr="00A06F1E" w:rsidRDefault="00B607BD" w:rsidP="007D5F1C">
            <w:pPr>
              <w:pStyle w:val="TableTextCentered"/>
            </w:pPr>
            <w:r w:rsidRPr="00A06F1E">
              <w:t>0.0</w:t>
            </w:r>
          </w:p>
        </w:tc>
        <w:tc>
          <w:tcPr>
            <w:tcW w:w="1255" w:type="dxa"/>
          </w:tcPr>
          <w:p w14:paraId="01CF22D2" w14:textId="77777777" w:rsidR="00B607BD" w:rsidRPr="00A06F1E" w:rsidRDefault="00B607BD" w:rsidP="007D5F1C">
            <w:pPr>
              <w:pStyle w:val="TableTextCentered"/>
            </w:pPr>
            <w:r w:rsidRPr="00A06F1E">
              <w:t>2.1</w:t>
            </w:r>
          </w:p>
        </w:tc>
      </w:tr>
      <w:tr w:rsidR="00B607BD" w:rsidRPr="00A06F1E" w14:paraId="79BEF99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F957365" w14:textId="3DF50934" w:rsidR="00B607BD" w:rsidRPr="00A06F1E" w:rsidRDefault="004040D2" w:rsidP="007D5F1C">
            <w:pPr>
              <w:pStyle w:val="TableText"/>
            </w:pPr>
            <w:r w:rsidRPr="00A06F1E">
              <w:rPr>
                <w:spacing w:val="-4"/>
              </w:rPr>
              <w:t>E</w:t>
            </w:r>
            <w:r>
              <w:rPr>
                <w:spacing w:val="-4"/>
              </w:rPr>
              <w:t>nglish learners</w:t>
            </w:r>
          </w:p>
        </w:tc>
        <w:tc>
          <w:tcPr>
            <w:tcW w:w="1254" w:type="dxa"/>
          </w:tcPr>
          <w:p w14:paraId="6378B284" w14:textId="77777777" w:rsidR="00B607BD" w:rsidRPr="00A06F1E" w:rsidRDefault="00B607BD" w:rsidP="007D5F1C">
            <w:pPr>
              <w:pStyle w:val="TableTextCentered"/>
            </w:pPr>
            <w:r w:rsidRPr="00A06F1E">
              <w:t>7</w:t>
            </w:r>
          </w:p>
        </w:tc>
        <w:tc>
          <w:tcPr>
            <w:tcW w:w="1255" w:type="dxa"/>
          </w:tcPr>
          <w:p w14:paraId="2865596E" w14:textId="77777777" w:rsidR="00B607BD" w:rsidRPr="00A06F1E" w:rsidRDefault="00B607BD" w:rsidP="007D5F1C">
            <w:pPr>
              <w:pStyle w:val="TableTextCentered"/>
            </w:pPr>
          </w:p>
        </w:tc>
        <w:tc>
          <w:tcPr>
            <w:tcW w:w="1254" w:type="dxa"/>
          </w:tcPr>
          <w:p w14:paraId="5324A4E1" w14:textId="3205684A" w:rsidR="00B607BD" w:rsidRPr="00A06F1E" w:rsidRDefault="00805266" w:rsidP="007D5F1C">
            <w:pPr>
              <w:pStyle w:val="TableTextCentered"/>
            </w:pPr>
            <w:r w:rsidRPr="00A06F1E">
              <w:t>—</w:t>
            </w:r>
          </w:p>
        </w:tc>
        <w:tc>
          <w:tcPr>
            <w:tcW w:w="1255" w:type="dxa"/>
          </w:tcPr>
          <w:p w14:paraId="3FD6365D" w14:textId="147E9C07" w:rsidR="00B607BD" w:rsidRPr="00A06F1E" w:rsidRDefault="00805266" w:rsidP="007D5F1C">
            <w:pPr>
              <w:pStyle w:val="TableTextCentered"/>
            </w:pPr>
            <w:r w:rsidRPr="00A06F1E">
              <w:t>—</w:t>
            </w:r>
          </w:p>
        </w:tc>
        <w:tc>
          <w:tcPr>
            <w:tcW w:w="1255" w:type="dxa"/>
          </w:tcPr>
          <w:p w14:paraId="17F05379" w14:textId="77777777" w:rsidR="00B607BD" w:rsidRPr="00A06F1E" w:rsidRDefault="00B607BD" w:rsidP="007D5F1C">
            <w:pPr>
              <w:pStyle w:val="TableTextCentered"/>
            </w:pPr>
            <w:r w:rsidRPr="00A06F1E">
              <w:t>1.3</w:t>
            </w:r>
          </w:p>
        </w:tc>
      </w:tr>
      <w:tr w:rsidR="00B607BD" w:rsidRPr="00A06F1E" w14:paraId="20AD7870" w14:textId="77777777">
        <w:trPr>
          <w:jc w:val="center"/>
        </w:trPr>
        <w:tc>
          <w:tcPr>
            <w:tcW w:w="3052" w:type="dxa"/>
          </w:tcPr>
          <w:p w14:paraId="2E79C4E9" w14:textId="77777777" w:rsidR="00B607BD" w:rsidRPr="00A06F1E" w:rsidRDefault="00B607BD" w:rsidP="007D5F1C">
            <w:pPr>
              <w:pStyle w:val="TableText"/>
            </w:pPr>
            <w:r w:rsidRPr="00A06F1E">
              <w:t>Students w/disabilities</w:t>
            </w:r>
          </w:p>
        </w:tc>
        <w:tc>
          <w:tcPr>
            <w:tcW w:w="1254" w:type="dxa"/>
          </w:tcPr>
          <w:p w14:paraId="1083FB2F" w14:textId="77777777" w:rsidR="00B607BD" w:rsidRPr="00A06F1E" w:rsidRDefault="00B607BD" w:rsidP="007D5F1C">
            <w:pPr>
              <w:pStyle w:val="TableTextCentered"/>
            </w:pPr>
            <w:r w:rsidRPr="00A06F1E">
              <w:t>154</w:t>
            </w:r>
          </w:p>
        </w:tc>
        <w:tc>
          <w:tcPr>
            <w:tcW w:w="1255" w:type="dxa"/>
          </w:tcPr>
          <w:p w14:paraId="3247FA10" w14:textId="77777777" w:rsidR="00B607BD" w:rsidRPr="00A06F1E" w:rsidRDefault="00B607BD" w:rsidP="007D5F1C">
            <w:pPr>
              <w:pStyle w:val="TableTextCentered"/>
            </w:pPr>
          </w:p>
        </w:tc>
        <w:tc>
          <w:tcPr>
            <w:tcW w:w="1254" w:type="dxa"/>
          </w:tcPr>
          <w:p w14:paraId="0E51164D" w14:textId="77777777" w:rsidR="00B607BD" w:rsidRPr="00A06F1E" w:rsidRDefault="00B607BD" w:rsidP="007D5F1C">
            <w:pPr>
              <w:pStyle w:val="TableTextCentered"/>
            </w:pPr>
            <w:r w:rsidRPr="00A06F1E">
              <w:t>2.8</w:t>
            </w:r>
          </w:p>
        </w:tc>
        <w:tc>
          <w:tcPr>
            <w:tcW w:w="1255" w:type="dxa"/>
          </w:tcPr>
          <w:p w14:paraId="57D13D52" w14:textId="77777777" w:rsidR="00B607BD" w:rsidRPr="00A06F1E" w:rsidRDefault="00B607BD" w:rsidP="007D5F1C">
            <w:pPr>
              <w:pStyle w:val="TableTextCentered"/>
            </w:pPr>
            <w:r w:rsidRPr="00A06F1E">
              <w:t>0.0</w:t>
            </w:r>
          </w:p>
        </w:tc>
        <w:tc>
          <w:tcPr>
            <w:tcW w:w="1255" w:type="dxa"/>
          </w:tcPr>
          <w:p w14:paraId="112A5938" w14:textId="77777777" w:rsidR="00B607BD" w:rsidRPr="00A06F1E" w:rsidRDefault="00B607BD" w:rsidP="007D5F1C">
            <w:pPr>
              <w:pStyle w:val="TableTextCentered"/>
            </w:pPr>
            <w:r w:rsidRPr="00A06F1E">
              <w:t>2.5</w:t>
            </w:r>
          </w:p>
        </w:tc>
      </w:tr>
    </w:tbl>
    <w:p w14:paraId="39F211EB" w14:textId="77777777" w:rsidR="00B607BD" w:rsidRPr="00A06F1E" w:rsidRDefault="00B607BD" w:rsidP="00B607BD">
      <w:pPr>
        <w:spacing w:line="240" w:lineRule="auto"/>
        <w:rPr>
          <w:rFonts w:ascii="Franklin Gothic Book" w:hAnsi="Franklin Gothic Book"/>
          <w:sz w:val="16"/>
          <w:szCs w:val="16"/>
        </w:rPr>
      </w:pPr>
    </w:p>
    <w:p w14:paraId="38D0A2CD" w14:textId="77777777" w:rsidR="007D5F1C" w:rsidRPr="00A06F1E" w:rsidRDefault="007D5F1C">
      <w:pPr>
        <w:spacing w:line="240" w:lineRule="auto"/>
        <w:rPr>
          <w:rFonts w:ascii="Franklin Gothic Demi" w:hAnsi="Franklin Gothic Demi"/>
        </w:rPr>
      </w:pPr>
      <w:r w:rsidRPr="00A06F1E">
        <w:br w:type="page"/>
      </w:r>
    </w:p>
    <w:p w14:paraId="16A624D0" w14:textId="33227631" w:rsidR="00B607BD" w:rsidRPr="00A06F1E" w:rsidRDefault="00B607BD" w:rsidP="00B7722D">
      <w:pPr>
        <w:pStyle w:val="TabletitleSectionE"/>
      </w:pPr>
      <w:bookmarkStart w:id="323" w:name="_Toc170701986"/>
      <w:bookmarkStart w:id="324" w:name="_Toc171685823"/>
      <w:r w:rsidRPr="00A06F1E">
        <w:lastRenderedPageBreak/>
        <w:t>Table E19</w:t>
      </w:r>
      <w:r w:rsidR="00E33360">
        <w:t>b</w:t>
      </w:r>
      <w:r w:rsidR="007C4E08" w:rsidRPr="00A06F1E">
        <w:t xml:space="preserve">. </w:t>
      </w:r>
      <w:proofErr w:type="spellStart"/>
      <w:r w:rsidR="00652B48">
        <w:t>Petersham</w:t>
      </w:r>
      <w:proofErr w:type="spellEnd"/>
      <w:r w:rsidR="00652B48">
        <w:t xml:space="preserve"> Center</w:t>
      </w:r>
      <w:r w:rsidR="00F3532E" w:rsidRPr="00A06F1E">
        <w:t>:</w:t>
      </w:r>
      <w:r w:rsidRPr="00A06F1E">
        <w:t xml:space="preserve"> In-School Suspension Rates by Student Group, 2021-2023</w:t>
      </w:r>
      <w:bookmarkEnd w:id="323"/>
      <w:bookmarkEnd w:id="324"/>
    </w:p>
    <w:tbl>
      <w:tblPr>
        <w:tblStyle w:val="MSVTable1"/>
        <w:tblW w:w="5000" w:type="pct"/>
        <w:jc w:val="center"/>
        <w:tblLook w:val="04A0" w:firstRow="1" w:lastRow="0" w:firstColumn="1" w:lastColumn="0" w:noHBand="0" w:noVBand="1"/>
      </w:tblPr>
      <w:tblGrid>
        <w:gridCol w:w="3057"/>
        <w:gridCol w:w="1256"/>
        <w:gridCol w:w="1258"/>
        <w:gridCol w:w="1257"/>
        <w:gridCol w:w="1258"/>
        <w:gridCol w:w="1258"/>
      </w:tblGrid>
      <w:tr w:rsidR="00B607BD" w:rsidRPr="00A06F1E" w14:paraId="6B45A3A4" w14:textId="77777777" w:rsidTr="007D5F1C">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7EDEFB21" w14:textId="77777777" w:rsidR="00B607BD" w:rsidRPr="00DF7902" w:rsidRDefault="00B607BD" w:rsidP="007D5F1C">
            <w:pPr>
              <w:pStyle w:val="TableColHeadingCenter"/>
            </w:pPr>
            <w:r w:rsidRPr="00DF7902">
              <w:t>Group</w:t>
            </w:r>
          </w:p>
        </w:tc>
        <w:tc>
          <w:tcPr>
            <w:tcW w:w="1254" w:type="dxa"/>
            <w:vAlign w:val="center"/>
          </w:tcPr>
          <w:p w14:paraId="4B550A56" w14:textId="693D63B5" w:rsidR="00B607BD" w:rsidRPr="00A06F1E" w:rsidRDefault="00B607BD" w:rsidP="007D5F1C">
            <w:pPr>
              <w:pStyle w:val="TableColHeadingCenter"/>
            </w:pPr>
            <w:r w:rsidRPr="00A06F1E">
              <w:t xml:space="preserve"># </w:t>
            </w:r>
            <w:r w:rsidR="00FF1146" w:rsidRPr="00A06F1E">
              <w:t>included</w:t>
            </w:r>
            <w:r w:rsidRPr="00A06F1E">
              <w:t xml:space="preserve"> (2023)</w:t>
            </w:r>
          </w:p>
        </w:tc>
        <w:tc>
          <w:tcPr>
            <w:tcW w:w="1255" w:type="dxa"/>
            <w:vAlign w:val="center"/>
          </w:tcPr>
          <w:p w14:paraId="187A6E12" w14:textId="77777777" w:rsidR="00B607BD" w:rsidRPr="00A06F1E" w:rsidRDefault="00B607BD" w:rsidP="007D5F1C">
            <w:pPr>
              <w:pStyle w:val="TableColHeadingCenter"/>
            </w:pPr>
            <w:r w:rsidRPr="00A06F1E">
              <w:t>2021</w:t>
            </w:r>
          </w:p>
        </w:tc>
        <w:tc>
          <w:tcPr>
            <w:tcW w:w="1254" w:type="dxa"/>
            <w:vAlign w:val="center"/>
          </w:tcPr>
          <w:p w14:paraId="2BDD6070" w14:textId="77777777" w:rsidR="00B607BD" w:rsidRPr="00A06F1E" w:rsidRDefault="00B607BD" w:rsidP="007D5F1C">
            <w:pPr>
              <w:pStyle w:val="TableColHeadingCenter"/>
            </w:pPr>
            <w:r w:rsidRPr="00A06F1E">
              <w:t>2022</w:t>
            </w:r>
          </w:p>
        </w:tc>
        <w:tc>
          <w:tcPr>
            <w:tcW w:w="1255" w:type="dxa"/>
            <w:vAlign w:val="center"/>
          </w:tcPr>
          <w:p w14:paraId="66C96F7E" w14:textId="77777777" w:rsidR="00B607BD" w:rsidRPr="00A06F1E" w:rsidRDefault="00B607BD" w:rsidP="007D5F1C">
            <w:pPr>
              <w:pStyle w:val="TableColHeadingCenter"/>
            </w:pPr>
            <w:r w:rsidRPr="00A06F1E">
              <w:t>2023</w:t>
            </w:r>
          </w:p>
        </w:tc>
        <w:tc>
          <w:tcPr>
            <w:tcW w:w="1255" w:type="dxa"/>
            <w:vAlign w:val="center"/>
          </w:tcPr>
          <w:p w14:paraId="58C72790" w14:textId="77777777" w:rsidR="00B607BD" w:rsidRPr="00A06F1E" w:rsidRDefault="00B607BD" w:rsidP="007D5F1C">
            <w:pPr>
              <w:pStyle w:val="TableColHeadingCenter"/>
            </w:pPr>
            <w:r w:rsidRPr="00A06F1E">
              <w:t>State (2023)</w:t>
            </w:r>
          </w:p>
        </w:tc>
      </w:tr>
      <w:tr w:rsidR="00B607BD" w:rsidRPr="00A06F1E" w14:paraId="10C7DDA8" w14:textId="77777777" w:rsidTr="007D5F1C">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9A3ACBB" w14:textId="77777777" w:rsidR="00B607BD" w:rsidRPr="00A06F1E" w:rsidRDefault="00B607BD" w:rsidP="007D5F1C">
            <w:pPr>
              <w:pStyle w:val="TableText"/>
            </w:pPr>
            <w:r w:rsidRPr="00A06F1E">
              <w:t>All</w:t>
            </w:r>
          </w:p>
        </w:tc>
        <w:tc>
          <w:tcPr>
            <w:tcW w:w="1254" w:type="dxa"/>
          </w:tcPr>
          <w:p w14:paraId="47268056" w14:textId="77777777" w:rsidR="00B607BD" w:rsidRPr="00A06F1E" w:rsidRDefault="00B607BD" w:rsidP="007D5F1C">
            <w:pPr>
              <w:pStyle w:val="TableTextCentered"/>
            </w:pPr>
            <w:r w:rsidRPr="00A06F1E">
              <w:t>127</w:t>
            </w:r>
          </w:p>
        </w:tc>
        <w:tc>
          <w:tcPr>
            <w:tcW w:w="1255" w:type="dxa"/>
          </w:tcPr>
          <w:p w14:paraId="2B164D7E" w14:textId="7327026C" w:rsidR="00B607BD" w:rsidRPr="00A06F1E" w:rsidRDefault="00805266" w:rsidP="007D5F1C">
            <w:pPr>
              <w:pStyle w:val="TableTextCentered"/>
            </w:pPr>
            <w:r w:rsidRPr="00A06F1E">
              <w:t>—</w:t>
            </w:r>
          </w:p>
        </w:tc>
        <w:tc>
          <w:tcPr>
            <w:tcW w:w="1254" w:type="dxa"/>
          </w:tcPr>
          <w:p w14:paraId="11A7A3FB" w14:textId="3A94EA1D" w:rsidR="00B607BD" w:rsidRPr="00A06F1E" w:rsidRDefault="00805266" w:rsidP="007D5F1C">
            <w:pPr>
              <w:pStyle w:val="TableTextCentered"/>
            </w:pPr>
            <w:r w:rsidRPr="00A06F1E">
              <w:t>—</w:t>
            </w:r>
          </w:p>
        </w:tc>
        <w:tc>
          <w:tcPr>
            <w:tcW w:w="1255" w:type="dxa"/>
          </w:tcPr>
          <w:p w14:paraId="674A996A" w14:textId="7DE61E31" w:rsidR="00B607BD" w:rsidRPr="00A06F1E" w:rsidRDefault="00805266" w:rsidP="007D5F1C">
            <w:pPr>
              <w:pStyle w:val="TableTextCentered"/>
            </w:pPr>
            <w:r w:rsidRPr="00A06F1E">
              <w:t>—</w:t>
            </w:r>
          </w:p>
        </w:tc>
        <w:tc>
          <w:tcPr>
            <w:tcW w:w="1255" w:type="dxa"/>
          </w:tcPr>
          <w:p w14:paraId="33EC716B" w14:textId="77777777" w:rsidR="00B607BD" w:rsidRPr="00A06F1E" w:rsidRDefault="00B607BD" w:rsidP="007D5F1C">
            <w:pPr>
              <w:pStyle w:val="TableTextCentered"/>
            </w:pPr>
            <w:r w:rsidRPr="00A06F1E">
              <w:t>1.4</w:t>
            </w:r>
          </w:p>
        </w:tc>
      </w:tr>
      <w:tr w:rsidR="00B607BD" w:rsidRPr="00A06F1E" w14:paraId="448E36DE" w14:textId="77777777" w:rsidTr="007D5F1C">
        <w:trPr>
          <w:jc w:val="center"/>
        </w:trPr>
        <w:tc>
          <w:tcPr>
            <w:tcW w:w="3052" w:type="dxa"/>
          </w:tcPr>
          <w:p w14:paraId="5E8F29F4" w14:textId="77777777" w:rsidR="00B607BD" w:rsidRPr="00A06F1E" w:rsidRDefault="00B607BD" w:rsidP="007D5F1C">
            <w:pPr>
              <w:pStyle w:val="TableText"/>
            </w:pPr>
            <w:r w:rsidRPr="00A06F1E">
              <w:t>African American/Black</w:t>
            </w:r>
          </w:p>
        </w:tc>
        <w:tc>
          <w:tcPr>
            <w:tcW w:w="1254" w:type="dxa"/>
          </w:tcPr>
          <w:p w14:paraId="35497120" w14:textId="77777777" w:rsidR="00B607BD" w:rsidRPr="00A06F1E" w:rsidRDefault="00B607BD" w:rsidP="007D5F1C">
            <w:pPr>
              <w:pStyle w:val="TableTextCentered"/>
            </w:pPr>
            <w:r w:rsidRPr="00A06F1E">
              <w:t>0</w:t>
            </w:r>
          </w:p>
        </w:tc>
        <w:tc>
          <w:tcPr>
            <w:tcW w:w="1255" w:type="dxa"/>
          </w:tcPr>
          <w:p w14:paraId="5D859949" w14:textId="00213ED5" w:rsidR="00B607BD" w:rsidRPr="00A06F1E" w:rsidRDefault="00805266" w:rsidP="007D5F1C">
            <w:pPr>
              <w:pStyle w:val="TableTextCentered"/>
            </w:pPr>
            <w:r w:rsidRPr="00A06F1E">
              <w:t>—</w:t>
            </w:r>
          </w:p>
        </w:tc>
        <w:tc>
          <w:tcPr>
            <w:tcW w:w="1254" w:type="dxa"/>
          </w:tcPr>
          <w:p w14:paraId="69567C5B" w14:textId="16741CC4" w:rsidR="00B607BD" w:rsidRPr="00A06F1E" w:rsidRDefault="00805266" w:rsidP="007D5F1C">
            <w:pPr>
              <w:pStyle w:val="TableTextCentered"/>
            </w:pPr>
            <w:r w:rsidRPr="00A06F1E">
              <w:t>—</w:t>
            </w:r>
          </w:p>
        </w:tc>
        <w:tc>
          <w:tcPr>
            <w:tcW w:w="1255" w:type="dxa"/>
          </w:tcPr>
          <w:p w14:paraId="35ED8C0C" w14:textId="7F804532" w:rsidR="00B607BD" w:rsidRPr="00A06F1E" w:rsidRDefault="00805266" w:rsidP="007D5F1C">
            <w:pPr>
              <w:pStyle w:val="TableTextCentered"/>
            </w:pPr>
            <w:r w:rsidRPr="00A06F1E">
              <w:t>—</w:t>
            </w:r>
          </w:p>
        </w:tc>
        <w:tc>
          <w:tcPr>
            <w:tcW w:w="1255" w:type="dxa"/>
          </w:tcPr>
          <w:p w14:paraId="75226BCB" w14:textId="77777777" w:rsidR="00B607BD" w:rsidRPr="00A06F1E" w:rsidRDefault="00B607BD" w:rsidP="007D5F1C">
            <w:pPr>
              <w:pStyle w:val="TableTextCentered"/>
            </w:pPr>
            <w:r w:rsidRPr="00A06F1E">
              <w:t>2.1</w:t>
            </w:r>
          </w:p>
        </w:tc>
      </w:tr>
      <w:tr w:rsidR="00B607BD" w:rsidRPr="00A06F1E" w14:paraId="1F7BC333" w14:textId="77777777" w:rsidTr="007D5F1C">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EDBC0B0" w14:textId="77777777" w:rsidR="00B607BD" w:rsidRPr="00A06F1E" w:rsidRDefault="00B607BD" w:rsidP="007D5F1C">
            <w:pPr>
              <w:pStyle w:val="TableText"/>
            </w:pPr>
            <w:r w:rsidRPr="00A06F1E">
              <w:t>Asian</w:t>
            </w:r>
          </w:p>
        </w:tc>
        <w:tc>
          <w:tcPr>
            <w:tcW w:w="1254" w:type="dxa"/>
          </w:tcPr>
          <w:p w14:paraId="6F7BD1D6" w14:textId="77777777" w:rsidR="00B607BD" w:rsidRPr="00A06F1E" w:rsidRDefault="00B607BD" w:rsidP="007D5F1C">
            <w:pPr>
              <w:pStyle w:val="TableTextCentered"/>
            </w:pPr>
            <w:r w:rsidRPr="00A06F1E">
              <w:t>0</w:t>
            </w:r>
          </w:p>
        </w:tc>
        <w:tc>
          <w:tcPr>
            <w:tcW w:w="1255" w:type="dxa"/>
          </w:tcPr>
          <w:p w14:paraId="7C2DFDE4" w14:textId="76EB8DFF" w:rsidR="00B607BD" w:rsidRPr="00A06F1E" w:rsidRDefault="00805266" w:rsidP="007D5F1C">
            <w:pPr>
              <w:pStyle w:val="TableTextCentered"/>
            </w:pPr>
            <w:r w:rsidRPr="00A06F1E">
              <w:t>—</w:t>
            </w:r>
          </w:p>
        </w:tc>
        <w:tc>
          <w:tcPr>
            <w:tcW w:w="1254" w:type="dxa"/>
          </w:tcPr>
          <w:p w14:paraId="0B721D7A" w14:textId="45B36533" w:rsidR="00B607BD" w:rsidRPr="00A06F1E" w:rsidRDefault="00805266" w:rsidP="007D5F1C">
            <w:pPr>
              <w:pStyle w:val="TableTextCentered"/>
            </w:pPr>
            <w:r w:rsidRPr="00A06F1E">
              <w:t>—</w:t>
            </w:r>
          </w:p>
        </w:tc>
        <w:tc>
          <w:tcPr>
            <w:tcW w:w="1255" w:type="dxa"/>
          </w:tcPr>
          <w:p w14:paraId="33E1785C" w14:textId="0E3E2F38" w:rsidR="00B607BD" w:rsidRPr="00A06F1E" w:rsidRDefault="00805266" w:rsidP="007D5F1C">
            <w:pPr>
              <w:pStyle w:val="TableTextCentered"/>
            </w:pPr>
            <w:r w:rsidRPr="00A06F1E">
              <w:t>—</w:t>
            </w:r>
          </w:p>
        </w:tc>
        <w:tc>
          <w:tcPr>
            <w:tcW w:w="1255" w:type="dxa"/>
          </w:tcPr>
          <w:p w14:paraId="6BD32D3F" w14:textId="77777777" w:rsidR="00B607BD" w:rsidRPr="00A06F1E" w:rsidRDefault="00B607BD" w:rsidP="007D5F1C">
            <w:pPr>
              <w:pStyle w:val="TableTextCentered"/>
            </w:pPr>
            <w:r w:rsidRPr="00A06F1E">
              <w:t>0.3</w:t>
            </w:r>
          </w:p>
        </w:tc>
      </w:tr>
      <w:tr w:rsidR="00B607BD" w:rsidRPr="00A06F1E" w14:paraId="5E677585" w14:textId="77777777" w:rsidTr="007D5F1C">
        <w:trPr>
          <w:jc w:val="center"/>
        </w:trPr>
        <w:tc>
          <w:tcPr>
            <w:tcW w:w="3052" w:type="dxa"/>
          </w:tcPr>
          <w:p w14:paraId="69FC31FF" w14:textId="77777777" w:rsidR="00B607BD" w:rsidRPr="00A06F1E" w:rsidRDefault="00B607BD" w:rsidP="007D5F1C">
            <w:pPr>
              <w:pStyle w:val="TableText"/>
            </w:pPr>
            <w:r w:rsidRPr="00A06F1E">
              <w:t>Hispanic/Latino</w:t>
            </w:r>
          </w:p>
        </w:tc>
        <w:tc>
          <w:tcPr>
            <w:tcW w:w="1254" w:type="dxa"/>
          </w:tcPr>
          <w:p w14:paraId="0B1705DE" w14:textId="77777777" w:rsidR="00B607BD" w:rsidRPr="00A06F1E" w:rsidRDefault="00B607BD" w:rsidP="007D5F1C">
            <w:pPr>
              <w:pStyle w:val="TableTextCentered"/>
            </w:pPr>
            <w:r w:rsidRPr="00A06F1E">
              <w:t>14</w:t>
            </w:r>
          </w:p>
        </w:tc>
        <w:tc>
          <w:tcPr>
            <w:tcW w:w="1255" w:type="dxa"/>
          </w:tcPr>
          <w:p w14:paraId="0D48BD4A" w14:textId="02A63B15" w:rsidR="00B607BD" w:rsidRPr="00A06F1E" w:rsidRDefault="00805266" w:rsidP="007D5F1C">
            <w:pPr>
              <w:pStyle w:val="TableTextCentered"/>
            </w:pPr>
            <w:r w:rsidRPr="00A06F1E">
              <w:t>—</w:t>
            </w:r>
          </w:p>
        </w:tc>
        <w:tc>
          <w:tcPr>
            <w:tcW w:w="1254" w:type="dxa"/>
          </w:tcPr>
          <w:p w14:paraId="3A9276BB" w14:textId="3E354FE6" w:rsidR="00B607BD" w:rsidRPr="00A06F1E" w:rsidRDefault="00805266" w:rsidP="007D5F1C">
            <w:pPr>
              <w:pStyle w:val="TableTextCentered"/>
            </w:pPr>
            <w:r w:rsidRPr="00A06F1E">
              <w:t>—</w:t>
            </w:r>
          </w:p>
        </w:tc>
        <w:tc>
          <w:tcPr>
            <w:tcW w:w="1255" w:type="dxa"/>
          </w:tcPr>
          <w:p w14:paraId="1FE1BC47" w14:textId="1E46F809" w:rsidR="00B607BD" w:rsidRPr="00A06F1E" w:rsidRDefault="00805266" w:rsidP="007D5F1C">
            <w:pPr>
              <w:pStyle w:val="TableTextCentered"/>
            </w:pPr>
            <w:r w:rsidRPr="00A06F1E">
              <w:t>—</w:t>
            </w:r>
          </w:p>
        </w:tc>
        <w:tc>
          <w:tcPr>
            <w:tcW w:w="1255" w:type="dxa"/>
          </w:tcPr>
          <w:p w14:paraId="3200A930" w14:textId="77777777" w:rsidR="00B607BD" w:rsidRPr="00A06F1E" w:rsidRDefault="00B607BD" w:rsidP="007D5F1C">
            <w:pPr>
              <w:pStyle w:val="TableTextCentered"/>
            </w:pPr>
            <w:r w:rsidRPr="00A06F1E">
              <w:t>1.8</w:t>
            </w:r>
          </w:p>
        </w:tc>
      </w:tr>
      <w:tr w:rsidR="00B607BD" w:rsidRPr="00A06F1E" w14:paraId="0CDB94DA" w14:textId="77777777" w:rsidTr="007D5F1C">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2145C6A" w14:textId="77777777" w:rsidR="00B607BD" w:rsidRPr="00A06F1E" w:rsidRDefault="00B607BD" w:rsidP="007D5F1C">
            <w:pPr>
              <w:pStyle w:val="TableText"/>
            </w:pPr>
            <w:r w:rsidRPr="00A06F1E">
              <w:rPr>
                <w:rFonts w:cstheme="minorHAnsi"/>
              </w:rPr>
              <w:t>Multi-Race, non-Hispanic/Latino</w:t>
            </w:r>
          </w:p>
        </w:tc>
        <w:tc>
          <w:tcPr>
            <w:tcW w:w="1254" w:type="dxa"/>
          </w:tcPr>
          <w:p w14:paraId="222A13F8" w14:textId="77777777" w:rsidR="00B607BD" w:rsidRPr="00A06F1E" w:rsidRDefault="00B607BD" w:rsidP="007D5F1C">
            <w:pPr>
              <w:pStyle w:val="TableTextCentered"/>
            </w:pPr>
            <w:r w:rsidRPr="00A06F1E">
              <w:t>4</w:t>
            </w:r>
          </w:p>
        </w:tc>
        <w:tc>
          <w:tcPr>
            <w:tcW w:w="1255" w:type="dxa"/>
          </w:tcPr>
          <w:p w14:paraId="434CD32E" w14:textId="23A634B5" w:rsidR="00B607BD" w:rsidRPr="00A06F1E" w:rsidRDefault="00805266" w:rsidP="007D5F1C">
            <w:pPr>
              <w:pStyle w:val="TableTextCentered"/>
            </w:pPr>
            <w:r w:rsidRPr="00A06F1E">
              <w:t>—</w:t>
            </w:r>
          </w:p>
        </w:tc>
        <w:tc>
          <w:tcPr>
            <w:tcW w:w="1254" w:type="dxa"/>
          </w:tcPr>
          <w:p w14:paraId="754E6D7D" w14:textId="3A40C983" w:rsidR="00B607BD" w:rsidRPr="00A06F1E" w:rsidRDefault="00805266" w:rsidP="007D5F1C">
            <w:pPr>
              <w:pStyle w:val="TableTextCentered"/>
            </w:pPr>
            <w:r w:rsidRPr="00A06F1E">
              <w:t>—</w:t>
            </w:r>
          </w:p>
        </w:tc>
        <w:tc>
          <w:tcPr>
            <w:tcW w:w="1255" w:type="dxa"/>
          </w:tcPr>
          <w:p w14:paraId="5CCB562F" w14:textId="627F848C" w:rsidR="00B607BD" w:rsidRPr="00A06F1E" w:rsidRDefault="00805266" w:rsidP="007D5F1C">
            <w:pPr>
              <w:pStyle w:val="TableTextCentered"/>
            </w:pPr>
            <w:r w:rsidRPr="00A06F1E">
              <w:t>—</w:t>
            </w:r>
          </w:p>
        </w:tc>
        <w:tc>
          <w:tcPr>
            <w:tcW w:w="1255" w:type="dxa"/>
          </w:tcPr>
          <w:p w14:paraId="7FB639FD" w14:textId="77777777" w:rsidR="00B607BD" w:rsidRPr="00A06F1E" w:rsidRDefault="00B607BD" w:rsidP="007D5F1C">
            <w:pPr>
              <w:pStyle w:val="TableTextCentered"/>
            </w:pPr>
            <w:r w:rsidRPr="00A06F1E">
              <w:t>1.6</w:t>
            </w:r>
          </w:p>
        </w:tc>
      </w:tr>
      <w:tr w:rsidR="00B607BD" w:rsidRPr="00A06F1E" w14:paraId="2C5423A1" w14:textId="77777777" w:rsidTr="007D5F1C">
        <w:trPr>
          <w:jc w:val="center"/>
        </w:trPr>
        <w:tc>
          <w:tcPr>
            <w:tcW w:w="3052" w:type="dxa"/>
          </w:tcPr>
          <w:p w14:paraId="5EEA1F13" w14:textId="77777777" w:rsidR="00B607BD" w:rsidRPr="00A06F1E" w:rsidRDefault="00B607BD" w:rsidP="007D5F1C">
            <w:pPr>
              <w:pStyle w:val="TableText"/>
            </w:pPr>
            <w:r w:rsidRPr="00A06F1E">
              <w:t>Native American</w:t>
            </w:r>
          </w:p>
        </w:tc>
        <w:tc>
          <w:tcPr>
            <w:tcW w:w="1254" w:type="dxa"/>
          </w:tcPr>
          <w:p w14:paraId="56B6F85D" w14:textId="77777777" w:rsidR="00B607BD" w:rsidRPr="00A06F1E" w:rsidRDefault="00B607BD" w:rsidP="007D5F1C">
            <w:pPr>
              <w:pStyle w:val="TableTextCentered"/>
            </w:pPr>
            <w:r w:rsidRPr="00A06F1E">
              <w:t>0</w:t>
            </w:r>
          </w:p>
        </w:tc>
        <w:tc>
          <w:tcPr>
            <w:tcW w:w="1255" w:type="dxa"/>
          </w:tcPr>
          <w:p w14:paraId="4462E72B" w14:textId="510CE685" w:rsidR="00B607BD" w:rsidRPr="00A06F1E" w:rsidRDefault="00805266" w:rsidP="007D5F1C">
            <w:pPr>
              <w:pStyle w:val="TableTextCentered"/>
            </w:pPr>
            <w:r w:rsidRPr="00A06F1E">
              <w:t>—</w:t>
            </w:r>
          </w:p>
        </w:tc>
        <w:tc>
          <w:tcPr>
            <w:tcW w:w="1254" w:type="dxa"/>
          </w:tcPr>
          <w:p w14:paraId="214B3F3B" w14:textId="76F45939" w:rsidR="00B607BD" w:rsidRPr="00A06F1E" w:rsidRDefault="00805266" w:rsidP="007D5F1C">
            <w:pPr>
              <w:pStyle w:val="TableTextCentered"/>
            </w:pPr>
            <w:r w:rsidRPr="00A06F1E">
              <w:t>—</w:t>
            </w:r>
          </w:p>
        </w:tc>
        <w:tc>
          <w:tcPr>
            <w:tcW w:w="1255" w:type="dxa"/>
          </w:tcPr>
          <w:p w14:paraId="5EC56F68" w14:textId="170FE8E7" w:rsidR="00B607BD" w:rsidRPr="00A06F1E" w:rsidRDefault="00805266" w:rsidP="007D5F1C">
            <w:pPr>
              <w:pStyle w:val="TableTextCentered"/>
            </w:pPr>
            <w:r w:rsidRPr="00A06F1E">
              <w:t>—</w:t>
            </w:r>
          </w:p>
        </w:tc>
        <w:tc>
          <w:tcPr>
            <w:tcW w:w="1255" w:type="dxa"/>
          </w:tcPr>
          <w:p w14:paraId="574FD2BB" w14:textId="77777777" w:rsidR="00B607BD" w:rsidRPr="00A06F1E" w:rsidRDefault="00B607BD" w:rsidP="007D5F1C">
            <w:pPr>
              <w:pStyle w:val="TableTextCentered"/>
            </w:pPr>
            <w:r w:rsidRPr="00A06F1E">
              <w:t>1.5</w:t>
            </w:r>
          </w:p>
        </w:tc>
      </w:tr>
      <w:tr w:rsidR="00B607BD" w:rsidRPr="00A06F1E" w14:paraId="0A4EF15D" w14:textId="77777777" w:rsidTr="007D5F1C">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2E7AD35" w14:textId="77777777" w:rsidR="00B607BD" w:rsidRPr="00A06F1E" w:rsidRDefault="00B607BD" w:rsidP="007D5F1C">
            <w:pPr>
              <w:pStyle w:val="TableText"/>
            </w:pPr>
            <w:r w:rsidRPr="00A06F1E">
              <w:rPr>
                <w:rFonts w:eastAsia="Times New Roman"/>
                <w:spacing w:val="-4"/>
              </w:rPr>
              <w:t>Native Hawaiian, Pacific Islander</w:t>
            </w:r>
          </w:p>
        </w:tc>
        <w:tc>
          <w:tcPr>
            <w:tcW w:w="1254" w:type="dxa"/>
          </w:tcPr>
          <w:p w14:paraId="7CEC9C4C" w14:textId="77777777" w:rsidR="00B607BD" w:rsidRPr="00A06F1E" w:rsidRDefault="00B607BD" w:rsidP="007D5F1C">
            <w:pPr>
              <w:pStyle w:val="TableTextCentered"/>
            </w:pPr>
            <w:r w:rsidRPr="00A06F1E">
              <w:t>0</w:t>
            </w:r>
          </w:p>
        </w:tc>
        <w:tc>
          <w:tcPr>
            <w:tcW w:w="1255" w:type="dxa"/>
          </w:tcPr>
          <w:p w14:paraId="1C350BD8" w14:textId="5866AFDF" w:rsidR="00B607BD" w:rsidRPr="00A06F1E" w:rsidRDefault="00805266" w:rsidP="007D5F1C">
            <w:pPr>
              <w:pStyle w:val="TableTextCentered"/>
            </w:pPr>
            <w:r w:rsidRPr="00A06F1E">
              <w:t>—</w:t>
            </w:r>
          </w:p>
        </w:tc>
        <w:tc>
          <w:tcPr>
            <w:tcW w:w="1254" w:type="dxa"/>
          </w:tcPr>
          <w:p w14:paraId="3A14173D" w14:textId="7675E290" w:rsidR="00B607BD" w:rsidRPr="00A06F1E" w:rsidRDefault="00805266" w:rsidP="007D5F1C">
            <w:pPr>
              <w:pStyle w:val="TableTextCentered"/>
            </w:pPr>
            <w:r w:rsidRPr="00A06F1E">
              <w:t>—</w:t>
            </w:r>
          </w:p>
        </w:tc>
        <w:tc>
          <w:tcPr>
            <w:tcW w:w="1255" w:type="dxa"/>
          </w:tcPr>
          <w:p w14:paraId="2FCC5AB9" w14:textId="2381A560" w:rsidR="00B607BD" w:rsidRPr="00A06F1E" w:rsidRDefault="00805266" w:rsidP="007D5F1C">
            <w:pPr>
              <w:pStyle w:val="TableTextCentered"/>
            </w:pPr>
            <w:r w:rsidRPr="00A06F1E">
              <w:t>—</w:t>
            </w:r>
          </w:p>
        </w:tc>
        <w:tc>
          <w:tcPr>
            <w:tcW w:w="1255" w:type="dxa"/>
          </w:tcPr>
          <w:p w14:paraId="4DC143B2" w14:textId="77777777" w:rsidR="00B607BD" w:rsidRPr="00A06F1E" w:rsidRDefault="00B607BD" w:rsidP="007D5F1C">
            <w:pPr>
              <w:pStyle w:val="TableTextCentered"/>
            </w:pPr>
            <w:r w:rsidRPr="00A06F1E">
              <w:t>1.4</w:t>
            </w:r>
          </w:p>
        </w:tc>
      </w:tr>
      <w:tr w:rsidR="00B607BD" w:rsidRPr="00A06F1E" w14:paraId="257D289D" w14:textId="77777777" w:rsidTr="007D5F1C">
        <w:trPr>
          <w:jc w:val="center"/>
        </w:trPr>
        <w:tc>
          <w:tcPr>
            <w:tcW w:w="3052" w:type="dxa"/>
          </w:tcPr>
          <w:p w14:paraId="118E2D44" w14:textId="77777777" w:rsidR="00B607BD" w:rsidRPr="00A06F1E" w:rsidRDefault="00B607BD" w:rsidP="007D5F1C">
            <w:pPr>
              <w:pStyle w:val="TableText"/>
            </w:pPr>
            <w:r w:rsidRPr="00A06F1E">
              <w:t>White</w:t>
            </w:r>
          </w:p>
        </w:tc>
        <w:tc>
          <w:tcPr>
            <w:tcW w:w="1254" w:type="dxa"/>
          </w:tcPr>
          <w:p w14:paraId="166B5130" w14:textId="77777777" w:rsidR="00B607BD" w:rsidRPr="00A06F1E" w:rsidRDefault="00B607BD" w:rsidP="007D5F1C">
            <w:pPr>
              <w:pStyle w:val="TableTextCentered"/>
            </w:pPr>
            <w:r w:rsidRPr="00A06F1E">
              <w:t>109</w:t>
            </w:r>
          </w:p>
        </w:tc>
        <w:tc>
          <w:tcPr>
            <w:tcW w:w="1255" w:type="dxa"/>
          </w:tcPr>
          <w:p w14:paraId="2E165CDB" w14:textId="3FB21F7A" w:rsidR="00B607BD" w:rsidRPr="00A06F1E" w:rsidRDefault="00805266" w:rsidP="007D5F1C">
            <w:pPr>
              <w:pStyle w:val="TableTextCentered"/>
            </w:pPr>
            <w:r w:rsidRPr="00A06F1E">
              <w:t>—</w:t>
            </w:r>
          </w:p>
        </w:tc>
        <w:tc>
          <w:tcPr>
            <w:tcW w:w="1254" w:type="dxa"/>
          </w:tcPr>
          <w:p w14:paraId="2AF4FCCD" w14:textId="2F6E6FBA" w:rsidR="00B607BD" w:rsidRPr="00A06F1E" w:rsidRDefault="00805266" w:rsidP="007D5F1C">
            <w:pPr>
              <w:pStyle w:val="TableTextCentered"/>
            </w:pPr>
            <w:r w:rsidRPr="00A06F1E">
              <w:t>—</w:t>
            </w:r>
          </w:p>
        </w:tc>
        <w:tc>
          <w:tcPr>
            <w:tcW w:w="1255" w:type="dxa"/>
          </w:tcPr>
          <w:p w14:paraId="139303A4" w14:textId="3AC0F555" w:rsidR="00B607BD" w:rsidRPr="00A06F1E" w:rsidRDefault="00805266" w:rsidP="007D5F1C">
            <w:pPr>
              <w:pStyle w:val="TableTextCentered"/>
            </w:pPr>
            <w:r w:rsidRPr="00A06F1E">
              <w:t>—</w:t>
            </w:r>
          </w:p>
        </w:tc>
        <w:tc>
          <w:tcPr>
            <w:tcW w:w="1255" w:type="dxa"/>
          </w:tcPr>
          <w:p w14:paraId="09FF62C7" w14:textId="77777777" w:rsidR="00B607BD" w:rsidRPr="00A06F1E" w:rsidRDefault="00B607BD" w:rsidP="007D5F1C">
            <w:pPr>
              <w:pStyle w:val="TableTextCentered"/>
            </w:pPr>
            <w:r w:rsidRPr="00A06F1E">
              <w:t>1.2</w:t>
            </w:r>
          </w:p>
        </w:tc>
      </w:tr>
      <w:tr w:rsidR="00B607BD" w:rsidRPr="00A06F1E" w14:paraId="12BB4892" w14:textId="77777777" w:rsidTr="007D5F1C">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D8BCAFA" w14:textId="77777777" w:rsidR="00B607BD" w:rsidRPr="00A06F1E" w:rsidRDefault="00B607BD" w:rsidP="007D5F1C">
            <w:pPr>
              <w:pStyle w:val="TableText"/>
            </w:pPr>
            <w:r w:rsidRPr="00A06F1E">
              <w:t>High needs</w:t>
            </w:r>
          </w:p>
        </w:tc>
        <w:tc>
          <w:tcPr>
            <w:tcW w:w="1254" w:type="dxa"/>
          </w:tcPr>
          <w:p w14:paraId="06F6BEA7" w14:textId="77777777" w:rsidR="00B607BD" w:rsidRPr="00A06F1E" w:rsidRDefault="00B607BD" w:rsidP="007D5F1C">
            <w:pPr>
              <w:pStyle w:val="TableTextCentered"/>
            </w:pPr>
            <w:r w:rsidRPr="00A06F1E">
              <w:t>56</w:t>
            </w:r>
          </w:p>
        </w:tc>
        <w:tc>
          <w:tcPr>
            <w:tcW w:w="1255" w:type="dxa"/>
          </w:tcPr>
          <w:p w14:paraId="42FCBA60" w14:textId="179091A7" w:rsidR="00B607BD" w:rsidRPr="00A06F1E" w:rsidRDefault="00805266" w:rsidP="007D5F1C">
            <w:pPr>
              <w:pStyle w:val="TableTextCentered"/>
            </w:pPr>
            <w:r w:rsidRPr="00A06F1E">
              <w:t>—</w:t>
            </w:r>
          </w:p>
        </w:tc>
        <w:tc>
          <w:tcPr>
            <w:tcW w:w="1254" w:type="dxa"/>
          </w:tcPr>
          <w:p w14:paraId="7486C712" w14:textId="203069FE" w:rsidR="00B607BD" w:rsidRPr="00A06F1E" w:rsidRDefault="00805266" w:rsidP="007D5F1C">
            <w:pPr>
              <w:pStyle w:val="TableTextCentered"/>
            </w:pPr>
            <w:r w:rsidRPr="00A06F1E">
              <w:t>—</w:t>
            </w:r>
          </w:p>
        </w:tc>
        <w:tc>
          <w:tcPr>
            <w:tcW w:w="1255" w:type="dxa"/>
          </w:tcPr>
          <w:p w14:paraId="718FE157" w14:textId="7C5F0332" w:rsidR="00B607BD" w:rsidRPr="00A06F1E" w:rsidRDefault="00805266" w:rsidP="007D5F1C">
            <w:pPr>
              <w:pStyle w:val="TableTextCentered"/>
            </w:pPr>
            <w:r w:rsidRPr="00A06F1E">
              <w:t>—</w:t>
            </w:r>
          </w:p>
        </w:tc>
        <w:tc>
          <w:tcPr>
            <w:tcW w:w="1255" w:type="dxa"/>
          </w:tcPr>
          <w:p w14:paraId="37C4C4B6" w14:textId="77777777" w:rsidR="00B607BD" w:rsidRPr="00A06F1E" w:rsidRDefault="00B607BD" w:rsidP="007D5F1C">
            <w:pPr>
              <w:pStyle w:val="TableTextCentered"/>
            </w:pPr>
            <w:r w:rsidRPr="00A06F1E">
              <w:t>2.0</w:t>
            </w:r>
          </w:p>
        </w:tc>
      </w:tr>
      <w:tr w:rsidR="00B607BD" w:rsidRPr="00A06F1E" w14:paraId="5867FF31" w14:textId="77777777" w:rsidTr="007D5F1C">
        <w:trPr>
          <w:jc w:val="center"/>
        </w:trPr>
        <w:tc>
          <w:tcPr>
            <w:tcW w:w="3052" w:type="dxa"/>
          </w:tcPr>
          <w:p w14:paraId="35DBC356" w14:textId="77777777" w:rsidR="00B607BD" w:rsidRPr="00A06F1E" w:rsidRDefault="00B607BD" w:rsidP="007D5F1C">
            <w:pPr>
              <w:pStyle w:val="TableText"/>
            </w:pPr>
            <w:r w:rsidRPr="00A06F1E">
              <w:t>Low income</w:t>
            </w:r>
          </w:p>
        </w:tc>
        <w:tc>
          <w:tcPr>
            <w:tcW w:w="1254" w:type="dxa"/>
          </w:tcPr>
          <w:p w14:paraId="4AE179DB" w14:textId="77777777" w:rsidR="00B607BD" w:rsidRPr="00A06F1E" w:rsidRDefault="00B607BD" w:rsidP="007D5F1C">
            <w:pPr>
              <w:pStyle w:val="TableTextCentered"/>
            </w:pPr>
            <w:r w:rsidRPr="00A06F1E">
              <w:t>43</w:t>
            </w:r>
          </w:p>
        </w:tc>
        <w:tc>
          <w:tcPr>
            <w:tcW w:w="1255" w:type="dxa"/>
          </w:tcPr>
          <w:p w14:paraId="470CA891" w14:textId="640A91C5" w:rsidR="00B607BD" w:rsidRPr="00A06F1E" w:rsidRDefault="00805266" w:rsidP="007D5F1C">
            <w:pPr>
              <w:pStyle w:val="TableTextCentered"/>
            </w:pPr>
            <w:r w:rsidRPr="00A06F1E">
              <w:t>—</w:t>
            </w:r>
          </w:p>
        </w:tc>
        <w:tc>
          <w:tcPr>
            <w:tcW w:w="1254" w:type="dxa"/>
          </w:tcPr>
          <w:p w14:paraId="4BAB8CA1" w14:textId="04870F1B" w:rsidR="00B607BD" w:rsidRPr="00A06F1E" w:rsidRDefault="00805266" w:rsidP="007D5F1C">
            <w:pPr>
              <w:pStyle w:val="TableTextCentered"/>
            </w:pPr>
            <w:r w:rsidRPr="00A06F1E">
              <w:t>—</w:t>
            </w:r>
          </w:p>
        </w:tc>
        <w:tc>
          <w:tcPr>
            <w:tcW w:w="1255" w:type="dxa"/>
          </w:tcPr>
          <w:p w14:paraId="0F3EE10C" w14:textId="4C5B3ECC" w:rsidR="00B607BD" w:rsidRPr="00A06F1E" w:rsidRDefault="00805266" w:rsidP="007D5F1C">
            <w:pPr>
              <w:pStyle w:val="TableTextCentered"/>
            </w:pPr>
            <w:r w:rsidRPr="00A06F1E">
              <w:t>—</w:t>
            </w:r>
          </w:p>
        </w:tc>
        <w:tc>
          <w:tcPr>
            <w:tcW w:w="1255" w:type="dxa"/>
          </w:tcPr>
          <w:p w14:paraId="7A4C33B1" w14:textId="77777777" w:rsidR="00B607BD" w:rsidRPr="00A06F1E" w:rsidRDefault="00B607BD" w:rsidP="007D5F1C">
            <w:pPr>
              <w:pStyle w:val="TableTextCentered"/>
            </w:pPr>
            <w:r w:rsidRPr="00A06F1E">
              <w:t>2.1</w:t>
            </w:r>
          </w:p>
        </w:tc>
      </w:tr>
      <w:tr w:rsidR="00B607BD" w:rsidRPr="00A06F1E" w14:paraId="1F7213AD" w14:textId="77777777" w:rsidTr="007D5F1C">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8B5D83D" w14:textId="23F182AE" w:rsidR="00B607BD" w:rsidRPr="00A06F1E" w:rsidRDefault="004040D2" w:rsidP="007D5F1C">
            <w:pPr>
              <w:pStyle w:val="TableText"/>
            </w:pPr>
            <w:r w:rsidRPr="00A06F1E">
              <w:rPr>
                <w:spacing w:val="-4"/>
              </w:rPr>
              <w:t>E</w:t>
            </w:r>
            <w:r>
              <w:rPr>
                <w:spacing w:val="-4"/>
              </w:rPr>
              <w:t>nglish learners</w:t>
            </w:r>
          </w:p>
        </w:tc>
        <w:tc>
          <w:tcPr>
            <w:tcW w:w="1254" w:type="dxa"/>
          </w:tcPr>
          <w:p w14:paraId="6335630A" w14:textId="77777777" w:rsidR="00B607BD" w:rsidRPr="00A06F1E" w:rsidRDefault="00B607BD" w:rsidP="007D5F1C">
            <w:pPr>
              <w:pStyle w:val="TableTextCentered"/>
            </w:pPr>
            <w:r w:rsidRPr="00A06F1E">
              <w:t>2</w:t>
            </w:r>
          </w:p>
        </w:tc>
        <w:tc>
          <w:tcPr>
            <w:tcW w:w="1255" w:type="dxa"/>
          </w:tcPr>
          <w:p w14:paraId="12257065" w14:textId="7EF500ED" w:rsidR="00B607BD" w:rsidRPr="00A06F1E" w:rsidRDefault="00805266" w:rsidP="007D5F1C">
            <w:pPr>
              <w:pStyle w:val="TableTextCentered"/>
            </w:pPr>
            <w:r w:rsidRPr="00A06F1E">
              <w:t>—</w:t>
            </w:r>
          </w:p>
        </w:tc>
        <w:tc>
          <w:tcPr>
            <w:tcW w:w="1254" w:type="dxa"/>
          </w:tcPr>
          <w:p w14:paraId="41558C89" w14:textId="183190E4" w:rsidR="00B607BD" w:rsidRPr="00A06F1E" w:rsidRDefault="00805266" w:rsidP="007D5F1C">
            <w:pPr>
              <w:pStyle w:val="TableTextCentered"/>
            </w:pPr>
            <w:r w:rsidRPr="00A06F1E">
              <w:t>—</w:t>
            </w:r>
          </w:p>
        </w:tc>
        <w:tc>
          <w:tcPr>
            <w:tcW w:w="1255" w:type="dxa"/>
          </w:tcPr>
          <w:p w14:paraId="09FD464E" w14:textId="409039FE" w:rsidR="00B607BD" w:rsidRPr="00A06F1E" w:rsidRDefault="00805266" w:rsidP="007D5F1C">
            <w:pPr>
              <w:pStyle w:val="TableTextCentered"/>
            </w:pPr>
            <w:r w:rsidRPr="00A06F1E">
              <w:t>—</w:t>
            </w:r>
          </w:p>
        </w:tc>
        <w:tc>
          <w:tcPr>
            <w:tcW w:w="1255" w:type="dxa"/>
          </w:tcPr>
          <w:p w14:paraId="547ECC57" w14:textId="77777777" w:rsidR="00B607BD" w:rsidRPr="00A06F1E" w:rsidRDefault="00B607BD" w:rsidP="007D5F1C">
            <w:pPr>
              <w:pStyle w:val="TableTextCentered"/>
            </w:pPr>
            <w:r w:rsidRPr="00A06F1E">
              <w:t>1.3</w:t>
            </w:r>
          </w:p>
        </w:tc>
      </w:tr>
      <w:tr w:rsidR="00B607BD" w:rsidRPr="00A06F1E" w14:paraId="484A683C" w14:textId="77777777" w:rsidTr="007D5F1C">
        <w:trPr>
          <w:jc w:val="center"/>
        </w:trPr>
        <w:tc>
          <w:tcPr>
            <w:tcW w:w="3052" w:type="dxa"/>
          </w:tcPr>
          <w:p w14:paraId="7669A72A" w14:textId="77777777" w:rsidR="00B607BD" w:rsidRPr="00A06F1E" w:rsidRDefault="00B607BD" w:rsidP="007D5F1C">
            <w:pPr>
              <w:pStyle w:val="TableText"/>
            </w:pPr>
            <w:r w:rsidRPr="00A06F1E">
              <w:t>Students w/disabilities</w:t>
            </w:r>
          </w:p>
        </w:tc>
        <w:tc>
          <w:tcPr>
            <w:tcW w:w="1254" w:type="dxa"/>
          </w:tcPr>
          <w:p w14:paraId="4E3EF5DC" w14:textId="77777777" w:rsidR="00B607BD" w:rsidRPr="00A06F1E" w:rsidRDefault="00B607BD" w:rsidP="007D5F1C">
            <w:pPr>
              <w:pStyle w:val="TableTextCentered"/>
            </w:pPr>
            <w:r w:rsidRPr="00A06F1E">
              <w:t>23</w:t>
            </w:r>
          </w:p>
        </w:tc>
        <w:tc>
          <w:tcPr>
            <w:tcW w:w="1255" w:type="dxa"/>
          </w:tcPr>
          <w:p w14:paraId="606ADFA6" w14:textId="780DA3D4" w:rsidR="00B607BD" w:rsidRPr="00A06F1E" w:rsidRDefault="00805266" w:rsidP="007D5F1C">
            <w:pPr>
              <w:pStyle w:val="TableTextCentered"/>
            </w:pPr>
            <w:r w:rsidRPr="00A06F1E">
              <w:t>—</w:t>
            </w:r>
          </w:p>
        </w:tc>
        <w:tc>
          <w:tcPr>
            <w:tcW w:w="1254" w:type="dxa"/>
          </w:tcPr>
          <w:p w14:paraId="7F12BE44" w14:textId="3E53050F" w:rsidR="00B607BD" w:rsidRPr="00A06F1E" w:rsidRDefault="00805266" w:rsidP="007D5F1C">
            <w:pPr>
              <w:pStyle w:val="TableTextCentered"/>
            </w:pPr>
            <w:r w:rsidRPr="00A06F1E">
              <w:t>—</w:t>
            </w:r>
          </w:p>
        </w:tc>
        <w:tc>
          <w:tcPr>
            <w:tcW w:w="1255" w:type="dxa"/>
          </w:tcPr>
          <w:p w14:paraId="0D1A242D" w14:textId="11F5F2D5" w:rsidR="00B607BD" w:rsidRPr="00A06F1E" w:rsidRDefault="00805266" w:rsidP="007D5F1C">
            <w:pPr>
              <w:pStyle w:val="TableTextCentered"/>
            </w:pPr>
            <w:r w:rsidRPr="00A06F1E">
              <w:t>—</w:t>
            </w:r>
          </w:p>
        </w:tc>
        <w:tc>
          <w:tcPr>
            <w:tcW w:w="1255" w:type="dxa"/>
          </w:tcPr>
          <w:p w14:paraId="3EEA945C" w14:textId="77777777" w:rsidR="00B607BD" w:rsidRPr="00A06F1E" w:rsidRDefault="00B607BD" w:rsidP="007D5F1C">
            <w:pPr>
              <w:pStyle w:val="TableTextCentered"/>
            </w:pPr>
            <w:r w:rsidRPr="00A06F1E">
              <w:t>2.5</w:t>
            </w:r>
          </w:p>
        </w:tc>
      </w:tr>
    </w:tbl>
    <w:p w14:paraId="7A0C780E" w14:textId="3E763EDF" w:rsidR="00B607BD" w:rsidRPr="00A06F1E" w:rsidRDefault="00B607BD" w:rsidP="00B7722D">
      <w:pPr>
        <w:pStyle w:val="TabletitleSectionE"/>
      </w:pPr>
      <w:bookmarkStart w:id="325" w:name="_Toc170701987"/>
      <w:bookmarkStart w:id="326" w:name="_Toc171685824"/>
      <w:r w:rsidRPr="00A06F1E">
        <w:t>Table E19</w:t>
      </w:r>
      <w:r w:rsidR="00E33360">
        <w:t>c</w:t>
      </w:r>
      <w:r w:rsidR="00A228CB" w:rsidRPr="00A06F1E">
        <w:t>. Mahar Regional</w:t>
      </w:r>
      <w:r w:rsidR="00F3532E" w:rsidRPr="00A06F1E">
        <w:t>:</w:t>
      </w:r>
      <w:r w:rsidRPr="00A06F1E">
        <w:t xml:space="preserve"> In-School Suspension Rates by Student Group, 2021-2023</w:t>
      </w:r>
      <w:bookmarkEnd w:id="325"/>
      <w:bookmarkEnd w:id="326"/>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B607BD" w:rsidRPr="00A06F1E" w14:paraId="0F732D8E"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4B66AA8B" w14:textId="77777777" w:rsidR="00B607BD" w:rsidRPr="00A06F1E" w:rsidRDefault="00B607BD" w:rsidP="007D5F1C">
            <w:pPr>
              <w:pStyle w:val="TableColHeadingCenter"/>
            </w:pPr>
            <w:r w:rsidRPr="00A06F1E">
              <w:t>Group</w:t>
            </w:r>
          </w:p>
        </w:tc>
        <w:tc>
          <w:tcPr>
            <w:tcW w:w="1254" w:type="dxa"/>
            <w:vAlign w:val="center"/>
          </w:tcPr>
          <w:p w14:paraId="3CA98145" w14:textId="568E0452" w:rsidR="00B607BD" w:rsidRPr="00A06F1E" w:rsidRDefault="00B607BD" w:rsidP="007D5F1C">
            <w:pPr>
              <w:pStyle w:val="TableColHeadingCenter"/>
            </w:pPr>
            <w:r w:rsidRPr="00A06F1E">
              <w:t xml:space="preserve"># </w:t>
            </w:r>
            <w:r w:rsidR="00FF1146" w:rsidRPr="00A06F1E">
              <w:t>included</w:t>
            </w:r>
            <w:r w:rsidRPr="00A06F1E">
              <w:t xml:space="preserve"> (2023)</w:t>
            </w:r>
          </w:p>
        </w:tc>
        <w:tc>
          <w:tcPr>
            <w:tcW w:w="1255" w:type="dxa"/>
            <w:vAlign w:val="center"/>
          </w:tcPr>
          <w:p w14:paraId="4DD107B0" w14:textId="77777777" w:rsidR="00B607BD" w:rsidRPr="00A06F1E" w:rsidRDefault="00B607BD" w:rsidP="007D5F1C">
            <w:pPr>
              <w:pStyle w:val="TableColHeadingCenter"/>
            </w:pPr>
            <w:r w:rsidRPr="00A06F1E">
              <w:t>2021</w:t>
            </w:r>
          </w:p>
        </w:tc>
        <w:tc>
          <w:tcPr>
            <w:tcW w:w="1254" w:type="dxa"/>
            <w:vAlign w:val="center"/>
          </w:tcPr>
          <w:p w14:paraId="6720B9AF" w14:textId="77777777" w:rsidR="00B607BD" w:rsidRPr="00A06F1E" w:rsidRDefault="00B607BD" w:rsidP="007D5F1C">
            <w:pPr>
              <w:pStyle w:val="TableColHeadingCenter"/>
            </w:pPr>
            <w:r w:rsidRPr="00A06F1E">
              <w:t>2022</w:t>
            </w:r>
          </w:p>
        </w:tc>
        <w:tc>
          <w:tcPr>
            <w:tcW w:w="1255" w:type="dxa"/>
            <w:vAlign w:val="center"/>
          </w:tcPr>
          <w:p w14:paraId="6D806B1A" w14:textId="77777777" w:rsidR="00B607BD" w:rsidRPr="00A06F1E" w:rsidRDefault="00B607BD" w:rsidP="007D5F1C">
            <w:pPr>
              <w:pStyle w:val="TableColHeadingCenter"/>
            </w:pPr>
            <w:r w:rsidRPr="00A06F1E">
              <w:t>2023</w:t>
            </w:r>
          </w:p>
        </w:tc>
        <w:tc>
          <w:tcPr>
            <w:tcW w:w="1255" w:type="dxa"/>
            <w:vAlign w:val="center"/>
          </w:tcPr>
          <w:p w14:paraId="7299C04D" w14:textId="77777777" w:rsidR="00B607BD" w:rsidRPr="00A06F1E" w:rsidRDefault="00B607BD" w:rsidP="007D5F1C">
            <w:pPr>
              <w:pStyle w:val="TableColHeadingCenter"/>
            </w:pPr>
            <w:r w:rsidRPr="00A06F1E">
              <w:t>State (2023)</w:t>
            </w:r>
          </w:p>
        </w:tc>
      </w:tr>
      <w:tr w:rsidR="00B607BD" w:rsidRPr="00A06F1E" w14:paraId="5406B16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0A7637F" w14:textId="77777777" w:rsidR="00B607BD" w:rsidRPr="00A06F1E" w:rsidRDefault="00B607BD" w:rsidP="007D5F1C">
            <w:pPr>
              <w:pStyle w:val="TableText"/>
            </w:pPr>
            <w:r w:rsidRPr="00A06F1E">
              <w:t>All</w:t>
            </w:r>
          </w:p>
        </w:tc>
        <w:tc>
          <w:tcPr>
            <w:tcW w:w="1254" w:type="dxa"/>
          </w:tcPr>
          <w:p w14:paraId="40A0E0D8" w14:textId="77777777" w:rsidR="00B607BD" w:rsidRPr="00A06F1E" w:rsidRDefault="00B607BD" w:rsidP="007D5F1C">
            <w:pPr>
              <w:pStyle w:val="TableTextCentered"/>
            </w:pPr>
            <w:r w:rsidRPr="00A06F1E">
              <w:t>545</w:t>
            </w:r>
          </w:p>
        </w:tc>
        <w:tc>
          <w:tcPr>
            <w:tcW w:w="1255" w:type="dxa"/>
          </w:tcPr>
          <w:p w14:paraId="76DE92E9" w14:textId="2148B1EE" w:rsidR="00B607BD" w:rsidRPr="00A06F1E" w:rsidRDefault="00805266" w:rsidP="007D5F1C">
            <w:pPr>
              <w:pStyle w:val="TableTextCentered"/>
            </w:pPr>
            <w:r w:rsidRPr="00A06F1E">
              <w:t>—</w:t>
            </w:r>
          </w:p>
        </w:tc>
        <w:tc>
          <w:tcPr>
            <w:tcW w:w="1254" w:type="dxa"/>
          </w:tcPr>
          <w:p w14:paraId="53B6E9AF" w14:textId="77777777" w:rsidR="00B607BD" w:rsidRPr="00A06F1E" w:rsidRDefault="00B607BD" w:rsidP="007D5F1C">
            <w:pPr>
              <w:pStyle w:val="TableTextCentered"/>
            </w:pPr>
            <w:r w:rsidRPr="00A06F1E">
              <w:t>3.7</w:t>
            </w:r>
          </w:p>
        </w:tc>
        <w:tc>
          <w:tcPr>
            <w:tcW w:w="1255" w:type="dxa"/>
          </w:tcPr>
          <w:p w14:paraId="2B2FADED" w14:textId="77777777" w:rsidR="00B607BD" w:rsidRPr="00A06F1E" w:rsidRDefault="00B607BD" w:rsidP="007D5F1C">
            <w:pPr>
              <w:pStyle w:val="TableTextCentered"/>
            </w:pPr>
            <w:r w:rsidRPr="00A06F1E">
              <w:t>1.8</w:t>
            </w:r>
          </w:p>
        </w:tc>
        <w:tc>
          <w:tcPr>
            <w:tcW w:w="1255" w:type="dxa"/>
          </w:tcPr>
          <w:p w14:paraId="5F301E49" w14:textId="77777777" w:rsidR="00B607BD" w:rsidRPr="00A06F1E" w:rsidRDefault="00B607BD" w:rsidP="007D5F1C">
            <w:pPr>
              <w:pStyle w:val="TableTextCentered"/>
            </w:pPr>
            <w:r w:rsidRPr="00A06F1E">
              <w:t>1.4</w:t>
            </w:r>
          </w:p>
        </w:tc>
      </w:tr>
      <w:tr w:rsidR="00B607BD" w:rsidRPr="00A06F1E" w14:paraId="53C47DE0" w14:textId="77777777">
        <w:trPr>
          <w:jc w:val="center"/>
        </w:trPr>
        <w:tc>
          <w:tcPr>
            <w:tcW w:w="3052" w:type="dxa"/>
          </w:tcPr>
          <w:p w14:paraId="1FD0C949" w14:textId="77777777" w:rsidR="00B607BD" w:rsidRPr="00A06F1E" w:rsidRDefault="00B607BD" w:rsidP="007D5F1C">
            <w:pPr>
              <w:pStyle w:val="TableText"/>
            </w:pPr>
            <w:r w:rsidRPr="00A06F1E">
              <w:t>African American/Black</w:t>
            </w:r>
          </w:p>
        </w:tc>
        <w:tc>
          <w:tcPr>
            <w:tcW w:w="1254" w:type="dxa"/>
          </w:tcPr>
          <w:p w14:paraId="27C6BB94" w14:textId="77777777" w:rsidR="00B607BD" w:rsidRPr="00A06F1E" w:rsidRDefault="00B607BD" w:rsidP="007D5F1C">
            <w:pPr>
              <w:pStyle w:val="TableTextCentered"/>
            </w:pPr>
            <w:r w:rsidRPr="00A06F1E">
              <w:t>10</w:t>
            </w:r>
          </w:p>
        </w:tc>
        <w:tc>
          <w:tcPr>
            <w:tcW w:w="1255" w:type="dxa"/>
          </w:tcPr>
          <w:p w14:paraId="0E16F03D" w14:textId="7CDEBFC3" w:rsidR="00B607BD" w:rsidRPr="00A06F1E" w:rsidRDefault="00805266" w:rsidP="007D5F1C">
            <w:pPr>
              <w:pStyle w:val="TableTextCentered"/>
            </w:pPr>
            <w:r w:rsidRPr="00A06F1E">
              <w:t>—</w:t>
            </w:r>
          </w:p>
        </w:tc>
        <w:tc>
          <w:tcPr>
            <w:tcW w:w="1254" w:type="dxa"/>
          </w:tcPr>
          <w:p w14:paraId="210B14FA" w14:textId="086FA6E9" w:rsidR="00B607BD" w:rsidRPr="00A06F1E" w:rsidRDefault="00805266" w:rsidP="007D5F1C">
            <w:pPr>
              <w:pStyle w:val="TableTextCentered"/>
            </w:pPr>
            <w:r w:rsidRPr="00A06F1E">
              <w:t>—</w:t>
            </w:r>
          </w:p>
        </w:tc>
        <w:tc>
          <w:tcPr>
            <w:tcW w:w="1255" w:type="dxa"/>
          </w:tcPr>
          <w:p w14:paraId="413072DE" w14:textId="3E62F0EB" w:rsidR="00B607BD" w:rsidRPr="00A06F1E" w:rsidRDefault="00805266" w:rsidP="007D5F1C">
            <w:pPr>
              <w:pStyle w:val="TableTextCentered"/>
            </w:pPr>
            <w:r w:rsidRPr="00A06F1E">
              <w:t>—</w:t>
            </w:r>
          </w:p>
        </w:tc>
        <w:tc>
          <w:tcPr>
            <w:tcW w:w="1255" w:type="dxa"/>
          </w:tcPr>
          <w:p w14:paraId="7AB38364" w14:textId="77777777" w:rsidR="00B607BD" w:rsidRPr="00A06F1E" w:rsidRDefault="00B607BD" w:rsidP="007D5F1C">
            <w:pPr>
              <w:pStyle w:val="TableTextCentered"/>
            </w:pPr>
            <w:r w:rsidRPr="00A06F1E">
              <w:t>2.1</w:t>
            </w:r>
          </w:p>
        </w:tc>
      </w:tr>
      <w:tr w:rsidR="00B607BD" w:rsidRPr="00A06F1E" w14:paraId="2B5AD94C"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41DDF9B" w14:textId="77777777" w:rsidR="00B607BD" w:rsidRPr="00A06F1E" w:rsidRDefault="00B607BD" w:rsidP="007D5F1C">
            <w:pPr>
              <w:pStyle w:val="TableText"/>
            </w:pPr>
            <w:r w:rsidRPr="00A06F1E">
              <w:t>Asian</w:t>
            </w:r>
          </w:p>
        </w:tc>
        <w:tc>
          <w:tcPr>
            <w:tcW w:w="1254" w:type="dxa"/>
          </w:tcPr>
          <w:p w14:paraId="7917FFFE" w14:textId="77777777" w:rsidR="00B607BD" w:rsidRPr="00A06F1E" w:rsidRDefault="00B607BD" w:rsidP="007D5F1C">
            <w:pPr>
              <w:pStyle w:val="TableTextCentered"/>
            </w:pPr>
            <w:r w:rsidRPr="00A06F1E">
              <w:t>6</w:t>
            </w:r>
          </w:p>
        </w:tc>
        <w:tc>
          <w:tcPr>
            <w:tcW w:w="1255" w:type="dxa"/>
          </w:tcPr>
          <w:p w14:paraId="28C4A671" w14:textId="74C12AA7" w:rsidR="00B607BD" w:rsidRPr="00A06F1E" w:rsidRDefault="00805266" w:rsidP="007D5F1C">
            <w:pPr>
              <w:pStyle w:val="TableTextCentered"/>
            </w:pPr>
            <w:r w:rsidRPr="00A06F1E">
              <w:t>—</w:t>
            </w:r>
          </w:p>
        </w:tc>
        <w:tc>
          <w:tcPr>
            <w:tcW w:w="1254" w:type="dxa"/>
          </w:tcPr>
          <w:p w14:paraId="1B31F793" w14:textId="318E4D38" w:rsidR="00B607BD" w:rsidRPr="00A06F1E" w:rsidRDefault="00805266" w:rsidP="007D5F1C">
            <w:pPr>
              <w:pStyle w:val="TableTextCentered"/>
            </w:pPr>
            <w:r w:rsidRPr="00A06F1E">
              <w:t>—</w:t>
            </w:r>
          </w:p>
        </w:tc>
        <w:tc>
          <w:tcPr>
            <w:tcW w:w="1255" w:type="dxa"/>
          </w:tcPr>
          <w:p w14:paraId="66F3708E" w14:textId="3B351D42" w:rsidR="00B607BD" w:rsidRPr="00A06F1E" w:rsidRDefault="00805266" w:rsidP="007D5F1C">
            <w:pPr>
              <w:pStyle w:val="TableTextCentered"/>
            </w:pPr>
            <w:r w:rsidRPr="00A06F1E">
              <w:t>—</w:t>
            </w:r>
          </w:p>
        </w:tc>
        <w:tc>
          <w:tcPr>
            <w:tcW w:w="1255" w:type="dxa"/>
          </w:tcPr>
          <w:p w14:paraId="2431F398" w14:textId="77777777" w:rsidR="00B607BD" w:rsidRPr="00A06F1E" w:rsidRDefault="00B607BD" w:rsidP="007D5F1C">
            <w:pPr>
              <w:pStyle w:val="TableTextCentered"/>
            </w:pPr>
            <w:r w:rsidRPr="00A06F1E">
              <w:t>0.3</w:t>
            </w:r>
          </w:p>
        </w:tc>
      </w:tr>
      <w:tr w:rsidR="00B607BD" w:rsidRPr="00A06F1E" w14:paraId="2174A5A8" w14:textId="77777777">
        <w:trPr>
          <w:jc w:val="center"/>
        </w:trPr>
        <w:tc>
          <w:tcPr>
            <w:tcW w:w="3052" w:type="dxa"/>
          </w:tcPr>
          <w:p w14:paraId="574F1299" w14:textId="77777777" w:rsidR="00B607BD" w:rsidRPr="00A06F1E" w:rsidRDefault="00B607BD" w:rsidP="007D5F1C">
            <w:pPr>
              <w:pStyle w:val="TableText"/>
            </w:pPr>
            <w:r w:rsidRPr="00A06F1E">
              <w:t>Hispanic/Latino</w:t>
            </w:r>
          </w:p>
        </w:tc>
        <w:tc>
          <w:tcPr>
            <w:tcW w:w="1254" w:type="dxa"/>
          </w:tcPr>
          <w:p w14:paraId="0F895732" w14:textId="77777777" w:rsidR="00B607BD" w:rsidRPr="00A06F1E" w:rsidRDefault="00B607BD" w:rsidP="007D5F1C">
            <w:pPr>
              <w:pStyle w:val="TableTextCentered"/>
            </w:pPr>
            <w:r w:rsidRPr="00A06F1E">
              <w:t>53</w:t>
            </w:r>
          </w:p>
        </w:tc>
        <w:tc>
          <w:tcPr>
            <w:tcW w:w="1255" w:type="dxa"/>
          </w:tcPr>
          <w:p w14:paraId="22E2C3F3" w14:textId="7FB0447D" w:rsidR="00B607BD" w:rsidRPr="00A06F1E" w:rsidRDefault="00805266" w:rsidP="007D5F1C">
            <w:pPr>
              <w:pStyle w:val="TableTextCentered"/>
            </w:pPr>
            <w:r w:rsidRPr="00A06F1E">
              <w:t>—</w:t>
            </w:r>
          </w:p>
        </w:tc>
        <w:tc>
          <w:tcPr>
            <w:tcW w:w="1254" w:type="dxa"/>
          </w:tcPr>
          <w:p w14:paraId="70841040" w14:textId="77777777" w:rsidR="00B607BD" w:rsidRPr="00A06F1E" w:rsidRDefault="00B607BD" w:rsidP="007D5F1C">
            <w:pPr>
              <w:pStyle w:val="TableTextCentered"/>
            </w:pPr>
            <w:r w:rsidRPr="00A06F1E">
              <w:t>11.9</w:t>
            </w:r>
          </w:p>
        </w:tc>
        <w:tc>
          <w:tcPr>
            <w:tcW w:w="1255" w:type="dxa"/>
          </w:tcPr>
          <w:p w14:paraId="15705253" w14:textId="77777777" w:rsidR="00B607BD" w:rsidRPr="00A06F1E" w:rsidRDefault="00B607BD" w:rsidP="007D5F1C">
            <w:pPr>
              <w:pStyle w:val="TableTextCentered"/>
            </w:pPr>
            <w:r w:rsidRPr="00A06F1E">
              <w:t>3.8</w:t>
            </w:r>
          </w:p>
        </w:tc>
        <w:tc>
          <w:tcPr>
            <w:tcW w:w="1255" w:type="dxa"/>
          </w:tcPr>
          <w:p w14:paraId="1113035C" w14:textId="77777777" w:rsidR="00B607BD" w:rsidRPr="00A06F1E" w:rsidRDefault="00B607BD" w:rsidP="007D5F1C">
            <w:pPr>
              <w:pStyle w:val="TableTextCentered"/>
            </w:pPr>
            <w:r w:rsidRPr="00A06F1E">
              <w:t>1.8</w:t>
            </w:r>
          </w:p>
        </w:tc>
      </w:tr>
      <w:tr w:rsidR="00B607BD" w:rsidRPr="00A06F1E" w14:paraId="58AA3FEB"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303F194" w14:textId="77777777" w:rsidR="00B607BD" w:rsidRPr="00A06F1E" w:rsidRDefault="00B607BD" w:rsidP="007D5F1C">
            <w:pPr>
              <w:pStyle w:val="TableText"/>
            </w:pPr>
            <w:r w:rsidRPr="00A06F1E">
              <w:rPr>
                <w:rFonts w:cstheme="minorHAnsi"/>
              </w:rPr>
              <w:t>Multi-Race, non-Hispanic/Latino</w:t>
            </w:r>
          </w:p>
        </w:tc>
        <w:tc>
          <w:tcPr>
            <w:tcW w:w="1254" w:type="dxa"/>
          </w:tcPr>
          <w:p w14:paraId="1957828D" w14:textId="77777777" w:rsidR="00B607BD" w:rsidRPr="00A06F1E" w:rsidRDefault="00B607BD" w:rsidP="007D5F1C">
            <w:pPr>
              <w:pStyle w:val="TableTextCentered"/>
            </w:pPr>
            <w:r w:rsidRPr="00A06F1E">
              <w:t>19</w:t>
            </w:r>
          </w:p>
        </w:tc>
        <w:tc>
          <w:tcPr>
            <w:tcW w:w="1255" w:type="dxa"/>
          </w:tcPr>
          <w:p w14:paraId="4D380F26" w14:textId="2840759C" w:rsidR="00B607BD" w:rsidRPr="00A06F1E" w:rsidRDefault="00805266" w:rsidP="007D5F1C">
            <w:pPr>
              <w:pStyle w:val="TableTextCentered"/>
            </w:pPr>
            <w:r w:rsidRPr="00A06F1E">
              <w:t>—</w:t>
            </w:r>
          </w:p>
        </w:tc>
        <w:tc>
          <w:tcPr>
            <w:tcW w:w="1254" w:type="dxa"/>
          </w:tcPr>
          <w:p w14:paraId="7AA9F9EC" w14:textId="4BECA16F" w:rsidR="00B607BD" w:rsidRPr="00A06F1E" w:rsidRDefault="00805266" w:rsidP="007D5F1C">
            <w:pPr>
              <w:pStyle w:val="TableTextCentered"/>
            </w:pPr>
            <w:r w:rsidRPr="00A06F1E">
              <w:t>—</w:t>
            </w:r>
          </w:p>
        </w:tc>
        <w:tc>
          <w:tcPr>
            <w:tcW w:w="1255" w:type="dxa"/>
          </w:tcPr>
          <w:p w14:paraId="65E5B9C2" w14:textId="4FFA0F44" w:rsidR="00B607BD" w:rsidRPr="00A06F1E" w:rsidRDefault="00805266" w:rsidP="007D5F1C">
            <w:pPr>
              <w:pStyle w:val="TableTextCentered"/>
            </w:pPr>
            <w:r w:rsidRPr="00A06F1E">
              <w:t>—</w:t>
            </w:r>
          </w:p>
        </w:tc>
        <w:tc>
          <w:tcPr>
            <w:tcW w:w="1255" w:type="dxa"/>
          </w:tcPr>
          <w:p w14:paraId="39143E63" w14:textId="77777777" w:rsidR="00B607BD" w:rsidRPr="00A06F1E" w:rsidRDefault="00B607BD" w:rsidP="007D5F1C">
            <w:pPr>
              <w:pStyle w:val="TableTextCentered"/>
            </w:pPr>
            <w:r w:rsidRPr="00A06F1E">
              <w:t>1.6</w:t>
            </w:r>
          </w:p>
        </w:tc>
      </w:tr>
      <w:tr w:rsidR="00B607BD" w:rsidRPr="00A06F1E" w14:paraId="241769DF" w14:textId="77777777">
        <w:trPr>
          <w:jc w:val="center"/>
        </w:trPr>
        <w:tc>
          <w:tcPr>
            <w:tcW w:w="3052" w:type="dxa"/>
          </w:tcPr>
          <w:p w14:paraId="1663000D" w14:textId="77777777" w:rsidR="00B607BD" w:rsidRPr="00A06F1E" w:rsidRDefault="00B607BD" w:rsidP="007D5F1C">
            <w:pPr>
              <w:pStyle w:val="TableText"/>
            </w:pPr>
            <w:r w:rsidRPr="00A06F1E">
              <w:t>Native American</w:t>
            </w:r>
          </w:p>
        </w:tc>
        <w:tc>
          <w:tcPr>
            <w:tcW w:w="1254" w:type="dxa"/>
          </w:tcPr>
          <w:p w14:paraId="6F05B8DA" w14:textId="77777777" w:rsidR="00B607BD" w:rsidRPr="00A06F1E" w:rsidRDefault="00B607BD" w:rsidP="007D5F1C">
            <w:pPr>
              <w:pStyle w:val="TableTextCentered"/>
            </w:pPr>
            <w:r w:rsidRPr="00A06F1E">
              <w:t>0</w:t>
            </w:r>
          </w:p>
        </w:tc>
        <w:tc>
          <w:tcPr>
            <w:tcW w:w="1255" w:type="dxa"/>
          </w:tcPr>
          <w:p w14:paraId="499183FF" w14:textId="47288BC7" w:rsidR="00B607BD" w:rsidRPr="00A06F1E" w:rsidRDefault="00805266" w:rsidP="007D5F1C">
            <w:pPr>
              <w:pStyle w:val="TableTextCentered"/>
            </w:pPr>
            <w:r w:rsidRPr="00A06F1E">
              <w:t>—</w:t>
            </w:r>
          </w:p>
        </w:tc>
        <w:tc>
          <w:tcPr>
            <w:tcW w:w="1254" w:type="dxa"/>
          </w:tcPr>
          <w:p w14:paraId="6E81B0C4" w14:textId="79873698" w:rsidR="00B607BD" w:rsidRPr="00A06F1E" w:rsidRDefault="00805266" w:rsidP="007D5F1C">
            <w:pPr>
              <w:pStyle w:val="TableTextCentered"/>
            </w:pPr>
            <w:r w:rsidRPr="00A06F1E">
              <w:t>—</w:t>
            </w:r>
          </w:p>
        </w:tc>
        <w:tc>
          <w:tcPr>
            <w:tcW w:w="1255" w:type="dxa"/>
          </w:tcPr>
          <w:p w14:paraId="006734F6" w14:textId="5346553C" w:rsidR="00B607BD" w:rsidRPr="00A06F1E" w:rsidRDefault="00805266" w:rsidP="007D5F1C">
            <w:pPr>
              <w:pStyle w:val="TableTextCentered"/>
            </w:pPr>
            <w:r w:rsidRPr="00A06F1E">
              <w:t>—</w:t>
            </w:r>
          </w:p>
        </w:tc>
        <w:tc>
          <w:tcPr>
            <w:tcW w:w="1255" w:type="dxa"/>
          </w:tcPr>
          <w:p w14:paraId="12676842" w14:textId="77777777" w:rsidR="00B607BD" w:rsidRPr="00A06F1E" w:rsidRDefault="00B607BD" w:rsidP="007D5F1C">
            <w:pPr>
              <w:pStyle w:val="TableTextCentered"/>
            </w:pPr>
            <w:r w:rsidRPr="00A06F1E">
              <w:t>1.5</w:t>
            </w:r>
          </w:p>
        </w:tc>
      </w:tr>
      <w:tr w:rsidR="00B607BD" w:rsidRPr="00A06F1E" w14:paraId="18B730A7"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1455334" w14:textId="77777777" w:rsidR="00B607BD" w:rsidRPr="00A06F1E" w:rsidRDefault="00B607BD" w:rsidP="007D5F1C">
            <w:pPr>
              <w:pStyle w:val="TableText"/>
            </w:pPr>
            <w:r w:rsidRPr="00A06F1E">
              <w:rPr>
                <w:rFonts w:eastAsia="Times New Roman"/>
                <w:spacing w:val="-4"/>
              </w:rPr>
              <w:t>Native Hawaiian, Pacific Islander</w:t>
            </w:r>
          </w:p>
        </w:tc>
        <w:tc>
          <w:tcPr>
            <w:tcW w:w="1254" w:type="dxa"/>
          </w:tcPr>
          <w:p w14:paraId="4B95D0F9" w14:textId="77777777" w:rsidR="00B607BD" w:rsidRPr="00A06F1E" w:rsidRDefault="00B607BD" w:rsidP="007D5F1C">
            <w:pPr>
              <w:pStyle w:val="TableTextCentered"/>
            </w:pPr>
            <w:r w:rsidRPr="00A06F1E">
              <w:t>1</w:t>
            </w:r>
          </w:p>
        </w:tc>
        <w:tc>
          <w:tcPr>
            <w:tcW w:w="1255" w:type="dxa"/>
          </w:tcPr>
          <w:p w14:paraId="4D7ECD8D" w14:textId="4C40CDEA" w:rsidR="00B607BD" w:rsidRPr="00A06F1E" w:rsidRDefault="00805266" w:rsidP="007D5F1C">
            <w:pPr>
              <w:pStyle w:val="TableTextCentered"/>
            </w:pPr>
            <w:r w:rsidRPr="00A06F1E">
              <w:t>—</w:t>
            </w:r>
          </w:p>
        </w:tc>
        <w:tc>
          <w:tcPr>
            <w:tcW w:w="1254" w:type="dxa"/>
          </w:tcPr>
          <w:p w14:paraId="14A0860C" w14:textId="6D287228" w:rsidR="00B607BD" w:rsidRPr="00A06F1E" w:rsidRDefault="00805266" w:rsidP="007D5F1C">
            <w:pPr>
              <w:pStyle w:val="TableTextCentered"/>
            </w:pPr>
            <w:r w:rsidRPr="00A06F1E">
              <w:t>—</w:t>
            </w:r>
          </w:p>
        </w:tc>
        <w:tc>
          <w:tcPr>
            <w:tcW w:w="1255" w:type="dxa"/>
          </w:tcPr>
          <w:p w14:paraId="6D433C72" w14:textId="43B054CE" w:rsidR="00B607BD" w:rsidRPr="00A06F1E" w:rsidRDefault="00805266" w:rsidP="007D5F1C">
            <w:pPr>
              <w:pStyle w:val="TableTextCentered"/>
            </w:pPr>
            <w:r w:rsidRPr="00A06F1E">
              <w:t>—</w:t>
            </w:r>
          </w:p>
        </w:tc>
        <w:tc>
          <w:tcPr>
            <w:tcW w:w="1255" w:type="dxa"/>
          </w:tcPr>
          <w:p w14:paraId="4772C332" w14:textId="77777777" w:rsidR="00B607BD" w:rsidRPr="00A06F1E" w:rsidRDefault="00B607BD" w:rsidP="007D5F1C">
            <w:pPr>
              <w:pStyle w:val="TableTextCentered"/>
            </w:pPr>
            <w:r w:rsidRPr="00A06F1E">
              <w:t>1.4</w:t>
            </w:r>
          </w:p>
        </w:tc>
      </w:tr>
      <w:tr w:rsidR="00B607BD" w:rsidRPr="00A06F1E" w14:paraId="070A6FF3" w14:textId="77777777">
        <w:trPr>
          <w:jc w:val="center"/>
        </w:trPr>
        <w:tc>
          <w:tcPr>
            <w:tcW w:w="3052" w:type="dxa"/>
          </w:tcPr>
          <w:p w14:paraId="46D24831" w14:textId="77777777" w:rsidR="00B607BD" w:rsidRPr="00A06F1E" w:rsidRDefault="00B607BD" w:rsidP="007D5F1C">
            <w:pPr>
              <w:pStyle w:val="TableText"/>
            </w:pPr>
            <w:r w:rsidRPr="00A06F1E">
              <w:t>White</w:t>
            </w:r>
          </w:p>
        </w:tc>
        <w:tc>
          <w:tcPr>
            <w:tcW w:w="1254" w:type="dxa"/>
          </w:tcPr>
          <w:p w14:paraId="0C284B42" w14:textId="77777777" w:rsidR="00B607BD" w:rsidRPr="00A06F1E" w:rsidRDefault="00B607BD" w:rsidP="007D5F1C">
            <w:pPr>
              <w:pStyle w:val="TableTextCentered"/>
            </w:pPr>
            <w:r w:rsidRPr="00A06F1E">
              <w:t>456</w:t>
            </w:r>
          </w:p>
        </w:tc>
        <w:tc>
          <w:tcPr>
            <w:tcW w:w="1255" w:type="dxa"/>
          </w:tcPr>
          <w:p w14:paraId="00DBD316" w14:textId="5EB22871" w:rsidR="00B607BD" w:rsidRPr="00A06F1E" w:rsidRDefault="00805266" w:rsidP="007D5F1C">
            <w:pPr>
              <w:pStyle w:val="TableTextCentered"/>
            </w:pPr>
            <w:r w:rsidRPr="00A06F1E">
              <w:t>—</w:t>
            </w:r>
          </w:p>
        </w:tc>
        <w:tc>
          <w:tcPr>
            <w:tcW w:w="1254" w:type="dxa"/>
          </w:tcPr>
          <w:p w14:paraId="0C3D97A3" w14:textId="77777777" w:rsidR="00B607BD" w:rsidRPr="00A06F1E" w:rsidRDefault="00B607BD" w:rsidP="007D5F1C">
            <w:pPr>
              <w:pStyle w:val="TableTextCentered"/>
            </w:pPr>
            <w:r w:rsidRPr="00A06F1E">
              <w:t>2.8</w:t>
            </w:r>
          </w:p>
        </w:tc>
        <w:tc>
          <w:tcPr>
            <w:tcW w:w="1255" w:type="dxa"/>
          </w:tcPr>
          <w:p w14:paraId="31EEF4E0" w14:textId="77777777" w:rsidR="00B607BD" w:rsidRPr="00A06F1E" w:rsidRDefault="00B607BD" w:rsidP="007D5F1C">
            <w:pPr>
              <w:pStyle w:val="TableTextCentered"/>
            </w:pPr>
            <w:r w:rsidRPr="00A06F1E">
              <w:t>1.5</w:t>
            </w:r>
          </w:p>
        </w:tc>
        <w:tc>
          <w:tcPr>
            <w:tcW w:w="1255" w:type="dxa"/>
          </w:tcPr>
          <w:p w14:paraId="3734FE3E" w14:textId="77777777" w:rsidR="00B607BD" w:rsidRPr="00A06F1E" w:rsidRDefault="00B607BD" w:rsidP="007D5F1C">
            <w:pPr>
              <w:pStyle w:val="TableTextCentered"/>
            </w:pPr>
            <w:r w:rsidRPr="00A06F1E">
              <w:t>1.2</w:t>
            </w:r>
          </w:p>
        </w:tc>
      </w:tr>
      <w:tr w:rsidR="00B607BD" w:rsidRPr="00A06F1E" w14:paraId="12A8CC8C"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67569C9" w14:textId="77777777" w:rsidR="00B607BD" w:rsidRPr="00A06F1E" w:rsidRDefault="00B607BD" w:rsidP="007D5F1C">
            <w:pPr>
              <w:pStyle w:val="TableText"/>
            </w:pPr>
            <w:r w:rsidRPr="00A06F1E">
              <w:t>High needs</w:t>
            </w:r>
          </w:p>
        </w:tc>
        <w:tc>
          <w:tcPr>
            <w:tcW w:w="1254" w:type="dxa"/>
          </w:tcPr>
          <w:p w14:paraId="516819D0" w14:textId="77777777" w:rsidR="00B607BD" w:rsidRPr="00A06F1E" w:rsidRDefault="00B607BD" w:rsidP="007D5F1C">
            <w:pPr>
              <w:pStyle w:val="TableTextCentered"/>
            </w:pPr>
            <w:r w:rsidRPr="00A06F1E">
              <w:t>364</w:t>
            </w:r>
          </w:p>
        </w:tc>
        <w:tc>
          <w:tcPr>
            <w:tcW w:w="1255" w:type="dxa"/>
          </w:tcPr>
          <w:p w14:paraId="21B31994" w14:textId="73C66D6F" w:rsidR="00B607BD" w:rsidRPr="00A06F1E" w:rsidRDefault="00805266" w:rsidP="007D5F1C">
            <w:pPr>
              <w:pStyle w:val="TableTextCentered"/>
            </w:pPr>
            <w:r w:rsidRPr="00A06F1E">
              <w:t>—</w:t>
            </w:r>
          </w:p>
        </w:tc>
        <w:tc>
          <w:tcPr>
            <w:tcW w:w="1254" w:type="dxa"/>
          </w:tcPr>
          <w:p w14:paraId="6EE91483" w14:textId="77777777" w:rsidR="00B607BD" w:rsidRPr="00A06F1E" w:rsidRDefault="00B607BD" w:rsidP="007D5F1C">
            <w:pPr>
              <w:pStyle w:val="TableTextCentered"/>
            </w:pPr>
            <w:r w:rsidRPr="00A06F1E">
              <w:t>4.8</w:t>
            </w:r>
          </w:p>
        </w:tc>
        <w:tc>
          <w:tcPr>
            <w:tcW w:w="1255" w:type="dxa"/>
          </w:tcPr>
          <w:p w14:paraId="7EC4C5F2" w14:textId="77777777" w:rsidR="00B607BD" w:rsidRPr="00A06F1E" w:rsidRDefault="00B607BD" w:rsidP="007D5F1C">
            <w:pPr>
              <w:pStyle w:val="TableTextCentered"/>
            </w:pPr>
            <w:r w:rsidRPr="00A06F1E">
              <w:t>2.7</w:t>
            </w:r>
          </w:p>
        </w:tc>
        <w:tc>
          <w:tcPr>
            <w:tcW w:w="1255" w:type="dxa"/>
          </w:tcPr>
          <w:p w14:paraId="5DEAC588" w14:textId="77777777" w:rsidR="00B607BD" w:rsidRPr="00A06F1E" w:rsidRDefault="00B607BD" w:rsidP="007D5F1C">
            <w:pPr>
              <w:pStyle w:val="TableTextCentered"/>
            </w:pPr>
            <w:r w:rsidRPr="00A06F1E">
              <w:t>2.0</w:t>
            </w:r>
          </w:p>
        </w:tc>
      </w:tr>
      <w:tr w:rsidR="00B607BD" w:rsidRPr="00A06F1E" w14:paraId="53C584AC" w14:textId="77777777">
        <w:trPr>
          <w:jc w:val="center"/>
        </w:trPr>
        <w:tc>
          <w:tcPr>
            <w:tcW w:w="3052" w:type="dxa"/>
          </w:tcPr>
          <w:p w14:paraId="70BBDE0A" w14:textId="77777777" w:rsidR="00B607BD" w:rsidRPr="00A06F1E" w:rsidRDefault="00B607BD" w:rsidP="007D5F1C">
            <w:pPr>
              <w:pStyle w:val="TableText"/>
            </w:pPr>
            <w:r w:rsidRPr="00A06F1E">
              <w:t>Low income</w:t>
            </w:r>
          </w:p>
        </w:tc>
        <w:tc>
          <w:tcPr>
            <w:tcW w:w="1254" w:type="dxa"/>
          </w:tcPr>
          <w:p w14:paraId="724214E6" w14:textId="77777777" w:rsidR="00B607BD" w:rsidRPr="00A06F1E" w:rsidRDefault="00B607BD" w:rsidP="007D5F1C">
            <w:pPr>
              <w:pStyle w:val="TableTextCentered"/>
            </w:pPr>
            <w:r w:rsidRPr="00A06F1E">
              <w:t>325</w:t>
            </w:r>
          </w:p>
        </w:tc>
        <w:tc>
          <w:tcPr>
            <w:tcW w:w="1255" w:type="dxa"/>
          </w:tcPr>
          <w:p w14:paraId="6C28B1B7" w14:textId="1E613B3B" w:rsidR="00B607BD" w:rsidRPr="00A06F1E" w:rsidRDefault="00805266" w:rsidP="007D5F1C">
            <w:pPr>
              <w:pStyle w:val="TableTextCentered"/>
            </w:pPr>
            <w:r w:rsidRPr="00A06F1E">
              <w:t>—</w:t>
            </w:r>
          </w:p>
        </w:tc>
        <w:tc>
          <w:tcPr>
            <w:tcW w:w="1254" w:type="dxa"/>
          </w:tcPr>
          <w:p w14:paraId="7036A48D" w14:textId="77777777" w:rsidR="00B607BD" w:rsidRPr="00A06F1E" w:rsidRDefault="00B607BD" w:rsidP="007D5F1C">
            <w:pPr>
              <w:pStyle w:val="TableTextCentered"/>
            </w:pPr>
            <w:r w:rsidRPr="00A06F1E">
              <w:t>5.0</w:t>
            </w:r>
          </w:p>
        </w:tc>
        <w:tc>
          <w:tcPr>
            <w:tcW w:w="1255" w:type="dxa"/>
          </w:tcPr>
          <w:p w14:paraId="7B53A4CA" w14:textId="77777777" w:rsidR="00B607BD" w:rsidRPr="00A06F1E" w:rsidRDefault="00B607BD" w:rsidP="007D5F1C">
            <w:pPr>
              <w:pStyle w:val="TableTextCentered"/>
            </w:pPr>
            <w:r w:rsidRPr="00A06F1E">
              <w:t>3.1</w:t>
            </w:r>
          </w:p>
        </w:tc>
        <w:tc>
          <w:tcPr>
            <w:tcW w:w="1255" w:type="dxa"/>
          </w:tcPr>
          <w:p w14:paraId="52E5C50E" w14:textId="77777777" w:rsidR="00B607BD" w:rsidRPr="00A06F1E" w:rsidRDefault="00B607BD" w:rsidP="007D5F1C">
            <w:pPr>
              <w:pStyle w:val="TableTextCentered"/>
            </w:pPr>
            <w:r w:rsidRPr="00A06F1E">
              <w:t>2.1</w:t>
            </w:r>
          </w:p>
        </w:tc>
      </w:tr>
      <w:tr w:rsidR="00B607BD" w:rsidRPr="00A06F1E" w14:paraId="06F6E41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B7FAB7A" w14:textId="65A8BB80" w:rsidR="00B607BD" w:rsidRPr="00A06F1E" w:rsidRDefault="004040D2" w:rsidP="007D5F1C">
            <w:pPr>
              <w:pStyle w:val="TableText"/>
            </w:pPr>
            <w:r w:rsidRPr="00A06F1E">
              <w:rPr>
                <w:spacing w:val="-4"/>
              </w:rPr>
              <w:t>E</w:t>
            </w:r>
            <w:r>
              <w:rPr>
                <w:spacing w:val="-4"/>
              </w:rPr>
              <w:t>nglish learners</w:t>
            </w:r>
          </w:p>
        </w:tc>
        <w:tc>
          <w:tcPr>
            <w:tcW w:w="1254" w:type="dxa"/>
          </w:tcPr>
          <w:p w14:paraId="4BE23DDD" w14:textId="77777777" w:rsidR="00B607BD" w:rsidRPr="00A06F1E" w:rsidRDefault="00B607BD" w:rsidP="007D5F1C">
            <w:pPr>
              <w:pStyle w:val="TableTextCentered"/>
            </w:pPr>
            <w:r w:rsidRPr="00A06F1E">
              <w:t>7</w:t>
            </w:r>
          </w:p>
        </w:tc>
        <w:tc>
          <w:tcPr>
            <w:tcW w:w="1255" w:type="dxa"/>
          </w:tcPr>
          <w:p w14:paraId="416C1942" w14:textId="4CC12D2D" w:rsidR="00B607BD" w:rsidRPr="00A06F1E" w:rsidRDefault="00805266" w:rsidP="007D5F1C">
            <w:pPr>
              <w:pStyle w:val="TableTextCentered"/>
            </w:pPr>
            <w:r w:rsidRPr="00A06F1E">
              <w:t>—</w:t>
            </w:r>
          </w:p>
        </w:tc>
        <w:tc>
          <w:tcPr>
            <w:tcW w:w="1254" w:type="dxa"/>
          </w:tcPr>
          <w:p w14:paraId="6B11C7E0" w14:textId="29EF0651" w:rsidR="00B607BD" w:rsidRPr="00A06F1E" w:rsidRDefault="00805266" w:rsidP="007D5F1C">
            <w:pPr>
              <w:pStyle w:val="TableTextCentered"/>
            </w:pPr>
            <w:r w:rsidRPr="00A06F1E">
              <w:t>—</w:t>
            </w:r>
          </w:p>
        </w:tc>
        <w:tc>
          <w:tcPr>
            <w:tcW w:w="1255" w:type="dxa"/>
          </w:tcPr>
          <w:p w14:paraId="242DC07B" w14:textId="51D22BA4" w:rsidR="00B607BD" w:rsidRPr="00A06F1E" w:rsidRDefault="00805266" w:rsidP="007D5F1C">
            <w:pPr>
              <w:pStyle w:val="TableTextCentered"/>
            </w:pPr>
            <w:r w:rsidRPr="00A06F1E">
              <w:t>—</w:t>
            </w:r>
          </w:p>
        </w:tc>
        <w:tc>
          <w:tcPr>
            <w:tcW w:w="1255" w:type="dxa"/>
          </w:tcPr>
          <w:p w14:paraId="0A3DFBF0" w14:textId="77777777" w:rsidR="00B607BD" w:rsidRPr="00A06F1E" w:rsidRDefault="00B607BD" w:rsidP="007D5F1C">
            <w:pPr>
              <w:pStyle w:val="TableTextCentered"/>
            </w:pPr>
            <w:r w:rsidRPr="00A06F1E">
              <w:t>1.3</w:t>
            </w:r>
          </w:p>
        </w:tc>
      </w:tr>
      <w:tr w:rsidR="00B607BD" w:rsidRPr="00A06F1E" w14:paraId="466B3672" w14:textId="77777777">
        <w:trPr>
          <w:jc w:val="center"/>
        </w:trPr>
        <w:tc>
          <w:tcPr>
            <w:tcW w:w="3052" w:type="dxa"/>
          </w:tcPr>
          <w:p w14:paraId="4898AE74" w14:textId="77777777" w:rsidR="00B607BD" w:rsidRPr="00A06F1E" w:rsidRDefault="00B607BD" w:rsidP="007D5F1C">
            <w:pPr>
              <w:pStyle w:val="TableText"/>
            </w:pPr>
            <w:r w:rsidRPr="00A06F1E">
              <w:t>Students w/disabilities</w:t>
            </w:r>
          </w:p>
        </w:tc>
        <w:tc>
          <w:tcPr>
            <w:tcW w:w="1254" w:type="dxa"/>
          </w:tcPr>
          <w:p w14:paraId="24697428" w14:textId="77777777" w:rsidR="00B607BD" w:rsidRPr="00A06F1E" w:rsidRDefault="00B607BD" w:rsidP="007D5F1C">
            <w:pPr>
              <w:pStyle w:val="TableTextCentered"/>
            </w:pPr>
            <w:r w:rsidRPr="00A06F1E">
              <w:t>140</w:t>
            </w:r>
          </w:p>
        </w:tc>
        <w:tc>
          <w:tcPr>
            <w:tcW w:w="1255" w:type="dxa"/>
          </w:tcPr>
          <w:p w14:paraId="7C99D81A" w14:textId="06E100BB" w:rsidR="00B607BD" w:rsidRPr="00A06F1E" w:rsidRDefault="00805266" w:rsidP="007D5F1C">
            <w:pPr>
              <w:pStyle w:val="TableTextCentered"/>
            </w:pPr>
            <w:r w:rsidRPr="00A06F1E">
              <w:t>—</w:t>
            </w:r>
          </w:p>
        </w:tc>
        <w:tc>
          <w:tcPr>
            <w:tcW w:w="1254" w:type="dxa"/>
          </w:tcPr>
          <w:p w14:paraId="350458C7" w14:textId="77777777" w:rsidR="00B607BD" w:rsidRPr="00A06F1E" w:rsidRDefault="00B607BD" w:rsidP="007D5F1C">
            <w:pPr>
              <w:pStyle w:val="TableTextCentered"/>
            </w:pPr>
            <w:r w:rsidRPr="00A06F1E">
              <w:t>8.1</w:t>
            </w:r>
          </w:p>
        </w:tc>
        <w:tc>
          <w:tcPr>
            <w:tcW w:w="1255" w:type="dxa"/>
          </w:tcPr>
          <w:p w14:paraId="02CEA389" w14:textId="77777777" w:rsidR="00B607BD" w:rsidRPr="00A06F1E" w:rsidRDefault="00B607BD" w:rsidP="007D5F1C">
            <w:pPr>
              <w:pStyle w:val="TableTextCentered"/>
            </w:pPr>
            <w:r w:rsidRPr="00A06F1E">
              <w:t>0.7</w:t>
            </w:r>
          </w:p>
        </w:tc>
        <w:tc>
          <w:tcPr>
            <w:tcW w:w="1255" w:type="dxa"/>
          </w:tcPr>
          <w:p w14:paraId="4C647F0F" w14:textId="77777777" w:rsidR="00B607BD" w:rsidRPr="00A06F1E" w:rsidRDefault="00B607BD" w:rsidP="007D5F1C">
            <w:pPr>
              <w:pStyle w:val="TableTextCentered"/>
            </w:pPr>
            <w:r w:rsidRPr="00A06F1E">
              <w:t>2.5</w:t>
            </w:r>
          </w:p>
        </w:tc>
      </w:tr>
    </w:tbl>
    <w:p w14:paraId="03D7959E" w14:textId="77777777" w:rsidR="007D5F1C" w:rsidRPr="00A06F1E" w:rsidRDefault="007D5F1C" w:rsidP="007D5F1C">
      <w:pPr>
        <w:pStyle w:val="TableTitle0"/>
      </w:pPr>
    </w:p>
    <w:p w14:paraId="34E78BB0" w14:textId="77777777" w:rsidR="007D5F1C" w:rsidRPr="00A06F1E" w:rsidRDefault="007D5F1C">
      <w:pPr>
        <w:spacing w:line="240" w:lineRule="auto"/>
        <w:rPr>
          <w:rFonts w:ascii="Franklin Gothic Demi" w:hAnsi="Franklin Gothic Demi"/>
        </w:rPr>
      </w:pPr>
      <w:r w:rsidRPr="00A06F1E">
        <w:br w:type="page"/>
      </w:r>
    </w:p>
    <w:p w14:paraId="1A1495A6" w14:textId="4CB36912" w:rsidR="00B607BD" w:rsidRPr="00A06F1E" w:rsidRDefault="00B607BD" w:rsidP="00B7722D">
      <w:pPr>
        <w:pStyle w:val="TabletitleSectionE"/>
      </w:pPr>
      <w:bookmarkStart w:id="327" w:name="_Toc170701988"/>
      <w:bookmarkStart w:id="328" w:name="_Toc171685825"/>
      <w:r w:rsidRPr="00A06F1E">
        <w:lastRenderedPageBreak/>
        <w:t>Table E20</w:t>
      </w:r>
      <w:r w:rsidR="00E33360">
        <w:t>a</w:t>
      </w:r>
      <w:r w:rsidR="00CE00AC" w:rsidRPr="00A06F1E">
        <w:t xml:space="preserve">. </w:t>
      </w:r>
      <w:r w:rsidR="00CF4F71">
        <w:t>Fisher Hill</w:t>
      </w:r>
      <w:r w:rsidR="00F3532E" w:rsidRPr="00A06F1E">
        <w:t>:</w:t>
      </w:r>
      <w:r w:rsidRPr="00A06F1E">
        <w:t xml:space="preserve"> Out-of-School Suspension Rates by Student Group, 2021-2023</w:t>
      </w:r>
      <w:bookmarkEnd w:id="327"/>
      <w:bookmarkEnd w:id="328"/>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B607BD" w:rsidRPr="00A06F1E" w14:paraId="359839DE"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22BDB9CE" w14:textId="77777777" w:rsidR="00B607BD" w:rsidRPr="00A06F1E" w:rsidRDefault="00B607BD" w:rsidP="007D5F1C">
            <w:pPr>
              <w:pStyle w:val="TableColHeadingCenter"/>
            </w:pPr>
            <w:r w:rsidRPr="00A06F1E">
              <w:t>Group</w:t>
            </w:r>
          </w:p>
        </w:tc>
        <w:tc>
          <w:tcPr>
            <w:tcW w:w="1254" w:type="dxa"/>
            <w:vAlign w:val="center"/>
          </w:tcPr>
          <w:p w14:paraId="638DC5A9" w14:textId="14883624" w:rsidR="00B607BD" w:rsidRPr="00A06F1E" w:rsidRDefault="00B607BD" w:rsidP="007D5F1C">
            <w:pPr>
              <w:pStyle w:val="TableColHeadingCenter"/>
            </w:pPr>
            <w:r w:rsidRPr="00A06F1E">
              <w:t xml:space="preserve"># </w:t>
            </w:r>
            <w:r w:rsidR="00FF1146" w:rsidRPr="00A06F1E">
              <w:t>included</w:t>
            </w:r>
            <w:r w:rsidRPr="00A06F1E">
              <w:t xml:space="preserve"> (2023)</w:t>
            </w:r>
          </w:p>
        </w:tc>
        <w:tc>
          <w:tcPr>
            <w:tcW w:w="1255" w:type="dxa"/>
            <w:vAlign w:val="center"/>
          </w:tcPr>
          <w:p w14:paraId="50E4DC94" w14:textId="77777777" w:rsidR="00B607BD" w:rsidRPr="00A06F1E" w:rsidRDefault="00B607BD" w:rsidP="007D5F1C">
            <w:pPr>
              <w:pStyle w:val="TableColHeadingCenter"/>
            </w:pPr>
            <w:r w:rsidRPr="00A06F1E">
              <w:t>2021</w:t>
            </w:r>
          </w:p>
        </w:tc>
        <w:tc>
          <w:tcPr>
            <w:tcW w:w="1254" w:type="dxa"/>
            <w:vAlign w:val="center"/>
          </w:tcPr>
          <w:p w14:paraId="76EF0117" w14:textId="77777777" w:rsidR="00B607BD" w:rsidRPr="00A06F1E" w:rsidRDefault="00B607BD" w:rsidP="007D5F1C">
            <w:pPr>
              <w:pStyle w:val="TableColHeadingCenter"/>
            </w:pPr>
            <w:r w:rsidRPr="00A06F1E">
              <w:t>2022</w:t>
            </w:r>
          </w:p>
        </w:tc>
        <w:tc>
          <w:tcPr>
            <w:tcW w:w="1255" w:type="dxa"/>
            <w:vAlign w:val="center"/>
          </w:tcPr>
          <w:p w14:paraId="4A09BBB4" w14:textId="77777777" w:rsidR="00B607BD" w:rsidRPr="00A06F1E" w:rsidRDefault="00B607BD" w:rsidP="007D5F1C">
            <w:pPr>
              <w:pStyle w:val="TableColHeadingCenter"/>
            </w:pPr>
            <w:r w:rsidRPr="00A06F1E">
              <w:t>2023</w:t>
            </w:r>
          </w:p>
        </w:tc>
        <w:tc>
          <w:tcPr>
            <w:tcW w:w="1255" w:type="dxa"/>
            <w:vAlign w:val="center"/>
          </w:tcPr>
          <w:p w14:paraId="7272B50A" w14:textId="77777777" w:rsidR="00B607BD" w:rsidRPr="00A06F1E" w:rsidRDefault="00B607BD" w:rsidP="007D5F1C">
            <w:pPr>
              <w:pStyle w:val="TableColHeadingCenter"/>
            </w:pPr>
            <w:r w:rsidRPr="00A06F1E">
              <w:t>State (2023)</w:t>
            </w:r>
          </w:p>
        </w:tc>
      </w:tr>
      <w:tr w:rsidR="00B607BD" w:rsidRPr="00A06F1E" w14:paraId="1DE73793"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BF0CF98" w14:textId="77777777" w:rsidR="00B607BD" w:rsidRPr="00A06F1E" w:rsidRDefault="00B607BD" w:rsidP="007D5F1C">
            <w:pPr>
              <w:pStyle w:val="TableText"/>
            </w:pPr>
            <w:r w:rsidRPr="00A06F1E">
              <w:t>All</w:t>
            </w:r>
          </w:p>
        </w:tc>
        <w:tc>
          <w:tcPr>
            <w:tcW w:w="1254" w:type="dxa"/>
          </w:tcPr>
          <w:p w14:paraId="5058BACE" w14:textId="77777777" w:rsidR="00B607BD" w:rsidRPr="00A06F1E" w:rsidRDefault="00B607BD" w:rsidP="007D5F1C">
            <w:pPr>
              <w:pStyle w:val="TableTextCentered"/>
            </w:pPr>
            <w:r w:rsidRPr="00A06F1E">
              <w:t>542</w:t>
            </w:r>
          </w:p>
        </w:tc>
        <w:tc>
          <w:tcPr>
            <w:tcW w:w="1255" w:type="dxa"/>
          </w:tcPr>
          <w:p w14:paraId="770360B3" w14:textId="4891CF81" w:rsidR="00B607BD" w:rsidRPr="00A06F1E" w:rsidRDefault="00805266" w:rsidP="007D5F1C">
            <w:pPr>
              <w:pStyle w:val="TableTextCentered"/>
            </w:pPr>
            <w:r w:rsidRPr="00A06F1E">
              <w:t>—</w:t>
            </w:r>
          </w:p>
        </w:tc>
        <w:tc>
          <w:tcPr>
            <w:tcW w:w="1254" w:type="dxa"/>
          </w:tcPr>
          <w:p w14:paraId="57A1BA7F" w14:textId="77777777" w:rsidR="00B607BD" w:rsidRPr="00A06F1E" w:rsidRDefault="00B607BD" w:rsidP="007D5F1C">
            <w:pPr>
              <w:pStyle w:val="TableTextCentered"/>
            </w:pPr>
            <w:r w:rsidRPr="00A06F1E">
              <w:t>3.9</w:t>
            </w:r>
          </w:p>
        </w:tc>
        <w:tc>
          <w:tcPr>
            <w:tcW w:w="1255" w:type="dxa"/>
          </w:tcPr>
          <w:p w14:paraId="727C838F" w14:textId="77777777" w:rsidR="00B607BD" w:rsidRPr="00A06F1E" w:rsidRDefault="00B607BD" w:rsidP="007D5F1C">
            <w:pPr>
              <w:pStyle w:val="TableTextCentered"/>
            </w:pPr>
            <w:r w:rsidRPr="00A06F1E">
              <w:t>1.8</w:t>
            </w:r>
          </w:p>
        </w:tc>
        <w:tc>
          <w:tcPr>
            <w:tcW w:w="1255" w:type="dxa"/>
          </w:tcPr>
          <w:p w14:paraId="2DCFF498" w14:textId="77777777" w:rsidR="00B607BD" w:rsidRPr="00A06F1E" w:rsidRDefault="00B607BD" w:rsidP="007D5F1C">
            <w:pPr>
              <w:pStyle w:val="TableTextCentered"/>
            </w:pPr>
            <w:r w:rsidRPr="00A06F1E">
              <w:t>2.5</w:t>
            </w:r>
          </w:p>
        </w:tc>
      </w:tr>
      <w:tr w:rsidR="00B607BD" w:rsidRPr="00A06F1E" w14:paraId="53B8A238" w14:textId="77777777">
        <w:trPr>
          <w:jc w:val="center"/>
        </w:trPr>
        <w:tc>
          <w:tcPr>
            <w:tcW w:w="3052" w:type="dxa"/>
          </w:tcPr>
          <w:p w14:paraId="4A4BB966" w14:textId="77777777" w:rsidR="00B607BD" w:rsidRPr="00A06F1E" w:rsidRDefault="00B607BD" w:rsidP="007D5F1C">
            <w:pPr>
              <w:pStyle w:val="TableText"/>
            </w:pPr>
            <w:r w:rsidRPr="00A06F1E">
              <w:t>African American/Black</w:t>
            </w:r>
          </w:p>
        </w:tc>
        <w:tc>
          <w:tcPr>
            <w:tcW w:w="1254" w:type="dxa"/>
          </w:tcPr>
          <w:p w14:paraId="56146455" w14:textId="77777777" w:rsidR="00B607BD" w:rsidRPr="00A06F1E" w:rsidRDefault="00B607BD" w:rsidP="007D5F1C">
            <w:pPr>
              <w:pStyle w:val="TableTextCentered"/>
            </w:pPr>
            <w:r w:rsidRPr="00A06F1E">
              <w:t>8</w:t>
            </w:r>
          </w:p>
        </w:tc>
        <w:tc>
          <w:tcPr>
            <w:tcW w:w="1255" w:type="dxa"/>
          </w:tcPr>
          <w:p w14:paraId="6759E865" w14:textId="1CD26C32" w:rsidR="00B607BD" w:rsidRPr="00A06F1E" w:rsidRDefault="00805266" w:rsidP="007D5F1C">
            <w:pPr>
              <w:pStyle w:val="TableTextCentered"/>
            </w:pPr>
            <w:r w:rsidRPr="00A06F1E">
              <w:t>—</w:t>
            </w:r>
          </w:p>
        </w:tc>
        <w:tc>
          <w:tcPr>
            <w:tcW w:w="1254" w:type="dxa"/>
          </w:tcPr>
          <w:p w14:paraId="7F354A85" w14:textId="4F8D75F5" w:rsidR="00B607BD" w:rsidRPr="00A06F1E" w:rsidRDefault="00805266" w:rsidP="007D5F1C">
            <w:pPr>
              <w:pStyle w:val="TableTextCentered"/>
            </w:pPr>
            <w:r w:rsidRPr="00A06F1E">
              <w:t>—</w:t>
            </w:r>
          </w:p>
        </w:tc>
        <w:tc>
          <w:tcPr>
            <w:tcW w:w="1255" w:type="dxa"/>
          </w:tcPr>
          <w:p w14:paraId="3A78DCBC" w14:textId="00F30FE6" w:rsidR="00B607BD" w:rsidRPr="00A06F1E" w:rsidRDefault="00805266" w:rsidP="007D5F1C">
            <w:pPr>
              <w:pStyle w:val="TableTextCentered"/>
            </w:pPr>
            <w:r w:rsidRPr="00A06F1E">
              <w:t>—</w:t>
            </w:r>
          </w:p>
        </w:tc>
        <w:tc>
          <w:tcPr>
            <w:tcW w:w="1255" w:type="dxa"/>
          </w:tcPr>
          <w:p w14:paraId="49B8DB0F" w14:textId="77777777" w:rsidR="00B607BD" w:rsidRPr="00A06F1E" w:rsidRDefault="00B607BD" w:rsidP="007D5F1C">
            <w:pPr>
              <w:pStyle w:val="TableTextCentered"/>
            </w:pPr>
            <w:r w:rsidRPr="00A06F1E">
              <w:t>5.0</w:t>
            </w:r>
          </w:p>
        </w:tc>
      </w:tr>
      <w:tr w:rsidR="00B607BD" w:rsidRPr="00A06F1E" w14:paraId="3180172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D341B07" w14:textId="77777777" w:rsidR="00B607BD" w:rsidRPr="00A06F1E" w:rsidRDefault="00B607BD" w:rsidP="007D5F1C">
            <w:pPr>
              <w:pStyle w:val="TableText"/>
            </w:pPr>
            <w:r w:rsidRPr="00A06F1E">
              <w:t>Asian</w:t>
            </w:r>
          </w:p>
        </w:tc>
        <w:tc>
          <w:tcPr>
            <w:tcW w:w="1254" w:type="dxa"/>
          </w:tcPr>
          <w:p w14:paraId="02FDCFD6" w14:textId="77777777" w:rsidR="00B607BD" w:rsidRPr="00A06F1E" w:rsidRDefault="00B607BD" w:rsidP="007D5F1C">
            <w:pPr>
              <w:pStyle w:val="TableTextCentered"/>
            </w:pPr>
            <w:r w:rsidRPr="00A06F1E">
              <w:t>8</w:t>
            </w:r>
          </w:p>
        </w:tc>
        <w:tc>
          <w:tcPr>
            <w:tcW w:w="1255" w:type="dxa"/>
          </w:tcPr>
          <w:p w14:paraId="5E1AF49F" w14:textId="07B5A082" w:rsidR="00B607BD" w:rsidRPr="00A06F1E" w:rsidRDefault="00805266" w:rsidP="007D5F1C">
            <w:pPr>
              <w:pStyle w:val="TableTextCentered"/>
            </w:pPr>
            <w:r w:rsidRPr="00A06F1E">
              <w:t>—</w:t>
            </w:r>
          </w:p>
        </w:tc>
        <w:tc>
          <w:tcPr>
            <w:tcW w:w="1254" w:type="dxa"/>
          </w:tcPr>
          <w:p w14:paraId="4B27543A" w14:textId="5DDB464F" w:rsidR="00B607BD" w:rsidRPr="00A06F1E" w:rsidRDefault="00805266" w:rsidP="007D5F1C">
            <w:pPr>
              <w:pStyle w:val="TableTextCentered"/>
            </w:pPr>
            <w:r w:rsidRPr="00A06F1E">
              <w:t>—</w:t>
            </w:r>
          </w:p>
        </w:tc>
        <w:tc>
          <w:tcPr>
            <w:tcW w:w="1255" w:type="dxa"/>
          </w:tcPr>
          <w:p w14:paraId="3ED70518" w14:textId="40253B0C" w:rsidR="00B607BD" w:rsidRPr="00A06F1E" w:rsidRDefault="00805266" w:rsidP="007D5F1C">
            <w:pPr>
              <w:pStyle w:val="TableTextCentered"/>
            </w:pPr>
            <w:r w:rsidRPr="00A06F1E">
              <w:t>—</w:t>
            </w:r>
          </w:p>
        </w:tc>
        <w:tc>
          <w:tcPr>
            <w:tcW w:w="1255" w:type="dxa"/>
          </w:tcPr>
          <w:p w14:paraId="59EB4342" w14:textId="77777777" w:rsidR="00B607BD" w:rsidRPr="00A06F1E" w:rsidRDefault="00B607BD" w:rsidP="007D5F1C">
            <w:pPr>
              <w:pStyle w:val="TableTextCentered"/>
            </w:pPr>
            <w:r w:rsidRPr="00A06F1E">
              <w:t>0.6</w:t>
            </w:r>
          </w:p>
        </w:tc>
      </w:tr>
      <w:tr w:rsidR="00B607BD" w:rsidRPr="00A06F1E" w14:paraId="68473209" w14:textId="77777777">
        <w:trPr>
          <w:jc w:val="center"/>
        </w:trPr>
        <w:tc>
          <w:tcPr>
            <w:tcW w:w="3052" w:type="dxa"/>
          </w:tcPr>
          <w:p w14:paraId="1A048397" w14:textId="77777777" w:rsidR="00B607BD" w:rsidRPr="00A06F1E" w:rsidRDefault="00B607BD" w:rsidP="007D5F1C">
            <w:pPr>
              <w:pStyle w:val="TableText"/>
            </w:pPr>
            <w:r w:rsidRPr="00A06F1E">
              <w:t>Hispanic/Latino</w:t>
            </w:r>
          </w:p>
        </w:tc>
        <w:tc>
          <w:tcPr>
            <w:tcW w:w="1254" w:type="dxa"/>
          </w:tcPr>
          <w:p w14:paraId="3A390495" w14:textId="77777777" w:rsidR="00B607BD" w:rsidRPr="00A06F1E" w:rsidRDefault="00B607BD" w:rsidP="007D5F1C">
            <w:pPr>
              <w:pStyle w:val="TableTextCentered"/>
            </w:pPr>
            <w:r w:rsidRPr="00A06F1E">
              <w:t>57</w:t>
            </w:r>
          </w:p>
        </w:tc>
        <w:tc>
          <w:tcPr>
            <w:tcW w:w="1255" w:type="dxa"/>
          </w:tcPr>
          <w:p w14:paraId="3871A1F8" w14:textId="6F57248E" w:rsidR="00B607BD" w:rsidRPr="00A06F1E" w:rsidRDefault="00805266" w:rsidP="007D5F1C">
            <w:pPr>
              <w:pStyle w:val="TableTextCentered"/>
            </w:pPr>
            <w:r w:rsidRPr="00A06F1E">
              <w:t>—</w:t>
            </w:r>
          </w:p>
        </w:tc>
        <w:tc>
          <w:tcPr>
            <w:tcW w:w="1254" w:type="dxa"/>
          </w:tcPr>
          <w:p w14:paraId="7A5F78C3" w14:textId="7D225CAF" w:rsidR="00B607BD" w:rsidRPr="00A06F1E" w:rsidRDefault="00805266" w:rsidP="007D5F1C">
            <w:pPr>
              <w:pStyle w:val="TableTextCentered"/>
            </w:pPr>
            <w:r w:rsidRPr="00A06F1E">
              <w:t>—</w:t>
            </w:r>
          </w:p>
        </w:tc>
        <w:tc>
          <w:tcPr>
            <w:tcW w:w="1255" w:type="dxa"/>
          </w:tcPr>
          <w:p w14:paraId="3BA8D098" w14:textId="2A4AA494" w:rsidR="00B607BD" w:rsidRPr="00A06F1E" w:rsidRDefault="00805266" w:rsidP="007D5F1C">
            <w:pPr>
              <w:pStyle w:val="TableTextCentered"/>
            </w:pPr>
            <w:r w:rsidRPr="00A06F1E">
              <w:t>—</w:t>
            </w:r>
          </w:p>
        </w:tc>
        <w:tc>
          <w:tcPr>
            <w:tcW w:w="1255" w:type="dxa"/>
          </w:tcPr>
          <w:p w14:paraId="56572585" w14:textId="77777777" w:rsidR="00B607BD" w:rsidRPr="00A06F1E" w:rsidRDefault="00B607BD" w:rsidP="007D5F1C">
            <w:pPr>
              <w:pStyle w:val="TableTextCentered"/>
            </w:pPr>
            <w:r w:rsidRPr="00A06F1E">
              <w:t>3.9</w:t>
            </w:r>
          </w:p>
        </w:tc>
      </w:tr>
      <w:tr w:rsidR="00B607BD" w:rsidRPr="00A06F1E" w14:paraId="039CE9DE"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E57717E" w14:textId="77777777" w:rsidR="00B607BD" w:rsidRPr="00A06F1E" w:rsidRDefault="00B607BD" w:rsidP="007D5F1C">
            <w:pPr>
              <w:pStyle w:val="TableText"/>
            </w:pPr>
            <w:r w:rsidRPr="00A06F1E">
              <w:rPr>
                <w:rFonts w:cstheme="minorHAnsi"/>
              </w:rPr>
              <w:t>Multi-Race, non-Hispanic/Latino</w:t>
            </w:r>
          </w:p>
        </w:tc>
        <w:tc>
          <w:tcPr>
            <w:tcW w:w="1254" w:type="dxa"/>
          </w:tcPr>
          <w:p w14:paraId="4BA9A9AB" w14:textId="77777777" w:rsidR="00B607BD" w:rsidRPr="00A06F1E" w:rsidRDefault="00B607BD" w:rsidP="007D5F1C">
            <w:pPr>
              <w:pStyle w:val="TableTextCentered"/>
            </w:pPr>
            <w:r w:rsidRPr="00A06F1E">
              <w:t>27</w:t>
            </w:r>
          </w:p>
        </w:tc>
        <w:tc>
          <w:tcPr>
            <w:tcW w:w="1255" w:type="dxa"/>
          </w:tcPr>
          <w:p w14:paraId="46DED61E" w14:textId="0C98971D" w:rsidR="00B607BD" w:rsidRPr="00A06F1E" w:rsidRDefault="00805266" w:rsidP="007D5F1C">
            <w:pPr>
              <w:pStyle w:val="TableTextCentered"/>
            </w:pPr>
            <w:r w:rsidRPr="00A06F1E">
              <w:t>—</w:t>
            </w:r>
          </w:p>
        </w:tc>
        <w:tc>
          <w:tcPr>
            <w:tcW w:w="1254" w:type="dxa"/>
          </w:tcPr>
          <w:p w14:paraId="6DC9244C" w14:textId="54E9E2BD" w:rsidR="00B607BD" w:rsidRPr="00A06F1E" w:rsidRDefault="00805266" w:rsidP="007D5F1C">
            <w:pPr>
              <w:pStyle w:val="TableTextCentered"/>
            </w:pPr>
            <w:r w:rsidRPr="00A06F1E">
              <w:t>—</w:t>
            </w:r>
          </w:p>
        </w:tc>
        <w:tc>
          <w:tcPr>
            <w:tcW w:w="1255" w:type="dxa"/>
          </w:tcPr>
          <w:p w14:paraId="58826AEC" w14:textId="2BAC5723" w:rsidR="00B607BD" w:rsidRPr="00A06F1E" w:rsidRDefault="00805266" w:rsidP="007D5F1C">
            <w:pPr>
              <w:pStyle w:val="TableTextCentered"/>
            </w:pPr>
            <w:r w:rsidRPr="00A06F1E">
              <w:t>—</w:t>
            </w:r>
          </w:p>
        </w:tc>
        <w:tc>
          <w:tcPr>
            <w:tcW w:w="1255" w:type="dxa"/>
          </w:tcPr>
          <w:p w14:paraId="1E4CCE8E" w14:textId="77777777" w:rsidR="00B607BD" w:rsidRPr="00A06F1E" w:rsidRDefault="00B607BD" w:rsidP="007D5F1C">
            <w:pPr>
              <w:pStyle w:val="TableTextCentered"/>
            </w:pPr>
            <w:r w:rsidRPr="00A06F1E">
              <w:t>3.0</w:t>
            </w:r>
          </w:p>
        </w:tc>
      </w:tr>
      <w:tr w:rsidR="00B607BD" w:rsidRPr="00A06F1E" w14:paraId="2F95D944" w14:textId="77777777">
        <w:trPr>
          <w:jc w:val="center"/>
        </w:trPr>
        <w:tc>
          <w:tcPr>
            <w:tcW w:w="3052" w:type="dxa"/>
          </w:tcPr>
          <w:p w14:paraId="35C499AE" w14:textId="77777777" w:rsidR="00B607BD" w:rsidRPr="00A06F1E" w:rsidRDefault="00B607BD" w:rsidP="007D5F1C">
            <w:pPr>
              <w:pStyle w:val="TableText"/>
            </w:pPr>
            <w:r w:rsidRPr="00A06F1E">
              <w:t>Native American</w:t>
            </w:r>
          </w:p>
        </w:tc>
        <w:tc>
          <w:tcPr>
            <w:tcW w:w="1254" w:type="dxa"/>
          </w:tcPr>
          <w:p w14:paraId="52486C3F" w14:textId="77777777" w:rsidR="00B607BD" w:rsidRPr="00A06F1E" w:rsidRDefault="00B607BD" w:rsidP="007D5F1C">
            <w:pPr>
              <w:pStyle w:val="TableTextCentered"/>
            </w:pPr>
            <w:r w:rsidRPr="00A06F1E">
              <w:t>1</w:t>
            </w:r>
          </w:p>
        </w:tc>
        <w:tc>
          <w:tcPr>
            <w:tcW w:w="1255" w:type="dxa"/>
          </w:tcPr>
          <w:p w14:paraId="3F6D8407" w14:textId="0D979177" w:rsidR="00B607BD" w:rsidRPr="00A06F1E" w:rsidRDefault="00805266" w:rsidP="007D5F1C">
            <w:pPr>
              <w:pStyle w:val="TableTextCentered"/>
            </w:pPr>
            <w:r w:rsidRPr="00A06F1E">
              <w:t>—</w:t>
            </w:r>
          </w:p>
        </w:tc>
        <w:tc>
          <w:tcPr>
            <w:tcW w:w="1254" w:type="dxa"/>
          </w:tcPr>
          <w:p w14:paraId="676EE3E5" w14:textId="0AB43B1B" w:rsidR="00B607BD" w:rsidRPr="00A06F1E" w:rsidRDefault="00805266" w:rsidP="007D5F1C">
            <w:pPr>
              <w:pStyle w:val="TableTextCentered"/>
            </w:pPr>
            <w:r w:rsidRPr="00A06F1E">
              <w:t>—</w:t>
            </w:r>
          </w:p>
        </w:tc>
        <w:tc>
          <w:tcPr>
            <w:tcW w:w="1255" w:type="dxa"/>
          </w:tcPr>
          <w:p w14:paraId="2429C2DA" w14:textId="3F4C291D" w:rsidR="00B607BD" w:rsidRPr="00A06F1E" w:rsidRDefault="00805266" w:rsidP="007D5F1C">
            <w:pPr>
              <w:pStyle w:val="TableTextCentered"/>
            </w:pPr>
            <w:r w:rsidRPr="00A06F1E">
              <w:t>—</w:t>
            </w:r>
          </w:p>
        </w:tc>
        <w:tc>
          <w:tcPr>
            <w:tcW w:w="1255" w:type="dxa"/>
          </w:tcPr>
          <w:p w14:paraId="7124E5EE" w14:textId="77777777" w:rsidR="00B607BD" w:rsidRPr="00A06F1E" w:rsidRDefault="00B607BD" w:rsidP="007D5F1C">
            <w:pPr>
              <w:pStyle w:val="TableTextCentered"/>
            </w:pPr>
            <w:r w:rsidRPr="00A06F1E">
              <w:t>4.1</w:t>
            </w:r>
          </w:p>
        </w:tc>
      </w:tr>
      <w:tr w:rsidR="00B607BD" w:rsidRPr="00A06F1E" w14:paraId="2823CAF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2BCDEA5" w14:textId="77777777" w:rsidR="00B607BD" w:rsidRPr="00A06F1E" w:rsidRDefault="00B607BD" w:rsidP="007D5F1C">
            <w:pPr>
              <w:pStyle w:val="TableText"/>
            </w:pPr>
            <w:r w:rsidRPr="00A06F1E">
              <w:rPr>
                <w:rFonts w:eastAsia="Times New Roman"/>
                <w:spacing w:val="-4"/>
              </w:rPr>
              <w:t>Native Hawaiian, Pacific Islander</w:t>
            </w:r>
          </w:p>
        </w:tc>
        <w:tc>
          <w:tcPr>
            <w:tcW w:w="1254" w:type="dxa"/>
          </w:tcPr>
          <w:p w14:paraId="42B62AB8" w14:textId="77777777" w:rsidR="00B607BD" w:rsidRPr="00A06F1E" w:rsidRDefault="00B607BD" w:rsidP="007D5F1C">
            <w:pPr>
              <w:pStyle w:val="TableTextCentered"/>
            </w:pPr>
            <w:r w:rsidRPr="00A06F1E">
              <w:t>1</w:t>
            </w:r>
          </w:p>
        </w:tc>
        <w:tc>
          <w:tcPr>
            <w:tcW w:w="1255" w:type="dxa"/>
          </w:tcPr>
          <w:p w14:paraId="6191B952" w14:textId="67D2211D" w:rsidR="00B607BD" w:rsidRPr="00A06F1E" w:rsidRDefault="00805266" w:rsidP="007D5F1C">
            <w:pPr>
              <w:pStyle w:val="TableTextCentered"/>
            </w:pPr>
            <w:r w:rsidRPr="00A06F1E">
              <w:t>—</w:t>
            </w:r>
          </w:p>
        </w:tc>
        <w:tc>
          <w:tcPr>
            <w:tcW w:w="1254" w:type="dxa"/>
          </w:tcPr>
          <w:p w14:paraId="2E7F6EE2" w14:textId="034D3EBD" w:rsidR="00B607BD" w:rsidRPr="00A06F1E" w:rsidRDefault="00805266" w:rsidP="007D5F1C">
            <w:pPr>
              <w:pStyle w:val="TableTextCentered"/>
            </w:pPr>
            <w:r w:rsidRPr="00A06F1E">
              <w:t>—</w:t>
            </w:r>
          </w:p>
        </w:tc>
        <w:tc>
          <w:tcPr>
            <w:tcW w:w="1255" w:type="dxa"/>
          </w:tcPr>
          <w:p w14:paraId="69CDA3C0" w14:textId="456C8D09" w:rsidR="00B607BD" w:rsidRPr="00A06F1E" w:rsidRDefault="00805266" w:rsidP="007D5F1C">
            <w:pPr>
              <w:pStyle w:val="TableTextCentered"/>
            </w:pPr>
            <w:r w:rsidRPr="00A06F1E">
              <w:t>—</w:t>
            </w:r>
          </w:p>
        </w:tc>
        <w:tc>
          <w:tcPr>
            <w:tcW w:w="1255" w:type="dxa"/>
          </w:tcPr>
          <w:p w14:paraId="110FD9D0" w14:textId="77777777" w:rsidR="00B607BD" w:rsidRPr="00A06F1E" w:rsidRDefault="00B607BD" w:rsidP="007D5F1C">
            <w:pPr>
              <w:pStyle w:val="TableTextCentered"/>
            </w:pPr>
            <w:r w:rsidRPr="00A06F1E">
              <w:t>3.1</w:t>
            </w:r>
          </w:p>
        </w:tc>
      </w:tr>
      <w:tr w:rsidR="00B607BD" w:rsidRPr="00A06F1E" w14:paraId="00A1EFE6" w14:textId="77777777">
        <w:trPr>
          <w:jc w:val="center"/>
        </w:trPr>
        <w:tc>
          <w:tcPr>
            <w:tcW w:w="3052" w:type="dxa"/>
          </w:tcPr>
          <w:p w14:paraId="002E4DBC" w14:textId="77777777" w:rsidR="00B607BD" w:rsidRPr="00A06F1E" w:rsidRDefault="00B607BD" w:rsidP="007D5F1C">
            <w:pPr>
              <w:pStyle w:val="TableText"/>
            </w:pPr>
            <w:r w:rsidRPr="00A06F1E">
              <w:t>White</w:t>
            </w:r>
          </w:p>
        </w:tc>
        <w:tc>
          <w:tcPr>
            <w:tcW w:w="1254" w:type="dxa"/>
          </w:tcPr>
          <w:p w14:paraId="0B68DD46" w14:textId="77777777" w:rsidR="00B607BD" w:rsidRPr="00A06F1E" w:rsidRDefault="00B607BD" w:rsidP="007D5F1C">
            <w:pPr>
              <w:pStyle w:val="TableTextCentered"/>
            </w:pPr>
            <w:r w:rsidRPr="00A06F1E">
              <w:t>440</w:t>
            </w:r>
          </w:p>
        </w:tc>
        <w:tc>
          <w:tcPr>
            <w:tcW w:w="1255" w:type="dxa"/>
          </w:tcPr>
          <w:p w14:paraId="50FD6DD8" w14:textId="706B6AD6" w:rsidR="00B607BD" w:rsidRPr="00A06F1E" w:rsidRDefault="00805266" w:rsidP="007D5F1C">
            <w:pPr>
              <w:pStyle w:val="TableTextCentered"/>
            </w:pPr>
            <w:r w:rsidRPr="00A06F1E">
              <w:t>—</w:t>
            </w:r>
          </w:p>
        </w:tc>
        <w:tc>
          <w:tcPr>
            <w:tcW w:w="1254" w:type="dxa"/>
          </w:tcPr>
          <w:p w14:paraId="256BCE27" w14:textId="77777777" w:rsidR="00B607BD" w:rsidRPr="00A06F1E" w:rsidRDefault="00B607BD" w:rsidP="007D5F1C">
            <w:pPr>
              <w:pStyle w:val="TableTextCentered"/>
            </w:pPr>
            <w:r w:rsidRPr="00A06F1E">
              <w:t>4.1</w:t>
            </w:r>
          </w:p>
        </w:tc>
        <w:tc>
          <w:tcPr>
            <w:tcW w:w="1255" w:type="dxa"/>
          </w:tcPr>
          <w:p w14:paraId="33D07ECB" w14:textId="77777777" w:rsidR="00B607BD" w:rsidRPr="00A06F1E" w:rsidRDefault="00B607BD" w:rsidP="007D5F1C">
            <w:pPr>
              <w:pStyle w:val="TableTextCentered"/>
            </w:pPr>
            <w:r w:rsidRPr="00A06F1E">
              <w:t>2.3</w:t>
            </w:r>
          </w:p>
        </w:tc>
        <w:tc>
          <w:tcPr>
            <w:tcW w:w="1255" w:type="dxa"/>
          </w:tcPr>
          <w:p w14:paraId="609CF64E" w14:textId="77777777" w:rsidR="00B607BD" w:rsidRPr="00A06F1E" w:rsidRDefault="00B607BD" w:rsidP="007D5F1C">
            <w:pPr>
              <w:pStyle w:val="TableTextCentered"/>
            </w:pPr>
            <w:r w:rsidRPr="00A06F1E">
              <w:t>1.6</w:t>
            </w:r>
          </w:p>
        </w:tc>
      </w:tr>
      <w:tr w:rsidR="00B607BD" w:rsidRPr="00A06F1E" w14:paraId="52CD66A2"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F7CEAB3" w14:textId="77777777" w:rsidR="00B607BD" w:rsidRPr="00A06F1E" w:rsidRDefault="00B607BD" w:rsidP="007D5F1C">
            <w:pPr>
              <w:pStyle w:val="TableText"/>
            </w:pPr>
            <w:r w:rsidRPr="00A06F1E">
              <w:t>High needs</w:t>
            </w:r>
          </w:p>
        </w:tc>
        <w:tc>
          <w:tcPr>
            <w:tcW w:w="1254" w:type="dxa"/>
          </w:tcPr>
          <w:p w14:paraId="5644ABF2" w14:textId="77777777" w:rsidR="00B607BD" w:rsidRPr="00A06F1E" w:rsidRDefault="00B607BD" w:rsidP="007D5F1C">
            <w:pPr>
              <w:pStyle w:val="TableTextCentered"/>
            </w:pPr>
            <w:r w:rsidRPr="00A06F1E">
              <w:t>438</w:t>
            </w:r>
          </w:p>
        </w:tc>
        <w:tc>
          <w:tcPr>
            <w:tcW w:w="1255" w:type="dxa"/>
          </w:tcPr>
          <w:p w14:paraId="23853CD4" w14:textId="63EE790B" w:rsidR="00B607BD" w:rsidRPr="00A06F1E" w:rsidRDefault="00805266" w:rsidP="007D5F1C">
            <w:pPr>
              <w:pStyle w:val="TableTextCentered"/>
            </w:pPr>
            <w:r w:rsidRPr="00A06F1E">
              <w:t>—</w:t>
            </w:r>
          </w:p>
        </w:tc>
        <w:tc>
          <w:tcPr>
            <w:tcW w:w="1254" w:type="dxa"/>
          </w:tcPr>
          <w:p w14:paraId="497B69A8" w14:textId="77777777" w:rsidR="00B607BD" w:rsidRPr="00A06F1E" w:rsidRDefault="00B607BD" w:rsidP="007D5F1C">
            <w:pPr>
              <w:pStyle w:val="TableTextCentered"/>
            </w:pPr>
            <w:r w:rsidRPr="00A06F1E">
              <w:t>4.5</w:t>
            </w:r>
          </w:p>
        </w:tc>
        <w:tc>
          <w:tcPr>
            <w:tcW w:w="1255" w:type="dxa"/>
          </w:tcPr>
          <w:p w14:paraId="1E91274D" w14:textId="77777777" w:rsidR="00B607BD" w:rsidRPr="00A06F1E" w:rsidRDefault="00B607BD" w:rsidP="007D5F1C">
            <w:pPr>
              <w:pStyle w:val="TableTextCentered"/>
            </w:pPr>
            <w:r w:rsidRPr="00A06F1E">
              <w:t>2.3</w:t>
            </w:r>
          </w:p>
        </w:tc>
        <w:tc>
          <w:tcPr>
            <w:tcW w:w="1255" w:type="dxa"/>
          </w:tcPr>
          <w:p w14:paraId="419D8393" w14:textId="77777777" w:rsidR="00B607BD" w:rsidRPr="00A06F1E" w:rsidRDefault="00B607BD" w:rsidP="007D5F1C">
            <w:pPr>
              <w:pStyle w:val="TableTextCentered"/>
            </w:pPr>
            <w:r w:rsidRPr="00A06F1E">
              <w:t>3.8</w:t>
            </w:r>
          </w:p>
        </w:tc>
      </w:tr>
      <w:tr w:rsidR="00B607BD" w:rsidRPr="00A06F1E" w14:paraId="32826FB7" w14:textId="77777777">
        <w:trPr>
          <w:jc w:val="center"/>
        </w:trPr>
        <w:tc>
          <w:tcPr>
            <w:tcW w:w="3052" w:type="dxa"/>
          </w:tcPr>
          <w:p w14:paraId="2CE73297" w14:textId="77777777" w:rsidR="00B607BD" w:rsidRPr="00A06F1E" w:rsidRDefault="00B607BD" w:rsidP="007D5F1C">
            <w:pPr>
              <w:pStyle w:val="TableText"/>
            </w:pPr>
            <w:r w:rsidRPr="00A06F1E">
              <w:t>Low income</w:t>
            </w:r>
          </w:p>
        </w:tc>
        <w:tc>
          <w:tcPr>
            <w:tcW w:w="1254" w:type="dxa"/>
          </w:tcPr>
          <w:p w14:paraId="3C8C8740" w14:textId="77777777" w:rsidR="00B607BD" w:rsidRPr="00A06F1E" w:rsidRDefault="00B607BD" w:rsidP="007D5F1C">
            <w:pPr>
              <w:pStyle w:val="TableTextCentered"/>
            </w:pPr>
            <w:r w:rsidRPr="00A06F1E">
              <w:t>412</w:t>
            </w:r>
          </w:p>
        </w:tc>
        <w:tc>
          <w:tcPr>
            <w:tcW w:w="1255" w:type="dxa"/>
          </w:tcPr>
          <w:p w14:paraId="762D6528" w14:textId="4EA68B03" w:rsidR="00B607BD" w:rsidRPr="00A06F1E" w:rsidRDefault="00805266" w:rsidP="007D5F1C">
            <w:pPr>
              <w:pStyle w:val="TableTextCentered"/>
            </w:pPr>
            <w:r w:rsidRPr="00A06F1E">
              <w:t>—</w:t>
            </w:r>
          </w:p>
        </w:tc>
        <w:tc>
          <w:tcPr>
            <w:tcW w:w="1254" w:type="dxa"/>
          </w:tcPr>
          <w:p w14:paraId="468EB79A" w14:textId="77777777" w:rsidR="00B607BD" w:rsidRPr="00A06F1E" w:rsidRDefault="00B607BD" w:rsidP="007D5F1C">
            <w:pPr>
              <w:pStyle w:val="TableTextCentered"/>
            </w:pPr>
            <w:r w:rsidRPr="00A06F1E">
              <w:t>4.5</w:t>
            </w:r>
          </w:p>
        </w:tc>
        <w:tc>
          <w:tcPr>
            <w:tcW w:w="1255" w:type="dxa"/>
          </w:tcPr>
          <w:p w14:paraId="6C266363" w14:textId="77777777" w:rsidR="00B607BD" w:rsidRPr="00A06F1E" w:rsidRDefault="00B607BD" w:rsidP="007D5F1C">
            <w:pPr>
              <w:pStyle w:val="TableTextCentered"/>
            </w:pPr>
            <w:r w:rsidRPr="00A06F1E">
              <w:t>2.4</w:t>
            </w:r>
          </w:p>
        </w:tc>
        <w:tc>
          <w:tcPr>
            <w:tcW w:w="1255" w:type="dxa"/>
          </w:tcPr>
          <w:p w14:paraId="17BFC201" w14:textId="77777777" w:rsidR="00B607BD" w:rsidRPr="00A06F1E" w:rsidRDefault="00B607BD" w:rsidP="007D5F1C">
            <w:pPr>
              <w:pStyle w:val="TableTextCentered"/>
            </w:pPr>
            <w:r w:rsidRPr="00A06F1E">
              <w:t>4.3</w:t>
            </w:r>
          </w:p>
        </w:tc>
      </w:tr>
      <w:tr w:rsidR="00B607BD" w:rsidRPr="00A06F1E" w14:paraId="23CD6E2E"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10480AB" w14:textId="79F5AB7E" w:rsidR="00B607BD" w:rsidRPr="00A06F1E" w:rsidRDefault="004040D2" w:rsidP="007D5F1C">
            <w:pPr>
              <w:pStyle w:val="TableText"/>
            </w:pPr>
            <w:r w:rsidRPr="00A06F1E">
              <w:rPr>
                <w:spacing w:val="-4"/>
              </w:rPr>
              <w:t>E</w:t>
            </w:r>
            <w:r>
              <w:rPr>
                <w:spacing w:val="-4"/>
              </w:rPr>
              <w:t>nglish learners</w:t>
            </w:r>
            <w:r w:rsidR="00B607BD" w:rsidRPr="00A06F1E">
              <w:rPr>
                <w:spacing w:val="-4"/>
              </w:rPr>
              <w:t xml:space="preserve"> </w:t>
            </w:r>
          </w:p>
        </w:tc>
        <w:tc>
          <w:tcPr>
            <w:tcW w:w="1254" w:type="dxa"/>
          </w:tcPr>
          <w:p w14:paraId="34C8FB03" w14:textId="77777777" w:rsidR="00B607BD" w:rsidRPr="00A06F1E" w:rsidRDefault="00B607BD" w:rsidP="007D5F1C">
            <w:pPr>
              <w:pStyle w:val="TableTextCentered"/>
            </w:pPr>
            <w:r w:rsidRPr="00A06F1E">
              <w:t>7</w:t>
            </w:r>
          </w:p>
        </w:tc>
        <w:tc>
          <w:tcPr>
            <w:tcW w:w="1255" w:type="dxa"/>
          </w:tcPr>
          <w:p w14:paraId="1D52623B" w14:textId="55DCB688" w:rsidR="00B607BD" w:rsidRPr="00A06F1E" w:rsidRDefault="00805266" w:rsidP="007D5F1C">
            <w:pPr>
              <w:pStyle w:val="TableTextCentered"/>
            </w:pPr>
            <w:r w:rsidRPr="00A06F1E">
              <w:t>—</w:t>
            </w:r>
          </w:p>
        </w:tc>
        <w:tc>
          <w:tcPr>
            <w:tcW w:w="1254" w:type="dxa"/>
          </w:tcPr>
          <w:p w14:paraId="7C8F377D" w14:textId="0F536FCD" w:rsidR="00B607BD" w:rsidRPr="00A06F1E" w:rsidRDefault="00805266" w:rsidP="007D5F1C">
            <w:pPr>
              <w:pStyle w:val="TableTextCentered"/>
            </w:pPr>
            <w:r w:rsidRPr="00A06F1E">
              <w:t>—</w:t>
            </w:r>
          </w:p>
        </w:tc>
        <w:tc>
          <w:tcPr>
            <w:tcW w:w="1255" w:type="dxa"/>
          </w:tcPr>
          <w:p w14:paraId="1D50B03F" w14:textId="0EF4D0A3" w:rsidR="00B607BD" w:rsidRPr="00A06F1E" w:rsidRDefault="00805266" w:rsidP="007D5F1C">
            <w:pPr>
              <w:pStyle w:val="TableTextCentered"/>
            </w:pPr>
            <w:r w:rsidRPr="00A06F1E">
              <w:t>—</w:t>
            </w:r>
          </w:p>
        </w:tc>
        <w:tc>
          <w:tcPr>
            <w:tcW w:w="1255" w:type="dxa"/>
          </w:tcPr>
          <w:p w14:paraId="3B8621DA" w14:textId="77777777" w:rsidR="00B607BD" w:rsidRPr="00A06F1E" w:rsidRDefault="00B607BD" w:rsidP="007D5F1C">
            <w:pPr>
              <w:pStyle w:val="TableTextCentered"/>
            </w:pPr>
            <w:r w:rsidRPr="00A06F1E">
              <w:t>2.7</w:t>
            </w:r>
          </w:p>
        </w:tc>
      </w:tr>
      <w:tr w:rsidR="00B607BD" w:rsidRPr="00A06F1E" w14:paraId="77329E85" w14:textId="77777777">
        <w:trPr>
          <w:jc w:val="center"/>
        </w:trPr>
        <w:tc>
          <w:tcPr>
            <w:tcW w:w="3052" w:type="dxa"/>
          </w:tcPr>
          <w:p w14:paraId="1B08A737" w14:textId="77777777" w:rsidR="00B607BD" w:rsidRPr="00A06F1E" w:rsidRDefault="00B607BD" w:rsidP="007D5F1C">
            <w:pPr>
              <w:pStyle w:val="TableText"/>
            </w:pPr>
            <w:r w:rsidRPr="00A06F1E">
              <w:t>Students w/disabilities</w:t>
            </w:r>
          </w:p>
        </w:tc>
        <w:tc>
          <w:tcPr>
            <w:tcW w:w="1254" w:type="dxa"/>
          </w:tcPr>
          <w:p w14:paraId="3603ADEA" w14:textId="77777777" w:rsidR="00B607BD" w:rsidRPr="00A06F1E" w:rsidRDefault="00B607BD" w:rsidP="007D5F1C">
            <w:pPr>
              <w:pStyle w:val="TableTextCentered"/>
            </w:pPr>
            <w:r w:rsidRPr="00A06F1E">
              <w:t>154</w:t>
            </w:r>
          </w:p>
        </w:tc>
        <w:tc>
          <w:tcPr>
            <w:tcW w:w="1255" w:type="dxa"/>
          </w:tcPr>
          <w:p w14:paraId="4633C80B" w14:textId="60F4A36D" w:rsidR="00B607BD" w:rsidRPr="00A06F1E" w:rsidRDefault="00805266" w:rsidP="007D5F1C">
            <w:pPr>
              <w:pStyle w:val="TableTextCentered"/>
            </w:pPr>
            <w:r w:rsidRPr="00A06F1E">
              <w:t>—</w:t>
            </w:r>
          </w:p>
        </w:tc>
        <w:tc>
          <w:tcPr>
            <w:tcW w:w="1254" w:type="dxa"/>
          </w:tcPr>
          <w:p w14:paraId="4B8E2643" w14:textId="77777777" w:rsidR="00B607BD" w:rsidRPr="00A06F1E" w:rsidRDefault="00B607BD" w:rsidP="007D5F1C">
            <w:pPr>
              <w:pStyle w:val="TableTextCentered"/>
            </w:pPr>
            <w:r w:rsidRPr="00A06F1E">
              <w:t>6.8</w:t>
            </w:r>
          </w:p>
        </w:tc>
        <w:tc>
          <w:tcPr>
            <w:tcW w:w="1255" w:type="dxa"/>
          </w:tcPr>
          <w:p w14:paraId="275EB122" w14:textId="77777777" w:rsidR="00B607BD" w:rsidRPr="00A06F1E" w:rsidRDefault="00B607BD" w:rsidP="007D5F1C">
            <w:pPr>
              <w:pStyle w:val="TableTextCentered"/>
            </w:pPr>
            <w:r w:rsidRPr="00A06F1E">
              <w:t>3.9</w:t>
            </w:r>
          </w:p>
        </w:tc>
        <w:tc>
          <w:tcPr>
            <w:tcW w:w="1255" w:type="dxa"/>
          </w:tcPr>
          <w:p w14:paraId="76BE2231" w14:textId="77777777" w:rsidR="00B607BD" w:rsidRPr="00A06F1E" w:rsidRDefault="00B607BD" w:rsidP="007D5F1C">
            <w:pPr>
              <w:pStyle w:val="TableTextCentered"/>
            </w:pPr>
            <w:r w:rsidRPr="00A06F1E">
              <w:t>4.7</w:t>
            </w:r>
          </w:p>
        </w:tc>
      </w:tr>
    </w:tbl>
    <w:p w14:paraId="2E4B6109" w14:textId="04175617" w:rsidR="00B607BD" w:rsidRPr="00A06F1E" w:rsidRDefault="00B607BD" w:rsidP="00B7722D">
      <w:pPr>
        <w:pStyle w:val="TabletitleSectionE"/>
      </w:pPr>
      <w:bookmarkStart w:id="329" w:name="_Toc170701989"/>
      <w:bookmarkStart w:id="330" w:name="_Toc171685826"/>
      <w:bookmarkStart w:id="331" w:name="_Hlk138323870"/>
      <w:r w:rsidRPr="00A06F1E">
        <w:t>Table E20</w:t>
      </w:r>
      <w:r w:rsidR="00E33360">
        <w:t>b</w:t>
      </w:r>
      <w:r w:rsidR="007C4E08" w:rsidRPr="00A06F1E">
        <w:t xml:space="preserve">. </w:t>
      </w:r>
      <w:proofErr w:type="spellStart"/>
      <w:r w:rsidR="00652B48">
        <w:t>Petersham</w:t>
      </w:r>
      <w:proofErr w:type="spellEnd"/>
      <w:r w:rsidR="00652B48">
        <w:t xml:space="preserve"> Center</w:t>
      </w:r>
      <w:r w:rsidR="00F3532E" w:rsidRPr="00A06F1E">
        <w:t>:</w:t>
      </w:r>
      <w:r w:rsidRPr="00A06F1E">
        <w:t xml:space="preserve"> Out-of-School Suspension Rates by Student Group, 2021-2023</w:t>
      </w:r>
      <w:bookmarkEnd w:id="329"/>
      <w:bookmarkEnd w:id="330"/>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B607BD" w:rsidRPr="00A06F1E" w14:paraId="4EA07E95"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1CD652BD" w14:textId="77777777" w:rsidR="00B607BD" w:rsidRPr="00A06F1E" w:rsidRDefault="00B607BD" w:rsidP="007D5F1C">
            <w:pPr>
              <w:pStyle w:val="TableColHeadingCenter"/>
            </w:pPr>
            <w:r w:rsidRPr="00A06F1E">
              <w:t>Group</w:t>
            </w:r>
          </w:p>
        </w:tc>
        <w:tc>
          <w:tcPr>
            <w:tcW w:w="1254" w:type="dxa"/>
            <w:vAlign w:val="center"/>
          </w:tcPr>
          <w:p w14:paraId="6530E68A" w14:textId="0B1E832C" w:rsidR="00B607BD" w:rsidRPr="00A06F1E" w:rsidRDefault="00B607BD" w:rsidP="007D5F1C">
            <w:pPr>
              <w:pStyle w:val="TableColHeadingCenter"/>
            </w:pPr>
            <w:r w:rsidRPr="00A06F1E">
              <w:t xml:space="preserve"># </w:t>
            </w:r>
            <w:r w:rsidR="00FF1146" w:rsidRPr="00A06F1E">
              <w:t>included</w:t>
            </w:r>
            <w:r w:rsidRPr="00A06F1E">
              <w:t xml:space="preserve"> (2023)</w:t>
            </w:r>
          </w:p>
        </w:tc>
        <w:tc>
          <w:tcPr>
            <w:tcW w:w="1255" w:type="dxa"/>
            <w:vAlign w:val="center"/>
          </w:tcPr>
          <w:p w14:paraId="200919B8" w14:textId="77777777" w:rsidR="00B607BD" w:rsidRPr="00A06F1E" w:rsidRDefault="00B607BD" w:rsidP="007D5F1C">
            <w:pPr>
              <w:pStyle w:val="TableColHeadingCenter"/>
            </w:pPr>
            <w:r w:rsidRPr="00A06F1E">
              <w:t>2021</w:t>
            </w:r>
          </w:p>
        </w:tc>
        <w:tc>
          <w:tcPr>
            <w:tcW w:w="1254" w:type="dxa"/>
            <w:vAlign w:val="center"/>
          </w:tcPr>
          <w:p w14:paraId="182C7CAA" w14:textId="77777777" w:rsidR="00B607BD" w:rsidRPr="00A06F1E" w:rsidRDefault="00B607BD" w:rsidP="007D5F1C">
            <w:pPr>
              <w:pStyle w:val="TableColHeadingCenter"/>
            </w:pPr>
            <w:r w:rsidRPr="00A06F1E">
              <w:t>2022</w:t>
            </w:r>
          </w:p>
        </w:tc>
        <w:tc>
          <w:tcPr>
            <w:tcW w:w="1255" w:type="dxa"/>
            <w:vAlign w:val="center"/>
          </w:tcPr>
          <w:p w14:paraId="7DB750E8" w14:textId="77777777" w:rsidR="00B607BD" w:rsidRPr="00A06F1E" w:rsidRDefault="00B607BD" w:rsidP="007D5F1C">
            <w:pPr>
              <w:pStyle w:val="TableColHeadingCenter"/>
            </w:pPr>
            <w:r w:rsidRPr="00A06F1E">
              <w:t>2023</w:t>
            </w:r>
          </w:p>
        </w:tc>
        <w:tc>
          <w:tcPr>
            <w:tcW w:w="1255" w:type="dxa"/>
            <w:vAlign w:val="center"/>
          </w:tcPr>
          <w:p w14:paraId="7CA7DB99" w14:textId="77777777" w:rsidR="00B607BD" w:rsidRPr="00A06F1E" w:rsidRDefault="00B607BD" w:rsidP="007D5F1C">
            <w:pPr>
              <w:pStyle w:val="TableColHeadingCenter"/>
            </w:pPr>
            <w:r w:rsidRPr="00A06F1E">
              <w:t>State (2023)</w:t>
            </w:r>
          </w:p>
        </w:tc>
      </w:tr>
      <w:tr w:rsidR="00B607BD" w:rsidRPr="00A06F1E" w14:paraId="7E37662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E24F9A9" w14:textId="77777777" w:rsidR="00B607BD" w:rsidRPr="00A06F1E" w:rsidRDefault="00B607BD" w:rsidP="007D5F1C">
            <w:pPr>
              <w:pStyle w:val="TableText"/>
            </w:pPr>
            <w:r w:rsidRPr="00A06F1E">
              <w:t>All</w:t>
            </w:r>
          </w:p>
        </w:tc>
        <w:tc>
          <w:tcPr>
            <w:tcW w:w="1254" w:type="dxa"/>
          </w:tcPr>
          <w:p w14:paraId="6B8AB8EF" w14:textId="77777777" w:rsidR="00B607BD" w:rsidRPr="00A06F1E" w:rsidRDefault="00B607BD" w:rsidP="007D5F1C">
            <w:pPr>
              <w:pStyle w:val="TableTextCentered"/>
            </w:pPr>
            <w:r w:rsidRPr="00A06F1E">
              <w:t>127</w:t>
            </w:r>
          </w:p>
        </w:tc>
        <w:tc>
          <w:tcPr>
            <w:tcW w:w="1255" w:type="dxa"/>
          </w:tcPr>
          <w:p w14:paraId="43E5A26F" w14:textId="2C9ADDE4" w:rsidR="00B607BD" w:rsidRPr="00A06F1E" w:rsidRDefault="00805266" w:rsidP="007D5F1C">
            <w:pPr>
              <w:pStyle w:val="TableTextCentered"/>
            </w:pPr>
            <w:r w:rsidRPr="00A06F1E">
              <w:t>—</w:t>
            </w:r>
          </w:p>
        </w:tc>
        <w:tc>
          <w:tcPr>
            <w:tcW w:w="1254" w:type="dxa"/>
          </w:tcPr>
          <w:p w14:paraId="5B954EAB" w14:textId="4C3F426D" w:rsidR="00B607BD" w:rsidRPr="00A06F1E" w:rsidRDefault="00805266" w:rsidP="007D5F1C">
            <w:pPr>
              <w:pStyle w:val="TableTextCentered"/>
            </w:pPr>
            <w:r w:rsidRPr="00A06F1E">
              <w:t>—</w:t>
            </w:r>
          </w:p>
        </w:tc>
        <w:tc>
          <w:tcPr>
            <w:tcW w:w="1255" w:type="dxa"/>
          </w:tcPr>
          <w:p w14:paraId="09F7E7DE" w14:textId="31E43E31" w:rsidR="00B607BD" w:rsidRPr="00A06F1E" w:rsidRDefault="00805266" w:rsidP="007D5F1C">
            <w:pPr>
              <w:pStyle w:val="TableTextCentered"/>
            </w:pPr>
            <w:r w:rsidRPr="00A06F1E">
              <w:t>—</w:t>
            </w:r>
          </w:p>
        </w:tc>
        <w:tc>
          <w:tcPr>
            <w:tcW w:w="1255" w:type="dxa"/>
          </w:tcPr>
          <w:p w14:paraId="0686D8CA" w14:textId="77777777" w:rsidR="00B607BD" w:rsidRPr="00A06F1E" w:rsidRDefault="00B607BD" w:rsidP="007D5F1C">
            <w:pPr>
              <w:pStyle w:val="TableTextCentered"/>
            </w:pPr>
            <w:r w:rsidRPr="00A06F1E">
              <w:t>2.5</w:t>
            </w:r>
          </w:p>
        </w:tc>
      </w:tr>
      <w:tr w:rsidR="00B607BD" w:rsidRPr="00A06F1E" w14:paraId="54F4FE5B" w14:textId="77777777">
        <w:trPr>
          <w:jc w:val="center"/>
        </w:trPr>
        <w:tc>
          <w:tcPr>
            <w:tcW w:w="3052" w:type="dxa"/>
          </w:tcPr>
          <w:p w14:paraId="2E566C17" w14:textId="77777777" w:rsidR="00B607BD" w:rsidRPr="00A06F1E" w:rsidRDefault="00B607BD" w:rsidP="007D5F1C">
            <w:pPr>
              <w:pStyle w:val="TableText"/>
            </w:pPr>
            <w:r w:rsidRPr="00A06F1E">
              <w:t>African American/Black</w:t>
            </w:r>
          </w:p>
        </w:tc>
        <w:tc>
          <w:tcPr>
            <w:tcW w:w="1254" w:type="dxa"/>
          </w:tcPr>
          <w:p w14:paraId="447D6F51" w14:textId="77777777" w:rsidR="00B607BD" w:rsidRPr="00A06F1E" w:rsidRDefault="00B607BD" w:rsidP="007D5F1C">
            <w:pPr>
              <w:pStyle w:val="TableTextCentered"/>
            </w:pPr>
            <w:r w:rsidRPr="00A06F1E">
              <w:t>0</w:t>
            </w:r>
          </w:p>
        </w:tc>
        <w:tc>
          <w:tcPr>
            <w:tcW w:w="1255" w:type="dxa"/>
          </w:tcPr>
          <w:p w14:paraId="1B2462C6" w14:textId="1C32BB8A" w:rsidR="00B607BD" w:rsidRPr="00A06F1E" w:rsidRDefault="00805266" w:rsidP="007D5F1C">
            <w:pPr>
              <w:pStyle w:val="TableTextCentered"/>
            </w:pPr>
            <w:r w:rsidRPr="00A06F1E">
              <w:t>—</w:t>
            </w:r>
          </w:p>
        </w:tc>
        <w:tc>
          <w:tcPr>
            <w:tcW w:w="1254" w:type="dxa"/>
          </w:tcPr>
          <w:p w14:paraId="5DEE126E" w14:textId="61515986" w:rsidR="00B607BD" w:rsidRPr="00A06F1E" w:rsidRDefault="00805266" w:rsidP="007D5F1C">
            <w:pPr>
              <w:pStyle w:val="TableTextCentered"/>
            </w:pPr>
            <w:r w:rsidRPr="00A06F1E">
              <w:t>—</w:t>
            </w:r>
          </w:p>
        </w:tc>
        <w:tc>
          <w:tcPr>
            <w:tcW w:w="1255" w:type="dxa"/>
          </w:tcPr>
          <w:p w14:paraId="1145F143" w14:textId="08E452F5" w:rsidR="00B607BD" w:rsidRPr="00A06F1E" w:rsidRDefault="00805266" w:rsidP="007D5F1C">
            <w:pPr>
              <w:pStyle w:val="TableTextCentered"/>
            </w:pPr>
            <w:r w:rsidRPr="00A06F1E">
              <w:t>—</w:t>
            </w:r>
          </w:p>
        </w:tc>
        <w:tc>
          <w:tcPr>
            <w:tcW w:w="1255" w:type="dxa"/>
          </w:tcPr>
          <w:p w14:paraId="43454F03" w14:textId="77777777" w:rsidR="00B607BD" w:rsidRPr="00A06F1E" w:rsidRDefault="00B607BD" w:rsidP="007D5F1C">
            <w:pPr>
              <w:pStyle w:val="TableTextCentered"/>
            </w:pPr>
            <w:r w:rsidRPr="00A06F1E">
              <w:t>5.0</w:t>
            </w:r>
          </w:p>
        </w:tc>
      </w:tr>
      <w:tr w:rsidR="00B607BD" w:rsidRPr="00A06F1E" w14:paraId="5D06BEB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5CEC1D9" w14:textId="77777777" w:rsidR="00B607BD" w:rsidRPr="00A06F1E" w:rsidRDefault="00B607BD" w:rsidP="007D5F1C">
            <w:pPr>
              <w:pStyle w:val="TableText"/>
            </w:pPr>
            <w:r w:rsidRPr="00A06F1E">
              <w:t>Asian</w:t>
            </w:r>
          </w:p>
        </w:tc>
        <w:tc>
          <w:tcPr>
            <w:tcW w:w="1254" w:type="dxa"/>
          </w:tcPr>
          <w:p w14:paraId="77EF8509" w14:textId="77777777" w:rsidR="00B607BD" w:rsidRPr="00A06F1E" w:rsidRDefault="00B607BD" w:rsidP="007D5F1C">
            <w:pPr>
              <w:pStyle w:val="TableTextCentered"/>
            </w:pPr>
            <w:r w:rsidRPr="00A06F1E">
              <w:t>0</w:t>
            </w:r>
          </w:p>
        </w:tc>
        <w:tc>
          <w:tcPr>
            <w:tcW w:w="1255" w:type="dxa"/>
          </w:tcPr>
          <w:p w14:paraId="3ACF96FE" w14:textId="3A4F3C59" w:rsidR="00B607BD" w:rsidRPr="00A06F1E" w:rsidRDefault="00805266" w:rsidP="007D5F1C">
            <w:pPr>
              <w:pStyle w:val="TableTextCentered"/>
            </w:pPr>
            <w:r w:rsidRPr="00A06F1E">
              <w:t>—</w:t>
            </w:r>
          </w:p>
        </w:tc>
        <w:tc>
          <w:tcPr>
            <w:tcW w:w="1254" w:type="dxa"/>
          </w:tcPr>
          <w:p w14:paraId="48E05754" w14:textId="0CCAF6C8" w:rsidR="00B607BD" w:rsidRPr="00A06F1E" w:rsidRDefault="00805266" w:rsidP="007D5F1C">
            <w:pPr>
              <w:pStyle w:val="TableTextCentered"/>
            </w:pPr>
            <w:r w:rsidRPr="00A06F1E">
              <w:t>—</w:t>
            </w:r>
          </w:p>
        </w:tc>
        <w:tc>
          <w:tcPr>
            <w:tcW w:w="1255" w:type="dxa"/>
          </w:tcPr>
          <w:p w14:paraId="61830F2D" w14:textId="6169FEF7" w:rsidR="00B607BD" w:rsidRPr="00A06F1E" w:rsidRDefault="00805266" w:rsidP="007D5F1C">
            <w:pPr>
              <w:pStyle w:val="TableTextCentered"/>
            </w:pPr>
            <w:r w:rsidRPr="00A06F1E">
              <w:t>—</w:t>
            </w:r>
          </w:p>
        </w:tc>
        <w:tc>
          <w:tcPr>
            <w:tcW w:w="1255" w:type="dxa"/>
          </w:tcPr>
          <w:p w14:paraId="7BEA0D22" w14:textId="77777777" w:rsidR="00B607BD" w:rsidRPr="00A06F1E" w:rsidRDefault="00B607BD" w:rsidP="007D5F1C">
            <w:pPr>
              <w:pStyle w:val="TableTextCentered"/>
            </w:pPr>
            <w:r w:rsidRPr="00A06F1E">
              <w:t>0.6</w:t>
            </w:r>
          </w:p>
        </w:tc>
      </w:tr>
      <w:tr w:rsidR="00B607BD" w:rsidRPr="00A06F1E" w14:paraId="02CBA482" w14:textId="77777777">
        <w:trPr>
          <w:jc w:val="center"/>
        </w:trPr>
        <w:tc>
          <w:tcPr>
            <w:tcW w:w="3052" w:type="dxa"/>
          </w:tcPr>
          <w:p w14:paraId="66D086B7" w14:textId="77777777" w:rsidR="00B607BD" w:rsidRPr="00A06F1E" w:rsidRDefault="00B607BD" w:rsidP="007D5F1C">
            <w:pPr>
              <w:pStyle w:val="TableText"/>
            </w:pPr>
            <w:r w:rsidRPr="00A06F1E">
              <w:t>Hispanic/Latino</w:t>
            </w:r>
          </w:p>
        </w:tc>
        <w:tc>
          <w:tcPr>
            <w:tcW w:w="1254" w:type="dxa"/>
          </w:tcPr>
          <w:p w14:paraId="68CD18CF" w14:textId="77777777" w:rsidR="00B607BD" w:rsidRPr="00A06F1E" w:rsidRDefault="00B607BD" w:rsidP="007D5F1C">
            <w:pPr>
              <w:pStyle w:val="TableTextCentered"/>
            </w:pPr>
            <w:r w:rsidRPr="00A06F1E">
              <w:t>14</w:t>
            </w:r>
          </w:p>
        </w:tc>
        <w:tc>
          <w:tcPr>
            <w:tcW w:w="1255" w:type="dxa"/>
          </w:tcPr>
          <w:p w14:paraId="1F3DA07B" w14:textId="3A673F4B" w:rsidR="00B607BD" w:rsidRPr="00A06F1E" w:rsidRDefault="00805266" w:rsidP="007D5F1C">
            <w:pPr>
              <w:pStyle w:val="TableTextCentered"/>
            </w:pPr>
            <w:r w:rsidRPr="00A06F1E">
              <w:t>—</w:t>
            </w:r>
          </w:p>
        </w:tc>
        <w:tc>
          <w:tcPr>
            <w:tcW w:w="1254" w:type="dxa"/>
          </w:tcPr>
          <w:p w14:paraId="1A425C03" w14:textId="25F3F9DD" w:rsidR="00B607BD" w:rsidRPr="00A06F1E" w:rsidRDefault="00805266" w:rsidP="007D5F1C">
            <w:pPr>
              <w:pStyle w:val="TableTextCentered"/>
            </w:pPr>
            <w:r w:rsidRPr="00A06F1E">
              <w:t>—</w:t>
            </w:r>
          </w:p>
        </w:tc>
        <w:tc>
          <w:tcPr>
            <w:tcW w:w="1255" w:type="dxa"/>
          </w:tcPr>
          <w:p w14:paraId="7ED0A3F2" w14:textId="1BC5500E" w:rsidR="00B607BD" w:rsidRPr="00A06F1E" w:rsidRDefault="00805266" w:rsidP="007D5F1C">
            <w:pPr>
              <w:pStyle w:val="TableTextCentered"/>
            </w:pPr>
            <w:r w:rsidRPr="00A06F1E">
              <w:t>—</w:t>
            </w:r>
          </w:p>
        </w:tc>
        <w:tc>
          <w:tcPr>
            <w:tcW w:w="1255" w:type="dxa"/>
          </w:tcPr>
          <w:p w14:paraId="252E7859" w14:textId="77777777" w:rsidR="00B607BD" w:rsidRPr="00A06F1E" w:rsidRDefault="00B607BD" w:rsidP="007D5F1C">
            <w:pPr>
              <w:pStyle w:val="TableTextCentered"/>
            </w:pPr>
            <w:r w:rsidRPr="00A06F1E">
              <w:t>3.9</w:t>
            </w:r>
          </w:p>
        </w:tc>
      </w:tr>
      <w:tr w:rsidR="00B607BD" w:rsidRPr="00A06F1E" w14:paraId="7E9C644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972CF37" w14:textId="77777777" w:rsidR="00B607BD" w:rsidRPr="00A06F1E" w:rsidRDefault="00B607BD" w:rsidP="007D5F1C">
            <w:pPr>
              <w:pStyle w:val="TableText"/>
            </w:pPr>
            <w:r w:rsidRPr="00A06F1E">
              <w:rPr>
                <w:rFonts w:cstheme="minorHAnsi"/>
              </w:rPr>
              <w:t>Multi-Race, non-Hispanic/Latino</w:t>
            </w:r>
          </w:p>
        </w:tc>
        <w:tc>
          <w:tcPr>
            <w:tcW w:w="1254" w:type="dxa"/>
          </w:tcPr>
          <w:p w14:paraId="24844F78" w14:textId="77777777" w:rsidR="00B607BD" w:rsidRPr="00A06F1E" w:rsidRDefault="00B607BD" w:rsidP="007D5F1C">
            <w:pPr>
              <w:pStyle w:val="TableTextCentered"/>
            </w:pPr>
            <w:r w:rsidRPr="00A06F1E">
              <w:t>4</w:t>
            </w:r>
          </w:p>
        </w:tc>
        <w:tc>
          <w:tcPr>
            <w:tcW w:w="1255" w:type="dxa"/>
          </w:tcPr>
          <w:p w14:paraId="02E97AF3" w14:textId="7B9CE879" w:rsidR="00B607BD" w:rsidRPr="00A06F1E" w:rsidRDefault="00805266" w:rsidP="007D5F1C">
            <w:pPr>
              <w:pStyle w:val="TableTextCentered"/>
            </w:pPr>
            <w:r w:rsidRPr="00A06F1E">
              <w:t>—</w:t>
            </w:r>
          </w:p>
        </w:tc>
        <w:tc>
          <w:tcPr>
            <w:tcW w:w="1254" w:type="dxa"/>
          </w:tcPr>
          <w:p w14:paraId="521E7346" w14:textId="4D8F5D6C" w:rsidR="00B607BD" w:rsidRPr="00A06F1E" w:rsidRDefault="00805266" w:rsidP="007D5F1C">
            <w:pPr>
              <w:pStyle w:val="TableTextCentered"/>
            </w:pPr>
            <w:r w:rsidRPr="00A06F1E">
              <w:t>—</w:t>
            </w:r>
          </w:p>
        </w:tc>
        <w:tc>
          <w:tcPr>
            <w:tcW w:w="1255" w:type="dxa"/>
          </w:tcPr>
          <w:p w14:paraId="75392AB5" w14:textId="0FFFCEA1" w:rsidR="00B607BD" w:rsidRPr="00A06F1E" w:rsidRDefault="00805266" w:rsidP="007D5F1C">
            <w:pPr>
              <w:pStyle w:val="TableTextCentered"/>
            </w:pPr>
            <w:r w:rsidRPr="00A06F1E">
              <w:t>—</w:t>
            </w:r>
          </w:p>
        </w:tc>
        <w:tc>
          <w:tcPr>
            <w:tcW w:w="1255" w:type="dxa"/>
          </w:tcPr>
          <w:p w14:paraId="2D285046" w14:textId="77777777" w:rsidR="00B607BD" w:rsidRPr="00A06F1E" w:rsidRDefault="00B607BD" w:rsidP="007D5F1C">
            <w:pPr>
              <w:pStyle w:val="TableTextCentered"/>
            </w:pPr>
            <w:r w:rsidRPr="00A06F1E">
              <w:t>3.0</w:t>
            </w:r>
          </w:p>
        </w:tc>
      </w:tr>
      <w:tr w:rsidR="00B607BD" w:rsidRPr="00A06F1E" w14:paraId="067C71F5" w14:textId="77777777">
        <w:trPr>
          <w:jc w:val="center"/>
        </w:trPr>
        <w:tc>
          <w:tcPr>
            <w:tcW w:w="3052" w:type="dxa"/>
          </w:tcPr>
          <w:p w14:paraId="50BF98E9" w14:textId="77777777" w:rsidR="00B607BD" w:rsidRPr="00A06F1E" w:rsidRDefault="00B607BD" w:rsidP="007D5F1C">
            <w:pPr>
              <w:pStyle w:val="TableText"/>
            </w:pPr>
            <w:r w:rsidRPr="00A06F1E">
              <w:t>Native American</w:t>
            </w:r>
          </w:p>
        </w:tc>
        <w:tc>
          <w:tcPr>
            <w:tcW w:w="1254" w:type="dxa"/>
          </w:tcPr>
          <w:p w14:paraId="615A0792" w14:textId="77777777" w:rsidR="00B607BD" w:rsidRPr="00A06F1E" w:rsidRDefault="00B607BD" w:rsidP="007D5F1C">
            <w:pPr>
              <w:pStyle w:val="TableTextCentered"/>
            </w:pPr>
            <w:r w:rsidRPr="00A06F1E">
              <w:t>0</w:t>
            </w:r>
          </w:p>
        </w:tc>
        <w:tc>
          <w:tcPr>
            <w:tcW w:w="1255" w:type="dxa"/>
          </w:tcPr>
          <w:p w14:paraId="55E15F94" w14:textId="63A6BA85" w:rsidR="00B607BD" w:rsidRPr="00A06F1E" w:rsidRDefault="00805266" w:rsidP="007D5F1C">
            <w:pPr>
              <w:pStyle w:val="TableTextCentered"/>
            </w:pPr>
            <w:r w:rsidRPr="00A06F1E">
              <w:t>—</w:t>
            </w:r>
          </w:p>
        </w:tc>
        <w:tc>
          <w:tcPr>
            <w:tcW w:w="1254" w:type="dxa"/>
          </w:tcPr>
          <w:p w14:paraId="421C8E0D" w14:textId="0E4E7DD3" w:rsidR="00B607BD" w:rsidRPr="00A06F1E" w:rsidRDefault="00805266" w:rsidP="007D5F1C">
            <w:pPr>
              <w:pStyle w:val="TableTextCentered"/>
            </w:pPr>
            <w:r w:rsidRPr="00A06F1E">
              <w:t>—</w:t>
            </w:r>
          </w:p>
        </w:tc>
        <w:tc>
          <w:tcPr>
            <w:tcW w:w="1255" w:type="dxa"/>
          </w:tcPr>
          <w:p w14:paraId="5C826808" w14:textId="743DC4A4" w:rsidR="00B607BD" w:rsidRPr="00A06F1E" w:rsidRDefault="00805266" w:rsidP="007D5F1C">
            <w:pPr>
              <w:pStyle w:val="TableTextCentered"/>
            </w:pPr>
            <w:r w:rsidRPr="00A06F1E">
              <w:t>—</w:t>
            </w:r>
          </w:p>
        </w:tc>
        <w:tc>
          <w:tcPr>
            <w:tcW w:w="1255" w:type="dxa"/>
          </w:tcPr>
          <w:p w14:paraId="11DDD68C" w14:textId="77777777" w:rsidR="00B607BD" w:rsidRPr="00A06F1E" w:rsidRDefault="00B607BD" w:rsidP="007D5F1C">
            <w:pPr>
              <w:pStyle w:val="TableTextCentered"/>
            </w:pPr>
            <w:r w:rsidRPr="00A06F1E">
              <w:t>4.1</w:t>
            </w:r>
          </w:p>
        </w:tc>
      </w:tr>
      <w:tr w:rsidR="00B607BD" w:rsidRPr="00A06F1E" w14:paraId="12B817A1"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F2C8736" w14:textId="77777777" w:rsidR="00B607BD" w:rsidRPr="00A06F1E" w:rsidRDefault="00B607BD" w:rsidP="007D5F1C">
            <w:pPr>
              <w:pStyle w:val="TableText"/>
            </w:pPr>
            <w:r w:rsidRPr="00A06F1E">
              <w:rPr>
                <w:rFonts w:eastAsia="Times New Roman"/>
                <w:spacing w:val="-4"/>
              </w:rPr>
              <w:t>Native Hawaiian, Pacific Islander</w:t>
            </w:r>
          </w:p>
        </w:tc>
        <w:tc>
          <w:tcPr>
            <w:tcW w:w="1254" w:type="dxa"/>
          </w:tcPr>
          <w:p w14:paraId="1A4C2033" w14:textId="77777777" w:rsidR="00B607BD" w:rsidRPr="00A06F1E" w:rsidRDefault="00B607BD" w:rsidP="007D5F1C">
            <w:pPr>
              <w:pStyle w:val="TableTextCentered"/>
            </w:pPr>
            <w:r w:rsidRPr="00A06F1E">
              <w:t>0</w:t>
            </w:r>
          </w:p>
        </w:tc>
        <w:tc>
          <w:tcPr>
            <w:tcW w:w="1255" w:type="dxa"/>
          </w:tcPr>
          <w:p w14:paraId="757C087C" w14:textId="00ADC23D" w:rsidR="00B607BD" w:rsidRPr="00A06F1E" w:rsidRDefault="00805266" w:rsidP="007D5F1C">
            <w:pPr>
              <w:pStyle w:val="TableTextCentered"/>
            </w:pPr>
            <w:r w:rsidRPr="00A06F1E">
              <w:t>—</w:t>
            </w:r>
          </w:p>
        </w:tc>
        <w:tc>
          <w:tcPr>
            <w:tcW w:w="1254" w:type="dxa"/>
          </w:tcPr>
          <w:p w14:paraId="325E7396" w14:textId="25015EFA" w:rsidR="00B607BD" w:rsidRPr="00A06F1E" w:rsidRDefault="00805266" w:rsidP="007D5F1C">
            <w:pPr>
              <w:pStyle w:val="TableTextCentered"/>
            </w:pPr>
            <w:r w:rsidRPr="00A06F1E">
              <w:t>—</w:t>
            </w:r>
          </w:p>
        </w:tc>
        <w:tc>
          <w:tcPr>
            <w:tcW w:w="1255" w:type="dxa"/>
          </w:tcPr>
          <w:p w14:paraId="6C8502C1" w14:textId="40A554DE" w:rsidR="00B607BD" w:rsidRPr="00A06F1E" w:rsidRDefault="00805266" w:rsidP="007D5F1C">
            <w:pPr>
              <w:pStyle w:val="TableTextCentered"/>
            </w:pPr>
            <w:r w:rsidRPr="00A06F1E">
              <w:t>—</w:t>
            </w:r>
          </w:p>
        </w:tc>
        <w:tc>
          <w:tcPr>
            <w:tcW w:w="1255" w:type="dxa"/>
          </w:tcPr>
          <w:p w14:paraId="45C787F8" w14:textId="77777777" w:rsidR="00B607BD" w:rsidRPr="00A06F1E" w:rsidRDefault="00B607BD" w:rsidP="007D5F1C">
            <w:pPr>
              <w:pStyle w:val="TableTextCentered"/>
            </w:pPr>
            <w:r w:rsidRPr="00A06F1E">
              <w:t>3.1</w:t>
            </w:r>
          </w:p>
        </w:tc>
      </w:tr>
      <w:tr w:rsidR="00B607BD" w:rsidRPr="00A06F1E" w14:paraId="72F8BF3D" w14:textId="77777777">
        <w:trPr>
          <w:jc w:val="center"/>
        </w:trPr>
        <w:tc>
          <w:tcPr>
            <w:tcW w:w="3052" w:type="dxa"/>
          </w:tcPr>
          <w:p w14:paraId="3B6F297F" w14:textId="77777777" w:rsidR="00B607BD" w:rsidRPr="00A06F1E" w:rsidRDefault="00B607BD" w:rsidP="007D5F1C">
            <w:pPr>
              <w:pStyle w:val="TableText"/>
            </w:pPr>
            <w:r w:rsidRPr="00A06F1E">
              <w:t>White</w:t>
            </w:r>
          </w:p>
        </w:tc>
        <w:tc>
          <w:tcPr>
            <w:tcW w:w="1254" w:type="dxa"/>
          </w:tcPr>
          <w:p w14:paraId="3297B4D8" w14:textId="77777777" w:rsidR="00B607BD" w:rsidRPr="00A06F1E" w:rsidRDefault="00B607BD" w:rsidP="007D5F1C">
            <w:pPr>
              <w:pStyle w:val="TableTextCentered"/>
            </w:pPr>
            <w:r w:rsidRPr="00A06F1E">
              <w:t>109</w:t>
            </w:r>
          </w:p>
        </w:tc>
        <w:tc>
          <w:tcPr>
            <w:tcW w:w="1255" w:type="dxa"/>
          </w:tcPr>
          <w:p w14:paraId="010195CB" w14:textId="21B5A8E5" w:rsidR="00B607BD" w:rsidRPr="00A06F1E" w:rsidRDefault="00805266" w:rsidP="007D5F1C">
            <w:pPr>
              <w:pStyle w:val="TableTextCentered"/>
            </w:pPr>
            <w:r w:rsidRPr="00A06F1E">
              <w:t>—</w:t>
            </w:r>
          </w:p>
        </w:tc>
        <w:tc>
          <w:tcPr>
            <w:tcW w:w="1254" w:type="dxa"/>
          </w:tcPr>
          <w:p w14:paraId="34DC3FA0" w14:textId="511D2C10" w:rsidR="00B607BD" w:rsidRPr="00A06F1E" w:rsidRDefault="00805266" w:rsidP="007D5F1C">
            <w:pPr>
              <w:pStyle w:val="TableTextCentered"/>
            </w:pPr>
            <w:r w:rsidRPr="00A06F1E">
              <w:t>—</w:t>
            </w:r>
          </w:p>
        </w:tc>
        <w:tc>
          <w:tcPr>
            <w:tcW w:w="1255" w:type="dxa"/>
          </w:tcPr>
          <w:p w14:paraId="00819D6B" w14:textId="6730379A" w:rsidR="00B607BD" w:rsidRPr="00A06F1E" w:rsidRDefault="00805266" w:rsidP="007D5F1C">
            <w:pPr>
              <w:pStyle w:val="TableTextCentered"/>
            </w:pPr>
            <w:r w:rsidRPr="00A06F1E">
              <w:t>—</w:t>
            </w:r>
          </w:p>
        </w:tc>
        <w:tc>
          <w:tcPr>
            <w:tcW w:w="1255" w:type="dxa"/>
          </w:tcPr>
          <w:p w14:paraId="0780CB02" w14:textId="77777777" w:rsidR="00B607BD" w:rsidRPr="00A06F1E" w:rsidRDefault="00B607BD" w:rsidP="007D5F1C">
            <w:pPr>
              <w:pStyle w:val="TableTextCentered"/>
            </w:pPr>
            <w:r w:rsidRPr="00A06F1E">
              <w:t>1.6</w:t>
            </w:r>
          </w:p>
        </w:tc>
      </w:tr>
      <w:tr w:rsidR="00B607BD" w:rsidRPr="00A06F1E" w14:paraId="3C9E7CA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BCD7B00" w14:textId="77777777" w:rsidR="00B607BD" w:rsidRPr="00A06F1E" w:rsidRDefault="00B607BD" w:rsidP="007D5F1C">
            <w:pPr>
              <w:pStyle w:val="TableText"/>
            </w:pPr>
            <w:r w:rsidRPr="00A06F1E">
              <w:t>High needs</w:t>
            </w:r>
          </w:p>
        </w:tc>
        <w:tc>
          <w:tcPr>
            <w:tcW w:w="1254" w:type="dxa"/>
          </w:tcPr>
          <w:p w14:paraId="24F481F3" w14:textId="77777777" w:rsidR="00B607BD" w:rsidRPr="00A06F1E" w:rsidRDefault="00B607BD" w:rsidP="007D5F1C">
            <w:pPr>
              <w:pStyle w:val="TableTextCentered"/>
            </w:pPr>
            <w:r w:rsidRPr="00A06F1E">
              <w:t>56</w:t>
            </w:r>
          </w:p>
        </w:tc>
        <w:tc>
          <w:tcPr>
            <w:tcW w:w="1255" w:type="dxa"/>
          </w:tcPr>
          <w:p w14:paraId="5329FDAD" w14:textId="3FD20E53" w:rsidR="00B607BD" w:rsidRPr="00A06F1E" w:rsidRDefault="00805266" w:rsidP="007D5F1C">
            <w:pPr>
              <w:pStyle w:val="TableTextCentered"/>
            </w:pPr>
            <w:r w:rsidRPr="00A06F1E">
              <w:t>—</w:t>
            </w:r>
          </w:p>
        </w:tc>
        <w:tc>
          <w:tcPr>
            <w:tcW w:w="1254" w:type="dxa"/>
          </w:tcPr>
          <w:p w14:paraId="0CF5AABF" w14:textId="787C57E5" w:rsidR="00B607BD" w:rsidRPr="00A06F1E" w:rsidRDefault="00805266" w:rsidP="007D5F1C">
            <w:pPr>
              <w:pStyle w:val="TableTextCentered"/>
            </w:pPr>
            <w:r w:rsidRPr="00A06F1E">
              <w:t>—</w:t>
            </w:r>
          </w:p>
        </w:tc>
        <w:tc>
          <w:tcPr>
            <w:tcW w:w="1255" w:type="dxa"/>
          </w:tcPr>
          <w:p w14:paraId="47A40D25" w14:textId="5544F2E9" w:rsidR="00B607BD" w:rsidRPr="00A06F1E" w:rsidRDefault="00805266" w:rsidP="007D5F1C">
            <w:pPr>
              <w:pStyle w:val="TableTextCentered"/>
            </w:pPr>
            <w:r w:rsidRPr="00A06F1E">
              <w:t>—</w:t>
            </w:r>
          </w:p>
        </w:tc>
        <w:tc>
          <w:tcPr>
            <w:tcW w:w="1255" w:type="dxa"/>
          </w:tcPr>
          <w:p w14:paraId="7B992146" w14:textId="77777777" w:rsidR="00B607BD" w:rsidRPr="00A06F1E" w:rsidRDefault="00B607BD" w:rsidP="007D5F1C">
            <w:pPr>
              <w:pStyle w:val="TableTextCentered"/>
            </w:pPr>
            <w:r w:rsidRPr="00A06F1E">
              <w:t>3.8</w:t>
            </w:r>
          </w:p>
        </w:tc>
      </w:tr>
      <w:tr w:rsidR="00B607BD" w:rsidRPr="00A06F1E" w14:paraId="5E9BD7CC" w14:textId="77777777">
        <w:trPr>
          <w:jc w:val="center"/>
        </w:trPr>
        <w:tc>
          <w:tcPr>
            <w:tcW w:w="3052" w:type="dxa"/>
          </w:tcPr>
          <w:p w14:paraId="2721072F" w14:textId="77777777" w:rsidR="00B607BD" w:rsidRPr="00A06F1E" w:rsidRDefault="00B607BD" w:rsidP="007D5F1C">
            <w:pPr>
              <w:pStyle w:val="TableText"/>
            </w:pPr>
            <w:r w:rsidRPr="00A06F1E">
              <w:t>Low income</w:t>
            </w:r>
          </w:p>
        </w:tc>
        <w:tc>
          <w:tcPr>
            <w:tcW w:w="1254" w:type="dxa"/>
          </w:tcPr>
          <w:p w14:paraId="391D5ADC" w14:textId="77777777" w:rsidR="00B607BD" w:rsidRPr="00A06F1E" w:rsidRDefault="00B607BD" w:rsidP="007D5F1C">
            <w:pPr>
              <w:pStyle w:val="TableTextCentered"/>
            </w:pPr>
            <w:r w:rsidRPr="00A06F1E">
              <w:t>43</w:t>
            </w:r>
          </w:p>
        </w:tc>
        <w:tc>
          <w:tcPr>
            <w:tcW w:w="1255" w:type="dxa"/>
          </w:tcPr>
          <w:p w14:paraId="36337A05" w14:textId="5127C543" w:rsidR="00B607BD" w:rsidRPr="00A06F1E" w:rsidRDefault="00805266" w:rsidP="007D5F1C">
            <w:pPr>
              <w:pStyle w:val="TableTextCentered"/>
            </w:pPr>
            <w:r w:rsidRPr="00A06F1E">
              <w:t>—</w:t>
            </w:r>
          </w:p>
        </w:tc>
        <w:tc>
          <w:tcPr>
            <w:tcW w:w="1254" w:type="dxa"/>
          </w:tcPr>
          <w:p w14:paraId="6FDCF252" w14:textId="7DC77566" w:rsidR="00B607BD" w:rsidRPr="00A06F1E" w:rsidRDefault="00805266" w:rsidP="007D5F1C">
            <w:pPr>
              <w:pStyle w:val="TableTextCentered"/>
            </w:pPr>
            <w:r w:rsidRPr="00A06F1E">
              <w:t>—</w:t>
            </w:r>
          </w:p>
        </w:tc>
        <w:tc>
          <w:tcPr>
            <w:tcW w:w="1255" w:type="dxa"/>
          </w:tcPr>
          <w:p w14:paraId="0A493232" w14:textId="67EFD6FE" w:rsidR="00B607BD" w:rsidRPr="00A06F1E" w:rsidRDefault="00805266" w:rsidP="007D5F1C">
            <w:pPr>
              <w:pStyle w:val="TableTextCentered"/>
            </w:pPr>
            <w:r w:rsidRPr="00A06F1E">
              <w:t>—</w:t>
            </w:r>
          </w:p>
        </w:tc>
        <w:tc>
          <w:tcPr>
            <w:tcW w:w="1255" w:type="dxa"/>
          </w:tcPr>
          <w:p w14:paraId="35176C20" w14:textId="77777777" w:rsidR="00B607BD" w:rsidRPr="00A06F1E" w:rsidRDefault="00B607BD" w:rsidP="007D5F1C">
            <w:pPr>
              <w:pStyle w:val="TableTextCentered"/>
            </w:pPr>
            <w:r w:rsidRPr="00A06F1E">
              <w:t>4.3</w:t>
            </w:r>
          </w:p>
        </w:tc>
      </w:tr>
      <w:tr w:rsidR="00B607BD" w:rsidRPr="00A06F1E" w14:paraId="2EE74217"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BB29496" w14:textId="00A4ED30" w:rsidR="00B607BD" w:rsidRPr="00A06F1E" w:rsidRDefault="004040D2" w:rsidP="007D5F1C">
            <w:pPr>
              <w:pStyle w:val="TableText"/>
            </w:pPr>
            <w:r w:rsidRPr="00A06F1E">
              <w:rPr>
                <w:spacing w:val="-4"/>
              </w:rPr>
              <w:t>E</w:t>
            </w:r>
            <w:r>
              <w:rPr>
                <w:spacing w:val="-4"/>
              </w:rPr>
              <w:t>nglish learners</w:t>
            </w:r>
          </w:p>
        </w:tc>
        <w:tc>
          <w:tcPr>
            <w:tcW w:w="1254" w:type="dxa"/>
          </w:tcPr>
          <w:p w14:paraId="2CFB126A" w14:textId="77777777" w:rsidR="00B607BD" w:rsidRPr="00A06F1E" w:rsidRDefault="00B607BD" w:rsidP="007D5F1C">
            <w:pPr>
              <w:pStyle w:val="TableTextCentered"/>
            </w:pPr>
            <w:r w:rsidRPr="00A06F1E">
              <w:t>2</w:t>
            </w:r>
          </w:p>
        </w:tc>
        <w:tc>
          <w:tcPr>
            <w:tcW w:w="1255" w:type="dxa"/>
          </w:tcPr>
          <w:p w14:paraId="36FE30C5" w14:textId="657045FA" w:rsidR="00B607BD" w:rsidRPr="00A06F1E" w:rsidRDefault="00805266" w:rsidP="007D5F1C">
            <w:pPr>
              <w:pStyle w:val="TableTextCentered"/>
            </w:pPr>
            <w:r w:rsidRPr="00A06F1E">
              <w:t>—</w:t>
            </w:r>
          </w:p>
        </w:tc>
        <w:tc>
          <w:tcPr>
            <w:tcW w:w="1254" w:type="dxa"/>
          </w:tcPr>
          <w:p w14:paraId="50A1BB40" w14:textId="1F396B41" w:rsidR="00B607BD" w:rsidRPr="00A06F1E" w:rsidRDefault="00805266" w:rsidP="007D5F1C">
            <w:pPr>
              <w:pStyle w:val="TableTextCentered"/>
            </w:pPr>
            <w:r w:rsidRPr="00A06F1E">
              <w:t>—</w:t>
            </w:r>
          </w:p>
        </w:tc>
        <w:tc>
          <w:tcPr>
            <w:tcW w:w="1255" w:type="dxa"/>
          </w:tcPr>
          <w:p w14:paraId="67995D3D" w14:textId="78D45182" w:rsidR="00B607BD" w:rsidRPr="00A06F1E" w:rsidRDefault="00805266" w:rsidP="007D5F1C">
            <w:pPr>
              <w:pStyle w:val="TableTextCentered"/>
            </w:pPr>
            <w:r w:rsidRPr="00A06F1E">
              <w:t>—</w:t>
            </w:r>
          </w:p>
        </w:tc>
        <w:tc>
          <w:tcPr>
            <w:tcW w:w="1255" w:type="dxa"/>
          </w:tcPr>
          <w:p w14:paraId="019AE8F2" w14:textId="77777777" w:rsidR="00B607BD" w:rsidRPr="00A06F1E" w:rsidRDefault="00B607BD" w:rsidP="007D5F1C">
            <w:pPr>
              <w:pStyle w:val="TableTextCentered"/>
            </w:pPr>
            <w:r w:rsidRPr="00A06F1E">
              <w:t>2.7</w:t>
            </w:r>
          </w:p>
        </w:tc>
      </w:tr>
      <w:tr w:rsidR="00B607BD" w:rsidRPr="00A06F1E" w14:paraId="46EF0609" w14:textId="77777777">
        <w:trPr>
          <w:jc w:val="center"/>
        </w:trPr>
        <w:tc>
          <w:tcPr>
            <w:tcW w:w="3052" w:type="dxa"/>
          </w:tcPr>
          <w:p w14:paraId="78DF2C58" w14:textId="77777777" w:rsidR="00B607BD" w:rsidRPr="00A06F1E" w:rsidRDefault="00B607BD" w:rsidP="007D5F1C">
            <w:pPr>
              <w:pStyle w:val="TableText"/>
            </w:pPr>
            <w:r w:rsidRPr="00A06F1E">
              <w:t>Students w/disabilities</w:t>
            </w:r>
          </w:p>
        </w:tc>
        <w:tc>
          <w:tcPr>
            <w:tcW w:w="1254" w:type="dxa"/>
          </w:tcPr>
          <w:p w14:paraId="24B515F5" w14:textId="77777777" w:rsidR="00B607BD" w:rsidRPr="00A06F1E" w:rsidRDefault="00B607BD" w:rsidP="007D5F1C">
            <w:pPr>
              <w:pStyle w:val="TableTextCentered"/>
            </w:pPr>
            <w:r w:rsidRPr="00A06F1E">
              <w:t>23</w:t>
            </w:r>
          </w:p>
        </w:tc>
        <w:tc>
          <w:tcPr>
            <w:tcW w:w="1255" w:type="dxa"/>
          </w:tcPr>
          <w:p w14:paraId="52181C1D" w14:textId="0447F193" w:rsidR="00B607BD" w:rsidRPr="00A06F1E" w:rsidRDefault="00805266" w:rsidP="007D5F1C">
            <w:pPr>
              <w:pStyle w:val="TableTextCentered"/>
            </w:pPr>
            <w:r w:rsidRPr="00A06F1E">
              <w:t>—</w:t>
            </w:r>
          </w:p>
        </w:tc>
        <w:tc>
          <w:tcPr>
            <w:tcW w:w="1254" w:type="dxa"/>
          </w:tcPr>
          <w:p w14:paraId="01FB62A6" w14:textId="570B45EE" w:rsidR="00B607BD" w:rsidRPr="00A06F1E" w:rsidRDefault="00805266" w:rsidP="007D5F1C">
            <w:pPr>
              <w:pStyle w:val="TableTextCentered"/>
            </w:pPr>
            <w:r w:rsidRPr="00A06F1E">
              <w:t>—</w:t>
            </w:r>
          </w:p>
        </w:tc>
        <w:tc>
          <w:tcPr>
            <w:tcW w:w="1255" w:type="dxa"/>
          </w:tcPr>
          <w:p w14:paraId="2404332D" w14:textId="668697C5" w:rsidR="00B607BD" w:rsidRPr="00A06F1E" w:rsidRDefault="00805266" w:rsidP="007D5F1C">
            <w:pPr>
              <w:pStyle w:val="TableTextCentered"/>
            </w:pPr>
            <w:r w:rsidRPr="00A06F1E">
              <w:t>—</w:t>
            </w:r>
          </w:p>
        </w:tc>
        <w:tc>
          <w:tcPr>
            <w:tcW w:w="1255" w:type="dxa"/>
          </w:tcPr>
          <w:p w14:paraId="502C1A05" w14:textId="77777777" w:rsidR="00B607BD" w:rsidRPr="00A06F1E" w:rsidRDefault="00B607BD" w:rsidP="007D5F1C">
            <w:pPr>
              <w:pStyle w:val="TableTextCentered"/>
            </w:pPr>
            <w:r w:rsidRPr="00A06F1E">
              <w:t>4.7</w:t>
            </w:r>
          </w:p>
        </w:tc>
      </w:tr>
    </w:tbl>
    <w:p w14:paraId="5AC76767" w14:textId="77777777" w:rsidR="00B607BD" w:rsidRPr="00A06F1E" w:rsidRDefault="00B607BD" w:rsidP="00B607BD">
      <w:pPr>
        <w:spacing w:line="240" w:lineRule="auto"/>
        <w:rPr>
          <w:rFonts w:ascii="Franklin Gothic Book" w:hAnsi="Franklin Gothic Book"/>
          <w:sz w:val="16"/>
          <w:szCs w:val="16"/>
        </w:rPr>
      </w:pPr>
    </w:p>
    <w:p w14:paraId="42373092" w14:textId="77777777" w:rsidR="007D5F1C" w:rsidRPr="00A06F1E" w:rsidRDefault="007D5F1C">
      <w:pPr>
        <w:spacing w:line="240" w:lineRule="auto"/>
        <w:rPr>
          <w:rFonts w:ascii="Franklin Gothic Demi" w:hAnsi="Franklin Gothic Demi"/>
        </w:rPr>
      </w:pPr>
      <w:r w:rsidRPr="00A06F1E">
        <w:br w:type="page"/>
      </w:r>
    </w:p>
    <w:p w14:paraId="2ED6B5FB" w14:textId="1B29A616" w:rsidR="00B607BD" w:rsidRPr="00A06F1E" w:rsidRDefault="00B607BD" w:rsidP="00B7722D">
      <w:pPr>
        <w:pStyle w:val="TabletitleSectionE"/>
      </w:pPr>
      <w:bookmarkStart w:id="332" w:name="_Toc170701990"/>
      <w:bookmarkStart w:id="333" w:name="_Toc171685827"/>
      <w:r w:rsidRPr="00A06F1E">
        <w:lastRenderedPageBreak/>
        <w:t>Table E20</w:t>
      </w:r>
      <w:r w:rsidR="00472928">
        <w:t>c</w:t>
      </w:r>
      <w:r w:rsidR="00A228CB" w:rsidRPr="00A06F1E">
        <w:t>. Mahar Regional</w:t>
      </w:r>
      <w:r w:rsidR="00F3532E" w:rsidRPr="00A06F1E">
        <w:t>:</w:t>
      </w:r>
      <w:r w:rsidRPr="00A06F1E">
        <w:t xml:space="preserve"> Out-of-School Suspension Rates by Student Group, 2021-2023</w:t>
      </w:r>
      <w:bookmarkEnd w:id="332"/>
      <w:bookmarkEnd w:id="333"/>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B607BD" w:rsidRPr="00A06F1E" w14:paraId="4122B1D5"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7E1036AC" w14:textId="77777777" w:rsidR="00B607BD" w:rsidRPr="00A06F1E" w:rsidRDefault="00B607BD" w:rsidP="007D5F1C">
            <w:pPr>
              <w:pStyle w:val="TableColHeadingCenter"/>
            </w:pPr>
            <w:r w:rsidRPr="00A06F1E">
              <w:t>Group</w:t>
            </w:r>
          </w:p>
        </w:tc>
        <w:tc>
          <w:tcPr>
            <w:tcW w:w="1254" w:type="dxa"/>
            <w:vAlign w:val="center"/>
          </w:tcPr>
          <w:p w14:paraId="4F0E522E" w14:textId="12BFA4CC" w:rsidR="00B607BD" w:rsidRPr="00A06F1E" w:rsidRDefault="00B607BD" w:rsidP="007D5F1C">
            <w:pPr>
              <w:pStyle w:val="TableColHeadingCenter"/>
            </w:pPr>
            <w:r w:rsidRPr="00A06F1E">
              <w:t xml:space="preserve"># </w:t>
            </w:r>
            <w:r w:rsidR="00FF1146" w:rsidRPr="00A06F1E">
              <w:t>included</w:t>
            </w:r>
            <w:r w:rsidRPr="00A06F1E">
              <w:t xml:space="preserve"> (2023)</w:t>
            </w:r>
          </w:p>
        </w:tc>
        <w:tc>
          <w:tcPr>
            <w:tcW w:w="1255" w:type="dxa"/>
            <w:vAlign w:val="center"/>
          </w:tcPr>
          <w:p w14:paraId="7373858D" w14:textId="77777777" w:rsidR="00B607BD" w:rsidRPr="00A06F1E" w:rsidRDefault="00B607BD" w:rsidP="007D5F1C">
            <w:pPr>
              <w:pStyle w:val="TableColHeadingCenter"/>
            </w:pPr>
            <w:r w:rsidRPr="00A06F1E">
              <w:t>2021</w:t>
            </w:r>
          </w:p>
        </w:tc>
        <w:tc>
          <w:tcPr>
            <w:tcW w:w="1254" w:type="dxa"/>
            <w:vAlign w:val="center"/>
          </w:tcPr>
          <w:p w14:paraId="31D76012" w14:textId="77777777" w:rsidR="00B607BD" w:rsidRPr="00A06F1E" w:rsidRDefault="00B607BD" w:rsidP="007D5F1C">
            <w:pPr>
              <w:pStyle w:val="TableColHeadingCenter"/>
            </w:pPr>
            <w:r w:rsidRPr="00A06F1E">
              <w:t>2022</w:t>
            </w:r>
          </w:p>
        </w:tc>
        <w:tc>
          <w:tcPr>
            <w:tcW w:w="1255" w:type="dxa"/>
            <w:vAlign w:val="center"/>
          </w:tcPr>
          <w:p w14:paraId="2E8D511B" w14:textId="77777777" w:rsidR="00B607BD" w:rsidRPr="00A06F1E" w:rsidRDefault="00B607BD" w:rsidP="007D5F1C">
            <w:pPr>
              <w:pStyle w:val="TableColHeadingCenter"/>
            </w:pPr>
            <w:r w:rsidRPr="00A06F1E">
              <w:t>2023</w:t>
            </w:r>
          </w:p>
        </w:tc>
        <w:tc>
          <w:tcPr>
            <w:tcW w:w="1255" w:type="dxa"/>
            <w:vAlign w:val="center"/>
          </w:tcPr>
          <w:p w14:paraId="7E6D45FB" w14:textId="77777777" w:rsidR="00B607BD" w:rsidRPr="00A06F1E" w:rsidRDefault="00B607BD" w:rsidP="007D5F1C">
            <w:pPr>
              <w:pStyle w:val="TableColHeadingCenter"/>
            </w:pPr>
            <w:r w:rsidRPr="00A06F1E">
              <w:t>State (2023)</w:t>
            </w:r>
          </w:p>
        </w:tc>
      </w:tr>
      <w:tr w:rsidR="00B607BD" w:rsidRPr="00A06F1E" w14:paraId="6D4B2B5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B0D17C3" w14:textId="77777777" w:rsidR="00B607BD" w:rsidRPr="00A06F1E" w:rsidRDefault="00B607BD" w:rsidP="007D5F1C">
            <w:pPr>
              <w:pStyle w:val="TableText"/>
            </w:pPr>
            <w:r w:rsidRPr="00A06F1E">
              <w:t>All</w:t>
            </w:r>
          </w:p>
        </w:tc>
        <w:tc>
          <w:tcPr>
            <w:tcW w:w="1254" w:type="dxa"/>
          </w:tcPr>
          <w:p w14:paraId="70557671" w14:textId="77777777" w:rsidR="00B607BD" w:rsidRPr="00A06F1E" w:rsidRDefault="00B607BD" w:rsidP="007D5F1C">
            <w:pPr>
              <w:pStyle w:val="TableTextCentered"/>
            </w:pPr>
            <w:r w:rsidRPr="00A06F1E">
              <w:t>545</w:t>
            </w:r>
          </w:p>
        </w:tc>
        <w:tc>
          <w:tcPr>
            <w:tcW w:w="1255" w:type="dxa"/>
          </w:tcPr>
          <w:p w14:paraId="19ADCEC1" w14:textId="5D21F0BD" w:rsidR="00B607BD" w:rsidRPr="00A06F1E" w:rsidRDefault="00805266" w:rsidP="007D5F1C">
            <w:pPr>
              <w:pStyle w:val="TableTextCentered"/>
            </w:pPr>
            <w:r w:rsidRPr="00A06F1E">
              <w:t>—</w:t>
            </w:r>
          </w:p>
        </w:tc>
        <w:tc>
          <w:tcPr>
            <w:tcW w:w="1254" w:type="dxa"/>
          </w:tcPr>
          <w:p w14:paraId="3BE185C6" w14:textId="77777777" w:rsidR="00B607BD" w:rsidRPr="00A06F1E" w:rsidRDefault="00B607BD" w:rsidP="007D5F1C">
            <w:pPr>
              <w:pStyle w:val="TableTextCentered"/>
            </w:pPr>
            <w:r w:rsidRPr="00A06F1E">
              <w:t>10.2</w:t>
            </w:r>
          </w:p>
        </w:tc>
        <w:tc>
          <w:tcPr>
            <w:tcW w:w="1255" w:type="dxa"/>
          </w:tcPr>
          <w:p w14:paraId="55D5D798" w14:textId="77777777" w:rsidR="00B607BD" w:rsidRPr="00A06F1E" w:rsidRDefault="00B607BD" w:rsidP="007D5F1C">
            <w:pPr>
              <w:pStyle w:val="TableTextCentered"/>
            </w:pPr>
            <w:r w:rsidRPr="00A06F1E">
              <w:t>9.7</w:t>
            </w:r>
          </w:p>
        </w:tc>
        <w:tc>
          <w:tcPr>
            <w:tcW w:w="1255" w:type="dxa"/>
          </w:tcPr>
          <w:p w14:paraId="07BCB3D2" w14:textId="77777777" w:rsidR="00B607BD" w:rsidRPr="00A06F1E" w:rsidRDefault="00B607BD" w:rsidP="007D5F1C">
            <w:pPr>
              <w:pStyle w:val="TableTextCentered"/>
            </w:pPr>
            <w:r w:rsidRPr="00A06F1E">
              <w:t>2.5</w:t>
            </w:r>
          </w:p>
        </w:tc>
      </w:tr>
      <w:tr w:rsidR="00B607BD" w:rsidRPr="00A06F1E" w14:paraId="7049E24D" w14:textId="77777777">
        <w:trPr>
          <w:jc w:val="center"/>
        </w:trPr>
        <w:tc>
          <w:tcPr>
            <w:tcW w:w="3052" w:type="dxa"/>
          </w:tcPr>
          <w:p w14:paraId="77CAC7AD" w14:textId="77777777" w:rsidR="00B607BD" w:rsidRPr="00A06F1E" w:rsidRDefault="00B607BD" w:rsidP="007D5F1C">
            <w:pPr>
              <w:pStyle w:val="TableText"/>
            </w:pPr>
            <w:r w:rsidRPr="00A06F1E">
              <w:t>African American/Black</w:t>
            </w:r>
          </w:p>
        </w:tc>
        <w:tc>
          <w:tcPr>
            <w:tcW w:w="1254" w:type="dxa"/>
          </w:tcPr>
          <w:p w14:paraId="395B29AA" w14:textId="77777777" w:rsidR="00B607BD" w:rsidRPr="00A06F1E" w:rsidRDefault="00B607BD" w:rsidP="007D5F1C">
            <w:pPr>
              <w:pStyle w:val="TableTextCentered"/>
            </w:pPr>
            <w:r w:rsidRPr="00A06F1E">
              <w:t>10</w:t>
            </w:r>
          </w:p>
        </w:tc>
        <w:tc>
          <w:tcPr>
            <w:tcW w:w="1255" w:type="dxa"/>
          </w:tcPr>
          <w:p w14:paraId="795A354C" w14:textId="7A1D5933" w:rsidR="00B607BD" w:rsidRPr="00A06F1E" w:rsidRDefault="00805266" w:rsidP="007D5F1C">
            <w:pPr>
              <w:pStyle w:val="TableTextCentered"/>
            </w:pPr>
            <w:r w:rsidRPr="00A06F1E">
              <w:t>—</w:t>
            </w:r>
          </w:p>
        </w:tc>
        <w:tc>
          <w:tcPr>
            <w:tcW w:w="1254" w:type="dxa"/>
          </w:tcPr>
          <w:p w14:paraId="14BB9CF2" w14:textId="52F3F1DD" w:rsidR="00B607BD" w:rsidRPr="00A06F1E" w:rsidRDefault="00805266" w:rsidP="007D5F1C">
            <w:pPr>
              <w:pStyle w:val="TableTextCentered"/>
            </w:pPr>
            <w:r w:rsidRPr="00A06F1E">
              <w:t>—</w:t>
            </w:r>
          </w:p>
        </w:tc>
        <w:tc>
          <w:tcPr>
            <w:tcW w:w="1255" w:type="dxa"/>
          </w:tcPr>
          <w:p w14:paraId="7C80BEF6" w14:textId="73927A55" w:rsidR="00B607BD" w:rsidRPr="00A06F1E" w:rsidRDefault="00805266" w:rsidP="007D5F1C">
            <w:pPr>
              <w:pStyle w:val="TableTextCentered"/>
            </w:pPr>
            <w:r w:rsidRPr="00A06F1E">
              <w:t>—</w:t>
            </w:r>
          </w:p>
        </w:tc>
        <w:tc>
          <w:tcPr>
            <w:tcW w:w="1255" w:type="dxa"/>
          </w:tcPr>
          <w:p w14:paraId="722AD568" w14:textId="77777777" w:rsidR="00B607BD" w:rsidRPr="00A06F1E" w:rsidRDefault="00B607BD" w:rsidP="007D5F1C">
            <w:pPr>
              <w:pStyle w:val="TableTextCentered"/>
            </w:pPr>
            <w:r w:rsidRPr="00A06F1E">
              <w:t>5.0</w:t>
            </w:r>
          </w:p>
        </w:tc>
      </w:tr>
      <w:tr w:rsidR="00B607BD" w:rsidRPr="00A06F1E" w14:paraId="13CDC871"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D7B96FC" w14:textId="77777777" w:rsidR="00B607BD" w:rsidRPr="00A06F1E" w:rsidRDefault="00B607BD" w:rsidP="007D5F1C">
            <w:pPr>
              <w:pStyle w:val="TableText"/>
            </w:pPr>
            <w:r w:rsidRPr="00A06F1E">
              <w:t>Asian</w:t>
            </w:r>
          </w:p>
        </w:tc>
        <w:tc>
          <w:tcPr>
            <w:tcW w:w="1254" w:type="dxa"/>
          </w:tcPr>
          <w:p w14:paraId="695C3ADB" w14:textId="77777777" w:rsidR="00B607BD" w:rsidRPr="00A06F1E" w:rsidRDefault="00B607BD" w:rsidP="007D5F1C">
            <w:pPr>
              <w:pStyle w:val="TableTextCentered"/>
            </w:pPr>
            <w:r w:rsidRPr="00A06F1E">
              <w:t>6</w:t>
            </w:r>
          </w:p>
        </w:tc>
        <w:tc>
          <w:tcPr>
            <w:tcW w:w="1255" w:type="dxa"/>
          </w:tcPr>
          <w:p w14:paraId="124AC053" w14:textId="556C00EB" w:rsidR="00B607BD" w:rsidRPr="00A06F1E" w:rsidRDefault="00805266" w:rsidP="007D5F1C">
            <w:pPr>
              <w:pStyle w:val="TableTextCentered"/>
            </w:pPr>
            <w:r w:rsidRPr="00A06F1E">
              <w:t>—</w:t>
            </w:r>
          </w:p>
        </w:tc>
        <w:tc>
          <w:tcPr>
            <w:tcW w:w="1254" w:type="dxa"/>
          </w:tcPr>
          <w:p w14:paraId="58C0DEAE" w14:textId="2B6C22E5" w:rsidR="00B607BD" w:rsidRPr="00A06F1E" w:rsidRDefault="00805266" w:rsidP="007D5F1C">
            <w:pPr>
              <w:pStyle w:val="TableTextCentered"/>
            </w:pPr>
            <w:r w:rsidRPr="00A06F1E">
              <w:t>—</w:t>
            </w:r>
          </w:p>
        </w:tc>
        <w:tc>
          <w:tcPr>
            <w:tcW w:w="1255" w:type="dxa"/>
          </w:tcPr>
          <w:p w14:paraId="7A2BB1B1" w14:textId="6E8377C4" w:rsidR="00B607BD" w:rsidRPr="00A06F1E" w:rsidRDefault="00805266" w:rsidP="007D5F1C">
            <w:pPr>
              <w:pStyle w:val="TableTextCentered"/>
            </w:pPr>
            <w:r w:rsidRPr="00A06F1E">
              <w:t>—</w:t>
            </w:r>
          </w:p>
        </w:tc>
        <w:tc>
          <w:tcPr>
            <w:tcW w:w="1255" w:type="dxa"/>
          </w:tcPr>
          <w:p w14:paraId="794CD67F" w14:textId="77777777" w:rsidR="00B607BD" w:rsidRPr="00A06F1E" w:rsidRDefault="00B607BD" w:rsidP="007D5F1C">
            <w:pPr>
              <w:pStyle w:val="TableTextCentered"/>
            </w:pPr>
            <w:r w:rsidRPr="00A06F1E">
              <w:t>0.6</w:t>
            </w:r>
          </w:p>
        </w:tc>
      </w:tr>
      <w:tr w:rsidR="00B607BD" w:rsidRPr="00A06F1E" w14:paraId="4554D56A" w14:textId="77777777">
        <w:trPr>
          <w:jc w:val="center"/>
        </w:trPr>
        <w:tc>
          <w:tcPr>
            <w:tcW w:w="3052" w:type="dxa"/>
          </w:tcPr>
          <w:p w14:paraId="588F45BB" w14:textId="77777777" w:rsidR="00B607BD" w:rsidRPr="00A06F1E" w:rsidRDefault="00B607BD" w:rsidP="007D5F1C">
            <w:pPr>
              <w:pStyle w:val="TableText"/>
            </w:pPr>
            <w:r w:rsidRPr="00A06F1E">
              <w:t>Hispanic/Latino</w:t>
            </w:r>
          </w:p>
        </w:tc>
        <w:tc>
          <w:tcPr>
            <w:tcW w:w="1254" w:type="dxa"/>
          </w:tcPr>
          <w:p w14:paraId="0B72F6FF" w14:textId="77777777" w:rsidR="00B607BD" w:rsidRPr="00A06F1E" w:rsidRDefault="00B607BD" w:rsidP="007D5F1C">
            <w:pPr>
              <w:pStyle w:val="TableTextCentered"/>
            </w:pPr>
            <w:r w:rsidRPr="00A06F1E">
              <w:t>53</w:t>
            </w:r>
          </w:p>
        </w:tc>
        <w:tc>
          <w:tcPr>
            <w:tcW w:w="1255" w:type="dxa"/>
          </w:tcPr>
          <w:p w14:paraId="547A42DE" w14:textId="44968C78" w:rsidR="00B607BD" w:rsidRPr="00A06F1E" w:rsidRDefault="00805266" w:rsidP="007D5F1C">
            <w:pPr>
              <w:pStyle w:val="TableTextCentered"/>
            </w:pPr>
            <w:r w:rsidRPr="00A06F1E">
              <w:t>—</w:t>
            </w:r>
          </w:p>
        </w:tc>
        <w:tc>
          <w:tcPr>
            <w:tcW w:w="1254" w:type="dxa"/>
          </w:tcPr>
          <w:p w14:paraId="71641B42" w14:textId="77777777" w:rsidR="00B607BD" w:rsidRPr="00A06F1E" w:rsidRDefault="00B607BD" w:rsidP="007D5F1C">
            <w:pPr>
              <w:pStyle w:val="TableTextCentered"/>
            </w:pPr>
            <w:r w:rsidRPr="00A06F1E">
              <w:t>21.4</w:t>
            </w:r>
          </w:p>
        </w:tc>
        <w:tc>
          <w:tcPr>
            <w:tcW w:w="1255" w:type="dxa"/>
          </w:tcPr>
          <w:p w14:paraId="2876A04C" w14:textId="77777777" w:rsidR="00B607BD" w:rsidRPr="00A06F1E" w:rsidRDefault="00B607BD" w:rsidP="007D5F1C">
            <w:pPr>
              <w:pStyle w:val="TableTextCentered"/>
            </w:pPr>
            <w:r w:rsidRPr="00A06F1E">
              <w:t>11.3</w:t>
            </w:r>
          </w:p>
        </w:tc>
        <w:tc>
          <w:tcPr>
            <w:tcW w:w="1255" w:type="dxa"/>
          </w:tcPr>
          <w:p w14:paraId="69F05E0C" w14:textId="77777777" w:rsidR="00B607BD" w:rsidRPr="00A06F1E" w:rsidRDefault="00B607BD" w:rsidP="007D5F1C">
            <w:pPr>
              <w:pStyle w:val="TableTextCentered"/>
            </w:pPr>
            <w:r w:rsidRPr="00A06F1E">
              <w:t>3.9</w:t>
            </w:r>
          </w:p>
        </w:tc>
      </w:tr>
      <w:tr w:rsidR="00B607BD" w:rsidRPr="00A06F1E" w14:paraId="09F3A001"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28C224A" w14:textId="77777777" w:rsidR="00B607BD" w:rsidRPr="00A06F1E" w:rsidRDefault="00B607BD" w:rsidP="007D5F1C">
            <w:pPr>
              <w:pStyle w:val="TableText"/>
            </w:pPr>
            <w:r w:rsidRPr="00A06F1E">
              <w:rPr>
                <w:rFonts w:cstheme="minorHAnsi"/>
              </w:rPr>
              <w:t>Multi-Race, non-Hispanic/Latino</w:t>
            </w:r>
          </w:p>
        </w:tc>
        <w:tc>
          <w:tcPr>
            <w:tcW w:w="1254" w:type="dxa"/>
          </w:tcPr>
          <w:p w14:paraId="350C6878" w14:textId="77777777" w:rsidR="00B607BD" w:rsidRPr="00A06F1E" w:rsidRDefault="00B607BD" w:rsidP="007D5F1C">
            <w:pPr>
              <w:pStyle w:val="TableTextCentered"/>
            </w:pPr>
            <w:r w:rsidRPr="00A06F1E">
              <w:t>19</w:t>
            </w:r>
          </w:p>
        </w:tc>
        <w:tc>
          <w:tcPr>
            <w:tcW w:w="1255" w:type="dxa"/>
          </w:tcPr>
          <w:p w14:paraId="3810998A" w14:textId="5E97B195" w:rsidR="00B607BD" w:rsidRPr="00A06F1E" w:rsidRDefault="00805266" w:rsidP="007D5F1C">
            <w:pPr>
              <w:pStyle w:val="TableTextCentered"/>
            </w:pPr>
            <w:r w:rsidRPr="00A06F1E">
              <w:t>—</w:t>
            </w:r>
          </w:p>
        </w:tc>
        <w:tc>
          <w:tcPr>
            <w:tcW w:w="1254" w:type="dxa"/>
          </w:tcPr>
          <w:p w14:paraId="6FDF03B8" w14:textId="7C8480BC" w:rsidR="00B607BD" w:rsidRPr="00A06F1E" w:rsidRDefault="00805266" w:rsidP="007D5F1C">
            <w:pPr>
              <w:pStyle w:val="TableTextCentered"/>
            </w:pPr>
            <w:r w:rsidRPr="00A06F1E">
              <w:t>—</w:t>
            </w:r>
          </w:p>
        </w:tc>
        <w:tc>
          <w:tcPr>
            <w:tcW w:w="1255" w:type="dxa"/>
          </w:tcPr>
          <w:p w14:paraId="599E99B6" w14:textId="024BA3D0" w:rsidR="00B607BD" w:rsidRPr="00A06F1E" w:rsidRDefault="00805266" w:rsidP="007D5F1C">
            <w:pPr>
              <w:pStyle w:val="TableTextCentered"/>
            </w:pPr>
            <w:r w:rsidRPr="00A06F1E">
              <w:t>—</w:t>
            </w:r>
          </w:p>
        </w:tc>
        <w:tc>
          <w:tcPr>
            <w:tcW w:w="1255" w:type="dxa"/>
          </w:tcPr>
          <w:p w14:paraId="347BBC4D" w14:textId="77777777" w:rsidR="00B607BD" w:rsidRPr="00A06F1E" w:rsidRDefault="00B607BD" w:rsidP="007D5F1C">
            <w:pPr>
              <w:pStyle w:val="TableTextCentered"/>
            </w:pPr>
            <w:r w:rsidRPr="00A06F1E">
              <w:t>3.0</w:t>
            </w:r>
          </w:p>
        </w:tc>
      </w:tr>
      <w:tr w:rsidR="00B607BD" w:rsidRPr="00A06F1E" w14:paraId="384342B2" w14:textId="77777777">
        <w:trPr>
          <w:jc w:val="center"/>
        </w:trPr>
        <w:tc>
          <w:tcPr>
            <w:tcW w:w="3052" w:type="dxa"/>
          </w:tcPr>
          <w:p w14:paraId="624E0B85" w14:textId="77777777" w:rsidR="00B607BD" w:rsidRPr="00A06F1E" w:rsidRDefault="00B607BD" w:rsidP="007D5F1C">
            <w:pPr>
              <w:pStyle w:val="TableText"/>
            </w:pPr>
            <w:r w:rsidRPr="00A06F1E">
              <w:t>Native American</w:t>
            </w:r>
          </w:p>
        </w:tc>
        <w:tc>
          <w:tcPr>
            <w:tcW w:w="1254" w:type="dxa"/>
          </w:tcPr>
          <w:p w14:paraId="671CE041" w14:textId="77777777" w:rsidR="00B607BD" w:rsidRPr="00A06F1E" w:rsidRDefault="00B607BD" w:rsidP="007D5F1C">
            <w:pPr>
              <w:pStyle w:val="TableTextCentered"/>
            </w:pPr>
            <w:r w:rsidRPr="00A06F1E">
              <w:t>0</w:t>
            </w:r>
          </w:p>
        </w:tc>
        <w:tc>
          <w:tcPr>
            <w:tcW w:w="1255" w:type="dxa"/>
          </w:tcPr>
          <w:p w14:paraId="59D40FE1" w14:textId="2AD80B40" w:rsidR="00B607BD" w:rsidRPr="00A06F1E" w:rsidRDefault="00805266" w:rsidP="007D5F1C">
            <w:pPr>
              <w:pStyle w:val="TableTextCentered"/>
            </w:pPr>
            <w:r w:rsidRPr="00A06F1E">
              <w:t>—</w:t>
            </w:r>
          </w:p>
        </w:tc>
        <w:tc>
          <w:tcPr>
            <w:tcW w:w="1254" w:type="dxa"/>
          </w:tcPr>
          <w:p w14:paraId="377204A7" w14:textId="3D3461EE" w:rsidR="00B607BD" w:rsidRPr="00A06F1E" w:rsidRDefault="00805266" w:rsidP="007D5F1C">
            <w:pPr>
              <w:pStyle w:val="TableTextCentered"/>
            </w:pPr>
            <w:r w:rsidRPr="00A06F1E">
              <w:t>—</w:t>
            </w:r>
          </w:p>
        </w:tc>
        <w:tc>
          <w:tcPr>
            <w:tcW w:w="1255" w:type="dxa"/>
          </w:tcPr>
          <w:p w14:paraId="2C29534F" w14:textId="1D9DC37A" w:rsidR="00B607BD" w:rsidRPr="00A06F1E" w:rsidRDefault="00805266" w:rsidP="007D5F1C">
            <w:pPr>
              <w:pStyle w:val="TableTextCentered"/>
            </w:pPr>
            <w:r w:rsidRPr="00A06F1E">
              <w:t>—</w:t>
            </w:r>
          </w:p>
        </w:tc>
        <w:tc>
          <w:tcPr>
            <w:tcW w:w="1255" w:type="dxa"/>
          </w:tcPr>
          <w:p w14:paraId="486DD2F8" w14:textId="77777777" w:rsidR="00B607BD" w:rsidRPr="00A06F1E" w:rsidRDefault="00B607BD" w:rsidP="007D5F1C">
            <w:pPr>
              <w:pStyle w:val="TableTextCentered"/>
            </w:pPr>
            <w:r w:rsidRPr="00A06F1E">
              <w:t>4.1</w:t>
            </w:r>
          </w:p>
        </w:tc>
      </w:tr>
      <w:tr w:rsidR="00B607BD" w:rsidRPr="00A06F1E" w14:paraId="7FD3008B"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7626EE6" w14:textId="77777777" w:rsidR="00B607BD" w:rsidRPr="00A06F1E" w:rsidRDefault="00B607BD" w:rsidP="007D5F1C">
            <w:pPr>
              <w:pStyle w:val="TableText"/>
            </w:pPr>
            <w:r w:rsidRPr="00A06F1E">
              <w:rPr>
                <w:rFonts w:eastAsia="Times New Roman"/>
                <w:spacing w:val="-4"/>
              </w:rPr>
              <w:t>Native Hawaiian, Pacific Islander</w:t>
            </w:r>
          </w:p>
        </w:tc>
        <w:tc>
          <w:tcPr>
            <w:tcW w:w="1254" w:type="dxa"/>
          </w:tcPr>
          <w:p w14:paraId="664524ED" w14:textId="77777777" w:rsidR="00B607BD" w:rsidRPr="00A06F1E" w:rsidRDefault="00B607BD" w:rsidP="007D5F1C">
            <w:pPr>
              <w:pStyle w:val="TableTextCentered"/>
            </w:pPr>
            <w:r w:rsidRPr="00A06F1E">
              <w:t>1</w:t>
            </w:r>
          </w:p>
        </w:tc>
        <w:tc>
          <w:tcPr>
            <w:tcW w:w="1255" w:type="dxa"/>
          </w:tcPr>
          <w:p w14:paraId="05A67ADB" w14:textId="4860D4E5" w:rsidR="00B607BD" w:rsidRPr="00A06F1E" w:rsidRDefault="00805266" w:rsidP="007D5F1C">
            <w:pPr>
              <w:pStyle w:val="TableTextCentered"/>
            </w:pPr>
            <w:r w:rsidRPr="00A06F1E">
              <w:t>—</w:t>
            </w:r>
          </w:p>
        </w:tc>
        <w:tc>
          <w:tcPr>
            <w:tcW w:w="1254" w:type="dxa"/>
          </w:tcPr>
          <w:p w14:paraId="5EC3E678" w14:textId="45D42A29" w:rsidR="00B607BD" w:rsidRPr="00A06F1E" w:rsidRDefault="00805266" w:rsidP="007D5F1C">
            <w:pPr>
              <w:pStyle w:val="TableTextCentered"/>
            </w:pPr>
            <w:r w:rsidRPr="00A06F1E">
              <w:t>—</w:t>
            </w:r>
          </w:p>
        </w:tc>
        <w:tc>
          <w:tcPr>
            <w:tcW w:w="1255" w:type="dxa"/>
          </w:tcPr>
          <w:p w14:paraId="1C6D6B4E" w14:textId="77623FFB" w:rsidR="00B607BD" w:rsidRPr="00A06F1E" w:rsidRDefault="00805266" w:rsidP="007D5F1C">
            <w:pPr>
              <w:pStyle w:val="TableTextCentered"/>
            </w:pPr>
            <w:r w:rsidRPr="00A06F1E">
              <w:t>—</w:t>
            </w:r>
          </w:p>
        </w:tc>
        <w:tc>
          <w:tcPr>
            <w:tcW w:w="1255" w:type="dxa"/>
          </w:tcPr>
          <w:p w14:paraId="2CBA3D6B" w14:textId="77777777" w:rsidR="00B607BD" w:rsidRPr="00A06F1E" w:rsidRDefault="00B607BD" w:rsidP="007D5F1C">
            <w:pPr>
              <w:pStyle w:val="TableTextCentered"/>
            </w:pPr>
            <w:r w:rsidRPr="00A06F1E">
              <w:t>3.1</w:t>
            </w:r>
          </w:p>
        </w:tc>
      </w:tr>
      <w:tr w:rsidR="00B607BD" w:rsidRPr="00A06F1E" w14:paraId="7E6A5496" w14:textId="77777777">
        <w:trPr>
          <w:jc w:val="center"/>
        </w:trPr>
        <w:tc>
          <w:tcPr>
            <w:tcW w:w="3052" w:type="dxa"/>
          </w:tcPr>
          <w:p w14:paraId="5CC8CA0F" w14:textId="77777777" w:rsidR="00B607BD" w:rsidRPr="00A06F1E" w:rsidRDefault="00B607BD" w:rsidP="007D5F1C">
            <w:pPr>
              <w:pStyle w:val="TableText"/>
            </w:pPr>
            <w:r w:rsidRPr="00A06F1E">
              <w:t>White</w:t>
            </w:r>
          </w:p>
        </w:tc>
        <w:tc>
          <w:tcPr>
            <w:tcW w:w="1254" w:type="dxa"/>
          </w:tcPr>
          <w:p w14:paraId="1DFC7B24" w14:textId="77777777" w:rsidR="00B607BD" w:rsidRPr="00A06F1E" w:rsidRDefault="00B607BD" w:rsidP="007D5F1C">
            <w:pPr>
              <w:pStyle w:val="TableTextCentered"/>
            </w:pPr>
            <w:r w:rsidRPr="00A06F1E">
              <w:t>456</w:t>
            </w:r>
          </w:p>
        </w:tc>
        <w:tc>
          <w:tcPr>
            <w:tcW w:w="1255" w:type="dxa"/>
          </w:tcPr>
          <w:p w14:paraId="7A0CD7CF" w14:textId="0F3D7F44" w:rsidR="00B607BD" w:rsidRPr="00A06F1E" w:rsidRDefault="00805266" w:rsidP="007D5F1C">
            <w:pPr>
              <w:pStyle w:val="TableTextCentered"/>
            </w:pPr>
            <w:r w:rsidRPr="00A06F1E">
              <w:t>—</w:t>
            </w:r>
          </w:p>
        </w:tc>
        <w:tc>
          <w:tcPr>
            <w:tcW w:w="1254" w:type="dxa"/>
          </w:tcPr>
          <w:p w14:paraId="59C02831" w14:textId="77777777" w:rsidR="00B607BD" w:rsidRPr="00A06F1E" w:rsidRDefault="00B607BD" w:rsidP="007D5F1C">
            <w:pPr>
              <w:pStyle w:val="TableTextCentered"/>
            </w:pPr>
            <w:r w:rsidRPr="00A06F1E">
              <w:t>8.5</w:t>
            </w:r>
          </w:p>
        </w:tc>
        <w:tc>
          <w:tcPr>
            <w:tcW w:w="1255" w:type="dxa"/>
          </w:tcPr>
          <w:p w14:paraId="3BD2D3B7" w14:textId="77777777" w:rsidR="00B607BD" w:rsidRPr="00A06F1E" w:rsidRDefault="00B607BD" w:rsidP="007D5F1C">
            <w:pPr>
              <w:pStyle w:val="TableTextCentered"/>
            </w:pPr>
            <w:r w:rsidRPr="00A06F1E">
              <w:t>9.9</w:t>
            </w:r>
          </w:p>
        </w:tc>
        <w:tc>
          <w:tcPr>
            <w:tcW w:w="1255" w:type="dxa"/>
          </w:tcPr>
          <w:p w14:paraId="2210ED3F" w14:textId="77777777" w:rsidR="00B607BD" w:rsidRPr="00A06F1E" w:rsidRDefault="00B607BD" w:rsidP="007D5F1C">
            <w:pPr>
              <w:pStyle w:val="TableTextCentered"/>
            </w:pPr>
            <w:r w:rsidRPr="00A06F1E">
              <w:t>1.6</w:t>
            </w:r>
          </w:p>
        </w:tc>
      </w:tr>
      <w:tr w:rsidR="00B607BD" w:rsidRPr="00A06F1E" w14:paraId="7A124F32"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03C025E" w14:textId="77777777" w:rsidR="00B607BD" w:rsidRPr="00A06F1E" w:rsidRDefault="00B607BD" w:rsidP="007D5F1C">
            <w:pPr>
              <w:pStyle w:val="TableText"/>
            </w:pPr>
            <w:r w:rsidRPr="00A06F1E">
              <w:t>High needs</w:t>
            </w:r>
          </w:p>
        </w:tc>
        <w:tc>
          <w:tcPr>
            <w:tcW w:w="1254" w:type="dxa"/>
          </w:tcPr>
          <w:p w14:paraId="29339E00" w14:textId="77777777" w:rsidR="00B607BD" w:rsidRPr="00A06F1E" w:rsidRDefault="00B607BD" w:rsidP="007D5F1C">
            <w:pPr>
              <w:pStyle w:val="TableTextCentered"/>
            </w:pPr>
            <w:r w:rsidRPr="00A06F1E">
              <w:t>364</w:t>
            </w:r>
          </w:p>
        </w:tc>
        <w:tc>
          <w:tcPr>
            <w:tcW w:w="1255" w:type="dxa"/>
          </w:tcPr>
          <w:p w14:paraId="3C413546" w14:textId="45480994" w:rsidR="00B607BD" w:rsidRPr="00A06F1E" w:rsidRDefault="00805266" w:rsidP="007D5F1C">
            <w:pPr>
              <w:pStyle w:val="TableTextCentered"/>
            </w:pPr>
            <w:r w:rsidRPr="00A06F1E">
              <w:t>—</w:t>
            </w:r>
          </w:p>
        </w:tc>
        <w:tc>
          <w:tcPr>
            <w:tcW w:w="1254" w:type="dxa"/>
          </w:tcPr>
          <w:p w14:paraId="2CA59F04" w14:textId="77777777" w:rsidR="00B607BD" w:rsidRPr="00A06F1E" w:rsidRDefault="00B607BD" w:rsidP="007D5F1C">
            <w:pPr>
              <w:pStyle w:val="TableTextCentered"/>
            </w:pPr>
            <w:r w:rsidRPr="00A06F1E">
              <w:t>13.2</w:t>
            </w:r>
          </w:p>
        </w:tc>
        <w:tc>
          <w:tcPr>
            <w:tcW w:w="1255" w:type="dxa"/>
          </w:tcPr>
          <w:p w14:paraId="68D21519" w14:textId="77777777" w:rsidR="00B607BD" w:rsidRPr="00A06F1E" w:rsidRDefault="00B607BD" w:rsidP="007D5F1C">
            <w:pPr>
              <w:pStyle w:val="TableTextCentered"/>
            </w:pPr>
            <w:r w:rsidRPr="00A06F1E">
              <w:t>14.0</w:t>
            </w:r>
          </w:p>
        </w:tc>
        <w:tc>
          <w:tcPr>
            <w:tcW w:w="1255" w:type="dxa"/>
          </w:tcPr>
          <w:p w14:paraId="5E804635" w14:textId="77777777" w:rsidR="00B607BD" w:rsidRPr="00A06F1E" w:rsidRDefault="00B607BD" w:rsidP="007D5F1C">
            <w:pPr>
              <w:pStyle w:val="TableTextCentered"/>
            </w:pPr>
            <w:r w:rsidRPr="00A06F1E">
              <w:t>3.8</w:t>
            </w:r>
          </w:p>
        </w:tc>
      </w:tr>
      <w:tr w:rsidR="00B607BD" w:rsidRPr="00A06F1E" w14:paraId="16CA357D" w14:textId="77777777">
        <w:trPr>
          <w:jc w:val="center"/>
        </w:trPr>
        <w:tc>
          <w:tcPr>
            <w:tcW w:w="3052" w:type="dxa"/>
          </w:tcPr>
          <w:p w14:paraId="2B75193E" w14:textId="77777777" w:rsidR="00B607BD" w:rsidRPr="00A06F1E" w:rsidRDefault="00B607BD" w:rsidP="007D5F1C">
            <w:pPr>
              <w:pStyle w:val="TableText"/>
            </w:pPr>
            <w:r w:rsidRPr="00A06F1E">
              <w:t>Low income</w:t>
            </w:r>
          </w:p>
        </w:tc>
        <w:tc>
          <w:tcPr>
            <w:tcW w:w="1254" w:type="dxa"/>
          </w:tcPr>
          <w:p w14:paraId="46561E8A" w14:textId="77777777" w:rsidR="00B607BD" w:rsidRPr="00A06F1E" w:rsidRDefault="00B607BD" w:rsidP="007D5F1C">
            <w:pPr>
              <w:pStyle w:val="TableTextCentered"/>
            </w:pPr>
            <w:r w:rsidRPr="00A06F1E">
              <w:t>325</w:t>
            </w:r>
          </w:p>
        </w:tc>
        <w:tc>
          <w:tcPr>
            <w:tcW w:w="1255" w:type="dxa"/>
          </w:tcPr>
          <w:p w14:paraId="70DE64C1" w14:textId="77A43D3E" w:rsidR="00B607BD" w:rsidRPr="00A06F1E" w:rsidRDefault="00805266" w:rsidP="007D5F1C">
            <w:pPr>
              <w:pStyle w:val="TableTextCentered"/>
            </w:pPr>
            <w:r w:rsidRPr="00A06F1E">
              <w:t>—</w:t>
            </w:r>
          </w:p>
        </w:tc>
        <w:tc>
          <w:tcPr>
            <w:tcW w:w="1254" w:type="dxa"/>
          </w:tcPr>
          <w:p w14:paraId="1ECC2B0A" w14:textId="77777777" w:rsidR="00B607BD" w:rsidRPr="00A06F1E" w:rsidRDefault="00B607BD" w:rsidP="007D5F1C">
            <w:pPr>
              <w:pStyle w:val="TableTextCentered"/>
            </w:pPr>
            <w:r w:rsidRPr="00A06F1E">
              <w:t>14.4</w:t>
            </w:r>
          </w:p>
        </w:tc>
        <w:tc>
          <w:tcPr>
            <w:tcW w:w="1255" w:type="dxa"/>
          </w:tcPr>
          <w:p w14:paraId="199BD9E7" w14:textId="77777777" w:rsidR="00B607BD" w:rsidRPr="00A06F1E" w:rsidRDefault="00B607BD" w:rsidP="007D5F1C">
            <w:pPr>
              <w:pStyle w:val="TableTextCentered"/>
            </w:pPr>
            <w:r w:rsidRPr="00A06F1E">
              <w:t>14.2</w:t>
            </w:r>
          </w:p>
        </w:tc>
        <w:tc>
          <w:tcPr>
            <w:tcW w:w="1255" w:type="dxa"/>
          </w:tcPr>
          <w:p w14:paraId="0B034066" w14:textId="77777777" w:rsidR="00B607BD" w:rsidRPr="00A06F1E" w:rsidRDefault="00B607BD" w:rsidP="007D5F1C">
            <w:pPr>
              <w:pStyle w:val="TableTextCentered"/>
            </w:pPr>
            <w:r w:rsidRPr="00A06F1E">
              <w:t>4.3</w:t>
            </w:r>
          </w:p>
        </w:tc>
      </w:tr>
      <w:tr w:rsidR="00B607BD" w:rsidRPr="00A06F1E" w14:paraId="1D739DCB"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672CB3C" w14:textId="136C2FB8" w:rsidR="00B607BD" w:rsidRPr="00A06F1E" w:rsidRDefault="004040D2" w:rsidP="007D5F1C">
            <w:pPr>
              <w:pStyle w:val="TableText"/>
            </w:pPr>
            <w:r w:rsidRPr="00A06F1E">
              <w:rPr>
                <w:spacing w:val="-4"/>
              </w:rPr>
              <w:t>E</w:t>
            </w:r>
            <w:r>
              <w:rPr>
                <w:spacing w:val="-4"/>
              </w:rPr>
              <w:t>nglish learners</w:t>
            </w:r>
          </w:p>
        </w:tc>
        <w:tc>
          <w:tcPr>
            <w:tcW w:w="1254" w:type="dxa"/>
          </w:tcPr>
          <w:p w14:paraId="5CEB99EE" w14:textId="77777777" w:rsidR="00B607BD" w:rsidRPr="00A06F1E" w:rsidRDefault="00B607BD" w:rsidP="007D5F1C">
            <w:pPr>
              <w:pStyle w:val="TableTextCentered"/>
            </w:pPr>
            <w:r w:rsidRPr="00A06F1E">
              <w:t>7</w:t>
            </w:r>
          </w:p>
        </w:tc>
        <w:tc>
          <w:tcPr>
            <w:tcW w:w="1255" w:type="dxa"/>
          </w:tcPr>
          <w:p w14:paraId="557D3732" w14:textId="72A5560F" w:rsidR="00B607BD" w:rsidRPr="00A06F1E" w:rsidRDefault="00805266" w:rsidP="007D5F1C">
            <w:pPr>
              <w:pStyle w:val="TableTextCentered"/>
            </w:pPr>
            <w:r w:rsidRPr="00A06F1E">
              <w:t>—</w:t>
            </w:r>
          </w:p>
        </w:tc>
        <w:tc>
          <w:tcPr>
            <w:tcW w:w="1254" w:type="dxa"/>
          </w:tcPr>
          <w:p w14:paraId="3FBB5D0B" w14:textId="4BE37901" w:rsidR="00B607BD" w:rsidRPr="00A06F1E" w:rsidRDefault="00805266" w:rsidP="007D5F1C">
            <w:pPr>
              <w:pStyle w:val="TableTextCentered"/>
            </w:pPr>
            <w:r w:rsidRPr="00A06F1E">
              <w:t>—</w:t>
            </w:r>
          </w:p>
        </w:tc>
        <w:tc>
          <w:tcPr>
            <w:tcW w:w="1255" w:type="dxa"/>
          </w:tcPr>
          <w:p w14:paraId="11ED4DB5" w14:textId="70A6096E" w:rsidR="00B607BD" w:rsidRPr="00A06F1E" w:rsidRDefault="00805266" w:rsidP="007D5F1C">
            <w:pPr>
              <w:pStyle w:val="TableTextCentered"/>
            </w:pPr>
            <w:r w:rsidRPr="00A06F1E">
              <w:t>—</w:t>
            </w:r>
          </w:p>
        </w:tc>
        <w:tc>
          <w:tcPr>
            <w:tcW w:w="1255" w:type="dxa"/>
          </w:tcPr>
          <w:p w14:paraId="57CAE302" w14:textId="77777777" w:rsidR="00B607BD" w:rsidRPr="00A06F1E" w:rsidRDefault="00B607BD" w:rsidP="007D5F1C">
            <w:pPr>
              <w:pStyle w:val="TableTextCentered"/>
            </w:pPr>
            <w:r w:rsidRPr="00A06F1E">
              <w:t>2.7</w:t>
            </w:r>
          </w:p>
        </w:tc>
      </w:tr>
      <w:tr w:rsidR="00B607BD" w:rsidRPr="00A06F1E" w14:paraId="464D9A2A" w14:textId="77777777">
        <w:trPr>
          <w:jc w:val="center"/>
        </w:trPr>
        <w:tc>
          <w:tcPr>
            <w:tcW w:w="3052" w:type="dxa"/>
          </w:tcPr>
          <w:p w14:paraId="777934F5" w14:textId="77777777" w:rsidR="00B607BD" w:rsidRPr="00A06F1E" w:rsidRDefault="00B607BD" w:rsidP="007D5F1C">
            <w:pPr>
              <w:pStyle w:val="TableText"/>
            </w:pPr>
            <w:r w:rsidRPr="00A06F1E">
              <w:t>Students w/disabilities</w:t>
            </w:r>
          </w:p>
        </w:tc>
        <w:tc>
          <w:tcPr>
            <w:tcW w:w="1254" w:type="dxa"/>
          </w:tcPr>
          <w:p w14:paraId="7FF18E64" w14:textId="77777777" w:rsidR="00B607BD" w:rsidRPr="00A06F1E" w:rsidRDefault="00B607BD" w:rsidP="007D5F1C">
            <w:pPr>
              <w:pStyle w:val="TableTextCentered"/>
            </w:pPr>
            <w:r w:rsidRPr="00A06F1E">
              <w:t>140</w:t>
            </w:r>
          </w:p>
        </w:tc>
        <w:tc>
          <w:tcPr>
            <w:tcW w:w="1255" w:type="dxa"/>
          </w:tcPr>
          <w:p w14:paraId="70F0880A" w14:textId="2CC4BAA5" w:rsidR="00B607BD" w:rsidRPr="00A06F1E" w:rsidRDefault="00805266" w:rsidP="007D5F1C">
            <w:pPr>
              <w:pStyle w:val="TableTextCentered"/>
            </w:pPr>
            <w:r w:rsidRPr="00A06F1E">
              <w:t>—</w:t>
            </w:r>
          </w:p>
        </w:tc>
        <w:tc>
          <w:tcPr>
            <w:tcW w:w="1254" w:type="dxa"/>
          </w:tcPr>
          <w:p w14:paraId="569FCF42" w14:textId="77777777" w:rsidR="00B607BD" w:rsidRPr="00A06F1E" w:rsidRDefault="00B607BD" w:rsidP="007D5F1C">
            <w:pPr>
              <w:pStyle w:val="TableTextCentered"/>
            </w:pPr>
            <w:r w:rsidRPr="00A06F1E">
              <w:t>16.1</w:t>
            </w:r>
          </w:p>
        </w:tc>
        <w:tc>
          <w:tcPr>
            <w:tcW w:w="1255" w:type="dxa"/>
          </w:tcPr>
          <w:p w14:paraId="4BDEF8E8" w14:textId="77777777" w:rsidR="00B607BD" w:rsidRPr="00A06F1E" w:rsidRDefault="00B607BD" w:rsidP="007D5F1C">
            <w:pPr>
              <w:pStyle w:val="TableTextCentered"/>
            </w:pPr>
            <w:r w:rsidRPr="00A06F1E">
              <w:t>17.1</w:t>
            </w:r>
          </w:p>
        </w:tc>
        <w:tc>
          <w:tcPr>
            <w:tcW w:w="1255" w:type="dxa"/>
          </w:tcPr>
          <w:p w14:paraId="43FFC5A1" w14:textId="77777777" w:rsidR="00B607BD" w:rsidRPr="00A06F1E" w:rsidRDefault="00B607BD" w:rsidP="007D5F1C">
            <w:pPr>
              <w:pStyle w:val="TableTextCentered"/>
            </w:pPr>
            <w:r w:rsidRPr="00A06F1E">
              <w:t>4.7</w:t>
            </w:r>
          </w:p>
        </w:tc>
      </w:tr>
    </w:tbl>
    <w:p w14:paraId="2AB5DC2E" w14:textId="35543C5D" w:rsidR="00B607BD" w:rsidRPr="00A06F1E" w:rsidRDefault="00B607BD" w:rsidP="00B7722D">
      <w:pPr>
        <w:pStyle w:val="TabletitleSectionE"/>
      </w:pPr>
      <w:bookmarkStart w:id="334" w:name="_Toc170701991"/>
      <w:bookmarkStart w:id="335" w:name="_Toc171685828"/>
      <w:r w:rsidRPr="00A06F1E">
        <w:t>Table E21</w:t>
      </w:r>
      <w:r w:rsidR="00A228CB" w:rsidRPr="00A06F1E">
        <w:t>. Mahar Regional</w:t>
      </w:r>
      <w:r w:rsidR="003378D3" w:rsidRPr="00A06F1E">
        <w:t>:</w:t>
      </w:r>
      <w:r w:rsidRPr="00A06F1E">
        <w:t xml:space="preserve"> Advanced Coursework Completion Rates by Student Group, 2021-2023</w:t>
      </w:r>
      <w:bookmarkEnd w:id="334"/>
      <w:bookmarkEnd w:id="335"/>
    </w:p>
    <w:tbl>
      <w:tblPr>
        <w:tblStyle w:val="MSVTable1"/>
        <w:tblW w:w="9352" w:type="dxa"/>
        <w:jc w:val="center"/>
        <w:tblLook w:val="04A0" w:firstRow="1" w:lastRow="0" w:firstColumn="1" w:lastColumn="0" w:noHBand="0" w:noVBand="1"/>
      </w:tblPr>
      <w:tblGrid>
        <w:gridCol w:w="3052"/>
        <w:gridCol w:w="1260"/>
        <w:gridCol w:w="1260"/>
        <w:gridCol w:w="1260"/>
        <w:gridCol w:w="1260"/>
        <w:gridCol w:w="1260"/>
      </w:tblGrid>
      <w:tr w:rsidR="00B607BD" w:rsidRPr="00A06F1E" w14:paraId="6697CCB6"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1DCC9C64" w14:textId="77777777" w:rsidR="00B607BD" w:rsidRPr="00A06F1E" w:rsidRDefault="00B607BD" w:rsidP="007D5F1C">
            <w:pPr>
              <w:pStyle w:val="TableColHeadingCenter"/>
            </w:pPr>
            <w:r w:rsidRPr="00A06F1E">
              <w:t>Group</w:t>
            </w:r>
          </w:p>
        </w:tc>
        <w:tc>
          <w:tcPr>
            <w:tcW w:w="1260" w:type="dxa"/>
            <w:vAlign w:val="center"/>
          </w:tcPr>
          <w:p w14:paraId="4D986D56" w14:textId="7B9C8FC7" w:rsidR="00B607BD" w:rsidRPr="00A06F1E" w:rsidRDefault="00B607BD" w:rsidP="007D5F1C">
            <w:pPr>
              <w:pStyle w:val="TableColHeadingCenter"/>
            </w:pPr>
            <w:r w:rsidRPr="00A06F1E">
              <w:t xml:space="preserve"># </w:t>
            </w:r>
            <w:r w:rsidR="00FF1146" w:rsidRPr="00A06F1E">
              <w:t>included</w:t>
            </w:r>
            <w:r w:rsidRPr="00A06F1E">
              <w:t xml:space="preserve"> (2023)</w:t>
            </w:r>
          </w:p>
        </w:tc>
        <w:tc>
          <w:tcPr>
            <w:tcW w:w="1260" w:type="dxa"/>
            <w:vAlign w:val="center"/>
          </w:tcPr>
          <w:p w14:paraId="6BA7613E" w14:textId="77777777" w:rsidR="00B607BD" w:rsidRPr="00A06F1E" w:rsidRDefault="00B607BD" w:rsidP="007D5F1C">
            <w:pPr>
              <w:pStyle w:val="TableColHeadingCenter"/>
            </w:pPr>
            <w:r w:rsidRPr="00A06F1E">
              <w:t>2021</w:t>
            </w:r>
          </w:p>
        </w:tc>
        <w:tc>
          <w:tcPr>
            <w:tcW w:w="1260" w:type="dxa"/>
            <w:vAlign w:val="center"/>
          </w:tcPr>
          <w:p w14:paraId="0F4A8209" w14:textId="77777777" w:rsidR="00B607BD" w:rsidRPr="00A06F1E" w:rsidRDefault="00B607BD" w:rsidP="007D5F1C">
            <w:pPr>
              <w:pStyle w:val="TableColHeadingCenter"/>
            </w:pPr>
            <w:r w:rsidRPr="00A06F1E">
              <w:t>2022</w:t>
            </w:r>
          </w:p>
        </w:tc>
        <w:tc>
          <w:tcPr>
            <w:tcW w:w="1260" w:type="dxa"/>
            <w:vAlign w:val="center"/>
          </w:tcPr>
          <w:p w14:paraId="386B4626" w14:textId="77777777" w:rsidR="00B607BD" w:rsidRPr="00A06F1E" w:rsidRDefault="00B607BD" w:rsidP="007D5F1C">
            <w:pPr>
              <w:pStyle w:val="TableColHeadingCenter"/>
            </w:pPr>
            <w:r w:rsidRPr="00A06F1E">
              <w:t>2023</w:t>
            </w:r>
          </w:p>
        </w:tc>
        <w:tc>
          <w:tcPr>
            <w:tcW w:w="1260" w:type="dxa"/>
            <w:vAlign w:val="center"/>
          </w:tcPr>
          <w:p w14:paraId="066EE019" w14:textId="77777777" w:rsidR="00B607BD" w:rsidRPr="00A06F1E" w:rsidRDefault="00B607BD" w:rsidP="007D5F1C">
            <w:pPr>
              <w:pStyle w:val="TableColHeadingCenter"/>
            </w:pPr>
            <w:r w:rsidRPr="00A06F1E">
              <w:t>State (2023)</w:t>
            </w:r>
          </w:p>
        </w:tc>
      </w:tr>
      <w:tr w:rsidR="00B607BD" w:rsidRPr="00A06F1E" w14:paraId="6E17E422"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89553B5" w14:textId="77777777" w:rsidR="00B607BD" w:rsidRPr="00A06F1E" w:rsidRDefault="00B607BD" w:rsidP="007D5F1C">
            <w:pPr>
              <w:pStyle w:val="TableText"/>
            </w:pPr>
            <w:r w:rsidRPr="00A06F1E">
              <w:t>All</w:t>
            </w:r>
          </w:p>
        </w:tc>
        <w:tc>
          <w:tcPr>
            <w:tcW w:w="1260" w:type="dxa"/>
          </w:tcPr>
          <w:p w14:paraId="43B92EAE" w14:textId="77777777" w:rsidR="00B607BD" w:rsidRPr="00A06F1E" w:rsidRDefault="00B607BD" w:rsidP="007D5F1C">
            <w:pPr>
              <w:pStyle w:val="TableTextCentered"/>
            </w:pPr>
            <w:r w:rsidRPr="00A06F1E">
              <w:t>138</w:t>
            </w:r>
          </w:p>
        </w:tc>
        <w:tc>
          <w:tcPr>
            <w:tcW w:w="1260" w:type="dxa"/>
          </w:tcPr>
          <w:p w14:paraId="3240A094" w14:textId="77777777" w:rsidR="00B607BD" w:rsidRPr="00A06F1E" w:rsidRDefault="00B607BD" w:rsidP="007D5F1C">
            <w:pPr>
              <w:pStyle w:val="TableTextCentered"/>
            </w:pPr>
            <w:r w:rsidRPr="00A06F1E">
              <w:t>50.0</w:t>
            </w:r>
          </w:p>
        </w:tc>
        <w:tc>
          <w:tcPr>
            <w:tcW w:w="1260" w:type="dxa"/>
          </w:tcPr>
          <w:p w14:paraId="745D1FA9" w14:textId="77777777" w:rsidR="00B607BD" w:rsidRPr="00A06F1E" w:rsidRDefault="00B607BD" w:rsidP="007D5F1C">
            <w:pPr>
              <w:pStyle w:val="TableTextCentered"/>
            </w:pPr>
            <w:r w:rsidRPr="00A06F1E">
              <w:t>47.5</w:t>
            </w:r>
          </w:p>
        </w:tc>
        <w:tc>
          <w:tcPr>
            <w:tcW w:w="1260" w:type="dxa"/>
          </w:tcPr>
          <w:p w14:paraId="339484B1" w14:textId="77777777" w:rsidR="00B607BD" w:rsidRPr="00A06F1E" w:rsidRDefault="00B607BD" w:rsidP="007D5F1C">
            <w:pPr>
              <w:pStyle w:val="TableTextCentered"/>
            </w:pPr>
            <w:r w:rsidRPr="00A06F1E">
              <w:t>43.5</w:t>
            </w:r>
          </w:p>
        </w:tc>
        <w:tc>
          <w:tcPr>
            <w:tcW w:w="1260" w:type="dxa"/>
          </w:tcPr>
          <w:p w14:paraId="63B33C29" w14:textId="77777777" w:rsidR="00B607BD" w:rsidRPr="00A06F1E" w:rsidRDefault="00B607BD" w:rsidP="007D5F1C">
            <w:pPr>
              <w:pStyle w:val="TableTextCentered"/>
            </w:pPr>
            <w:r w:rsidRPr="00A06F1E">
              <w:t>65.8</w:t>
            </w:r>
          </w:p>
        </w:tc>
      </w:tr>
      <w:tr w:rsidR="00B607BD" w:rsidRPr="00A06F1E" w14:paraId="619C12AA" w14:textId="77777777">
        <w:trPr>
          <w:jc w:val="center"/>
        </w:trPr>
        <w:tc>
          <w:tcPr>
            <w:tcW w:w="3052" w:type="dxa"/>
          </w:tcPr>
          <w:p w14:paraId="2597D421" w14:textId="77777777" w:rsidR="00B607BD" w:rsidRPr="00A06F1E" w:rsidRDefault="00B607BD" w:rsidP="007D5F1C">
            <w:pPr>
              <w:pStyle w:val="TableText"/>
            </w:pPr>
            <w:r w:rsidRPr="00A06F1E">
              <w:t>African American/Black</w:t>
            </w:r>
          </w:p>
        </w:tc>
        <w:tc>
          <w:tcPr>
            <w:tcW w:w="1260" w:type="dxa"/>
          </w:tcPr>
          <w:p w14:paraId="4CB1BF7E" w14:textId="77777777" w:rsidR="00B607BD" w:rsidRPr="00A06F1E" w:rsidRDefault="00B607BD" w:rsidP="007D5F1C">
            <w:pPr>
              <w:pStyle w:val="TableTextCentered"/>
            </w:pPr>
            <w:r w:rsidRPr="00A06F1E">
              <w:t>1</w:t>
            </w:r>
          </w:p>
        </w:tc>
        <w:tc>
          <w:tcPr>
            <w:tcW w:w="1260" w:type="dxa"/>
          </w:tcPr>
          <w:p w14:paraId="5A0C25E1" w14:textId="77777777" w:rsidR="00B607BD" w:rsidRPr="00A06F1E" w:rsidRDefault="00B607BD" w:rsidP="007D5F1C">
            <w:pPr>
              <w:pStyle w:val="TableTextCentered"/>
            </w:pPr>
            <w:r w:rsidRPr="00A06F1E">
              <w:t>66.7</w:t>
            </w:r>
          </w:p>
        </w:tc>
        <w:tc>
          <w:tcPr>
            <w:tcW w:w="1260" w:type="dxa"/>
          </w:tcPr>
          <w:p w14:paraId="1F16122A" w14:textId="4044B6E2" w:rsidR="00B607BD" w:rsidRPr="00A06F1E" w:rsidRDefault="00805266" w:rsidP="007D5F1C">
            <w:pPr>
              <w:pStyle w:val="TableTextCentered"/>
            </w:pPr>
            <w:r w:rsidRPr="00A06F1E">
              <w:t>—</w:t>
            </w:r>
          </w:p>
        </w:tc>
        <w:tc>
          <w:tcPr>
            <w:tcW w:w="1260" w:type="dxa"/>
          </w:tcPr>
          <w:p w14:paraId="2CC39E8A" w14:textId="2728E407" w:rsidR="00B607BD" w:rsidRPr="00A06F1E" w:rsidRDefault="00805266" w:rsidP="007D5F1C">
            <w:pPr>
              <w:pStyle w:val="TableTextCentered"/>
            </w:pPr>
            <w:r w:rsidRPr="00A06F1E">
              <w:t>—</w:t>
            </w:r>
          </w:p>
        </w:tc>
        <w:tc>
          <w:tcPr>
            <w:tcW w:w="1260" w:type="dxa"/>
          </w:tcPr>
          <w:p w14:paraId="67A5E055" w14:textId="77777777" w:rsidR="00B607BD" w:rsidRPr="00A06F1E" w:rsidRDefault="00B607BD" w:rsidP="007D5F1C">
            <w:pPr>
              <w:pStyle w:val="TableTextCentered"/>
            </w:pPr>
            <w:r w:rsidRPr="00A06F1E">
              <w:t>57.3</w:t>
            </w:r>
          </w:p>
        </w:tc>
      </w:tr>
      <w:tr w:rsidR="00B607BD" w:rsidRPr="00A06F1E" w14:paraId="3201770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B84F247" w14:textId="77777777" w:rsidR="00B607BD" w:rsidRPr="00A06F1E" w:rsidRDefault="00B607BD" w:rsidP="007D5F1C">
            <w:pPr>
              <w:pStyle w:val="TableText"/>
            </w:pPr>
            <w:r w:rsidRPr="00A06F1E">
              <w:t>Asian</w:t>
            </w:r>
          </w:p>
        </w:tc>
        <w:tc>
          <w:tcPr>
            <w:tcW w:w="1260" w:type="dxa"/>
          </w:tcPr>
          <w:p w14:paraId="764F648F" w14:textId="77777777" w:rsidR="00B607BD" w:rsidRPr="00A06F1E" w:rsidRDefault="00B607BD" w:rsidP="007D5F1C">
            <w:pPr>
              <w:pStyle w:val="TableTextCentered"/>
            </w:pPr>
            <w:r w:rsidRPr="00A06F1E">
              <w:t>2</w:t>
            </w:r>
          </w:p>
        </w:tc>
        <w:tc>
          <w:tcPr>
            <w:tcW w:w="1260" w:type="dxa"/>
          </w:tcPr>
          <w:p w14:paraId="5ED1A8D3" w14:textId="66C0B7E8" w:rsidR="00B607BD" w:rsidRPr="00A06F1E" w:rsidRDefault="00805266" w:rsidP="007D5F1C">
            <w:pPr>
              <w:pStyle w:val="TableTextCentered"/>
            </w:pPr>
            <w:r w:rsidRPr="00A06F1E">
              <w:t>—</w:t>
            </w:r>
          </w:p>
        </w:tc>
        <w:tc>
          <w:tcPr>
            <w:tcW w:w="1260" w:type="dxa"/>
          </w:tcPr>
          <w:p w14:paraId="2C468FA1" w14:textId="0A5C378B" w:rsidR="00B607BD" w:rsidRPr="00A06F1E" w:rsidRDefault="00805266" w:rsidP="007D5F1C">
            <w:pPr>
              <w:pStyle w:val="TableTextCentered"/>
            </w:pPr>
            <w:r w:rsidRPr="00A06F1E">
              <w:t>—</w:t>
            </w:r>
          </w:p>
        </w:tc>
        <w:tc>
          <w:tcPr>
            <w:tcW w:w="1260" w:type="dxa"/>
          </w:tcPr>
          <w:p w14:paraId="2A00D953" w14:textId="0ECB976E" w:rsidR="00B607BD" w:rsidRPr="00A06F1E" w:rsidRDefault="00805266" w:rsidP="007D5F1C">
            <w:pPr>
              <w:pStyle w:val="TableTextCentered"/>
            </w:pPr>
            <w:r w:rsidRPr="00A06F1E">
              <w:t>—</w:t>
            </w:r>
          </w:p>
        </w:tc>
        <w:tc>
          <w:tcPr>
            <w:tcW w:w="1260" w:type="dxa"/>
          </w:tcPr>
          <w:p w14:paraId="7D9E03B7" w14:textId="77777777" w:rsidR="00B607BD" w:rsidRPr="00A06F1E" w:rsidRDefault="00B607BD" w:rsidP="007D5F1C">
            <w:pPr>
              <w:pStyle w:val="TableTextCentered"/>
            </w:pPr>
            <w:r w:rsidRPr="00A06F1E">
              <w:t>84.9</w:t>
            </w:r>
          </w:p>
        </w:tc>
      </w:tr>
      <w:tr w:rsidR="00B607BD" w:rsidRPr="00A06F1E" w14:paraId="1CD4B675" w14:textId="77777777">
        <w:trPr>
          <w:jc w:val="center"/>
        </w:trPr>
        <w:tc>
          <w:tcPr>
            <w:tcW w:w="3052" w:type="dxa"/>
          </w:tcPr>
          <w:p w14:paraId="7D3FD840" w14:textId="77777777" w:rsidR="00B607BD" w:rsidRPr="00A06F1E" w:rsidRDefault="00B607BD" w:rsidP="007D5F1C">
            <w:pPr>
              <w:pStyle w:val="TableText"/>
            </w:pPr>
            <w:r w:rsidRPr="00A06F1E">
              <w:t>Hispanic/Latino</w:t>
            </w:r>
          </w:p>
        </w:tc>
        <w:tc>
          <w:tcPr>
            <w:tcW w:w="1260" w:type="dxa"/>
          </w:tcPr>
          <w:p w14:paraId="1557FC80" w14:textId="77777777" w:rsidR="00B607BD" w:rsidRPr="00A06F1E" w:rsidRDefault="00B607BD" w:rsidP="007D5F1C">
            <w:pPr>
              <w:pStyle w:val="TableTextCentered"/>
            </w:pPr>
            <w:r w:rsidRPr="00A06F1E">
              <w:t>9</w:t>
            </w:r>
          </w:p>
        </w:tc>
        <w:tc>
          <w:tcPr>
            <w:tcW w:w="1260" w:type="dxa"/>
          </w:tcPr>
          <w:p w14:paraId="6B7E67AE" w14:textId="77777777" w:rsidR="00B607BD" w:rsidRPr="00A06F1E" w:rsidRDefault="00B607BD" w:rsidP="007D5F1C">
            <w:pPr>
              <w:pStyle w:val="TableTextCentered"/>
            </w:pPr>
            <w:r w:rsidRPr="00A06F1E">
              <w:t>25.0</w:t>
            </w:r>
          </w:p>
        </w:tc>
        <w:tc>
          <w:tcPr>
            <w:tcW w:w="1260" w:type="dxa"/>
          </w:tcPr>
          <w:p w14:paraId="6B5C6C5A" w14:textId="337D18D3" w:rsidR="00B607BD" w:rsidRPr="00A06F1E" w:rsidRDefault="00805266" w:rsidP="007D5F1C">
            <w:pPr>
              <w:pStyle w:val="TableTextCentered"/>
            </w:pPr>
            <w:r w:rsidRPr="00A06F1E">
              <w:t>—</w:t>
            </w:r>
          </w:p>
        </w:tc>
        <w:tc>
          <w:tcPr>
            <w:tcW w:w="1260" w:type="dxa"/>
          </w:tcPr>
          <w:p w14:paraId="53B5B97F" w14:textId="77777777" w:rsidR="00B607BD" w:rsidRPr="00A06F1E" w:rsidRDefault="00B607BD" w:rsidP="007D5F1C">
            <w:pPr>
              <w:pStyle w:val="TableTextCentered"/>
            </w:pPr>
            <w:r w:rsidRPr="00A06F1E">
              <w:t>11.1</w:t>
            </w:r>
          </w:p>
        </w:tc>
        <w:tc>
          <w:tcPr>
            <w:tcW w:w="1260" w:type="dxa"/>
          </w:tcPr>
          <w:p w14:paraId="7D9A2043" w14:textId="77777777" w:rsidR="00B607BD" w:rsidRPr="00A06F1E" w:rsidRDefault="00B607BD" w:rsidP="007D5F1C">
            <w:pPr>
              <w:pStyle w:val="TableTextCentered"/>
            </w:pPr>
            <w:r w:rsidRPr="00A06F1E">
              <w:t>51.2</w:t>
            </w:r>
          </w:p>
        </w:tc>
      </w:tr>
      <w:tr w:rsidR="00B607BD" w:rsidRPr="00A06F1E" w14:paraId="78B5472A"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76873C2" w14:textId="77777777" w:rsidR="00B607BD" w:rsidRPr="00A06F1E" w:rsidRDefault="00B607BD" w:rsidP="007D5F1C">
            <w:pPr>
              <w:pStyle w:val="TableText"/>
            </w:pPr>
            <w:r w:rsidRPr="00A06F1E">
              <w:rPr>
                <w:rFonts w:cstheme="minorHAnsi"/>
              </w:rPr>
              <w:t>Multi-Race, non-Hispanic/Latino</w:t>
            </w:r>
          </w:p>
        </w:tc>
        <w:tc>
          <w:tcPr>
            <w:tcW w:w="1260" w:type="dxa"/>
          </w:tcPr>
          <w:p w14:paraId="6D2D975D" w14:textId="77777777" w:rsidR="00B607BD" w:rsidRPr="00A06F1E" w:rsidRDefault="00B607BD" w:rsidP="007D5F1C">
            <w:pPr>
              <w:pStyle w:val="TableTextCentered"/>
            </w:pPr>
            <w:r w:rsidRPr="00A06F1E">
              <w:t>4</w:t>
            </w:r>
          </w:p>
        </w:tc>
        <w:tc>
          <w:tcPr>
            <w:tcW w:w="1260" w:type="dxa"/>
          </w:tcPr>
          <w:p w14:paraId="0914CC57" w14:textId="77777777" w:rsidR="00B607BD" w:rsidRPr="00A06F1E" w:rsidRDefault="00B607BD" w:rsidP="007D5F1C">
            <w:pPr>
              <w:pStyle w:val="TableTextCentered"/>
            </w:pPr>
            <w:r w:rsidRPr="00A06F1E">
              <w:t>33.3</w:t>
            </w:r>
          </w:p>
        </w:tc>
        <w:tc>
          <w:tcPr>
            <w:tcW w:w="1260" w:type="dxa"/>
          </w:tcPr>
          <w:p w14:paraId="7DEFDB53" w14:textId="77777777" w:rsidR="00B607BD" w:rsidRPr="00A06F1E" w:rsidRDefault="00B607BD" w:rsidP="007D5F1C">
            <w:pPr>
              <w:pStyle w:val="TableTextCentered"/>
            </w:pPr>
            <w:r w:rsidRPr="00A06F1E">
              <w:t>30.0</w:t>
            </w:r>
          </w:p>
        </w:tc>
        <w:tc>
          <w:tcPr>
            <w:tcW w:w="1260" w:type="dxa"/>
          </w:tcPr>
          <w:p w14:paraId="75BE086B" w14:textId="612E2387" w:rsidR="00B607BD" w:rsidRPr="00A06F1E" w:rsidRDefault="00805266" w:rsidP="007D5F1C">
            <w:pPr>
              <w:pStyle w:val="TableTextCentered"/>
            </w:pPr>
            <w:r w:rsidRPr="00A06F1E">
              <w:t>—</w:t>
            </w:r>
          </w:p>
        </w:tc>
        <w:tc>
          <w:tcPr>
            <w:tcW w:w="1260" w:type="dxa"/>
          </w:tcPr>
          <w:p w14:paraId="1655E816" w14:textId="77777777" w:rsidR="00B607BD" w:rsidRPr="00A06F1E" w:rsidRDefault="00B607BD" w:rsidP="007D5F1C">
            <w:pPr>
              <w:pStyle w:val="TableTextCentered"/>
            </w:pPr>
            <w:r w:rsidRPr="00A06F1E">
              <w:t>67.4</w:t>
            </w:r>
          </w:p>
        </w:tc>
      </w:tr>
      <w:tr w:rsidR="00B607BD" w:rsidRPr="00A06F1E" w14:paraId="0A6AE460" w14:textId="77777777">
        <w:trPr>
          <w:jc w:val="center"/>
        </w:trPr>
        <w:tc>
          <w:tcPr>
            <w:tcW w:w="3052" w:type="dxa"/>
          </w:tcPr>
          <w:p w14:paraId="5D7818C8" w14:textId="77777777" w:rsidR="00B607BD" w:rsidRPr="00A06F1E" w:rsidRDefault="00B607BD" w:rsidP="007D5F1C">
            <w:pPr>
              <w:pStyle w:val="TableText"/>
            </w:pPr>
            <w:r w:rsidRPr="00A06F1E">
              <w:t>Native American</w:t>
            </w:r>
          </w:p>
        </w:tc>
        <w:tc>
          <w:tcPr>
            <w:tcW w:w="1260" w:type="dxa"/>
          </w:tcPr>
          <w:p w14:paraId="635B9AAE" w14:textId="4215D9D2" w:rsidR="00B607BD" w:rsidRPr="00A06F1E" w:rsidRDefault="00805266" w:rsidP="007D5F1C">
            <w:pPr>
              <w:pStyle w:val="TableTextCentered"/>
            </w:pPr>
            <w:r w:rsidRPr="00A06F1E">
              <w:t>—</w:t>
            </w:r>
          </w:p>
        </w:tc>
        <w:tc>
          <w:tcPr>
            <w:tcW w:w="1260" w:type="dxa"/>
          </w:tcPr>
          <w:p w14:paraId="4C49DFE0" w14:textId="5B5216B8" w:rsidR="00B607BD" w:rsidRPr="00A06F1E" w:rsidRDefault="00805266" w:rsidP="007D5F1C">
            <w:pPr>
              <w:pStyle w:val="TableTextCentered"/>
            </w:pPr>
            <w:r w:rsidRPr="00A06F1E">
              <w:t>—</w:t>
            </w:r>
          </w:p>
        </w:tc>
        <w:tc>
          <w:tcPr>
            <w:tcW w:w="1260" w:type="dxa"/>
          </w:tcPr>
          <w:p w14:paraId="491E65F9" w14:textId="773E6AFB" w:rsidR="00B607BD" w:rsidRPr="00A06F1E" w:rsidRDefault="00805266" w:rsidP="007D5F1C">
            <w:pPr>
              <w:pStyle w:val="TableTextCentered"/>
            </w:pPr>
            <w:r w:rsidRPr="00A06F1E">
              <w:t>—</w:t>
            </w:r>
          </w:p>
        </w:tc>
        <w:tc>
          <w:tcPr>
            <w:tcW w:w="1260" w:type="dxa"/>
          </w:tcPr>
          <w:p w14:paraId="2E3AD3E1" w14:textId="309B0CBB" w:rsidR="00B607BD" w:rsidRPr="00A06F1E" w:rsidRDefault="00805266" w:rsidP="007D5F1C">
            <w:pPr>
              <w:pStyle w:val="TableTextCentered"/>
            </w:pPr>
            <w:r w:rsidRPr="00A06F1E">
              <w:t>—</w:t>
            </w:r>
          </w:p>
        </w:tc>
        <w:tc>
          <w:tcPr>
            <w:tcW w:w="1260" w:type="dxa"/>
          </w:tcPr>
          <w:p w14:paraId="21DF3116" w14:textId="77777777" w:rsidR="00B607BD" w:rsidRPr="00A06F1E" w:rsidRDefault="00B607BD" w:rsidP="007D5F1C">
            <w:pPr>
              <w:pStyle w:val="TableTextCentered"/>
            </w:pPr>
            <w:r w:rsidRPr="00A06F1E">
              <w:t>50.6</w:t>
            </w:r>
          </w:p>
        </w:tc>
      </w:tr>
      <w:tr w:rsidR="00B607BD" w:rsidRPr="00A06F1E" w14:paraId="265475B9"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1C7E003" w14:textId="77777777" w:rsidR="00B607BD" w:rsidRPr="00A06F1E" w:rsidRDefault="00B607BD" w:rsidP="007D5F1C">
            <w:pPr>
              <w:pStyle w:val="TableText"/>
            </w:pPr>
            <w:r w:rsidRPr="00A06F1E">
              <w:rPr>
                <w:rFonts w:eastAsia="Times New Roman"/>
                <w:spacing w:val="-4"/>
              </w:rPr>
              <w:t>Native Hawaiian, Pacific Islander</w:t>
            </w:r>
          </w:p>
        </w:tc>
        <w:tc>
          <w:tcPr>
            <w:tcW w:w="1260" w:type="dxa"/>
          </w:tcPr>
          <w:p w14:paraId="2BE9A237" w14:textId="47442AFD" w:rsidR="00B607BD" w:rsidRPr="00A06F1E" w:rsidRDefault="00805266" w:rsidP="007D5F1C">
            <w:pPr>
              <w:pStyle w:val="TableTextCentered"/>
            </w:pPr>
            <w:r w:rsidRPr="00A06F1E">
              <w:t>—</w:t>
            </w:r>
          </w:p>
        </w:tc>
        <w:tc>
          <w:tcPr>
            <w:tcW w:w="1260" w:type="dxa"/>
          </w:tcPr>
          <w:p w14:paraId="3D00EAA0" w14:textId="1D320993" w:rsidR="00B607BD" w:rsidRPr="00A06F1E" w:rsidRDefault="00805266" w:rsidP="007D5F1C">
            <w:pPr>
              <w:pStyle w:val="TableTextCentered"/>
            </w:pPr>
            <w:r w:rsidRPr="00A06F1E">
              <w:t>—</w:t>
            </w:r>
          </w:p>
        </w:tc>
        <w:tc>
          <w:tcPr>
            <w:tcW w:w="1260" w:type="dxa"/>
          </w:tcPr>
          <w:p w14:paraId="6735E360" w14:textId="23A601D4" w:rsidR="00B607BD" w:rsidRPr="00A06F1E" w:rsidRDefault="00805266" w:rsidP="007D5F1C">
            <w:pPr>
              <w:pStyle w:val="TableTextCentered"/>
            </w:pPr>
            <w:r w:rsidRPr="00A06F1E">
              <w:t>—</w:t>
            </w:r>
          </w:p>
        </w:tc>
        <w:tc>
          <w:tcPr>
            <w:tcW w:w="1260" w:type="dxa"/>
          </w:tcPr>
          <w:p w14:paraId="1960BF41" w14:textId="32A0E90C" w:rsidR="00B607BD" w:rsidRPr="00A06F1E" w:rsidRDefault="00805266" w:rsidP="007D5F1C">
            <w:pPr>
              <w:pStyle w:val="TableTextCentered"/>
            </w:pPr>
            <w:r w:rsidRPr="00A06F1E">
              <w:t>—</w:t>
            </w:r>
          </w:p>
        </w:tc>
        <w:tc>
          <w:tcPr>
            <w:tcW w:w="1260" w:type="dxa"/>
          </w:tcPr>
          <w:p w14:paraId="2F95F13D" w14:textId="77777777" w:rsidR="00B607BD" w:rsidRPr="00A06F1E" w:rsidRDefault="00B607BD" w:rsidP="007D5F1C">
            <w:pPr>
              <w:pStyle w:val="TableTextCentered"/>
            </w:pPr>
            <w:r w:rsidRPr="00A06F1E">
              <w:t>60.0</w:t>
            </w:r>
          </w:p>
        </w:tc>
      </w:tr>
      <w:tr w:rsidR="00B607BD" w:rsidRPr="00A06F1E" w14:paraId="50667DFC" w14:textId="77777777">
        <w:trPr>
          <w:jc w:val="center"/>
        </w:trPr>
        <w:tc>
          <w:tcPr>
            <w:tcW w:w="3052" w:type="dxa"/>
          </w:tcPr>
          <w:p w14:paraId="1134F567" w14:textId="77777777" w:rsidR="00B607BD" w:rsidRPr="00A06F1E" w:rsidRDefault="00B607BD" w:rsidP="007D5F1C">
            <w:pPr>
              <w:pStyle w:val="TableText"/>
            </w:pPr>
            <w:r w:rsidRPr="00A06F1E">
              <w:t>White</w:t>
            </w:r>
          </w:p>
        </w:tc>
        <w:tc>
          <w:tcPr>
            <w:tcW w:w="1260" w:type="dxa"/>
          </w:tcPr>
          <w:p w14:paraId="37B736ED" w14:textId="77777777" w:rsidR="00B607BD" w:rsidRPr="00A06F1E" w:rsidRDefault="00B607BD" w:rsidP="007D5F1C">
            <w:pPr>
              <w:pStyle w:val="TableTextCentered"/>
            </w:pPr>
            <w:r w:rsidRPr="00A06F1E">
              <w:t>122</w:t>
            </w:r>
          </w:p>
        </w:tc>
        <w:tc>
          <w:tcPr>
            <w:tcW w:w="1260" w:type="dxa"/>
          </w:tcPr>
          <w:p w14:paraId="0AC2F905" w14:textId="77777777" w:rsidR="00B607BD" w:rsidRPr="00A06F1E" w:rsidRDefault="00B607BD" w:rsidP="007D5F1C">
            <w:pPr>
              <w:pStyle w:val="TableTextCentered"/>
            </w:pPr>
            <w:r w:rsidRPr="00A06F1E">
              <w:t>53.4</w:t>
            </w:r>
          </w:p>
        </w:tc>
        <w:tc>
          <w:tcPr>
            <w:tcW w:w="1260" w:type="dxa"/>
          </w:tcPr>
          <w:p w14:paraId="74D7DCE6" w14:textId="77777777" w:rsidR="00B607BD" w:rsidRPr="00A06F1E" w:rsidRDefault="00B607BD" w:rsidP="007D5F1C">
            <w:pPr>
              <w:pStyle w:val="TableTextCentered"/>
            </w:pPr>
            <w:r w:rsidRPr="00A06F1E">
              <w:t>50.0</w:t>
            </w:r>
          </w:p>
        </w:tc>
        <w:tc>
          <w:tcPr>
            <w:tcW w:w="1260" w:type="dxa"/>
          </w:tcPr>
          <w:p w14:paraId="18426A94" w14:textId="77777777" w:rsidR="00B607BD" w:rsidRPr="00A06F1E" w:rsidRDefault="00B607BD" w:rsidP="007D5F1C">
            <w:pPr>
              <w:pStyle w:val="TableTextCentered"/>
            </w:pPr>
            <w:r w:rsidRPr="00A06F1E">
              <w:t>44.3</w:t>
            </w:r>
          </w:p>
        </w:tc>
        <w:tc>
          <w:tcPr>
            <w:tcW w:w="1260" w:type="dxa"/>
          </w:tcPr>
          <w:p w14:paraId="46FF6F88" w14:textId="77777777" w:rsidR="00B607BD" w:rsidRPr="00A06F1E" w:rsidRDefault="00B607BD" w:rsidP="007D5F1C">
            <w:pPr>
              <w:pStyle w:val="TableTextCentered"/>
            </w:pPr>
            <w:r w:rsidRPr="00A06F1E">
              <w:t>70.4</w:t>
            </w:r>
          </w:p>
        </w:tc>
      </w:tr>
      <w:tr w:rsidR="00B607BD" w:rsidRPr="00A06F1E" w14:paraId="0B028932"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6FC14A0" w14:textId="77777777" w:rsidR="00B607BD" w:rsidRPr="00A06F1E" w:rsidRDefault="00B607BD" w:rsidP="007D5F1C">
            <w:pPr>
              <w:pStyle w:val="TableText"/>
            </w:pPr>
            <w:r w:rsidRPr="00A06F1E">
              <w:t>High needs</w:t>
            </w:r>
          </w:p>
        </w:tc>
        <w:tc>
          <w:tcPr>
            <w:tcW w:w="1260" w:type="dxa"/>
          </w:tcPr>
          <w:p w14:paraId="0FAFFD11" w14:textId="77777777" w:rsidR="00B607BD" w:rsidRPr="00A06F1E" w:rsidRDefault="00B607BD" w:rsidP="007D5F1C">
            <w:pPr>
              <w:pStyle w:val="TableTextCentered"/>
            </w:pPr>
            <w:r w:rsidRPr="00A06F1E">
              <w:t>76</w:t>
            </w:r>
          </w:p>
        </w:tc>
        <w:tc>
          <w:tcPr>
            <w:tcW w:w="1260" w:type="dxa"/>
          </w:tcPr>
          <w:p w14:paraId="6D8C3ED4" w14:textId="77777777" w:rsidR="00B607BD" w:rsidRPr="00A06F1E" w:rsidRDefault="00B607BD" w:rsidP="007D5F1C">
            <w:pPr>
              <w:pStyle w:val="TableTextCentered"/>
            </w:pPr>
            <w:r w:rsidRPr="00A06F1E">
              <w:t>33.0</w:t>
            </w:r>
          </w:p>
        </w:tc>
        <w:tc>
          <w:tcPr>
            <w:tcW w:w="1260" w:type="dxa"/>
          </w:tcPr>
          <w:p w14:paraId="38533A0F" w14:textId="77777777" w:rsidR="00B607BD" w:rsidRPr="00A06F1E" w:rsidRDefault="00B607BD" w:rsidP="007D5F1C">
            <w:pPr>
              <w:pStyle w:val="TableTextCentered"/>
            </w:pPr>
            <w:r w:rsidRPr="00A06F1E">
              <w:t>37.8</w:t>
            </w:r>
          </w:p>
        </w:tc>
        <w:tc>
          <w:tcPr>
            <w:tcW w:w="1260" w:type="dxa"/>
          </w:tcPr>
          <w:p w14:paraId="6BE732C7" w14:textId="77777777" w:rsidR="00B607BD" w:rsidRPr="00A06F1E" w:rsidRDefault="00B607BD" w:rsidP="007D5F1C">
            <w:pPr>
              <w:pStyle w:val="TableTextCentered"/>
            </w:pPr>
            <w:r w:rsidRPr="00A06F1E">
              <w:t>28.9</w:t>
            </w:r>
          </w:p>
        </w:tc>
        <w:tc>
          <w:tcPr>
            <w:tcW w:w="1260" w:type="dxa"/>
          </w:tcPr>
          <w:p w14:paraId="1F93FAA0" w14:textId="77777777" w:rsidR="00B607BD" w:rsidRPr="00A06F1E" w:rsidRDefault="00B607BD" w:rsidP="007D5F1C">
            <w:pPr>
              <w:pStyle w:val="TableTextCentered"/>
            </w:pPr>
            <w:r w:rsidRPr="00A06F1E">
              <w:t>49.8</w:t>
            </w:r>
          </w:p>
        </w:tc>
      </w:tr>
      <w:tr w:rsidR="00B607BD" w:rsidRPr="00A06F1E" w14:paraId="0BFC7892" w14:textId="77777777">
        <w:trPr>
          <w:jc w:val="center"/>
        </w:trPr>
        <w:tc>
          <w:tcPr>
            <w:tcW w:w="3052" w:type="dxa"/>
          </w:tcPr>
          <w:p w14:paraId="7B55F80F" w14:textId="77777777" w:rsidR="00B607BD" w:rsidRPr="00A06F1E" w:rsidRDefault="00B607BD" w:rsidP="007D5F1C">
            <w:pPr>
              <w:pStyle w:val="TableText"/>
            </w:pPr>
            <w:r w:rsidRPr="00A06F1E">
              <w:t>Low income</w:t>
            </w:r>
          </w:p>
        </w:tc>
        <w:tc>
          <w:tcPr>
            <w:tcW w:w="1260" w:type="dxa"/>
          </w:tcPr>
          <w:p w14:paraId="2C1A60CB" w14:textId="77777777" w:rsidR="00B607BD" w:rsidRPr="00A06F1E" w:rsidRDefault="00B607BD" w:rsidP="007D5F1C">
            <w:pPr>
              <w:pStyle w:val="TableTextCentered"/>
            </w:pPr>
            <w:r w:rsidRPr="00A06F1E">
              <w:t>67</w:t>
            </w:r>
          </w:p>
        </w:tc>
        <w:tc>
          <w:tcPr>
            <w:tcW w:w="1260" w:type="dxa"/>
          </w:tcPr>
          <w:p w14:paraId="0B0023A4" w14:textId="621952B1" w:rsidR="00B607BD" w:rsidRPr="00A06F1E" w:rsidRDefault="00805266" w:rsidP="007D5F1C">
            <w:pPr>
              <w:pStyle w:val="TableTextCentered"/>
            </w:pPr>
            <w:r w:rsidRPr="00A06F1E">
              <w:t>—</w:t>
            </w:r>
          </w:p>
        </w:tc>
        <w:tc>
          <w:tcPr>
            <w:tcW w:w="1260" w:type="dxa"/>
          </w:tcPr>
          <w:p w14:paraId="1F640087" w14:textId="77777777" w:rsidR="00B607BD" w:rsidRPr="00A06F1E" w:rsidRDefault="00B607BD" w:rsidP="007D5F1C">
            <w:pPr>
              <w:pStyle w:val="TableTextCentered"/>
            </w:pPr>
            <w:r w:rsidRPr="00A06F1E">
              <w:t>39.5</w:t>
            </w:r>
          </w:p>
        </w:tc>
        <w:tc>
          <w:tcPr>
            <w:tcW w:w="1260" w:type="dxa"/>
          </w:tcPr>
          <w:p w14:paraId="5A750C7D" w14:textId="77777777" w:rsidR="00B607BD" w:rsidRPr="00A06F1E" w:rsidRDefault="00B607BD" w:rsidP="007D5F1C">
            <w:pPr>
              <w:pStyle w:val="TableTextCentered"/>
            </w:pPr>
            <w:r w:rsidRPr="00A06F1E">
              <w:t>29.9</w:t>
            </w:r>
          </w:p>
        </w:tc>
        <w:tc>
          <w:tcPr>
            <w:tcW w:w="1260" w:type="dxa"/>
          </w:tcPr>
          <w:p w14:paraId="576D0242" w14:textId="77777777" w:rsidR="00B607BD" w:rsidRPr="00A06F1E" w:rsidRDefault="00B607BD" w:rsidP="007D5F1C">
            <w:pPr>
              <w:pStyle w:val="TableTextCentered"/>
            </w:pPr>
            <w:r w:rsidRPr="00A06F1E">
              <w:t>50.7</w:t>
            </w:r>
          </w:p>
        </w:tc>
      </w:tr>
      <w:tr w:rsidR="00B607BD" w:rsidRPr="00A06F1E" w14:paraId="06EFD33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FAA1D4D" w14:textId="1C8EDED2" w:rsidR="00B607BD" w:rsidRPr="00A06F1E" w:rsidRDefault="00BF1EE4" w:rsidP="007D5F1C">
            <w:pPr>
              <w:pStyle w:val="TableText"/>
            </w:pPr>
            <w:r w:rsidRPr="00A06F1E">
              <w:rPr>
                <w:spacing w:val="-4"/>
              </w:rPr>
              <w:t>E</w:t>
            </w:r>
            <w:r w:rsidR="00D746CA">
              <w:rPr>
                <w:spacing w:val="-4"/>
              </w:rPr>
              <w:t>nglish learners</w:t>
            </w:r>
          </w:p>
        </w:tc>
        <w:tc>
          <w:tcPr>
            <w:tcW w:w="1260" w:type="dxa"/>
          </w:tcPr>
          <w:p w14:paraId="6C330FE0" w14:textId="35C39BFC" w:rsidR="00B607BD" w:rsidRPr="00A06F1E" w:rsidRDefault="00805266" w:rsidP="007D5F1C">
            <w:pPr>
              <w:pStyle w:val="TableTextCentered"/>
            </w:pPr>
            <w:r w:rsidRPr="00A06F1E">
              <w:t>—</w:t>
            </w:r>
          </w:p>
        </w:tc>
        <w:tc>
          <w:tcPr>
            <w:tcW w:w="1260" w:type="dxa"/>
          </w:tcPr>
          <w:p w14:paraId="7DF4FCC8" w14:textId="2C43DFE0" w:rsidR="00B607BD" w:rsidRPr="00A06F1E" w:rsidRDefault="00805266" w:rsidP="007D5F1C">
            <w:pPr>
              <w:pStyle w:val="TableTextCentered"/>
            </w:pPr>
            <w:r w:rsidRPr="00A06F1E">
              <w:t>—</w:t>
            </w:r>
          </w:p>
        </w:tc>
        <w:tc>
          <w:tcPr>
            <w:tcW w:w="1260" w:type="dxa"/>
          </w:tcPr>
          <w:p w14:paraId="3A9280F7" w14:textId="42F064B3" w:rsidR="00B607BD" w:rsidRPr="00A06F1E" w:rsidRDefault="00805266" w:rsidP="007D5F1C">
            <w:pPr>
              <w:pStyle w:val="TableTextCentered"/>
            </w:pPr>
            <w:r w:rsidRPr="00A06F1E">
              <w:t>—</w:t>
            </w:r>
          </w:p>
        </w:tc>
        <w:tc>
          <w:tcPr>
            <w:tcW w:w="1260" w:type="dxa"/>
          </w:tcPr>
          <w:p w14:paraId="216A4465" w14:textId="1B53F614" w:rsidR="00B607BD" w:rsidRPr="00A06F1E" w:rsidRDefault="00805266" w:rsidP="007D5F1C">
            <w:pPr>
              <w:pStyle w:val="TableTextCentered"/>
            </w:pPr>
            <w:r w:rsidRPr="00A06F1E">
              <w:t>—</w:t>
            </w:r>
          </w:p>
        </w:tc>
        <w:tc>
          <w:tcPr>
            <w:tcW w:w="1260" w:type="dxa"/>
          </w:tcPr>
          <w:p w14:paraId="04CEA72B" w14:textId="77777777" w:rsidR="00B607BD" w:rsidRPr="00A06F1E" w:rsidRDefault="00B607BD" w:rsidP="007D5F1C">
            <w:pPr>
              <w:pStyle w:val="TableTextCentered"/>
            </w:pPr>
            <w:r w:rsidRPr="00A06F1E">
              <w:t>31.7</w:t>
            </w:r>
          </w:p>
        </w:tc>
      </w:tr>
      <w:tr w:rsidR="00B607BD" w:rsidRPr="00A06F1E" w14:paraId="4AE6553A" w14:textId="77777777">
        <w:trPr>
          <w:jc w:val="center"/>
        </w:trPr>
        <w:tc>
          <w:tcPr>
            <w:tcW w:w="3052" w:type="dxa"/>
          </w:tcPr>
          <w:p w14:paraId="3987DB53" w14:textId="77777777" w:rsidR="00B607BD" w:rsidRPr="00A06F1E" w:rsidRDefault="00B607BD" w:rsidP="007D5F1C">
            <w:pPr>
              <w:pStyle w:val="TableText"/>
            </w:pPr>
            <w:r w:rsidRPr="00A06F1E">
              <w:t>Students w/disabilities</w:t>
            </w:r>
          </w:p>
        </w:tc>
        <w:tc>
          <w:tcPr>
            <w:tcW w:w="1260" w:type="dxa"/>
          </w:tcPr>
          <w:p w14:paraId="2BF5C4EA" w14:textId="77777777" w:rsidR="00B607BD" w:rsidRPr="00A06F1E" w:rsidRDefault="00B607BD" w:rsidP="007D5F1C">
            <w:pPr>
              <w:pStyle w:val="TableTextCentered"/>
            </w:pPr>
            <w:r w:rsidRPr="00A06F1E">
              <w:t>27</w:t>
            </w:r>
          </w:p>
        </w:tc>
        <w:tc>
          <w:tcPr>
            <w:tcW w:w="1260" w:type="dxa"/>
          </w:tcPr>
          <w:p w14:paraId="0E8FFC9C" w14:textId="77777777" w:rsidR="00B607BD" w:rsidRPr="00A06F1E" w:rsidRDefault="00B607BD" w:rsidP="007D5F1C">
            <w:pPr>
              <w:pStyle w:val="TableTextCentered"/>
            </w:pPr>
            <w:r w:rsidRPr="00A06F1E">
              <w:t>6.7</w:t>
            </w:r>
          </w:p>
        </w:tc>
        <w:tc>
          <w:tcPr>
            <w:tcW w:w="1260" w:type="dxa"/>
          </w:tcPr>
          <w:p w14:paraId="44DA979B" w14:textId="77777777" w:rsidR="00B607BD" w:rsidRPr="00A06F1E" w:rsidRDefault="00B607BD" w:rsidP="007D5F1C">
            <w:pPr>
              <w:pStyle w:val="TableTextCentered"/>
            </w:pPr>
            <w:r w:rsidRPr="00A06F1E">
              <w:t>12.5</w:t>
            </w:r>
          </w:p>
        </w:tc>
        <w:tc>
          <w:tcPr>
            <w:tcW w:w="1260" w:type="dxa"/>
          </w:tcPr>
          <w:p w14:paraId="10F6F239" w14:textId="77777777" w:rsidR="00B607BD" w:rsidRPr="00A06F1E" w:rsidRDefault="00B607BD" w:rsidP="007D5F1C">
            <w:pPr>
              <w:pStyle w:val="TableTextCentered"/>
            </w:pPr>
            <w:r w:rsidRPr="00A06F1E">
              <w:t>11.1</w:t>
            </w:r>
          </w:p>
        </w:tc>
        <w:tc>
          <w:tcPr>
            <w:tcW w:w="1260" w:type="dxa"/>
          </w:tcPr>
          <w:p w14:paraId="6CB7312C" w14:textId="77777777" w:rsidR="00B607BD" w:rsidRPr="00A06F1E" w:rsidRDefault="00B607BD" w:rsidP="007D5F1C">
            <w:pPr>
              <w:pStyle w:val="TableTextCentered"/>
            </w:pPr>
            <w:r w:rsidRPr="00A06F1E">
              <w:t>36.0</w:t>
            </w:r>
          </w:p>
        </w:tc>
      </w:tr>
    </w:tbl>
    <w:p w14:paraId="01606FCF" w14:textId="77777777" w:rsidR="00B607BD" w:rsidRPr="00A06F1E" w:rsidRDefault="00B607BD" w:rsidP="00B607BD">
      <w:pPr>
        <w:spacing w:line="240" w:lineRule="auto"/>
        <w:rPr>
          <w:rFonts w:ascii="Franklin Gothic Book" w:hAnsi="Franklin Gothic Book"/>
          <w:sz w:val="20"/>
          <w:szCs w:val="20"/>
        </w:rPr>
      </w:pPr>
    </w:p>
    <w:p w14:paraId="27C6CD0A" w14:textId="77777777" w:rsidR="007D5F1C" w:rsidRPr="00A06F1E" w:rsidRDefault="007D5F1C">
      <w:pPr>
        <w:spacing w:line="240" w:lineRule="auto"/>
        <w:rPr>
          <w:rFonts w:ascii="Franklin Gothic Demi" w:hAnsi="Franklin Gothic Demi"/>
        </w:rPr>
      </w:pPr>
      <w:r w:rsidRPr="00A06F1E">
        <w:br w:type="page"/>
      </w:r>
    </w:p>
    <w:p w14:paraId="6BAE1497" w14:textId="6DDD70A1" w:rsidR="00B607BD" w:rsidRPr="00A06F1E" w:rsidRDefault="00B607BD" w:rsidP="00B7722D">
      <w:pPr>
        <w:pStyle w:val="TabletitleSectionE"/>
      </w:pPr>
      <w:bookmarkStart w:id="336" w:name="_Toc170701992"/>
      <w:bookmarkStart w:id="337" w:name="_Toc171685829"/>
      <w:r w:rsidRPr="00A06F1E">
        <w:lastRenderedPageBreak/>
        <w:t>Table E22</w:t>
      </w:r>
      <w:r w:rsidR="00472928">
        <w:t>a</w:t>
      </w:r>
      <w:r w:rsidR="00CE00AC" w:rsidRPr="00A06F1E">
        <w:t xml:space="preserve">. </w:t>
      </w:r>
      <w:r w:rsidR="00CF4F71">
        <w:t>Fisher Hill</w:t>
      </w:r>
      <w:r w:rsidR="003378D3" w:rsidRPr="00A06F1E">
        <w:t>:</w:t>
      </w:r>
      <w:r w:rsidRPr="00A06F1E">
        <w:t xml:space="preserve"> Accountability Percentile and Classification, 2023</w:t>
      </w:r>
      <w:bookmarkEnd w:id="336"/>
      <w:bookmarkEnd w:id="337"/>
    </w:p>
    <w:tbl>
      <w:tblPr>
        <w:tblStyle w:val="MSVTable1"/>
        <w:tblW w:w="5000" w:type="pct"/>
        <w:tblLook w:val="04A0" w:firstRow="1" w:lastRow="0" w:firstColumn="1" w:lastColumn="0" w:noHBand="0" w:noVBand="1"/>
      </w:tblPr>
      <w:tblGrid>
        <w:gridCol w:w="2282"/>
        <w:gridCol w:w="1273"/>
        <w:gridCol w:w="1016"/>
        <w:gridCol w:w="2361"/>
        <w:gridCol w:w="2412"/>
      </w:tblGrid>
      <w:tr w:rsidR="00B607BD" w:rsidRPr="00A06F1E" w14:paraId="403774B7" w14:textId="77777777" w:rsidTr="007D5F1C">
        <w:trPr>
          <w:cnfStyle w:val="100000000000" w:firstRow="1" w:lastRow="0" w:firstColumn="0" w:lastColumn="0" w:oddVBand="0" w:evenVBand="0" w:oddHBand="0" w:evenHBand="0" w:firstRowFirstColumn="0" w:firstRowLastColumn="0" w:lastRowFirstColumn="0" w:lastRowLastColumn="0"/>
        </w:trPr>
        <w:tc>
          <w:tcPr>
            <w:tcW w:w="2282" w:type="dxa"/>
            <w:vAlign w:val="center"/>
          </w:tcPr>
          <w:p w14:paraId="1058CE22" w14:textId="77777777" w:rsidR="00B607BD" w:rsidRPr="00DF7902" w:rsidRDefault="00B607BD" w:rsidP="007D5F1C">
            <w:pPr>
              <w:pStyle w:val="TableColHeadingCenter"/>
            </w:pPr>
            <w:r w:rsidRPr="00DF7902">
              <w:t>School</w:t>
            </w:r>
          </w:p>
        </w:tc>
        <w:tc>
          <w:tcPr>
            <w:tcW w:w="1273" w:type="dxa"/>
          </w:tcPr>
          <w:p w14:paraId="39E8B54F" w14:textId="046891E5" w:rsidR="00B607BD" w:rsidRPr="00A06F1E" w:rsidRDefault="00B607BD" w:rsidP="007D5F1C">
            <w:pPr>
              <w:pStyle w:val="TableColHeadingCenter"/>
            </w:pPr>
            <w:r w:rsidRPr="00A06F1E">
              <w:t xml:space="preserve">Progress </w:t>
            </w:r>
            <w:r w:rsidR="00D84F04" w:rsidRPr="00A06F1E">
              <w:t>t</w:t>
            </w:r>
            <w:r w:rsidRPr="00A06F1E">
              <w:t xml:space="preserve">oward </w:t>
            </w:r>
            <w:r w:rsidR="00D84F04" w:rsidRPr="00A06F1E">
              <w:t>i</w:t>
            </w:r>
            <w:r w:rsidRPr="00A06F1E">
              <w:t xml:space="preserve">mprovement </w:t>
            </w:r>
            <w:r w:rsidR="00D84F04" w:rsidRPr="00A06F1E">
              <w:t>t</w:t>
            </w:r>
            <w:r w:rsidRPr="00A06F1E">
              <w:t>argets (%)</w:t>
            </w:r>
          </w:p>
        </w:tc>
        <w:tc>
          <w:tcPr>
            <w:tcW w:w="1016" w:type="dxa"/>
            <w:vAlign w:val="center"/>
          </w:tcPr>
          <w:p w14:paraId="2F807210" w14:textId="77777777" w:rsidR="00B607BD" w:rsidRPr="00A06F1E" w:rsidRDefault="00B607BD" w:rsidP="007D5F1C">
            <w:pPr>
              <w:pStyle w:val="TableColHeadingCenter"/>
            </w:pPr>
            <w:r w:rsidRPr="00A06F1E">
              <w:t>Percentile</w:t>
            </w:r>
          </w:p>
        </w:tc>
        <w:tc>
          <w:tcPr>
            <w:tcW w:w="2361" w:type="dxa"/>
            <w:vAlign w:val="center"/>
          </w:tcPr>
          <w:p w14:paraId="6DA4ABE6" w14:textId="3AB1B7E3" w:rsidR="00B607BD" w:rsidRPr="00A06F1E" w:rsidRDefault="00B607BD" w:rsidP="007D5F1C">
            <w:pPr>
              <w:pStyle w:val="TableColHeadingCenter"/>
            </w:pPr>
            <w:r w:rsidRPr="00A06F1E">
              <w:t xml:space="preserve">Overall </w:t>
            </w:r>
            <w:r w:rsidR="002E4EDD" w:rsidRPr="00A06F1E">
              <w:t>c</w:t>
            </w:r>
            <w:r w:rsidRPr="00A06F1E">
              <w:t>lassification</w:t>
            </w:r>
          </w:p>
        </w:tc>
        <w:tc>
          <w:tcPr>
            <w:tcW w:w="2412" w:type="dxa"/>
            <w:vAlign w:val="center"/>
          </w:tcPr>
          <w:p w14:paraId="61637975" w14:textId="4EE8540F" w:rsidR="00B607BD" w:rsidRPr="00A06F1E" w:rsidRDefault="00B607BD" w:rsidP="007D5F1C">
            <w:pPr>
              <w:pStyle w:val="TableColHeadingCenter"/>
            </w:pPr>
            <w:r w:rsidRPr="00A06F1E">
              <w:t xml:space="preserve">Reason for </w:t>
            </w:r>
            <w:r w:rsidR="002E4EDD" w:rsidRPr="00A06F1E">
              <w:t>c</w:t>
            </w:r>
            <w:r w:rsidRPr="00A06F1E">
              <w:t>lassification</w:t>
            </w:r>
          </w:p>
        </w:tc>
      </w:tr>
      <w:tr w:rsidR="00B607BD" w:rsidRPr="00A06F1E" w14:paraId="60B32C41" w14:textId="77777777" w:rsidTr="007D5F1C">
        <w:trPr>
          <w:cnfStyle w:val="000000100000" w:firstRow="0" w:lastRow="0" w:firstColumn="0" w:lastColumn="0" w:oddVBand="0" w:evenVBand="0" w:oddHBand="1" w:evenHBand="0" w:firstRowFirstColumn="0" w:firstRowLastColumn="0" w:lastRowFirstColumn="0" w:lastRowLastColumn="0"/>
        </w:trPr>
        <w:tc>
          <w:tcPr>
            <w:tcW w:w="2282" w:type="dxa"/>
            <w:vAlign w:val="center"/>
          </w:tcPr>
          <w:p w14:paraId="2A8569F2" w14:textId="77777777" w:rsidR="00B607BD" w:rsidRPr="00A06F1E" w:rsidRDefault="00B607BD" w:rsidP="007D5F1C">
            <w:pPr>
              <w:pStyle w:val="TableText"/>
              <w:rPr>
                <w:szCs w:val="20"/>
              </w:rPr>
            </w:pPr>
            <w:r w:rsidRPr="00A06F1E">
              <w:t>District</w:t>
            </w:r>
          </w:p>
        </w:tc>
        <w:tc>
          <w:tcPr>
            <w:tcW w:w="1273" w:type="dxa"/>
            <w:vAlign w:val="center"/>
          </w:tcPr>
          <w:p w14:paraId="5B3E3E1B" w14:textId="77777777" w:rsidR="00B607BD" w:rsidRPr="00A06F1E" w:rsidRDefault="00B607BD" w:rsidP="007D5F1C">
            <w:pPr>
              <w:pStyle w:val="TableTextCentered"/>
            </w:pPr>
            <w:r w:rsidRPr="00A06F1E">
              <w:t>71</w:t>
            </w:r>
          </w:p>
        </w:tc>
        <w:tc>
          <w:tcPr>
            <w:tcW w:w="1016" w:type="dxa"/>
            <w:vAlign w:val="center"/>
          </w:tcPr>
          <w:p w14:paraId="7DE17FCD" w14:textId="41EDA010" w:rsidR="00B607BD" w:rsidRPr="00A06F1E" w:rsidRDefault="00805266" w:rsidP="007D5F1C">
            <w:pPr>
              <w:pStyle w:val="TableTextCentered"/>
              <w:rPr>
                <w:szCs w:val="20"/>
              </w:rPr>
            </w:pPr>
            <w:r w:rsidRPr="00A06F1E">
              <w:t>—</w:t>
            </w:r>
          </w:p>
        </w:tc>
        <w:tc>
          <w:tcPr>
            <w:tcW w:w="2361" w:type="dxa"/>
            <w:vAlign w:val="center"/>
          </w:tcPr>
          <w:p w14:paraId="4EF0CE30" w14:textId="77777777" w:rsidR="00B607BD" w:rsidRPr="00A06F1E" w:rsidRDefault="00B607BD" w:rsidP="007D5F1C">
            <w:pPr>
              <w:pStyle w:val="TableTextCentered"/>
              <w:rPr>
                <w:szCs w:val="20"/>
              </w:rPr>
            </w:pPr>
            <w:r w:rsidRPr="00A06F1E">
              <w:t>Requiring assistance or intervention</w:t>
            </w:r>
          </w:p>
        </w:tc>
        <w:tc>
          <w:tcPr>
            <w:tcW w:w="2412" w:type="dxa"/>
            <w:vAlign w:val="center"/>
          </w:tcPr>
          <w:p w14:paraId="0722E4E0" w14:textId="77777777" w:rsidR="00B607BD" w:rsidRPr="00A06F1E" w:rsidRDefault="00B607BD" w:rsidP="007D5F1C">
            <w:pPr>
              <w:pStyle w:val="TableTextCentered"/>
              <w:rPr>
                <w:szCs w:val="20"/>
              </w:rPr>
            </w:pPr>
            <w:r w:rsidRPr="00A06F1E">
              <w:t>In need of focused/targeted support for low participation rate for Hispanic students</w:t>
            </w:r>
          </w:p>
        </w:tc>
      </w:tr>
      <w:tr w:rsidR="00B607BD" w:rsidRPr="00A06F1E" w14:paraId="48C1FD8A" w14:textId="77777777" w:rsidTr="007D5F1C">
        <w:tc>
          <w:tcPr>
            <w:tcW w:w="2282" w:type="dxa"/>
            <w:vAlign w:val="center"/>
          </w:tcPr>
          <w:p w14:paraId="54B5B35F" w14:textId="476159F3" w:rsidR="00B607BD" w:rsidRPr="00A06F1E" w:rsidRDefault="00CF4F71" w:rsidP="007D5F1C">
            <w:pPr>
              <w:pStyle w:val="TableText"/>
              <w:rPr>
                <w:szCs w:val="20"/>
              </w:rPr>
            </w:pPr>
            <w:r>
              <w:rPr>
                <w:szCs w:val="20"/>
              </w:rPr>
              <w:t>Fisher Hill</w:t>
            </w:r>
          </w:p>
        </w:tc>
        <w:tc>
          <w:tcPr>
            <w:tcW w:w="1273" w:type="dxa"/>
            <w:vAlign w:val="center"/>
          </w:tcPr>
          <w:p w14:paraId="59AF23B8" w14:textId="42E7FBEE" w:rsidR="00B607BD" w:rsidRPr="00A06F1E" w:rsidRDefault="00805266" w:rsidP="007D5F1C">
            <w:pPr>
              <w:pStyle w:val="TableTextCentered"/>
              <w:rPr>
                <w:szCs w:val="20"/>
              </w:rPr>
            </w:pPr>
            <w:r w:rsidRPr="00A06F1E">
              <w:rPr>
                <w:szCs w:val="20"/>
              </w:rPr>
              <w:t>—</w:t>
            </w:r>
          </w:p>
        </w:tc>
        <w:tc>
          <w:tcPr>
            <w:tcW w:w="1016" w:type="dxa"/>
            <w:vAlign w:val="center"/>
          </w:tcPr>
          <w:p w14:paraId="2EFA2C60" w14:textId="58B8B58C" w:rsidR="00B607BD" w:rsidRPr="00A06F1E" w:rsidRDefault="00805266" w:rsidP="007D5F1C">
            <w:pPr>
              <w:pStyle w:val="TableTextCentered"/>
              <w:rPr>
                <w:szCs w:val="20"/>
              </w:rPr>
            </w:pPr>
            <w:r w:rsidRPr="00A06F1E">
              <w:rPr>
                <w:szCs w:val="20"/>
              </w:rPr>
              <w:t>—</w:t>
            </w:r>
          </w:p>
        </w:tc>
        <w:tc>
          <w:tcPr>
            <w:tcW w:w="2361" w:type="dxa"/>
            <w:vAlign w:val="center"/>
          </w:tcPr>
          <w:p w14:paraId="4E85333E" w14:textId="77777777" w:rsidR="00B607BD" w:rsidRPr="00A06F1E" w:rsidRDefault="00B607BD" w:rsidP="007D5F1C">
            <w:pPr>
              <w:pStyle w:val="TableTextCentered"/>
              <w:rPr>
                <w:szCs w:val="20"/>
              </w:rPr>
            </w:pPr>
            <w:r w:rsidRPr="00A06F1E">
              <w:rPr>
                <w:szCs w:val="20"/>
              </w:rPr>
              <w:t>Insufficient data</w:t>
            </w:r>
          </w:p>
        </w:tc>
        <w:tc>
          <w:tcPr>
            <w:tcW w:w="2412" w:type="dxa"/>
            <w:vAlign w:val="center"/>
          </w:tcPr>
          <w:p w14:paraId="670BBF97" w14:textId="77777777" w:rsidR="00B607BD" w:rsidRPr="00A06F1E" w:rsidRDefault="00B607BD" w:rsidP="007D5F1C">
            <w:pPr>
              <w:pStyle w:val="TableTextCentered"/>
              <w:rPr>
                <w:szCs w:val="20"/>
              </w:rPr>
            </w:pPr>
            <w:r w:rsidRPr="00A06F1E">
              <w:rPr>
                <w:szCs w:val="20"/>
              </w:rPr>
              <w:t>Insufficient data</w:t>
            </w:r>
          </w:p>
        </w:tc>
      </w:tr>
      <w:tr w:rsidR="00B607BD" w:rsidRPr="00A06F1E" w14:paraId="25CF5046" w14:textId="77777777" w:rsidTr="007D5F1C">
        <w:trPr>
          <w:cnfStyle w:val="000000100000" w:firstRow="0" w:lastRow="0" w:firstColumn="0" w:lastColumn="0" w:oddVBand="0" w:evenVBand="0" w:oddHBand="1" w:evenHBand="0" w:firstRowFirstColumn="0" w:firstRowLastColumn="0" w:lastRowFirstColumn="0" w:lastRowLastColumn="0"/>
        </w:trPr>
        <w:tc>
          <w:tcPr>
            <w:tcW w:w="2282" w:type="dxa"/>
            <w:vAlign w:val="center"/>
          </w:tcPr>
          <w:p w14:paraId="5528705F" w14:textId="77777777" w:rsidR="00B607BD" w:rsidRPr="00A06F1E" w:rsidRDefault="00B607BD" w:rsidP="007D5F1C">
            <w:pPr>
              <w:pStyle w:val="TableText"/>
              <w:rPr>
                <w:szCs w:val="20"/>
              </w:rPr>
            </w:pPr>
            <w:r w:rsidRPr="00A06F1E">
              <w:rPr>
                <w:szCs w:val="20"/>
              </w:rPr>
              <w:t>Dexter Park</w:t>
            </w:r>
          </w:p>
        </w:tc>
        <w:tc>
          <w:tcPr>
            <w:tcW w:w="1273" w:type="dxa"/>
            <w:vAlign w:val="center"/>
          </w:tcPr>
          <w:p w14:paraId="0B6BD32B" w14:textId="77777777" w:rsidR="00B607BD" w:rsidRPr="00A06F1E" w:rsidRDefault="00B607BD" w:rsidP="007D5F1C">
            <w:pPr>
              <w:pStyle w:val="TableTextCentered"/>
              <w:rPr>
                <w:szCs w:val="20"/>
              </w:rPr>
            </w:pPr>
            <w:r w:rsidRPr="00A06F1E">
              <w:rPr>
                <w:szCs w:val="20"/>
              </w:rPr>
              <w:t>69</w:t>
            </w:r>
          </w:p>
        </w:tc>
        <w:tc>
          <w:tcPr>
            <w:tcW w:w="1016" w:type="dxa"/>
            <w:vAlign w:val="center"/>
          </w:tcPr>
          <w:p w14:paraId="4290C641" w14:textId="77777777" w:rsidR="00B607BD" w:rsidRPr="00A06F1E" w:rsidRDefault="00B607BD" w:rsidP="007D5F1C">
            <w:pPr>
              <w:pStyle w:val="TableTextCentered"/>
              <w:rPr>
                <w:szCs w:val="20"/>
              </w:rPr>
            </w:pPr>
            <w:r w:rsidRPr="00A06F1E">
              <w:rPr>
                <w:szCs w:val="20"/>
              </w:rPr>
              <w:t>13</w:t>
            </w:r>
          </w:p>
        </w:tc>
        <w:tc>
          <w:tcPr>
            <w:tcW w:w="2361" w:type="dxa"/>
            <w:vAlign w:val="center"/>
          </w:tcPr>
          <w:p w14:paraId="471276D7" w14:textId="77777777" w:rsidR="00B607BD" w:rsidRPr="00A06F1E" w:rsidRDefault="00B607BD" w:rsidP="007D5F1C">
            <w:pPr>
              <w:pStyle w:val="TableTextCentered"/>
              <w:rPr>
                <w:szCs w:val="20"/>
              </w:rPr>
            </w:pPr>
            <w:r w:rsidRPr="00A06F1E">
              <w:t>Requiring assistance or intervention</w:t>
            </w:r>
          </w:p>
        </w:tc>
        <w:tc>
          <w:tcPr>
            <w:tcW w:w="2412" w:type="dxa"/>
            <w:vAlign w:val="center"/>
          </w:tcPr>
          <w:p w14:paraId="2A65FE08" w14:textId="77777777" w:rsidR="00B607BD" w:rsidRPr="00A06F1E" w:rsidRDefault="00B607BD" w:rsidP="007D5F1C">
            <w:pPr>
              <w:pStyle w:val="TableTextCentered"/>
              <w:rPr>
                <w:szCs w:val="20"/>
              </w:rPr>
            </w:pPr>
            <w:r w:rsidRPr="00A06F1E">
              <w:t>In need of focused/targeted support for low participation rate for Hispanic students</w:t>
            </w:r>
          </w:p>
        </w:tc>
      </w:tr>
    </w:tbl>
    <w:p w14:paraId="5620E172" w14:textId="1CBD0AE0" w:rsidR="00B607BD" w:rsidRPr="00A06F1E" w:rsidRDefault="00B607BD" w:rsidP="00B7722D">
      <w:pPr>
        <w:pStyle w:val="TabletitleSectionE"/>
      </w:pPr>
      <w:bookmarkStart w:id="338" w:name="_Toc170701993"/>
      <w:bookmarkStart w:id="339" w:name="_Toc171685830"/>
      <w:bookmarkEnd w:id="331"/>
      <w:r w:rsidRPr="00A06F1E">
        <w:t>Table E22</w:t>
      </w:r>
      <w:r w:rsidR="007F62E8">
        <w:t>b</w:t>
      </w:r>
      <w:r w:rsidR="007C4E08" w:rsidRPr="00A06F1E">
        <w:t xml:space="preserve">. </w:t>
      </w:r>
      <w:proofErr w:type="spellStart"/>
      <w:r w:rsidR="00652B48">
        <w:t>Petersham</w:t>
      </w:r>
      <w:proofErr w:type="spellEnd"/>
      <w:r w:rsidR="00652B48">
        <w:t xml:space="preserve"> Center</w:t>
      </w:r>
      <w:r w:rsidR="003378D3" w:rsidRPr="00A06F1E">
        <w:t>:</w:t>
      </w:r>
      <w:r w:rsidRPr="00A06F1E">
        <w:t xml:space="preserve"> Accountability Percentile and Classification, 2023</w:t>
      </w:r>
      <w:bookmarkEnd w:id="338"/>
      <w:bookmarkEnd w:id="339"/>
    </w:p>
    <w:tbl>
      <w:tblPr>
        <w:tblStyle w:val="MSVTable1"/>
        <w:tblW w:w="0" w:type="auto"/>
        <w:jc w:val="center"/>
        <w:tblLook w:val="04A0" w:firstRow="1" w:lastRow="0" w:firstColumn="1" w:lastColumn="0" w:noHBand="0" w:noVBand="1"/>
      </w:tblPr>
      <w:tblGrid>
        <w:gridCol w:w="2315"/>
        <w:gridCol w:w="1273"/>
        <w:gridCol w:w="1016"/>
        <w:gridCol w:w="2359"/>
        <w:gridCol w:w="2381"/>
      </w:tblGrid>
      <w:tr w:rsidR="00B607BD" w:rsidRPr="00A06F1E" w14:paraId="64AC5737" w14:textId="77777777">
        <w:trPr>
          <w:cnfStyle w:val="100000000000" w:firstRow="1" w:lastRow="0" w:firstColumn="0" w:lastColumn="0" w:oddVBand="0" w:evenVBand="0" w:oddHBand="0" w:evenHBand="0" w:firstRowFirstColumn="0" w:firstRowLastColumn="0" w:lastRowFirstColumn="0" w:lastRowLastColumn="0"/>
          <w:jc w:val="center"/>
        </w:trPr>
        <w:tc>
          <w:tcPr>
            <w:tcW w:w="2315" w:type="dxa"/>
            <w:vAlign w:val="center"/>
          </w:tcPr>
          <w:p w14:paraId="4675BAA4" w14:textId="77777777" w:rsidR="00B607BD" w:rsidRPr="00A06F1E" w:rsidRDefault="00B607BD" w:rsidP="007D5F1C">
            <w:pPr>
              <w:pStyle w:val="TableColHeadingCenter"/>
            </w:pPr>
            <w:r w:rsidRPr="00A06F1E">
              <w:t>School</w:t>
            </w:r>
          </w:p>
        </w:tc>
        <w:tc>
          <w:tcPr>
            <w:tcW w:w="1273" w:type="dxa"/>
          </w:tcPr>
          <w:p w14:paraId="2D85F275" w14:textId="445365D3" w:rsidR="00B607BD" w:rsidRPr="00A06F1E" w:rsidRDefault="00B607BD" w:rsidP="007D5F1C">
            <w:pPr>
              <w:pStyle w:val="TableColHeadingCenter"/>
            </w:pPr>
            <w:r w:rsidRPr="00A06F1E">
              <w:t xml:space="preserve">Progress </w:t>
            </w:r>
            <w:r w:rsidR="00B701F3" w:rsidRPr="00A06F1E">
              <w:t>t</w:t>
            </w:r>
            <w:r w:rsidRPr="00A06F1E">
              <w:t xml:space="preserve">oward </w:t>
            </w:r>
            <w:r w:rsidR="00B701F3" w:rsidRPr="00A06F1E">
              <w:t>i</w:t>
            </w:r>
            <w:r w:rsidRPr="00A06F1E">
              <w:t xml:space="preserve">mprovement </w:t>
            </w:r>
            <w:r w:rsidR="00B701F3" w:rsidRPr="00A06F1E">
              <w:t>t</w:t>
            </w:r>
            <w:r w:rsidRPr="00A06F1E">
              <w:t>argets (%)</w:t>
            </w:r>
          </w:p>
        </w:tc>
        <w:tc>
          <w:tcPr>
            <w:tcW w:w="1016" w:type="dxa"/>
            <w:vAlign w:val="center"/>
          </w:tcPr>
          <w:p w14:paraId="06B333EC" w14:textId="77777777" w:rsidR="00B607BD" w:rsidRPr="00A06F1E" w:rsidRDefault="00B607BD" w:rsidP="007D5F1C">
            <w:pPr>
              <w:pStyle w:val="TableColHeadingCenter"/>
            </w:pPr>
            <w:r w:rsidRPr="00A06F1E">
              <w:t>Percentile</w:t>
            </w:r>
          </w:p>
        </w:tc>
        <w:tc>
          <w:tcPr>
            <w:tcW w:w="2359" w:type="dxa"/>
            <w:vAlign w:val="center"/>
          </w:tcPr>
          <w:p w14:paraId="23DB87CE" w14:textId="4E762D63" w:rsidR="00B607BD" w:rsidRPr="00A06F1E" w:rsidRDefault="00B607BD" w:rsidP="007D5F1C">
            <w:pPr>
              <w:pStyle w:val="TableColHeadingCenter"/>
            </w:pPr>
            <w:r w:rsidRPr="00A06F1E">
              <w:t xml:space="preserve">Overall </w:t>
            </w:r>
            <w:r w:rsidR="00B701F3" w:rsidRPr="00A06F1E">
              <w:t>c</w:t>
            </w:r>
            <w:r w:rsidRPr="00A06F1E">
              <w:t>lassification</w:t>
            </w:r>
          </w:p>
        </w:tc>
        <w:tc>
          <w:tcPr>
            <w:tcW w:w="2381" w:type="dxa"/>
            <w:vAlign w:val="center"/>
          </w:tcPr>
          <w:p w14:paraId="37F59D9D" w14:textId="26B811B9" w:rsidR="00B607BD" w:rsidRPr="00A06F1E" w:rsidRDefault="00B607BD" w:rsidP="007D5F1C">
            <w:pPr>
              <w:pStyle w:val="TableColHeadingCenter"/>
            </w:pPr>
            <w:r w:rsidRPr="00A06F1E">
              <w:t xml:space="preserve">Reason for </w:t>
            </w:r>
            <w:r w:rsidR="00B701F3" w:rsidRPr="00A06F1E">
              <w:t>c</w:t>
            </w:r>
            <w:r w:rsidRPr="00A06F1E">
              <w:t>lassification</w:t>
            </w:r>
          </w:p>
        </w:tc>
      </w:tr>
      <w:tr w:rsidR="00B607BD" w:rsidRPr="00A06F1E" w14:paraId="60E078A9" w14:textId="77777777">
        <w:trPr>
          <w:cnfStyle w:val="000000100000" w:firstRow="0" w:lastRow="0" w:firstColumn="0" w:lastColumn="0" w:oddVBand="0" w:evenVBand="0" w:oddHBand="1" w:evenHBand="0" w:firstRowFirstColumn="0" w:firstRowLastColumn="0" w:lastRowFirstColumn="0" w:lastRowLastColumn="0"/>
          <w:jc w:val="center"/>
        </w:trPr>
        <w:tc>
          <w:tcPr>
            <w:tcW w:w="2315" w:type="dxa"/>
            <w:vAlign w:val="center"/>
          </w:tcPr>
          <w:p w14:paraId="429AC840" w14:textId="77777777" w:rsidR="00B607BD" w:rsidRPr="00A06F1E" w:rsidRDefault="00B607BD" w:rsidP="007D5F1C">
            <w:pPr>
              <w:pStyle w:val="TableText"/>
              <w:rPr>
                <w:szCs w:val="20"/>
              </w:rPr>
            </w:pPr>
            <w:r w:rsidRPr="00A06F1E">
              <w:t>District</w:t>
            </w:r>
          </w:p>
        </w:tc>
        <w:tc>
          <w:tcPr>
            <w:tcW w:w="1273" w:type="dxa"/>
            <w:vAlign w:val="center"/>
          </w:tcPr>
          <w:p w14:paraId="47010EF9" w14:textId="77777777" w:rsidR="00B607BD" w:rsidRPr="00A06F1E" w:rsidRDefault="00B607BD" w:rsidP="007D5F1C">
            <w:pPr>
              <w:pStyle w:val="TableTextCentered"/>
            </w:pPr>
            <w:r w:rsidRPr="00A06F1E">
              <w:t>89</w:t>
            </w:r>
          </w:p>
        </w:tc>
        <w:tc>
          <w:tcPr>
            <w:tcW w:w="1016" w:type="dxa"/>
            <w:vAlign w:val="center"/>
          </w:tcPr>
          <w:p w14:paraId="0EA84A7D" w14:textId="7E8CA91D" w:rsidR="00B607BD" w:rsidRPr="00A06F1E" w:rsidRDefault="00805266" w:rsidP="007D5F1C">
            <w:pPr>
              <w:pStyle w:val="TableTextCentered"/>
              <w:rPr>
                <w:szCs w:val="20"/>
              </w:rPr>
            </w:pPr>
            <w:r w:rsidRPr="00A06F1E">
              <w:t>—</w:t>
            </w:r>
          </w:p>
        </w:tc>
        <w:tc>
          <w:tcPr>
            <w:tcW w:w="2359" w:type="dxa"/>
            <w:vAlign w:val="center"/>
          </w:tcPr>
          <w:p w14:paraId="693E63B1" w14:textId="77777777" w:rsidR="00B607BD" w:rsidRPr="00A06F1E" w:rsidRDefault="00B607BD" w:rsidP="007D5F1C">
            <w:pPr>
              <w:pStyle w:val="TableTextCentered"/>
              <w:rPr>
                <w:szCs w:val="20"/>
              </w:rPr>
            </w:pPr>
            <w:r w:rsidRPr="00A06F1E">
              <w:t>Not requiring assistance or intervention</w:t>
            </w:r>
          </w:p>
        </w:tc>
        <w:tc>
          <w:tcPr>
            <w:tcW w:w="2381" w:type="dxa"/>
            <w:vAlign w:val="center"/>
          </w:tcPr>
          <w:p w14:paraId="198365AE" w14:textId="77777777" w:rsidR="00B607BD" w:rsidRPr="00A06F1E" w:rsidRDefault="00B607BD" w:rsidP="007D5F1C">
            <w:pPr>
              <w:pStyle w:val="TableTextCentered"/>
              <w:rPr>
                <w:szCs w:val="20"/>
              </w:rPr>
            </w:pPr>
            <w:r w:rsidRPr="00A06F1E">
              <w:t>Meeting or exceeding targets</w:t>
            </w:r>
          </w:p>
        </w:tc>
      </w:tr>
      <w:tr w:rsidR="00B607BD" w:rsidRPr="00A06F1E" w14:paraId="1FC1E455" w14:textId="77777777">
        <w:trPr>
          <w:jc w:val="center"/>
        </w:trPr>
        <w:tc>
          <w:tcPr>
            <w:tcW w:w="2315" w:type="dxa"/>
            <w:vAlign w:val="center"/>
          </w:tcPr>
          <w:p w14:paraId="1E81CAEE" w14:textId="2443C562" w:rsidR="00B607BD" w:rsidRPr="00A06F1E" w:rsidRDefault="00652B48" w:rsidP="007D5F1C">
            <w:pPr>
              <w:pStyle w:val="TableText"/>
              <w:rPr>
                <w:szCs w:val="20"/>
              </w:rPr>
            </w:pPr>
            <w:proofErr w:type="spellStart"/>
            <w:r>
              <w:rPr>
                <w:szCs w:val="20"/>
              </w:rPr>
              <w:t>Petersham</w:t>
            </w:r>
            <w:proofErr w:type="spellEnd"/>
            <w:r>
              <w:rPr>
                <w:szCs w:val="20"/>
              </w:rPr>
              <w:t xml:space="preserve"> Center</w:t>
            </w:r>
          </w:p>
        </w:tc>
        <w:tc>
          <w:tcPr>
            <w:tcW w:w="1273" w:type="dxa"/>
            <w:vAlign w:val="center"/>
          </w:tcPr>
          <w:p w14:paraId="7452D6A3" w14:textId="77777777" w:rsidR="00B607BD" w:rsidRPr="00A06F1E" w:rsidRDefault="00B607BD" w:rsidP="007D5F1C">
            <w:pPr>
              <w:pStyle w:val="TableTextCentered"/>
              <w:rPr>
                <w:szCs w:val="20"/>
              </w:rPr>
            </w:pPr>
            <w:r w:rsidRPr="00A06F1E">
              <w:rPr>
                <w:szCs w:val="20"/>
              </w:rPr>
              <w:t>86</w:t>
            </w:r>
          </w:p>
        </w:tc>
        <w:tc>
          <w:tcPr>
            <w:tcW w:w="1016" w:type="dxa"/>
            <w:vAlign w:val="center"/>
          </w:tcPr>
          <w:p w14:paraId="290124AD" w14:textId="77777777" w:rsidR="00B607BD" w:rsidRPr="00A06F1E" w:rsidRDefault="00B607BD" w:rsidP="007D5F1C">
            <w:pPr>
              <w:pStyle w:val="TableTextCentered"/>
              <w:rPr>
                <w:szCs w:val="20"/>
              </w:rPr>
            </w:pPr>
            <w:r w:rsidRPr="00A06F1E">
              <w:rPr>
                <w:szCs w:val="20"/>
              </w:rPr>
              <w:t>54</w:t>
            </w:r>
          </w:p>
        </w:tc>
        <w:tc>
          <w:tcPr>
            <w:tcW w:w="2359" w:type="dxa"/>
            <w:vAlign w:val="center"/>
          </w:tcPr>
          <w:p w14:paraId="2BE8C542" w14:textId="77777777" w:rsidR="00B607BD" w:rsidRPr="00A06F1E" w:rsidRDefault="00B607BD" w:rsidP="007D5F1C">
            <w:pPr>
              <w:pStyle w:val="TableTextCentered"/>
              <w:rPr>
                <w:szCs w:val="20"/>
              </w:rPr>
            </w:pPr>
            <w:r w:rsidRPr="00A06F1E">
              <w:t>Not requiring assistance or intervention</w:t>
            </w:r>
          </w:p>
        </w:tc>
        <w:tc>
          <w:tcPr>
            <w:tcW w:w="2381" w:type="dxa"/>
            <w:vAlign w:val="center"/>
          </w:tcPr>
          <w:p w14:paraId="1BE44899" w14:textId="77777777" w:rsidR="00B607BD" w:rsidRPr="00A06F1E" w:rsidRDefault="00B607BD" w:rsidP="007D5F1C">
            <w:pPr>
              <w:pStyle w:val="TableTextCentered"/>
              <w:rPr>
                <w:szCs w:val="20"/>
              </w:rPr>
            </w:pPr>
            <w:r w:rsidRPr="00A06F1E">
              <w:rPr>
                <w:szCs w:val="20"/>
              </w:rPr>
              <w:t>School of Recognition</w:t>
            </w:r>
          </w:p>
        </w:tc>
      </w:tr>
    </w:tbl>
    <w:p w14:paraId="62DEBE1B" w14:textId="492C6892" w:rsidR="00B607BD" w:rsidRPr="00A06F1E" w:rsidRDefault="00B607BD" w:rsidP="00B7722D">
      <w:pPr>
        <w:pStyle w:val="TabletitleSectionE"/>
      </w:pPr>
      <w:bookmarkStart w:id="340" w:name="_Toc170701994"/>
      <w:bookmarkStart w:id="341" w:name="_Toc171685831"/>
      <w:r w:rsidRPr="00A06F1E">
        <w:t>Table E22</w:t>
      </w:r>
      <w:r w:rsidR="007F62E8">
        <w:t>c</w:t>
      </w:r>
      <w:r w:rsidR="00A228CB" w:rsidRPr="00A06F1E">
        <w:t>. Mahar Regional</w:t>
      </w:r>
      <w:r w:rsidR="003378D3" w:rsidRPr="00A06F1E">
        <w:t>:</w:t>
      </w:r>
      <w:r w:rsidRPr="00A06F1E">
        <w:t xml:space="preserve"> Accountability Percentile and Classification, 2023</w:t>
      </w:r>
      <w:bookmarkEnd w:id="340"/>
      <w:bookmarkEnd w:id="341"/>
    </w:p>
    <w:tbl>
      <w:tblPr>
        <w:tblStyle w:val="MSVTable1"/>
        <w:tblW w:w="0" w:type="auto"/>
        <w:jc w:val="center"/>
        <w:tblLook w:val="04A0" w:firstRow="1" w:lastRow="0" w:firstColumn="1" w:lastColumn="0" w:noHBand="0" w:noVBand="1"/>
      </w:tblPr>
      <w:tblGrid>
        <w:gridCol w:w="2303"/>
        <w:gridCol w:w="1273"/>
        <w:gridCol w:w="1016"/>
        <w:gridCol w:w="2365"/>
        <w:gridCol w:w="2387"/>
      </w:tblGrid>
      <w:tr w:rsidR="00B607BD" w:rsidRPr="00A06F1E" w14:paraId="77670799" w14:textId="77777777">
        <w:trPr>
          <w:cnfStyle w:val="100000000000" w:firstRow="1" w:lastRow="0" w:firstColumn="0" w:lastColumn="0" w:oddVBand="0" w:evenVBand="0" w:oddHBand="0" w:evenHBand="0" w:firstRowFirstColumn="0" w:firstRowLastColumn="0" w:lastRowFirstColumn="0" w:lastRowLastColumn="0"/>
          <w:jc w:val="center"/>
        </w:trPr>
        <w:tc>
          <w:tcPr>
            <w:tcW w:w="2303" w:type="dxa"/>
            <w:vAlign w:val="center"/>
          </w:tcPr>
          <w:p w14:paraId="163007C0" w14:textId="77777777" w:rsidR="00B607BD" w:rsidRPr="00A06F1E" w:rsidRDefault="00B607BD" w:rsidP="007D5F1C">
            <w:pPr>
              <w:pStyle w:val="TableColHeadingCenter"/>
            </w:pPr>
            <w:r w:rsidRPr="00A06F1E">
              <w:t>School</w:t>
            </w:r>
          </w:p>
        </w:tc>
        <w:tc>
          <w:tcPr>
            <w:tcW w:w="1273" w:type="dxa"/>
          </w:tcPr>
          <w:p w14:paraId="4BA6007B" w14:textId="081E2B32" w:rsidR="00B607BD" w:rsidRPr="00A06F1E" w:rsidRDefault="00B607BD" w:rsidP="007D5F1C">
            <w:pPr>
              <w:pStyle w:val="TableColHeadingCenter"/>
            </w:pPr>
            <w:r w:rsidRPr="00A06F1E">
              <w:t xml:space="preserve">Progress </w:t>
            </w:r>
            <w:r w:rsidR="00B701F3" w:rsidRPr="00A06F1E">
              <w:t>t</w:t>
            </w:r>
            <w:r w:rsidRPr="00A06F1E">
              <w:t xml:space="preserve">oward </w:t>
            </w:r>
            <w:r w:rsidR="00B701F3" w:rsidRPr="00A06F1E">
              <w:t>i</w:t>
            </w:r>
            <w:r w:rsidRPr="00A06F1E">
              <w:t xml:space="preserve">mprovement </w:t>
            </w:r>
            <w:r w:rsidR="00B701F3" w:rsidRPr="00A06F1E">
              <w:t>t</w:t>
            </w:r>
            <w:r w:rsidRPr="00A06F1E">
              <w:t>argets (%)</w:t>
            </w:r>
          </w:p>
        </w:tc>
        <w:tc>
          <w:tcPr>
            <w:tcW w:w="1016" w:type="dxa"/>
            <w:vAlign w:val="center"/>
          </w:tcPr>
          <w:p w14:paraId="3A6D3D36" w14:textId="77777777" w:rsidR="00B607BD" w:rsidRPr="00A06F1E" w:rsidRDefault="00B607BD" w:rsidP="007D5F1C">
            <w:pPr>
              <w:pStyle w:val="TableColHeadingCenter"/>
            </w:pPr>
            <w:r w:rsidRPr="00A06F1E">
              <w:t>Percentile</w:t>
            </w:r>
          </w:p>
        </w:tc>
        <w:tc>
          <w:tcPr>
            <w:tcW w:w="2365" w:type="dxa"/>
            <w:vAlign w:val="center"/>
          </w:tcPr>
          <w:p w14:paraId="0BD201E2" w14:textId="086BDE81" w:rsidR="00B607BD" w:rsidRPr="00A06F1E" w:rsidRDefault="00B607BD" w:rsidP="007D5F1C">
            <w:pPr>
              <w:pStyle w:val="TableColHeadingCenter"/>
            </w:pPr>
            <w:r w:rsidRPr="00A06F1E">
              <w:t xml:space="preserve">Overall </w:t>
            </w:r>
            <w:r w:rsidR="00B701F3" w:rsidRPr="00A06F1E">
              <w:t>c</w:t>
            </w:r>
            <w:r w:rsidRPr="00A06F1E">
              <w:t>lassification</w:t>
            </w:r>
          </w:p>
        </w:tc>
        <w:tc>
          <w:tcPr>
            <w:tcW w:w="2387" w:type="dxa"/>
            <w:vAlign w:val="center"/>
          </w:tcPr>
          <w:p w14:paraId="129EF699" w14:textId="2D43BD53" w:rsidR="00B607BD" w:rsidRPr="00A06F1E" w:rsidRDefault="00B607BD" w:rsidP="007D5F1C">
            <w:pPr>
              <w:pStyle w:val="TableColHeadingCenter"/>
            </w:pPr>
            <w:r w:rsidRPr="00A06F1E">
              <w:t xml:space="preserve">Reason for </w:t>
            </w:r>
            <w:r w:rsidR="00B701F3" w:rsidRPr="00A06F1E">
              <w:t>c</w:t>
            </w:r>
            <w:r w:rsidRPr="00A06F1E">
              <w:t>lassification</w:t>
            </w:r>
          </w:p>
        </w:tc>
      </w:tr>
      <w:tr w:rsidR="00B607BD" w:rsidRPr="00A06F1E" w14:paraId="4A26B251" w14:textId="77777777">
        <w:trPr>
          <w:cnfStyle w:val="000000100000" w:firstRow="0" w:lastRow="0" w:firstColumn="0" w:lastColumn="0" w:oddVBand="0" w:evenVBand="0" w:oddHBand="1" w:evenHBand="0" w:firstRowFirstColumn="0" w:firstRowLastColumn="0" w:lastRowFirstColumn="0" w:lastRowLastColumn="0"/>
          <w:jc w:val="center"/>
        </w:trPr>
        <w:tc>
          <w:tcPr>
            <w:tcW w:w="2303" w:type="dxa"/>
            <w:vAlign w:val="center"/>
          </w:tcPr>
          <w:p w14:paraId="469B6561" w14:textId="77777777" w:rsidR="00B607BD" w:rsidRPr="00A06F1E" w:rsidRDefault="00B607BD" w:rsidP="007D5F1C">
            <w:pPr>
              <w:pStyle w:val="TableText"/>
              <w:rPr>
                <w:szCs w:val="20"/>
              </w:rPr>
            </w:pPr>
            <w:r w:rsidRPr="00A06F1E">
              <w:t>District</w:t>
            </w:r>
          </w:p>
        </w:tc>
        <w:tc>
          <w:tcPr>
            <w:tcW w:w="1273" w:type="dxa"/>
            <w:vAlign w:val="center"/>
          </w:tcPr>
          <w:p w14:paraId="528D0A30" w14:textId="77777777" w:rsidR="00B607BD" w:rsidRPr="00A06F1E" w:rsidRDefault="00B607BD" w:rsidP="007D5F1C">
            <w:pPr>
              <w:pStyle w:val="TableTextCentered"/>
            </w:pPr>
            <w:r w:rsidRPr="00A06F1E">
              <w:t>42</w:t>
            </w:r>
          </w:p>
        </w:tc>
        <w:tc>
          <w:tcPr>
            <w:tcW w:w="1016" w:type="dxa"/>
            <w:vAlign w:val="center"/>
          </w:tcPr>
          <w:p w14:paraId="07CCA603" w14:textId="1AC2F76A" w:rsidR="00B607BD" w:rsidRPr="00A06F1E" w:rsidRDefault="00805266" w:rsidP="007D5F1C">
            <w:pPr>
              <w:pStyle w:val="TableTextCentered"/>
              <w:rPr>
                <w:szCs w:val="20"/>
              </w:rPr>
            </w:pPr>
            <w:r w:rsidRPr="00A06F1E">
              <w:t>—</w:t>
            </w:r>
          </w:p>
        </w:tc>
        <w:tc>
          <w:tcPr>
            <w:tcW w:w="2365" w:type="dxa"/>
            <w:vAlign w:val="center"/>
          </w:tcPr>
          <w:p w14:paraId="51097B02" w14:textId="77777777" w:rsidR="00B607BD" w:rsidRPr="00A06F1E" w:rsidRDefault="00B607BD" w:rsidP="007D5F1C">
            <w:pPr>
              <w:pStyle w:val="TableTextCentered"/>
              <w:rPr>
                <w:szCs w:val="20"/>
              </w:rPr>
            </w:pPr>
            <w:r w:rsidRPr="00A06F1E">
              <w:t>Not requiring assistance or intervention</w:t>
            </w:r>
          </w:p>
        </w:tc>
        <w:tc>
          <w:tcPr>
            <w:tcW w:w="2387" w:type="dxa"/>
            <w:vAlign w:val="center"/>
          </w:tcPr>
          <w:p w14:paraId="73C0E539" w14:textId="77777777" w:rsidR="00B607BD" w:rsidRPr="00A06F1E" w:rsidRDefault="00B607BD" w:rsidP="007D5F1C">
            <w:pPr>
              <w:pStyle w:val="TableTextCentered"/>
              <w:rPr>
                <w:szCs w:val="20"/>
              </w:rPr>
            </w:pPr>
            <w:r w:rsidRPr="00A06F1E">
              <w:t>Moderate progress toward targets</w:t>
            </w:r>
          </w:p>
        </w:tc>
      </w:tr>
      <w:tr w:rsidR="00B607BD" w:rsidRPr="00A06F1E" w14:paraId="6C5BE122" w14:textId="77777777">
        <w:trPr>
          <w:jc w:val="center"/>
        </w:trPr>
        <w:tc>
          <w:tcPr>
            <w:tcW w:w="2303" w:type="dxa"/>
            <w:vAlign w:val="center"/>
          </w:tcPr>
          <w:p w14:paraId="4993BBF2" w14:textId="449A6451" w:rsidR="00B607BD" w:rsidRPr="00A06F1E" w:rsidRDefault="00B607BD" w:rsidP="007D5F1C">
            <w:pPr>
              <w:pStyle w:val="TableText"/>
              <w:rPr>
                <w:szCs w:val="20"/>
              </w:rPr>
            </w:pPr>
            <w:r w:rsidRPr="00A06F1E">
              <w:rPr>
                <w:szCs w:val="20"/>
              </w:rPr>
              <w:t>Mahar Regional</w:t>
            </w:r>
          </w:p>
        </w:tc>
        <w:tc>
          <w:tcPr>
            <w:tcW w:w="1273" w:type="dxa"/>
            <w:vAlign w:val="center"/>
          </w:tcPr>
          <w:p w14:paraId="439E09AE" w14:textId="77777777" w:rsidR="00B607BD" w:rsidRPr="00A06F1E" w:rsidRDefault="00B607BD" w:rsidP="007D5F1C">
            <w:pPr>
              <w:pStyle w:val="TableTextCentered"/>
              <w:rPr>
                <w:szCs w:val="20"/>
              </w:rPr>
            </w:pPr>
            <w:r w:rsidRPr="00A06F1E">
              <w:rPr>
                <w:szCs w:val="20"/>
              </w:rPr>
              <w:t>35</w:t>
            </w:r>
          </w:p>
        </w:tc>
        <w:tc>
          <w:tcPr>
            <w:tcW w:w="1016" w:type="dxa"/>
            <w:vAlign w:val="center"/>
          </w:tcPr>
          <w:p w14:paraId="20E63F17" w14:textId="77777777" w:rsidR="00B607BD" w:rsidRPr="00A06F1E" w:rsidRDefault="00B607BD" w:rsidP="007D5F1C">
            <w:pPr>
              <w:pStyle w:val="TableTextCentered"/>
              <w:rPr>
                <w:szCs w:val="20"/>
              </w:rPr>
            </w:pPr>
            <w:r w:rsidRPr="00A06F1E">
              <w:rPr>
                <w:szCs w:val="20"/>
              </w:rPr>
              <w:t>30</w:t>
            </w:r>
          </w:p>
        </w:tc>
        <w:tc>
          <w:tcPr>
            <w:tcW w:w="2365" w:type="dxa"/>
            <w:vAlign w:val="center"/>
          </w:tcPr>
          <w:p w14:paraId="3C0F17E4" w14:textId="77777777" w:rsidR="00B607BD" w:rsidRPr="00A06F1E" w:rsidRDefault="00B607BD" w:rsidP="007D5F1C">
            <w:pPr>
              <w:pStyle w:val="TableTextCentered"/>
              <w:rPr>
                <w:szCs w:val="20"/>
              </w:rPr>
            </w:pPr>
            <w:r w:rsidRPr="00A06F1E">
              <w:t>Not requiring assistance or intervention</w:t>
            </w:r>
          </w:p>
        </w:tc>
        <w:tc>
          <w:tcPr>
            <w:tcW w:w="2387" w:type="dxa"/>
            <w:vAlign w:val="center"/>
          </w:tcPr>
          <w:p w14:paraId="2A146B0F" w14:textId="77777777" w:rsidR="00B607BD" w:rsidRPr="00A06F1E" w:rsidRDefault="00B607BD" w:rsidP="007D5F1C">
            <w:pPr>
              <w:pStyle w:val="TableTextCentered"/>
              <w:rPr>
                <w:szCs w:val="20"/>
              </w:rPr>
            </w:pPr>
            <w:r w:rsidRPr="00A06F1E">
              <w:t>Moderate progress toward targets</w:t>
            </w:r>
          </w:p>
        </w:tc>
      </w:tr>
    </w:tbl>
    <w:p w14:paraId="6854B97F" w14:textId="51A4EFDB" w:rsidR="00254505" w:rsidRPr="00A06F1E" w:rsidRDefault="00254505" w:rsidP="006E1875">
      <w:pPr>
        <w:pStyle w:val="BodyText"/>
      </w:pPr>
    </w:p>
    <w:sectPr w:rsidR="00254505" w:rsidRPr="00A06F1E" w:rsidSect="007D5F1C">
      <w:headerReference w:type="default" r:id="rId111"/>
      <w:footerReference w:type="default" r:id="rId112"/>
      <w:footerReference w:type="first" r:id="rId1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B03AE" w14:textId="77777777" w:rsidR="00AE1474" w:rsidRDefault="00AE1474" w:rsidP="00B93273">
      <w:pPr>
        <w:spacing w:line="240" w:lineRule="auto"/>
      </w:pPr>
      <w:r>
        <w:separator/>
      </w:r>
    </w:p>
  </w:endnote>
  <w:endnote w:type="continuationSeparator" w:id="0">
    <w:p w14:paraId="1AFCD0D3" w14:textId="77777777" w:rsidR="00AE1474" w:rsidRDefault="00AE1474" w:rsidP="00B93273">
      <w:pPr>
        <w:spacing w:line="240" w:lineRule="auto"/>
      </w:pPr>
      <w:r>
        <w:continuationSeparator/>
      </w:r>
    </w:p>
  </w:endnote>
  <w:endnote w:type="continuationNotice" w:id="1">
    <w:p w14:paraId="151355E7" w14:textId="77777777" w:rsidR="00AE1474" w:rsidRDefault="00AE14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panose1 w:val="020B09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Regular">
    <w:altName w:val="Roboto"/>
    <w:panose1 w:val="00000000000000000000"/>
    <w:charset w:val="00"/>
    <w:family w:val="auto"/>
    <w:notTrueType/>
    <w:pitch w:val="default"/>
    <w:sig w:usb0="00000003" w:usb1="00000000" w:usb2="00000000" w:usb3="00000000" w:csb0="00000001" w:csb1="00000000"/>
  </w:font>
  <w:font w:name="HGSoeiKakugothic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86B55" w:rsidRPr="006750C1" w14:paraId="2B733083" w14:textId="77777777" w:rsidTr="00D84CF0">
      <w:tc>
        <w:tcPr>
          <w:tcW w:w="3120" w:type="dxa"/>
        </w:tcPr>
        <w:p w14:paraId="38956C90" w14:textId="77777777" w:rsidR="00486B55" w:rsidRPr="006750C1" w:rsidRDefault="00486B55" w:rsidP="00D84CF0">
          <w:pPr>
            <w:pStyle w:val="Header"/>
            <w:ind w:left="-115"/>
            <w:rPr>
              <w:rFonts w:ascii="Franklin Gothic Book" w:eastAsia="Calibri" w:hAnsi="Franklin Gothic Book" w:cs="Arial"/>
            </w:rPr>
          </w:pPr>
        </w:p>
      </w:tc>
      <w:tc>
        <w:tcPr>
          <w:tcW w:w="3120" w:type="dxa"/>
        </w:tcPr>
        <w:p w14:paraId="5772A608" w14:textId="77777777" w:rsidR="00486B55" w:rsidRPr="006750C1" w:rsidRDefault="00486B55" w:rsidP="00D84CF0">
          <w:pPr>
            <w:pStyle w:val="Header"/>
            <w:jc w:val="center"/>
            <w:rPr>
              <w:rFonts w:ascii="Franklin Gothic Book" w:eastAsia="Calibri" w:hAnsi="Franklin Gothic Book" w:cs="Arial"/>
            </w:rPr>
          </w:pPr>
        </w:p>
      </w:tc>
      <w:tc>
        <w:tcPr>
          <w:tcW w:w="3120" w:type="dxa"/>
        </w:tcPr>
        <w:p w14:paraId="645852F3" w14:textId="77777777" w:rsidR="00486B55" w:rsidRPr="006750C1" w:rsidRDefault="00486B55" w:rsidP="00D84CF0">
          <w:pPr>
            <w:pStyle w:val="Header"/>
            <w:ind w:right="-115"/>
            <w:jc w:val="right"/>
            <w:rPr>
              <w:rFonts w:ascii="Franklin Gothic Book" w:eastAsia="Calibri" w:hAnsi="Franklin Gothic Book" w:cs="Arial"/>
            </w:rPr>
          </w:pPr>
        </w:p>
      </w:tc>
    </w:tr>
  </w:tbl>
  <w:p w14:paraId="7D18CB35" w14:textId="77777777" w:rsidR="00486B55" w:rsidRDefault="00486B55" w:rsidP="002D30A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F2680" w14:textId="2F253AFA" w:rsidR="00F14975" w:rsidRPr="004668E7" w:rsidRDefault="00BC061B" w:rsidP="00E315A4">
    <w:pPr>
      <w:pStyle w:val="Footer"/>
    </w:pPr>
    <w:r w:rsidRPr="00BC061B">
      <w:rPr>
        <w:rStyle w:val="FranklinGothicDemi"/>
      </w:rPr>
      <w:t>Ralph C</w:t>
    </w:r>
    <w:r w:rsidR="004445FE">
      <w:rPr>
        <w:rStyle w:val="FranklinGothicDemi"/>
      </w:rPr>
      <w:t>.</w:t>
    </w:r>
    <w:r w:rsidRPr="00BC061B">
      <w:rPr>
        <w:rStyle w:val="FranklinGothicDemi"/>
      </w:rPr>
      <w:t xml:space="preserve"> Mahar Regional </w:t>
    </w:r>
    <w:r w:rsidR="0010545A">
      <w:rPr>
        <w:rStyle w:val="FranklinGothicDemi"/>
      </w:rPr>
      <w:t>and</w:t>
    </w:r>
    <w:r w:rsidR="0010545A" w:rsidRPr="00BC061B">
      <w:rPr>
        <w:rStyle w:val="FranklinGothicDemi"/>
      </w:rPr>
      <w:t xml:space="preserve"> </w:t>
    </w:r>
    <w:r w:rsidRPr="00BC061B">
      <w:rPr>
        <w:rStyle w:val="FranklinGothicDemi"/>
      </w:rPr>
      <w:t>School Union 73</w:t>
    </w:r>
    <w:r w:rsidR="003378D3">
      <w:rPr>
        <w:rStyle w:val="FranklinGothicDemi"/>
      </w:rPr>
      <w:t xml:space="preserve"> District</w:t>
    </w:r>
    <w:r>
      <w:ptab w:relativeTo="margin" w:alignment="right" w:leader="none"/>
    </w:r>
    <w:r w:rsidR="003200B5">
      <w:t xml:space="preserve">Comprehensive </w:t>
    </w:r>
    <w:r w:rsidR="00F14975" w:rsidRPr="0055077E">
      <w:t>District Review Report</w:t>
    </w:r>
    <w:r w:rsidR="00F14975">
      <w:t xml:space="preserve"> </w:t>
    </w:r>
    <w:r w:rsidR="00F14975" w:rsidRPr="00B3679E">
      <w:rPr>
        <w:color w:val="44546A" w:themeColor="text2"/>
      </w:rPr>
      <w:t xml:space="preserve">■ </w:t>
    </w:r>
    <w:r w:rsidR="00F14975" w:rsidRPr="00B3679E">
      <w:rPr>
        <w:rStyle w:val="FranklinGothicDemi"/>
        <w:color w:val="44546A" w:themeColor="text2"/>
      </w:rPr>
      <w:t>page D-</w:t>
    </w:r>
    <w:r w:rsidR="00F14975" w:rsidRPr="00B3679E">
      <w:rPr>
        <w:rStyle w:val="FranklinGothicDemi"/>
        <w:color w:val="44546A" w:themeColor="text2"/>
      </w:rPr>
      <w:fldChar w:fldCharType="begin"/>
    </w:r>
    <w:r w:rsidR="00F14975" w:rsidRPr="00B3679E">
      <w:rPr>
        <w:rStyle w:val="FranklinGothicDemi"/>
        <w:color w:val="44546A" w:themeColor="text2"/>
      </w:rPr>
      <w:instrText xml:space="preserve"> PAGE   \* MERGEFORMAT </w:instrText>
    </w:r>
    <w:r w:rsidR="00F14975" w:rsidRPr="00B3679E">
      <w:rPr>
        <w:rStyle w:val="FranklinGothicDemi"/>
        <w:color w:val="44546A" w:themeColor="text2"/>
      </w:rPr>
      <w:fldChar w:fldCharType="separate"/>
    </w:r>
    <w:r w:rsidR="00F14975" w:rsidRPr="00B3679E">
      <w:rPr>
        <w:rStyle w:val="FranklinGothicDemi"/>
        <w:color w:val="44546A" w:themeColor="text2"/>
      </w:rPr>
      <w:t>2</w:t>
    </w:r>
    <w:r w:rsidR="00F14975" w:rsidRPr="00B3679E">
      <w:rPr>
        <w:rStyle w:val="FranklinGothicDemi"/>
        <w:noProof/>
        <w:color w:val="44546A" w:themeColor="text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6F0DE" w14:textId="2B0F35CF" w:rsidR="00E315A4" w:rsidRPr="004668E7" w:rsidRDefault="00BC061B" w:rsidP="00E315A4">
    <w:pPr>
      <w:pStyle w:val="Footer"/>
    </w:pPr>
    <w:r w:rsidRPr="00BC061B">
      <w:rPr>
        <w:rStyle w:val="FranklinGothicDemi"/>
      </w:rPr>
      <w:t>Ralph C</w:t>
    </w:r>
    <w:r w:rsidR="004445FE">
      <w:rPr>
        <w:rStyle w:val="FranklinGothicDemi"/>
      </w:rPr>
      <w:t>.</w:t>
    </w:r>
    <w:r w:rsidRPr="00BC061B">
      <w:rPr>
        <w:rStyle w:val="FranklinGothicDemi"/>
      </w:rPr>
      <w:t xml:space="preserve"> Mahar Regional </w:t>
    </w:r>
    <w:r w:rsidR="0010545A">
      <w:rPr>
        <w:rStyle w:val="FranklinGothicDemi"/>
      </w:rPr>
      <w:t>and</w:t>
    </w:r>
    <w:r w:rsidR="0010545A" w:rsidRPr="00BC061B">
      <w:rPr>
        <w:rStyle w:val="FranklinGothicDemi"/>
      </w:rPr>
      <w:t xml:space="preserve"> </w:t>
    </w:r>
    <w:r w:rsidRPr="00BC061B">
      <w:rPr>
        <w:rStyle w:val="FranklinGothicDemi"/>
      </w:rPr>
      <w:t>School Union 73</w:t>
    </w:r>
    <w:r>
      <w:ptab w:relativeTo="margin" w:alignment="right" w:leader="none"/>
    </w:r>
    <w:r w:rsidR="00E315A4" w:rsidRPr="0055077E">
      <w:t>Comprehensive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486B55" w:rsidRPr="00B3679E">
      <w:rPr>
        <w:rStyle w:val="FranklinGothicDemi"/>
        <w:color w:val="44546A" w:themeColor="text2"/>
      </w:rPr>
      <w:t>D</w:t>
    </w:r>
    <w:r w:rsidR="00E315A4" w:rsidRPr="00B3679E">
      <w:rPr>
        <w:rStyle w:val="FranklinGothicDemi"/>
        <w:color w:val="44546A" w:themeColor="text2"/>
      </w:rPr>
      <w:t>-</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2</w:t>
    </w:r>
    <w:r w:rsidR="00E315A4" w:rsidRPr="00B3679E">
      <w:rPr>
        <w:rStyle w:val="FranklinGothicDemi"/>
        <w:noProof/>
        <w:color w:val="44546A" w:themeColor="text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B8A87" w14:textId="172D1A3E" w:rsidR="00BC061B" w:rsidRPr="004668E7" w:rsidRDefault="00BC061B" w:rsidP="00BC061B">
    <w:pPr>
      <w:pStyle w:val="Footer"/>
    </w:pPr>
    <w:r w:rsidRPr="00BC061B">
      <w:rPr>
        <w:rStyle w:val="FranklinGothicDemi"/>
      </w:rPr>
      <w:t>Ralph C</w:t>
    </w:r>
    <w:r w:rsidR="004445FE">
      <w:rPr>
        <w:rStyle w:val="FranklinGothicDemi"/>
      </w:rPr>
      <w:t>.</w:t>
    </w:r>
    <w:r w:rsidRPr="00BC061B">
      <w:rPr>
        <w:rStyle w:val="FranklinGothicDemi"/>
      </w:rPr>
      <w:t xml:space="preserve"> Mahar Regional </w:t>
    </w:r>
    <w:r w:rsidR="0010545A">
      <w:rPr>
        <w:rStyle w:val="FranklinGothicDemi"/>
      </w:rPr>
      <w:t>and</w:t>
    </w:r>
    <w:r w:rsidR="0010545A" w:rsidRPr="00BC061B">
      <w:rPr>
        <w:rStyle w:val="FranklinGothicDemi"/>
      </w:rPr>
      <w:t xml:space="preserve"> </w:t>
    </w:r>
    <w:r w:rsidRPr="00BC061B">
      <w:rPr>
        <w:rStyle w:val="FranklinGothicDemi"/>
      </w:rPr>
      <w:t>School Union 73</w:t>
    </w:r>
    <w:r w:rsidR="0010545A">
      <w:rPr>
        <w:rStyle w:val="FranklinGothicDemi"/>
      </w:rPr>
      <w:t xml:space="preserve"> District</w:t>
    </w:r>
    <w:r>
      <w:ptab w:relativeTo="margin" w:alignment="right" w:leader="none"/>
    </w:r>
    <w:r w:rsidRPr="0055077E">
      <w:t>Comprehensive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E</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9</w:t>
    </w:r>
    <w:r w:rsidRPr="00B3679E">
      <w:rPr>
        <w:rStyle w:val="FranklinGothicDemi"/>
        <w:noProof/>
        <w:color w:val="44546A" w:themeColor="text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3AF40" w14:textId="7C94B794" w:rsidR="002E7525" w:rsidRPr="004668E7" w:rsidRDefault="007D5F1C" w:rsidP="002E7525">
    <w:pPr>
      <w:pStyle w:val="Footer"/>
    </w:pPr>
    <w:r w:rsidRPr="00BC061B">
      <w:rPr>
        <w:rStyle w:val="FranklinGothicDemi"/>
      </w:rPr>
      <w:t>Ralph C</w:t>
    </w:r>
    <w:r w:rsidR="00FA73A2">
      <w:rPr>
        <w:rStyle w:val="FranklinGothicDemi"/>
      </w:rPr>
      <w:t>.</w:t>
    </w:r>
    <w:r w:rsidRPr="00BC061B">
      <w:rPr>
        <w:rStyle w:val="FranklinGothicDemi"/>
      </w:rPr>
      <w:t xml:space="preserve"> Mahar Regional </w:t>
    </w:r>
    <w:r w:rsidR="0010545A">
      <w:rPr>
        <w:rStyle w:val="FranklinGothicDemi"/>
      </w:rPr>
      <w:t>and</w:t>
    </w:r>
    <w:r w:rsidR="0010545A" w:rsidRPr="00BC061B">
      <w:rPr>
        <w:rStyle w:val="FranklinGothicDemi"/>
      </w:rPr>
      <w:t xml:space="preserve"> </w:t>
    </w:r>
    <w:r w:rsidRPr="00BC061B">
      <w:rPr>
        <w:rStyle w:val="FranklinGothicDemi"/>
      </w:rPr>
      <w:t>School Union 73</w:t>
    </w:r>
    <w:r w:rsidR="003378D3">
      <w:rPr>
        <w:rStyle w:val="FranklinGothicDemi"/>
      </w:rPr>
      <w:t xml:space="preserve"> District</w:t>
    </w:r>
    <w:r>
      <w:ptab w:relativeTo="margin" w:alignment="right" w:leader="none"/>
    </w:r>
    <w:r w:rsidR="002E7525" w:rsidRPr="0055077E">
      <w:t>Comprehensive District Review Report</w:t>
    </w:r>
    <w:r w:rsidR="002E7525">
      <w:t xml:space="preserve"> </w:t>
    </w:r>
    <w:r w:rsidR="002E7525" w:rsidRPr="00B3679E">
      <w:rPr>
        <w:color w:val="44546A" w:themeColor="text2"/>
      </w:rPr>
      <w:t xml:space="preserve">■ </w:t>
    </w:r>
    <w:r w:rsidR="002E7525" w:rsidRPr="00B3679E">
      <w:rPr>
        <w:rStyle w:val="FranklinGothicDemi"/>
        <w:color w:val="44546A" w:themeColor="text2"/>
      </w:rPr>
      <w:t>page E-</w:t>
    </w:r>
    <w:r w:rsidR="002E7525" w:rsidRPr="00B3679E">
      <w:rPr>
        <w:rStyle w:val="FranklinGothicDemi"/>
        <w:color w:val="44546A" w:themeColor="text2"/>
      </w:rPr>
      <w:fldChar w:fldCharType="begin"/>
    </w:r>
    <w:r w:rsidR="002E7525" w:rsidRPr="00B3679E">
      <w:rPr>
        <w:rStyle w:val="FranklinGothicDemi"/>
        <w:color w:val="44546A" w:themeColor="text2"/>
      </w:rPr>
      <w:instrText xml:space="preserve"> PAGE   \* MERGEFORMAT </w:instrText>
    </w:r>
    <w:r w:rsidR="002E7525" w:rsidRPr="00B3679E">
      <w:rPr>
        <w:rStyle w:val="FranklinGothicDemi"/>
        <w:color w:val="44546A" w:themeColor="text2"/>
      </w:rPr>
      <w:fldChar w:fldCharType="separate"/>
    </w:r>
    <w:r w:rsidR="002E7525" w:rsidRPr="00B3679E">
      <w:rPr>
        <w:rStyle w:val="FranklinGothicDemi"/>
        <w:color w:val="44546A" w:themeColor="text2"/>
      </w:rPr>
      <w:t>1</w:t>
    </w:r>
    <w:r w:rsidR="002E7525" w:rsidRPr="00B3679E">
      <w:rPr>
        <w:rStyle w:val="FranklinGothicDemi"/>
        <w:noProof/>
        <w:color w:val="44546A" w:themeColor="text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2980838" w:rsidRPr="006750C1" w14:paraId="35ED83F6" w14:textId="77777777" w:rsidTr="00D84CF0">
      <w:tc>
        <w:tcPr>
          <w:tcW w:w="3120" w:type="dxa"/>
        </w:tcPr>
        <w:p w14:paraId="2A6580CD" w14:textId="4A982FAA" w:rsidR="52980838" w:rsidRPr="006750C1" w:rsidRDefault="52980838" w:rsidP="00D84CF0">
          <w:pPr>
            <w:pStyle w:val="Header"/>
            <w:ind w:left="-115"/>
            <w:rPr>
              <w:rFonts w:ascii="Franklin Gothic Book" w:eastAsia="Calibri" w:hAnsi="Franklin Gothic Book" w:cs="Arial"/>
            </w:rPr>
          </w:pPr>
        </w:p>
      </w:tc>
      <w:tc>
        <w:tcPr>
          <w:tcW w:w="3120" w:type="dxa"/>
        </w:tcPr>
        <w:p w14:paraId="4C480F35" w14:textId="5A8F9814" w:rsidR="52980838" w:rsidRPr="006750C1" w:rsidRDefault="52980838" w:rsidP="00D84CF0">
          <w:pPr>
            <w:pStyle w:val="Header"/>
            <w:jc w:val="center"/>
            <w:rPr>
              <w:rFonts w:ascii="Franklin Gothic Book" w:eastAsia="Calibri" w:hAnsi="Franklin Gothic Book" w:cs="Arial"/>
            </w:rPr>
          </w:pPr>
        </w:p>
      </w:tc>
      <w:tc>
        <w:tcPr>
          <w:tcW w:w="3120" w:type="dxa"/>
        </w:tcPr>
        <w:p w14:paraId="2F3AF003" w14:textId="394D1CC5" w:rsidR="52980838" w:rsidRPr="006750C1" w:rsidRDefault="52980838" w:rsidP="00D84CF0">
          <w:pPr>
            <w:pStyle w:val="Header"/>
            <w:ind w:right="-115"/>
            <w:jc w:val="right"/>
            <w:rPr>
              <w:rFonts w:ascii="Franklin Gothic Book" w:eastAsia="Calibri" w:hAnsi="Franklin Gothic Book" w:cs="Arial"/>
            </w:rPr>
          </w:pPr>
        </w:p>
      </w:tc>
    </w:tr>
  </w:tbl>
  <w:p w14:paraId="62189066" w14:textId="201E9458" w:rsidR="52980838" w:rsidRDefault="52980838" w:rsidP="002D3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47480" w14:textId="66912F40" w:rsidR="00E315A4" w:rsidRPr="004668E7" w:rsidRDefault="00553FA3" w:rsidP="00E315A4">
    <w:pPr>
      <w:pStyle w:val="Footer"/>
    </w:pPr>
    <w:r w:rsidRPr="00BC061B">
      <w:rPr>
        <w:rStyle w:val="FranklinGothicDemi"/>
      </w:rPr>
      <w:t>Ralph C</w:t>
    </w:r>
    <w:r w:rsidR="002D31FC">
      <w:rPr>
        <w:rStyle w:val="FranklinGothicDemi"/>
      </w:rPr>
      <w:t>.</w:t>
    </w:r>
    <w:r w:rsidRPr="00BC061B">
      <w:rPr>
        <w:rStyle w:val="FranklinGothicDemi"/>
      </w:rPr>
      <w:t xml:space="preserve"> Mahar Regional </w:t>
    </w:r>
    <w:r w:rsidR="0010545A">
      <w:rPr>
        <w:rStyle w:val="FranklinGothicDemi"/>
      </w:rPr>
      <w:t>and</w:t>
    </w:r>
    <w:r w:rsidR="0010545A" w:rsidRPr="00BC061B">
      <w:rPr>
        <w:rStyle w:val="FranklinGothicDemi"/>
      </w:rPr>
      <w:t xml:space="preserve"> </w:t>
    </w:r>
    <w:r w:rsidRPr="00BC061B">
      <w:rPr>
        <w:rStyle w:val="FranklinGothicDemi"/>
      </w:rPr>
      <w:t>School Union 73</w:t>
    </w:r>
    <w:r w:rsidR="003378D3">
      <w:rPr>
        <w:rStyle w:val="FranklinGothicDemi"/>
      </w:rPr>
      <w:t xml:space="preserve"> </w:t>
    </w:r>
    <w:r w:rsidR="0199DEC1">
      <w:rPr>
        <w:rStyle w:val="FranklinGothicDemi"/>
      </w:rPr>
      <w:t xml:space="preserve">District </w:t>
    </w:r>
    <w:r w:rsidR="00E315A4">
      <w:ptab w:relativeTo="margin" w:alignment="right" w:leader="none"/>
    </w:r>
    <w:r w:rsidR="0199DEC1" w:rsidRPr="0055077E">
      <w:t>Comprehensive</w:t>
    </w:r>
    <w:r w:rsidR="00E315A4" w:rsidRPr="0055077E">
      <w:t xml:space="preser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39</w:t>
    </w:r>
    <w:r w:rsidR="00E315A4"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52980838" w:rsidRPr="006750C1" w14:paraId="0FE0BEC9" w14:textId="77777777" w:rsidTr="00D84CF0">
      <w:tc>
        <w:tcPr>
          <w:tcW w:w="3405" w:type="dxa"/>
        </w:tcPr>
        <w:p w14:paraId="7D8BB104" w14:textId="6911F537" w:rsidR="52980838" w:rsidRPr="006750C1" w:rsidRDefault="52980838" w:rsidP="00D84CF0">
          <w:pPr>
            <w:pStyle w:val="Header"/>
            <w:ind w:left="-115"/>
            <w:rPr>
              <w:rFonts w:ascii="Franklin Gothic Book" w:eastAsia="Calibri" w:hAnsi="Franklin Gothic Book" w:cs="Arial"/>
            </w:rPr>
          </w:pPr>
        </w:p>
      </w:tc>
      <w:tc>
        <w:tcPr>
          <w:tcW w:w="3405" w:type="dxa"/>
        </w:tcPr>
        <w:p w14:paraId="19F88C15" w14:textId="57B18B69" w:rsidR="52980838" w:rsidRPr="006750C1" w:rsidRDefault="52980838" w:rsidP="00D84CF0">
          <w:pPr>
            <w:pStyle w:val="Header"/>
            <w:jc w:val="center"/>
            <w:rPr>
              <w:rFonts w:ascii="Franklin Gothic Book" w:eastAsia="Calibri" w:hAnsi="Franklin Gothic Book" w:cs="Arial"/>
            </w:rPr>
          </w:pPr>
        </w:p>
      </w:tc>
      <w:tc>
        <w:tcPr>
          <w:tcW w:w="3405" w:type="dxa"/>
        </w:tcPr>
        <w:p w14:paraId="7199C7CD" w14:textId="3498740B" w:rsidR="52980838" w:rsidRPr="006750C1" w:rsidRDefault="52980838" w:rsidP="00D84CF0">
          <w:pPr>
            <w:pStyle w:val="Header"/>
            <w:ind w:right="-115"/>
            <w:jc w:val="right"/>
            <w:rPr>
              <w:rFonts w:ascii="Franklin Gothic Book" w:eastAsia="Calibri" w:hAnsi="Franklin Gothic Book" w:cs="Arial"/>
            </w:rPr>
          </w:pPr>
        </w:p>
      </w:tc>
    </w:tr>
  </w:tbl>
  <w:p w14:paraId="5FBC8903" w14:textId="10DFD94B" w:rsidR="52980838" w:rsidRDefault="52980838"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5A2F2" w14:textId="2003B39C" w:rsidR="00FF48CB" w:rsidRPr="004668E7" w:rsidRDefault="00BC061B" w:rsidP="00E315A4">
    <w:pPr>
      <w:pStyle w:val="Footer"/>
    </w:pPr>
    <w:r w:rsidRPr="00BC061B">
      <w:rPr>
        <w:rStyle w:val="FranklinGothicDemi"/>
      </w:rPr>
      <w:t>Ralph C</w:t>
    </w:r>
    <w:r w:rsidR="004445FE">
      <w:rPr>
        <w:rStyle w:val="FranklinGothicDemi"/>
      </w:rPr>
      <w:t>.</w:t>
    </w:r>
    <w:r w:rsidRPr="00BC061B">
      <w:rPr>
        <w:rStyle w:val="FranklinGothicDemi"/>
      </w:rPr>
      <w:t xml:space="preserve"> Mahar Regional </w:t>
    </w:r>
    <w:r w:rsidR="0010545A">
      <w:rPr>
        <w:rStyle w:val="FranklinGothicDemi"/>
      </w:rPr>
      <w:t>and</w:t>
    </w:r>
    <w:r w:rsidR="0010545A" w:rsidRPr="00BC061B">
      <w:rPr>
        <w:rStyle w:val="FranklinGothicDemi"/>
      </w:rPr>
      <w:t xml:space="preserve"> </w:t>
    </w:r>
    <w:r w:rsidRPr="00BC061B">
      <w:rPr>
        <w:rStyle w:val="FranklinGothicDemi"/>
      </w:rPr>
      <w:t>School Union 73</w:t>
    </w:r>
    <w:r>
      <w:ptab w:relativeTo="margin" w:alignment="right" w:leader="none"/>
    </w:r>
    <w:r w:rsidR="00FF48CB" w:rsidRPr="0055077E">
      <w:t>Comprehensive 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4929" w14:textId="013D16B5" w:rsidR="00486B55" w:rsidRPr="004668E7" w:rsidRDefault="00BC061B" w:rsidP="00E315A4">
    <w:pPr>
      <w:pStyle w:val="Footer"/>
    </w:pPr>
    <w:r w:rsidRPr="00BC061B">
      <w:rPr>
        <w:rStyle w:val="FranklinGothicDemi"/>
      </w:rPr>
      <w:t>Ralph C</w:t>
    </w:r>
    <w:r w:rsidR="004445FE">
      <w:rPr>
        <w:rStyle w:val="FranklinGothicDemi"/>
      </w:rPr>
      <w:t>.</w:t>
    </w:r>
    <w:r w:rsidRPr="00BC061B">
      <w:rPr>
        <w:rStyle w:val="FranklinGothicDemi"/>
      </w:rPr>
      <w:t xml:space="preserve"> Mahar Regional </w:t>
    </w:r>
    <w:r w:rsidR="0010545A">
      <w:rPr>
        <w:rStyle w:val="FranklinGothicDemi"/>
      </w:rPr>
      <w:t>and</w:t>
    </w:r>
    <w:r w:rsidR="0010545A" w:rsidRPr="00BC061B">
      <w:rPr>
        <w:rStyle w:val="FranklinGothicDemi"/>
      </w:rPr>
      <w:t xml:space="preserve"> </w:t>
    </w:r>
    <w:r w:rsidRPr="00BC061B">
      <w:rPr>
        <w:rStyle w:val="FranklinGothicDemi"/>
      </w:rPr>
      <w:t>School Union 73</w:t>
    </w:r>
    <w:r>
      <w:ptab w:relativeTo="margin" w:alignment="right" w:leader="none"/>
    </w:r>
    <w:r w:rsidR="00486B55" w:rsidRPr="0055077E">
      <w:t>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page B-</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2</w:t>
    </w:r>
    <w:r w:rsidR="00486B55" w:rsidRPr="00B3679E">
      <w:rPr>
        <w:rStyle w:val="FranklinGothicDemi"/>
        <w:noProof/>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57D65" w14:textId="77777777" w:rsidR="0033262D" w:rsidRPr="00F31A73" w:rsidRDefault="0033262D">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B79E9" w14:textId="4FD99893" w:rsidR="0033262D" w:rsidRPr="004668E7" w:rsidRDefault="0033262D" w:rsidP="0033262D">
    <w:pPr>
      <w:pStyle w:val="Footer"/>
    </w:pPr>
    <w:r w:rsidRPr="00BC061B">
      <w:rPr>
        <w:rStyle w:val="FranklinGothicDemi"/>
      </w:rPr>
      <w:t>Ralph C</w:t>
    </w:r>
    <w:r w:rsidR="004445FE">
      <w:rPr>
        <w:rStyle w:val="FranklinGothicDemi"/>
      </w:rPr>
      <w:t>.</w:t>
    </w:r>
    <w:r w:rsidRPr="00BC061B">
      <w:rPr>
        <w:rStyle w:val="FranklinGothicDemi"/>
      </w:rPr>
      <w:t xml:space="preserve"> Mahar Regional </w:t>
    </w:r>
    <w:r w:rsidR="0010545A">
      <w:rPr>
        <w:rStyle w:val="FranklinGothicDemi"/>
      </w:rPr>
      <w:t>and</w:t>
    </w:r>
    <w:r w:rsidR="0010545A" w:rsidRPr="00BC061B">
      <w:rPr>
        <w:rStyle w:val="FranklinGothicDemi"/>
      </w:rPr>
      <w:t xml:space="preserve"> </w:t>
    </w:r>
    <w:r w:rsidRPr="00BC061B">
      <w:rPr>
        <w:rStyle w:val="FranklinGothicDemi"/>
      </w:rPr>
      <w:t>School Union 73</w:t>
    </w:r>
    <w:r w:rsidR="003378D3">
      <w:rPr>
        <w:rStyle w:val="FranklinGothicDemi"/>
      </w:rPr>
      <w:t xml:space="preserve"> District</w:t>
    </w:r>
    <w:r>
      <w:ptab w:relativeTo="margin" w:alignment="right" w:leader="none"/>
    </w:r>
    <w:r w:rsidRPr="0055077E">
      <w:t>Comprehensive District Review Report</w:t>
    </w:r>
    <w:r>
      <w:t xml:space="preserve"> </w:t>
    </w:r>
    <w:r w:rsidRPr="00B3679E">
      <w:rPr>
        <w:color w:val="44546A" w:themeColor="text2"/>
      </w:rPr>
      <w:t xml:space="preserve">■ </w:t>
    </w:r>
    <w:r w:rsidRPr="00B3679E">
      <w:rPr>
        <w:rStyle w:val="FranklinGothicDemi"/>
        <w:color w:val="44546A" w:themeColor="text2"/>
      </w:rPr>
      <w:t>page B-</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1</w:t>
    </w:r>
    <w:r w:rsidRPr="00B3679E">
      <w:rPr>
        <w:rStyle w:val="FranklinGothicDemi"/>
        <w:noProof/>
        <w:color w:val="44546A" w:themeColor="text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33C60" w14:textId="440EEB75" w:rsidR="00486B55" w:rsidRPr="004668E7" w:rsidRDefault="00BC061B" w:rsidP="002E7525">
    <w:pPr>
      <w:pStyle w:val="Footer"/>
    </w:pPr>
    <w:r w:rsidRPr="00BC061B">
      <w:rPr>
        <w:rStyle w:val="FranklinGothicDemi"/>
      </w:rPr>
      <w:t>Ralph C</w:t>
    </w:r>
    <w:r w:rsidR="004445FE">
      <w:rPr>
        <w:rStyle w:val="FranklinGothicDemi"/>
      </w:rPr>
      <w:t>.</w:t>
    </w:r>
    <w:r w:rsidRPr="00BC061B">
      <w:rPr>
        <w:rStyle w:val="FranklinGothicDemi"/>
      </w:rPr>
      <w:t xml:space="preserve"> Mahar Regional </w:t>
    </w:r>
    <w:r w:rsidR="0010545A">
      <w:rPr>
        <w:rStyle w:val="FranklinGothicDemi"/>
      </w:rPr>
      <w:t>and</w:t>
    </w:r>
    <w:r w:rsidR="0010545A" w:rsidRPr="00BC061B">
      <w:rPr>
        <w:rStyle w:val="FranklinGothicDemi"/>
      </w:rPr>
      <w:t xml:space="preserve"> </w:t>
    </w:r>
    <w:r w:rsidRPr="00BC061B">
      <w:rPr>
        <w:rStyle w:val="FranklinGothicDemi"/>
      </w:rPr>
      <w:t>School Union 73</w:t>
    </w:r>
    <w:r w:rsidR="003378D3">
      <w:rPr>
        <w:rStyle w:val="FranklinGothicDemi"/>
      </w:rPr>
      <w:t xml:space="preserve"> District</w:t>
    </w:r>
    <w:r>
      <w:ptab w:relativeTo="margin" w:alignment="right" w:leader="none"/>
    </w:r>
    <w:r w:rsidR="00486B55" w:rsidRPr="0055077E">
      <w:t>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 xml:space="preserve">page </w:t>
    </w:r>
    <w:r w:rsidR="006E1875">
      <w:rPr>
        <w:rStyle w:val="FranklinGothicDemi"/>
        <w:color w:val="44546A" w:themeColor="text2"/>
      </w:rPr>
      <w:t>C</w:t>
    </w:r>
    <w:r w:rsidR="00486B55" w:rsidRPr="00B3679E">
      <w:rPr>
        <w:rStyle w:val="FranklinGothicDemi"/>
        <w:color w:val="44546A" w:themeColor="text2"/>
      </w:rPr>
      <w:t>-</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1</w:t>
    </w:r>
    <w:r w:rsidR="00486B55" w:rsidRPr="00B3679E">
      <w:rPr>
        <w:rStyle w:val="FranklinGothicDemi"/>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181FB" w14:textId="77777777" w:rsidR="00AE1474" w:rsidRDefault="00AE1474" w:rsidP="00B93273">
      <w:pPr>
        <w:spacing w:line="240" w:lineRule="auto"/>
      </w:pPr>
      <w:r>
        <w:separator/>
      </w:r>
    </w:p>
  </w:footnote>
  <w:footnote w:type="continuationSeparator" w:id="0">
    <w:p w14:paraId="3B75BD67" w14:textId="77777777" w:rsidR="00AE1474" w:rsidRDefault="00AE1474" w:rsidP="00B93273">
      <w:pPr>
        <w:spacing w:line="240" w:lineRule="auto"/>
      </w:pPr>
      <w:r>
        <w:continuationSeparator/>
      </w:r>
    </w:p>
  </w:footnote>
  <w:footnote w:type="continuationNotice" w:id="1">
    <w:p w14:paraId="47C5CD49" w14:textId="77777777" w:rsidR="00AE1474" w:rsidRDefault="00AE1474">
      <w:pPr>
        <w:spacing w:line="240" w:lineRule="auto"/>
      </w:pPr>
    </w:p>
  </w:footnote>
  <w:footnote w:id="2">
    <w:p w14:paraId="6E55518C" w14:textId="14805A15" w:rsidR="00442A37" w:rsidRDefault="00442A37">
      <w:pPr>
        <w:pStyle w:val="FootnoteText"/>
      </w:pPr>
      <w:r>
        <w:rPr>
          <w:rStyle w:val="FootnoteReference"/>
        </w:rPr>
        <w:footnoteRef/>
      </w:r>
      <w:r>
        <w:t xml:space="preserve"> </w:t>
      </w:r>
      <w:r>
        <w:rPr>
          <w:szCs w:val="18"/>
        </w:rPr>
        <w:t>DESE’s</w:t>
      </w:r>
      <w:r w:rsidRPr="00B408CF">
        <w:rPr>
          <w:szCs w:val="18"/>
        </w:rPr>
        <w:t xml:space="preserve"> District Standards and Indicators are at </w:t>
      </w:r>
      <w:hyperlink r:id="rId1" w:history="1">
        <w:r w:rsidRPr="00B408CF">
          <w:rPr>
            <w:rStyle w:val="Hyperlink"/>
            <w:szCs w:val="18"/>
          </w:rPr>
          <w:t>http://www.doe.mass.edu/accountability/district-review/district-standards-indicators.pdf</w:t>
        </w:r>
      </w:hyperlink>
      <w:r w:rsidRPr="00B408CF">
        <w:rPr>
          <w:szCs w:val="18"/>
        </w:rPr>
        <w:t>.</w:t>
      </w:r>
    </w:p>
  </w:footnote>
  <w:footnote w:id="3">
    <w:p w14:paraId="4D3EF6CC" w14:textId="0F5F730D" w:rsidR="008672D4" w:rsidRDefault="008672D4" w:rsidP="008672D4">
      <w:pPr>
        <w:pStyle w:val="FootnoteText"/>
      </w:pPr>
      <w:r>
        <w:rPr>
          <w:rStyle w:val="FootnoteReference"/>
        </w:rPr>
        <w:footnoteRef/>
      </w:r>
      <w:r>
        <w:t xml:space="preserve"> </w:t>
      </w:r>
      <w:r w:rsidRPr="00B408CF">
        <w:rPr>
          <w:szCs w:val="18"/>
        </w:rPr>
        <w:t xml:space="preserve">For more information on the Teachstone CLASS protocol, visit </w:t>
      </w:r>
      <w:hyperlink r:id="rId2" w:history="1">
        <w:r w:rsidR="001770A6" w:rsidRPr="004E78C0">
          <w:rPr>
            <w:rStyle w:val="Hyperlink"/>
            <w:szCs w:val="18"/>
          </w:rPr>
          <w:t>https://teachstone.com/class/</w:t>
        </w:r>
      </w:hyperlink>
      <w:r w:rsidRPr="00B408CF">
        <w:rPr>
          <w:szCs w:val="18"/>
        </w:rPr>
        <w:t>.</w:t>
      </w:r>
    </w:p>
  </w:footnote>
  <w:footnote w:id="4">
    <w:p w14:paraId="13AB0394" w14:textId="0E379D52" w:rsidR="003D6ECF" w:rsidRPr="00B408CF" w:rsidRDefault="003D6ECF" w:rsidP="003D6ECF">
      <w:pPr>
        <w:pStyle w:val="FootnoteText"/>
        <w:rPr>
          <w:szCs w:val="18"/>
        </w:rPr>
      </w:pPr>
      <w:r w:rsidRPr="00361461">
        <w:rPr>
          <w:rStyle w:val="FootnoteReference"/>
          <w:sz w:val="19"/>
          <w:szCs w:val="19"/>
        </w:rPr>
        <w:footnoteRef/>
      </w:r>
      <w:r w:rsidRPr="00361461">
        <w:t xml:space="preserve"> </w:t>
      </w:r>
      <w:r w:rsidR="00D30A74">
        <w:rPr>
          <w:szCs w:val="18"/>
        </w:rPr>
        <w:t>DESE</w:t>
      </w:r>
      <w:r w:rsidR="00040362">
        <w:rPr>
          <w:szCs w:val="18"/>
        </w:rPr>
        <w:t>’</w:t>
      </w:r>
      <w:r w:rsidR="00D30A74">
        <w:rPr>
          <w:szCs w:val="18"/>
        </w:rPr>
        <w:t>s</w:t>
      </w:r>
      <w:r w:rsidR="00D30A74" w:rsidRPr="00B408CF">
        <w:rPr>
          <w:szCs w:val="18"/>
        </w:rPr>
        <w:t xml:space="preserve"> </w:t>
      </w:r>
      <w:r w:rsidRPr="00B408CF">
        <w:rPr>
          <w:szCs w:val="18"/>
        </w:rPr>
        <w:t xml:space="preserve">District Standards and Indicators are at </w:t>
      </w:r>
      <w:hyperlink r:id="rId3" w:history="1">
        <w:r w:rsidRPr="00B408CF">
          <w:rPr>
            <w:rStyle w:val="Hyperlink"/>
            <w:szCs w:val="18"/>
          </w:rPr>
          <w:t>http://www.doe.mass.edu/accountability/district-review/district-standards-indicators.pdf</w:t>
        </w:r>
      </w:hyperlink>
      <w:r w:rsidRPr="00B408CF">
        <w:rPr>
          <w:szCs w:val="18"/>
        </w:rPr>
        <w:t>.</w:t>
      </w:r>
    </w:p>
  </w:footnote>
  <w:footnote w:id="5">
    <w:p w14:paraId="3B0A90E3" w14:textId="64868AF6" w:rsidR="00E1387B" w:rsidRDefault="00E1387B" w:rsidP="00E1387B">
      <w:pPr>
        <w:pStyle w:val="FootnoteText"/>
      </w:pPr>
      <w:r>
        <w:rPr>
          <w:rStyle w:val="FootnoteReference"/>
        </w:rPr>
        <w:footnoteRef/>
      </w:r>
      <w:r>
        <w:t xml:space="preserve"> </w:t>
      </w:r>
      <w:r>
        <w:rPr>
          <w:rFonts w:ascii="Franklin Gothic Book" w:hAnsi="Franklin Gothic Book"/>
        </w:rPr>
        <w:t>Average SGP ranges: Very Low Growth = 1.0-29.9, Low Growth = 30.0-39.9, Typical Growth = 40.0-59.9, Exceeded Typical Growth = 60.0 or higher</w:t>
      </w:r>
      <w:r w:rsidRPr="006D2EBA">
        <w:rPr>
          <w:rFonts w:ascii="Franklin Gothic Book" w:hAnsi="Franklin Gothic Book"/>
        </w:rPr>
        <w:t>.</w:t>
      </w:r>
    </w:p>
  </w:footnote>
  <w:footnote w:id="6">
    <w:p w14:paraId="6F0E304C" w14:textId="71DCE953" w:rsidR="00615366" w:rsidRDefault="00615366">
      <w:pPr>
        <w:pStyle w:val="FootnoteText"/>
      </w:pPr>
      <w:r>
        <w:rPr>
          <w:rStyle w:val="FootnoteReference"/>
        </w:rPr>
        <w:footnoteRef/>
      </w:r>
      <w:r>
        <w:t xml:space="preserve"> CURATE: CUrriculum RAtings by TEachers. See </w:t>
      </w:r>
      <w:hyperlink r:id="rId4" w:history="1">
        <w:r w:rsidRPr="00EB120C">
          <w:rPr>
            <w:rStyle w:val="Hyperlink"/>
          </w:rPr>
          <w:t>https://www.doe.mass.edu/instruction/curate</w:t>
        </w:r>
      </w:hyperlink>
      <w:r>
        <w:t>.</w:t>
      </w:r>
    </w:p>
  </w:footnote>
  <w:footnote w:id="7">
    <w:p w14:paraId="18F453F4" w14:textId="1AAF07AB" w:rsidR="0033262D" w:rsidRPr="00F008EE" w:rsidRDefault="0033262D">
      <w:pPr>
        <w:pStyle w:val="FootnoteText"/>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0552D" w14:textId="77777777" w:rsidR="002434C0" w:rsidRDefault="002434C0"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9BAE6" w14:textId="77777777" w:rsidR="0033262D" w:rsidRPr="00FF6528" w:rsidRDefault="003326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0D1F2" w14:textId="77777777" w:rsidR="0047269F" w:rsidRDefault="0047269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biItWje" int2:invalidationBookmarkName="" int2:hashCode="sJaIqQ2km3Wj51" int2:id="lAjOEz5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A4EDF1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1A491E4"/>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FDEA80E0"/>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5B66F3C8"/>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95EACF1E"/>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4052004A"/>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901E6FB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27FE97F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9B12EF"/>
    <w:multiLevelType w:val="multilevel"/>
    <w:tmpl w:val="3802ECC0"/>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bullet"/>
      <w:pStyle w:val="TableBullet2"/>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12"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153159">
    <w:abstractNumId w:val="13"/>
  </w:num>
  <w:num w:numId="2" w16cid:durableId="1081218223">
    <w:abstractNumId w:val="9"/>
  </w:num>
  <w:num w:numId="3" w16cid:durableId="1729691725">
    <w:abstractNumId w:val="15"/>
  </w:num>
  <w:num w:numId="4" w16cid:durableId="142703376">
    <w:abstractNumId w:val="14"/>
  </w:num>
  <w:num w:numId="5" w16cid:durableId="913396038">
    <w:abstractNumId w:val="16"/>
  </w:num>
  <w:num w:numId="6" w16cid:durableId="1534149646">
    <w:abstractNumId w:val="11"/>
  </w:num>
  <w:num w:numId="7" w16cid:durableId="2036345692">
    <w:abstractNumId w:val="10"/>
  </w:num>
  <w:num w:numId="8" w16cid:durableId="885028805">
    <w:abstractNumId w:val="12"/>
  </w:num>
  <w:num w:numId="9" w16cid:durableId="425224381">
    <w:abstractNumId w:val="8"/>
  </w:num>
  <w:num w:numId="10" w16cid:durableId="1153259004">
    <w:abstractNumId w:val="10"/>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1" w16cid:durableId="1678651798">
    <w:abstractNumId w:val="7"/>
  </w:num>
  <w:num w:numId="12" w16cid:durableId="255745972">
    <w:abstractNumId w:val="5"/>
  </w:num>
  <w:num w:numId="13" w16cid:durableId="1576282353">
    <w:abstractNumId w:val="4"/>
  </w:num>
  <w:num w:numId="14" w16cid:durableId="912473489">
    <w:abstractNumId w:val="3"/>
  </w:num>
  <w:num w:numId="15" w16cid:durableId="1531838528">
    <w:abstractNumId w:val="2"/>
  </w:num>
  <w:num w:numId="16" w16cid:durableId="1705980083">
    <w:abstractNumId w:val="6"/>
  </w:num>
  <w:num w:numId="17" w16cid:durableId="482503213">
    <w:abstractNumId w:val="1"/>
  </w:num>
  <w:num w:numId="18" w16cid:durableId="1721592331">
    <w:abstractNumId w:val="0"/>
  </w:num>
  <w:num w:numId="19" w16cid:durableId="1388214402">
    <w:abstractNumId w:val="6"/>
  </w:num>
  <w:num w:numId="20" w16cid:durableId="183330002">
    <w:abstractNumId w:val="1"/>
  </w:num>
  <w:num w:numId="21" w16cid:durableId="406653460">
    <w:abstractNumId w:val="0"/>
  </w:num>
  <w:num w:numId="22" w16cid:durableId="932393251">
    <w:abstractNumId w:val="6"/>
  </w:num>
  <w:num w:numId="23" w16cid:durableId="1777748714">
    <w:abstractNumId w:val="1"/>
  </w:num>
  <w:num w:numId="24" w16cid:durableId="1257784570">
    <w:abstractNumId w:val="0"/>
  </w:num>
  <w:num w:numId="25" w16cid:durableId="167797598">
    <w:abstractNumId w:val="6"/>
  </w:num>
  <w:num w:numId="26" w16cid:durableId="1762482916">
    <w:abstractNumId w:val="1"/>
  </w:num>
  <w:num w:numId="27" w16cid:durableId="1800538044">
    <w:abstractNumId w:val="0"/>
  </w:num>
  <w:num w:numId="28" w16cid:durableId="1982880157">
    <w:abstractNumId w:val="10"/>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s-MX" w:vendorID="64" w:dllVersion="0" w:nlCheck="1" w:checkStyle="0"/>
  <w:activeWritingStyle w:appName="MSWord" w:lang="en-US" w:vendorID="64" w:dllVersion="0" w:nlCheck="1" w:checkStyle="0"/>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S2MDUyNTMxMbc0tTBR0lEKTi0uzszPAykwNK4FAN7iHV0tAAAA"/>
  </w:docVars>
  <w:rsids>
    <w:rsidRoot w:val="008E314D"/>
    <w:rsid w:val="00000007"/>
    <w:rsid w:val="0000030E"/>
    <w:rsid w:val="00000375"/>
    <w:rsid w:val="000005C0"/>
    <w:rsid w:val="0000072F"/>
    <w:rsid w:val="000007A2"/>
    <w:rsid w:val="00000848"/>
    <w:rsid w:val="00000A98"/>
    <w:rsid w:val="00000C46"/>
    <w:rsid w:val="00000E6A"/>
    <w:rsid w:val="00000FE2"/>
    <w:rsid w:val="00001062"/>
    <w:rsid w:val="000010ED"/>
    <w:rsid w:val="00001106"/>
    <w:rsid w:val="00001256"/>
    <w:rsid w:val="00001441"/>
    <w:rsid w:val="00001549"/>
    <w:rsid w:val="00001770"/>
    <w:rsid w:val="000018E9"/>
    <w:rsid w:val="000019DF"/>
    <w:rsid w:val="00001B71"/>
    <w:rsid w:val="00001DC2"/>
    <w:rsid w:val="00001DDD"/>
    <w:rsid w:val="00001F56"/>
    <w:rsid w:val="00001FD4"/>
    <w:rsid w:val="0000225E"/>
    <w:rsid w:val="00002346"/>
    <w:rsid w:val="0000245B"/>
    <w:rsid w:val="0000282B"/>
    <w:rsid w:val="000028CC"/>
    <w:rsid w:val="00002979"/>
    <w:rsid w:val="00002A69"/>
    <w:rsid w:val="00002AC6"/>
    <w:rsid w:val="00002B4D"/>
    <w:rsid w:val="00002D97"/>
    <w:rsid w:val="00002E74"/>
    <w:rsid w:val="00003041"/>
    <w:rsid w:val="00003102"/>
    <w:rsid w:val="000032CF"/>
    <w:rsid w:val="000034EB"/>
    <w:rsid w:val="0000358A"/>
    <w:rsid w:val="0000392B"/>
    <w:rsid w:val="00003ADF"/>
    <w:rsid w:val="00003B2C"/>
    <w:rsid w:val="00003BDF"/>
    <w:rsid w:val="00004366"/>
    <w:rsid w:val="0000438D"/>
    <w:rsid w:val="00004B51"/>
    <w:rsid w:val="00005140"/>
    <w:rsid w:val="0000539F"/>
    <w:rsid w:val="00005445"/>
    <w:rsid w:val="0000547F"/>
    <w:rsid w:val="00005503"/>
    <w:rsid w:val="000056CF"/>
    <w:rsid w:val="0000576D"/>
    <w:rsid w:val="00005772"/>
    <w:rsid w:val="00005788"/>
    <w:rsid w:val="00005E2A"/>
    <w:rsid w:val="00005E2F"/>
    <w:rsid w:val="00005E86"/>
    <w:rsid w:val="000062D7"/>
    <w:rsid w:val="00006369"/>
    <w:rsid w:val="00006535"/>
    <w:rsid w:val="00006709"/>
    <w:rsid w:val="00006A9E"/>
    <w:rsid w:val="00006B6E"/>
    <w:rsid w:val="00006B7D"/>
    <w:rsid w:val="00006B91"/>
    <w:rsid w:val="00006BCC"/>
    <w:rsid w:val="00006C2E"/>
    <w:rsid w:val="00006D68"/>
    <w:rsid w:val="00006D6E"/>
    <w:rsid w:val="00006E08"/>
    <w:rsid w:val="00007082"/>
    <w:rsid w:val="000074E4"/>
    <w:rsid w:val="000074E9"/>
    <w:rsid w:val="00007761"/>
    <w:rsid w:val="000077D9"/>
    <w:rsid w:val="00007B0E"/>
    <w:rsid w:val="00007C3B"/>
    <w:rsid w:val="00007F19"/>
    <w:rsid w:val="000101AC"/>
    <w:rsid w:val="000101D1"/>
    <w:rsid w:val="00010273"/>
    <w:rsid w:val="00010284"/>
    <w:rsid w:val="0001039E"/>
    <w:rsid w:val="00010577"/>
    <w:rsid w:val="000106CC"/>
    <w:rsid w:val="00010862"/>
    <w:rsid w:val="000108AB"/>
    <w:rsid w:val="000108D8"/>
    <w:rsid w:val="00010AA8"/>
    <w:rsid w:val="00010E07"/>
    <w:rsid w:val="00010E1B"/>
    <w:rsid w:val="00010F5D"/>
    <w:rsid w:val="000110AA"/>
    <w:rsid w:val="0001110A"/>
    <w:rsid w:val="00011279"/>
    <w:rsid w:val="000114E1"/>
    <w:rsid w:val="000115E4"/>
    <w:rsid w:val="000117A3"/>
    <w:rsid w:val="000118B8"/>
    <w:rsid w:val="000119F1"/>
    <w:rsid w:val="000120F5"/>
    <w:rsid w:val="00012235"/>
    <w:rsid w:val="00012287"/>
    <w:rsid w:val="00012290"/>
    <w:rsid w:val="000122E2"/>
    <w:rsid w:val="0001261B"/>
    <w:rsid w:val="00012875"/>
    <w:rsid w:val="000128B0"/>
    <w:rsid w:val="000128DF"/>
    <w:rsid w:val="00012A59"/>
    <w:rsid w:val="00012C2A"/>
    <w:rsid w:val="00012CE2"/>
    <w:rsid w:val="00012E1D"/>
    <w:rsid w:val="00012EF4"/>
    <w:rsid w:val="00013139"/>
    <w:rsid w:val="000132E0"/>
    <w:rsid w:val="00013A6C"/>
    <w:rsid w:val="00013A76"/>
    <w:rsid w:val="00013C83"/>
    <w:rsid w:val="0001404E"/>
    <w:rsid w:val="0001424C"/>
    <w:rsid w:val="000143B1"/>
    <w:rsid w:val="0001449B"/>
    <w:rsid w:val="0001469C"/>
    <w:rsid w:val="00014A0D"/>
    <w:rsid w:val="00014B1A"/>
    <w:rsid w:val="00014BCC"/>
    <w:rsid w:val="00014E60"/>
    <w:rsid w:val="00014F44"/>
    <w:rsid w:val="000153E3"/>
    <w:rsid w:val="000153F9"/>
    <w:rsid w:val="00015617"/>
    <w:rsid w:val="000157AE"/>
    <w:rsid w:val="000158A6"/>
    <w:rsid w:val="000158B4"/>
    <w:rsid w:val="000158D0"/>
    <w:rsid w:val="00015B77"/>
    <w:rsid w:val="00015C1A"/>
    <w:rsid w:val="00015E32"/>
    <w:rsid w:val="00015ECD"/>
    <w:rsid w:val="00016308"/>
    <w:rsid w:val="0001647F"/>
    <w:rsid w:val="00016615"/>
    <w:rsid w:val="000167D3"/>
    <w:rsid w:val="00016B2E"/>
    <w:rsid w:val="00016CA3"/>
    <w:rsid w:val="00016CF7"/>
    <w:rsid w:val="00016FA4"/>
    <w:rsid w:val="000170C1"/>
    <w:rsid w:val="000171E2"/>
    <w:rsid w:val="000172D2"/>
    <w:rsid w:val="00017356"/>
    <w:rsid w:val="000173E3"/>
    <w:rsid w:val="000178B0"/>
    <w:rsid w:val="000179B1"/>
    <w:rsid w:val="00017A05"/>
    <w:rsid w:val="00017BEF"/>
    <w:rsid w:val="00017D2A"/>
    <w:rsid w:val="00017E51"/>
    <w:rsid w:val="00017E54"/>
    <w:rsid w:val="00017FFB"/>
    <w:rsid w:val="0002025B"/>
    <w:rsid w:val="00020262"/>
    <w:rsid w:val="000204A5"/>
    <w:rsid w:val="000205E4"/>
    <w:rsid w:val="0002069B"/>
    <w:rsid w:val="000207E2"/>
    <w:rsid w:val="00020820"/>
    <w:rsid w:val="000209C9"/>
    <w:rsid w:val="00020A8E"/>
    <w:rsid w:val="00020EF6"/>
    <w:rsid w:val="00020F24"/>
    <w:rsid w:val="00020F57"/>
    <w:rsid w:val="000210A6"/>
    <w:rsid w:val="00021398"/>
    <w:rsid w:val="0002142B"/>
    <w:rsid w:val="00021474"/>
    <w:rsid w:val="0002155D"/>
    <w:rsid w:val="000218C4"/>
    <w:rsid w:val="00021945"/>
    <w:rsid w:val="00021C9D"/>
    <w:rsid w:val="00021D18"/>
    <w:rsid w:val="00021F6B"/>
    <w:rsid w:val="00021F8C"/>
    <w:rsid w:val="00021FBE"/>
    <w:rsid w:val="00022282"/>
    <w:rsid w:val="0002248C"/>
    <w:rsid w:val="0002259A"/>
    <w:rsid w:val="000225F5"/>
    <w:rsid w:val="000226AF"/>
    <w:rsid w:val="00022841"/>
    <w:rsid w:val="000228D9"/>
    <w:rsid w:val="000229D4"/>
    <w:rsid w:val="00022A59"/>
    <w:rsid w:val="00022C15"/>
    <w:rsid w:val="0002314E"/>
    <w:rsid w:val="00023229"/>
    <w:rsid w:val="00023308"/>
    <w:rsid w:val="000233BD"/>
    <w:rsid w:val="00023452"/>
    <w:rsid w:val="00023465"/>
    <w:rsid w:val="000235E1"/>
    <w:rsid w:val="00023D8C"/>
    <w:rsid w:val="00023EFF"/>
    <w:rsid w:val="0002429B"/>
    <w:rsid w:val="000244B8"/>
    <w:rsid w:val="000246CC"/>
    <w:rsid w:val="0002486C"/>
    <w:rsid w:val="00024991"/>
    <w:rsid w:val="00024DB6"/>
    <w:rsid w:val="00024E73"/>
    <w:rsid w:val="0002527A"/>
    <w:rsid w:val="000252D1"/>
    <w:rsid w:val="000254C0"/>
    <w:rsid w:val="00025573"/>
    <w:rsid w:val="000255E9"/>
    <w:rsid w:val="00025613"/>
    <w:rsid w:val="000257CC"/>
    <w:rsid w:val="00025889"/>
    <w:rsid w:val="0002599D"/>
    <w:rsid w:val="000259AA"/>
    <w:rsid w:val="000259D0"/>
    <w:rsid w:val="000259DE"/>
    <w:rsid w:val="00025B2A"/>
    <w:rsid w:val="00025C70"/>
    <w:rsid w:val="00025EC1"/>
    <w:rsid w:val="00025F47"/>
    <w:rsid w:val="000263F8"/>
    <w:rsid w:val="00026585"/>
    <w:rsid w:val="000265E6"/>
    <w:rsid w:val="00026685"/>
    <w:rsid w:val="000266F9"/>
    <w:rsid w:val="0002673F"/>
    <w:rsid w:val="00026781"/>
    <w:rsid w:val="00026849"/>
    <w:rsid w:val="000269CC"/>
    <w:rsid w:val="00026ACA"/>
    <w:rsid w:val="00026AF9"/>
    <w:rsid w:val="00026B5D"/>
    <w:rsid w:val="00026D9C"/>
    <w:rsid w:val="00027062"/>
    <w:rsid w:val="00027064"/>
    <w:rsid w:val="0002706A"/>
    <w:rsid w:val="0002717A"/>
    <w:rsid w:val="00027474"/>
    <w:rsid w:val="00027590"/>
    <w:rsid w:val="000276B7"/>
    <w:rsid w:val="000279B2"/>
    <w:rsid w:val="00027A0A"/>
    <w:rsid w:val="00027B14"/>
    <w:rsid w:val="00027D38"/>
    <w:rsid w:val="00027DBD"/>
    <w:rsid w:val="000302C7"/>
    <w:rsid w:val="000303C3"/>
    <w:rsid w:val="000305D1"/>
    <w:rsid w:val="000306D1"/>
    <w:rsid w:val="0003071B"/>
    <w:rsid w:val="00030930"/>
    <w:rsid w:val="0003096C"/>
    <w:rsid w:val="0003102F"/>
    <w:rsid w:val="000312DC"/>
    <w:rsid w:val="000313F9"/>
    <w:rsid w:val="000318B3"/>
    <w:rsid w:val="000318D2"/>
    <w:rsid w:val="000319AA"/>
    <w:rsid w:val="00031ACE"/>
    <w:rsid w:val="00031E27"/>
    <w:rsid w:val="00031E6C"/>
    <w:rsid w:val="0003201F"/>
    <w:rsid w:val="0003247A"/>
    <w:rsid w:val="00032527"/>
    <w:rsid w:val="00032635"/>
    <w:rsid w:val="00032818"/>
    <w:rsid w:val="00032855"/>
    <w:rsid w:val="00032BBB"/>
    <w:rsid w:val="00032C31"/>
    <w:rsid w:val="00032C71"/>
    <w:rsid w:val="00032CAF"/>
    <w:rsid w:val="00032D5C"/>
    <w:rsid w:val="00032DDB"/>
    <w:rsid w:val="0003301A"/>
    <w:rsid w:val="00033119"/>
    <w:rsid w:val="00033204"/>
    <w:rsid w:val="0003332F"/>
    <w:rsid w:val="00033495"/>
    <w:rsid w:val="000335F7"/>
    <w:rsid w:val="00033690"/>
    <w:rsid w:val="000337EC"/>
    <w:rsid w:val="00033A41"/>
    <w:rsid w:val="00033C8E"/>
    <w:rsid w:val="00033D36"/>
    <w:rsid w:val="00033DAA"/>
    <w:rsid w:val="00033E70"/>
    <w:rsid w:val="00033F3D"/>
    <w:rsid w:val="0003415B"/>
    <w:rsid w:val="000344FD"/>
    <w:rsid w:val="00034633"/>
    <w:rsid w:val="000347C9"/>
    <w:rsid w:val="000349C1"/>
    <w:rsid w:val="000349DF"/>
    <w:rsid w:val="00034A5A"/>
    <w:rsid w:val="00034A8C"/>
    <w:rsid w:val="00034B0E"/>
    <w:rsid w:val="00034B99"/>
    <w:rsid w:val="00034F23"/>
    <w:rsid w:val="000351D5"/>
    <w:rsid w:val="00035358"/>
    <w:rsid w:val="0003535F"/>
    <w:rsid w:val="000357C6"/>
    <w:rsid w:val="000359B1"/>
    <w:rsid w:val="00035AAB"/>
    <w:rsid w:val="00035B43"/>
    <w:rsid w:val="00035B48"/>
    <w:rsid w:val="00035B73"/>
    <w:rsid w:val="00035CD8"/>
    <w:rsid w:val="00035E0C"/>
    <w:rsid w:val="00035E13"/>
    <w:rsid w:val="000360FB"/>
    <w:rsid w:val="00036204"/>
    <w:rsid w:val="0003622C"/>
    <w:rsid w:val="00036310"/>
    <w:rsid w:val="00036417"/>
    <w:rsid w:val="00036461"/>
    <w:rsid w:val="000365F3"/>
    <w:rsid w:val="000367BE"/>
    <w:rsid w:val="000367C9"/>
    <w:rsid w:val="00036A39"/>
    <w:rsid w:val="00036AEC"/>
    <w:rsid w:val="00036CCF"/>
    <w:rsid w:val="00036D02"/>
    <w:rsid w:val="00036D85"/>
    <w:rsid w:val="00036FB7"/>
    <w:rsid w:val="000370AF"/>
    <w:rsid w:val="000370FC"/>
    <w:rsid w:val="00037218"/>
    <w:rsid w:val="00037239"/>
    <w:rsid w:val="00037299"/>
    <w:rsid w:val="00037357"/>
    <w:rsid w:val="000376BC"/>
    <w:rsid w:val="00037709"/>
    <w:rsid w:val="00037736"/>
    <w:rsid w:val="00037798"/>
    <w:rsid w:val="0003783A"/>
    <w:rsid w:val="000378D0"/>
    <w:rsid w:val="0003791F"/>
    <w:rsid w:val="00040018"/>
    <w:rsid w:val="0004004E"/>
    <w:rsid w:val="00040051"/>
    <w:rsid w:val="00040166"/>
    <w:rsid w:val="00040362"/>
    <w:rsid w:val="0004057D"/>
    <w:rsid w:val="00040643"/>
    <w:rsid w:val="0004074D"/>
    <w:rsid w:val="000408FD"/>
    <w:rsid w:val="00040A41"/>
    <w:rsid w:val="00040AC3"/>
    <w:rsid w:val="00040BB3"/>
    <w:rsid w:val="00040BC6"/>
    <w:rsid w:val="00040D56"/>
    <w:rsid w:val="00040D81"/>
    <w:rsid w:val="00041000"/>
    <w:rsid w:val="00041094"/>
    <w:rsid w:val="0004134A"/>
    <w:rsid w:val="0004150D"/>
    <w:rsid w:val="000415A0"/>
    <w:rsid w:val="000415AB"/>
    <w:rsid w:val="000416E4"/>
    <w:rsid w:val="00041849"/>
    <w:rsid w:val="00041BC4"/>
    <w:rsid w:val="00041E77"/>
    <w:rsid w:val="000420E4"/>
    <w:rsid w:val="00042155"/>
    <w:rsid w:val="00042182"/>
    <w:rsid w:val="00042249"/>
    <w:rsid w:val="0004241C"/>
    <w:rsid w:val="000425A4"/>
    <w:rsid w:val="000425B6"/>
    <w:rsid w:val="00042854"/>
    <w:rsid w:val="00042D1F"/>
    <w:rsid w:val="000434DE"/>
    <w:rsid w:val="00043517"/>
    <w:rsid w:val="000435A4"/>
    <w:rsid w:val="00043656"/>
    <w:rsid w:val="0004368C"/>
    <w:rsid w:val="00043703"/>
    <w:rsid w:val="000439C3"/>
    <w:rsid w:val="00043A2E"/>
    <w:rsid w:val="00043B1B"/>
    <w:rsid w:val="00043C8E"/>
    <w:rsid w:val="00043DD3"/>
    <w:rsid w:val="0004412B"/>
    <w:rsid w:val="000442B1"/>
    <w:rsid w:val="00044478"/>
    <w:rsid w:val="00044507"/>
    <w:rsid w:val="000445F8"/>
    <w:rsid w:val="0004490A"/>
    <w:rsid w:val="00044BE9"/>
    <w:rsid w:val="00044D82"/>
    <w:rsid w:val="00044E66"/>
    <w:rsid w:val="0004524B"/>
    <w:rsid w:val="00045304"/>
    <w:rsid w:val="000453D8"/>
    <w:rsid w:val="0004554F"/>
    <w:rsid w:val="00045618"/>
    <w:rsid w:val="00045692"/>
    <w:rsid w:val="000456A3"/>
    <w:rsid w:val="00045C34"/>
    <w:rsid w:val="00045CDF"/>
    <w:rsid w:val="00045DDF"/>
    <w:rsid w:val="00045DE1"/>
    <w:rsid w:val="000461A6"/>
    <w:rsid w:val="000462B6"/>
    <w:rsid w:val="00046776"/>
    <w:rsid w:val="000467D3"/>
    <w:rsid w:val="000468DB"/>
    <w:rsid w:val="00046970"/>
    <w:rsid w:val="00046A17"/>
    <w:rsid w:val="00046F02"/>
    <w:rsid w:val="00046F20"/>
    <w:rsid w:val="00047003"/>
    <w:rsid w:val="00047055"/>
    <w:rsid w:val="0004743E"/>
    <w:rsid w:val="000474F6"/>
    <w:rsid w:val="0004761D"/>
    <w:rsid w:val="00047BFC"/>
    <w:rsid w:val="00047C7B"/>
    <w:rsid w:val="00047CB5"/>
    <w:rsid w:val="000500E4"/>
    <w:rsid w:val="0005019D"/>
    <w:rsid w:val="00050221"/>
    <w:rsid w:val="0005027A"/>
    <w:rsid w:val="000506F6"/>
    <w:rsid w:val="0005080E"/>
    <w:rsid w:val="00050847"/>
    <w:rsid w:val="0005085C"/>
    <w:rsid w:val="000508E8"/>
    <w:rsid w:val="00050BDF"/>
    <w:rsid w:val="00050D30"/>
    <w:rsid w:val="00050D83"/>
    <w:rsid w:val="0005111C"/>
    <w:rsid w:val="0005119A"/>
    <w:rsid w:val="000512E0"/>
    <w:rsid w:val="000513FF"/>
    <w:rsid w:val="0005141C"/>
    <w:rsid w:val="00051441"/>
    <w:rsid w:val="00051545"/>
    <w:rsid w:val="000515C7"/>
    <w:rsid w:val="000515E2"/>
    <w:rsid w:val="00051784"/>
    <w:rsid w:val="00051916"/>
    <w:rsid w:val="0005197C"/>
    <w:rsid w:val="00051A06"/>
    <w:rsid w:val="00051B87"/>
    <w:rsid w:val="00051C59"/>
    <w:rsid w:val="00051CDF"/>
    <w:rsid w:val="00052503"/>
    <w:rsid w:val="00052835"/>
    <w:rsid w:val="0005289C"/>
    <w:rsid w:val="00052916"/>
    <w:rsid w:val="00052A00"/>
    <w:rsid w:val="00052A73"/>
    <w:rsid w:val="00052D7A"/>
    <w:rsid w:val="00052E34"/>
    <w:rsid w:val="00052E4D"/>
    <w:rsid w:val="0005312C"/>
    <w:rsid w:val="000531A4"/>
    <w:rsid w:val="00053524"/>
    <w:rsid w:val="000535F4"/>
    <w:rsid w:val="0005362C"/>
    <w:rsid w:val="000538C4"/>
    <w:rsid w:val="000538C6"/>
    <w:rsid w:val="000538C7"/>
    <w:rsid w:val="00053A02"/>
    <w:rsid w:val="00053B52"/>
    <w:rsid w:val="00053C2F"/>
    <w:rsid w:val="00053C32"/>
    <w:rsid w:val="000540BC"/>
    <w:rsid w:val="00054120"/>
    <w:rsid w:val="000541AD"/>
    <w:rsid w:val="0005426F"/>
    <w:rsid w:val="0005432F"/>
    <w:rsid w:val="00054534"/>
    <w:rsid w:val="00054602"/>
    <w:rsid w:val="00054621"/>
    <w:rsid w:val="0005490F"/>
    <w:rsid w:val="00054ABF"/>
    <w:rsid w:val="00054BA1"/>
    <w:rsid w:val="00054C4B"/>
    <w:rsid w:val="000550F5"/>
    <w:rsid w:val="00055246"/>
    <w:rsid w:val="00055311"/>
    <w:rsid w:val="0005532E"/>
    <w:rsid w:val="00055347"/>
    <w:rsid w:val="00055566"/>
    <w:rsid w:val="0005568C"/>
    <w:rsid w:val="000559BE"/>
    <w:rsid w:val="00055A63"/>
    <w:rsid w:val="00055AFB"/>
    <w:rsid w:val="00055B7D"/>
    <w:rsid w:val="00055B97"/>
    <w:rsid w:val="00055D8C"/>
    <w:rsid w:val="00055DB0"/>
    <w:rsid w:val="00055E11"/>
    <w:rsid w:val="00055EC5"/>
    <w:rsid w:val="00055F20"/>
    <w:rsid w:val="00055F30"/>
    <w:rsid w:val="0005622F"/>
    <w:rsid w:val="00056419"/>
    <w:rsid w:val="000568B5"/>
    <w:rsid w:val="00056D2B"/>
    <w:rsid w:val="00056FC8"/>
    <w:rsid w:val="0005713B"/>
    <w:rsid w:val="0005715C"/>
    <w:rsid w:val="00057311"/>
    <w:rsid w:val="00057465"/>
    <w:rsid w:val="00057923"/>
    <w:rsid w:val="00057BF0"/>
    <w:rsid w:val="00057C1F"/>
    <w:rsid w:val="00057D64"/>
    <w:rsid w:val="000601CE"/>
    <w:rsid w:val="000602C3"/>
    <w:rsid w:val="00060449"/>
    <w:rsid w:val="00060891"/>
    <w:rsid w:val="00060911"/>
    <w:rsid w:val="00060A1E"/>
    <w:rsid w:val="00060E28"/>
    <w:rsid w:val="00060ED6"/>
    <w:rsid w:val="00060EE3"/>
    <w:rsid w:val="00060F62"/>
    <w:rsid w:val="00060FA4"/>
    <w:rsid w:val="00061028"/>
    <w:rsid w:val="0006119A"/>
    <w:rsid w:val="0006120B"/>
    <w:rsid w:val="00061364"/>
    <w:rsid w:val="000615CE"/>
    <w:rsid w:val="00061696"/>
    <w:rsid w:val="000619D3"/>
    <w:rsid w:val="00061B14"/>
    <w:rsid w:val="00061B39"/>
    <w:rsid w:val="00061C04"/>
    <w:rsid w:val="00061D91"/>
    <w:rsid w:val="0006204C"/>
    <w:rsid w:val="00062229"/>
    <w:rsid w:val="000624F4"/>
    <w:rsid w:val="00062651"/>
    <w:rsid w:val="000626AF"/>
    <w:rsid w:val="000626E0"/>
    <w:rsid w:val="0006270F"/>
    <w:rsid w:val="00062A2D"/>
    <w:rsid w:val="00062AEC"/>
    <w:rsid w:val="00062EE4"/>
    <w:rsid w:val="00063111"/>
    <w:rsid w:val="000631E5"/>
    <w:rsid w:val="0006327F"/>
    <w:rsid w:val="000635B6"/>
    <w:rsid w:val="000635FE"/>
    <w:rsid w:val="00063A5C"/>
    <w:rsid w:val="00063B57"/>
    <w:rsid w:val="00063E8C"/>
    <w:rsid w:val="000641B5"/>
    <w:rsid w:val="000645AF"/>
    <w:rsid w:val="00064B18"/>
    <w:rsid w:val="00064B8A"/>
    <w:rsid w:val="00064CA9"/>
    <w:rsid w:val="00064DC3"/>
    <w:rsid w:val="00064FBB"/>
    <w:rsid w:val="0006502E"/>
    <w:rsid w:val="0006503A"/>
    <w:rsid w:val="0006504C"/>
    <w:rsid w:val="000653B1"/>
    <w:rsid w:val="00065402"/>
    <w:rsid w:val="00065432"/>
    <w:rsid w:val="0006545F"/>
    <w:rsid w:val="000654EF"/>
    <w:rsid w:val="00065518"/>
    <w:rsid w:val="0006557C"/>
    <w:rsid w:val="0006587A"/>
    <w:rsid w:val="00065994"/>
    <w:rsid w:val="00065D74"/>
    <w:rsid w:val="00066068"/>
    <w:rsid w:val="00066074"/>
    <w:rsid w:val="000661A0"/>
    <w:rsid w:val="0006624F"/>
    <w:rsid w:val="00066258"/>
    <w:rsid w:val="00066404"/>
    <w:rsid w:val="00066696"/>
    <w:rsid w:val="0006679F"/>
    <w:rsid w:val="0006687C"/>
    <w:rsid w:val="000668AA"/>
    <w:rsid w:val="00066BAA"/>
    <w:rsid w:val="0006710D"/>
    <w:rsid w:val="000671A2"/>
    <w:rsid w:val="000673D6"/>
    <w:rsid w:val="000674BF"/>
    <w:rsid w:val="000674DF"/>
    <w:rsid w:val="0006769B"/>
    <w:rsid w:val="00067821"/>
    <w:rsid w:val="000678C4"/>
    <w:rsid w:val="00067A7B"/>
    <w:rsid w:val="00067B09"/>
    <w:rsid w:val="00067C61"/>
    <w:rsid w:val="00067D09"/>
    <w:rsid w:val="00067F0A"/>
    <w:rsid w:val="00067F86"/>
    <w:rsid w:val="000702DD"/>
    <w:rsid w:val="000705C1"/>
    <w:rsid w:val="0007063A"/>
    <w:rsid w:val="0007067C"/>
    <w:rsid w:val="00070789"/>
    <w:rsid w:val="0007099C"/>
    <w:rsid w:val="00070D40"/>
    <w:rsid w:val="00070E17"/>
    <w:rsid w:val="00070F88"/>
    <w:rsid w:val="00071079"/>
    <w:rsid w:val="00071094"/>
    <w:rsid w:val="0007122C"/>
    <w:rsid w:val="000714EC"/>
    <w:rsid w:val="00071549"/>
    <w:rsid w:val="00071577"/>
    <w:rsid w:val="000715C5"/>
    <w:rsid w:val="0007178A"/>
    <w:rsid w:val="000718E7"/>
    <w:rsid w:val="0007197B"/>
    <w:rsid w:val="00071DFB"/>
    <w:rsid w:val="00071F0F"/>
    <w:rsid w:val="00072046"/>
    <w:rsid w:val="000721DA"/>
    <w:rsid w:val="000724A2"/>
    <w:rsid w:val="0007278C"/>
    <w:rsid w:val="000727C0"/>
    <w:rsid w:val="00072A0B"/>
    <w:rsid w:val="00072A0F"/>
    <w:rsid w:val="00072A13"/>
    <w:rsid w:val="00072BEC"/>
    <w:rsid w:val="00073168"/>
    <w:rsid w:val="00073182"/>
    <w:rsid w:val="000732FF"/>
    <w:rsid w:val="0007338E"/>
    <w:rsid w:val="000733A3"/>
    <w:rsid w:val="0007360C"/>
    <w:rsid w:val="00073652"/>
    <w:rsid w:val="00073735"/>
    <w:rsid w:val="00073A89"/>
    <w:rsid w:val="00073B98"/>
    <w:rsid w:val="00073C95"/>
    <w:rsid w:val="00073E9B"/>
    <w:rsid w:val="000742A4"/>
    <w:rsid w:val="0007445F"/>
    <w:rsid w:val="00074596"/>
    <w:rsid w:val="000746F1"/>
    <w:rsid w:val="0007485B"/>
    <w:rsid w:val="000748C8"/>
    <w:rsid w:val="000749FA"/>
    <w:rsid w:val="00075198"/>
    <w:rsid w:val="0007552C"/>
    <w:rsid w:val="0007554C"/>
    <w:rsid w:val="00075561"/>
    <w:rsid w:val="000757FC"/>
    <w:rsid w:val="000759A7"/>
    <w:rsid w:val="00075C15"/>
    <w:rsid w:val="00075C17"/>
    <w:rsid w:val="00075C70"/>
    <w:rsid w:val="00075CB6"/>
    <w:rsid w:val="00075CC3"/>
    <w:rsid w:val="00075F0D"/>
    <w:rsid w:val="00076004"/>
    <w:rsid w:val="000760AD"/>
    <w:rsid w:val="000760FD"/>
    <w:rsid w:val="00076169"/>
    <w:rsid w:val="00076289"/>
    <w:rsid w:val="0007642E"/>
    <w:rsid w:val="0007649E"/>
    <w:rsid w:val="00076CB8"/>
    <w:rsid w:val="00076D2B"/>
    <w:rsid w:val="00076E84"/>
    <w:rsid w:val="00076FD1"/>
    <w:rsid w:val="000770D0"/>
    <w:rsid w:val="00077210"/>
    <w:rsid w:val="0007734D"/>
    <w:rsid w:val="00077612"/>
    <w:rsid w:val="000776A3"/>
    <w:rsid w:val="00077769"/>
    <w:rsid w:val="000778F4"/>
    <w:rsid w:val="00077AFB"/>
    <w:rsid w:val="00077B6A"/>
    <w:rsid w:val="00077B80"/>
    <w:rsid w:val="00077DF6"/>
    <w:rsid w:val="00077E4F"/>
    <w:rsid w:val="0007A753"/>
    <w:rsid w:val="00080147"/>
    <w:rsid w:val="0008016F"/>
    <w:rsid w:val="000807E9"/>
    <w:rsid w:val="000808AA"/>
    <w:rsid w:val="000808B4"/>
    <w:rsid w:val="00080B40"/>
    <w:rsid w:val="00080CAB"/>
    <w:rsid w:val="00080D9F"/>
    <w:rsid w:val="00080F66"/>
    <w:rsid w:val="000810D7"/>
    <w:rsid w:val="0008112B"/>
    <w:rsid w:val="00081168"/>
    <w:rsid w:val="0008116D"/>
    <w:rsid w:val="0008146E"/>
    <w:rsid w:val="0008170C"/>
    <w:rsid w:val="00081797"/>
    <w:rsid w:val="000817BC"/>
    <w:rsid w:val="00081AB3"/>
    <w:rsid w:val="00081C18"/>
    <w:rsid w:val="00081DEA"/>
    <w:rsid w:val="00081F2B"/>
    <w:rsid w:val="000821E7"/>
    <w:rsid w:val="00082224"/>
    <w:rsid w:val="000824BD"/>
    <w:rsid w:val="00082898"/>
    <w:rsid w:val="000829A5"/>
    <w:rsid w:val="00082AD6"/>
    <w:rsid w:val="00082E46"/>
    <w:rsid w:val="00082FB2"/>
    <w:rsid w:val="00083035"/>
    <w:rsid w:val="0008319C"/>
    <w:rsid w:val="000831EE"/>
    <w:rsid w:val="000833FE"/>
    <w:rsid w:val="00083499"/>
    <w:rsid w:val="0008355B"/>
    <w:rsid w:val="00083571"/>
    <w:rsid w:val="00083794"/>
    <w:rsid w:val="00083834"/>
    <w:rsid w:val="00083874"/>
    <w:rsid w:val="000839A5"/>
    <w:rsid w:val="00083AA1"/>
    <w:rsid w:val="00083C0F"/>
    <w:rsid w:val="00083C11"/>
    <w:rsid w:val="00083CFA"/>
    <w:rsid w:val="00083EBF"/>
    <w:rsid w:val="00084056"/>
    <w:rsid w:val="000841EF"/>
    <w:rsid w:val="00084235"/>
    <w:rsid w:val="000844E2"/>
    <w:rsid w:val="00084777"/>
    <w:rsid w:val="0008499B"/>
    <w:rsid w:val="00084C5B"/>
    <w:rsid w:val="000853A4"/>
    <w:rsid w:val="0008578A"/>
    <w:rsid w:val="00085B4C"/>
    <w:rsid w:val="00085B91"/>
    <w:rsid w:val="00085C80"/>
    <w:rsid w:val="00085E05"/>
    <w:rsid w:val="00085E84"/>
    <w:rsid w:val="00085FA0"/>
    <w:rsid w:val="0008601D"/>
    <w:rsid w:val="0008610A"/>
    <w:rsid w:val="0008611F"/>
    <w:rsid w:val="000863B7"/>
    <w:rsid w:val="0008658D"/>
    <w:rsid w:val="000865B5"/>
    <w:rsid w:val="00086735"/>
    <w:rsid w:val="000867F4"/>
    <w:rsid w:val="0008680C"/>
    <w:rsid w:val="00086978"/>
    <w:rsid w:val="00086A54"/>
    <w:rsid w:val="00086BC5"/>
    <w:rsid w:val="00086DB8"/>
    <w:rsid w:val="00086DD0"/>
    <w:rsid w:val="00087059"/>
    <w:rsid w:val="00087141"/>
    <w:rsid w:val="000872FC"/>
    <w:rsid w:val="00087448"/>
    <w:rsid w:val="000877C5"/>
    <w:rsid w:val="00087A53"/>
    <w:rsid w:val="00087BF2"/>
    <w:rsid w:val="00087C75"/>
    <w:rsid w:val="00087CCA"/>
    <w:rsid w:val="00087E28"/>
    <w:rsid w:val="00087F75"/>
    <w:rsid w:val="0009000B"/>
    <w:rsid w:val="00090190"/>
    <w:rsid w:val="000902DF"/>
    <w:rsid w:val="00090329"/>
    <w:rsid w:val="0009049E"/>
    <w:rsid w:val="00090AA8"/>
    <w:rsid w:val="00090C4F"/>
    <w:rsid w:val="00090CA8"/>
    <w:rsid w:val="00090CEC"/>
    <w:rsid w:val="00090EDC"/>
    <w:rsid w:val="00090F3D"/>
    <w:rsid w:val="0009110B"/>
    <w:rsid w:val="0009133F"/>
    <w:rsid w:val="0009137F"/>
    <w:rsid w:val="000913EA"/>
    <w:rsid w:val="00091416"/>
    <w:rsid w:val="0009158E"/>
    <w:rsid w:val="0009160A"/>
    <w:rsid w:val="0009171C"/>
    <w:rsid w:val="00091C10"/>
    <w:rsid w:val="00091C62"/>
    <w:rsid w:val="00091D52"/>
    <w:rsid w:val="00091FC8"/>
    <w:rsid w:val="000920A1"/>
    <w:rsid w:val="00092459"/>
    <w:rsid w:val="00092479"/>
    <w:rsid w:val="00092595"/>
    <w:rsid w:val="00092D6C"/>
    <w:rsid w:val="00092E24"/>
    <w:rsid w:val="00093111"/>
    <w:rsid w:val="00093671"/>
    <w:rsid w:val="000936C4"/>
    <w:rsid w:val="00093829"/>
    <w:rsid w:val="00093888"/>
    <w:rsid w:val="000939F3"/>
    <w:rsid w:val="00093A9A"/>
    <w:rsid w:val="00093B9A"/>
    <w:rsid w:val="00093CA6"/>
    <w:rsid w:val="000940F5"/>
    <w:rsid w:val="0009410A"/>
    <w:rsid w:val="0009437A"/>
    <w:rsid w:val="000943A3"/>
    <w:rsid w:val="000943BE"/>
    <w:rsid w:val="000944E7"/>
    <w:rsid w:val="000944F6"/>
    <w:rsid w:val="0009453E"/>
    <w:rsid w:val="000946B5"/>
    <w:rsid w:val="00094990"/>
    <w:rsid w:val="000949DA"/>
    <w:rsid w:val="00094B59"/>
    <w:rsid w:val="00094B67"/>
    <w:rsid w:val="00094BAF"/>
    <w:rsid w:val="00094C11"/>
    <w:rsid w:val="00094C72"/>
    <w:rsid w:val="00094DCC"/>
    <w:rsid w:val="000951A2"/>
    <w:rsid w:val="000951AE"/>
    <w:rsid w:val="00095225"/>
    <w:rsid w:val="00095326"/>
    <w:rsid w:val="00095344"/>
    <w:rsid w:val="000954AB"/>
    <w:rsid w:val="000955BF"/>
    <w:rsid w:val="0009569F"/>
    <w:rsid w:val="000958BB"/>
    <w:rsid w:val="00095934"/>
    <w:rsid w:val="00095C72"/>
    <w:rsid w:val="00095D02"/>
    <w:rsid w:val="00095D1E"/>
    <w:rsid w:val="00095DB9"/>
    <w:rsid w:val="00095F98"/>
    <w:rsid w:val="000960A4"/>
    <w:rsid w:val="000961CD"/>
    <w:rsid w:val="00096273"/>
    <w:rsid w:val="000962FC"/>
    <w:rsid w:val="000964BD"/>
    <w:rsid w:val="00096745"/>
    <w:rsid w:val="000967D5"/>
    <w:rsid w:val="00096949"/>
    <w:rsid w:val="0009694C"/>
    <w:rsid w:val="00096B40"/>
    <w:rsid w:val="00096D0A"/>
    <w:rsid w:val="00096E39"/>
    <w:rsid w:val="00096E57"/>
    <w:rsid w:val="00097198"/>
    <w:rsid w:val="000971AA"/>
    <w:rsid w:val="00097208"/>
    <w:rsid w:val="0009726E"/>
    <w:rsid w:val="00097439"/>
    <w:rsid w:val="0009751C"/>
    <w:rsid w:val="00097619"/>
    <w:rsid w:val="00097746"/>
    <w:rsid w:val="00097766"/>
    <w:rsid w:val="0009780C"/>
    <w:rsid w:val="00097884"/>
    <w:rsid w:val="000979D0"/>
    <w:rsid w:val="000979D2"/>
    <w:rsid w:val="00097A18"/>
    <w:rsid w:val="00097AFD"/>
    <w:rsid w:val="000A002D"/>
    <w:rsid w:val="000A0391"/>
    <w:rsid w:val="000A0520"/>
    <w:rsid w:val="000A089C"/>
    <w:rsid w:val="000A08AB"/>
    <w:rsid w:val="000A0945"/>
    <w:rsid w:val="000A0B62"/>
    <w:rsid w:val="000A0BC4"/>
    <w:rsid w:val="000A0D8E"/>
    <w:rsid w:val="000A0F10"/>
    <w:rsid w:val="000A0F76"/>
    <w:rsid w:val="000A1225"/>
    <w:rsid w:val="000A1413"/>
    <w:rsid w:val="000A1421"/>
    <w:rsid w:val="000A142D"/>
    <w:rsid w:val="000A14DF"/>
    <w:rsid w:val="000A177F"/>
    <w:rsid w:val="000A178B"/>
    <w:rsid w:val="000A1896"/>
    <w:rsid w:val="000A1960"/>
    <w:rsid w:val="000A19D0"/>
    <w:rsid w:val="000A1A29"/>
    <w:rsid w:val="000A1AF6"/>
    <w:rsid w:val="000A1B4C"/>
    <w:rsid w:val="000A1BD0"/>
    <w:rsid w:val="000A1D3B"/>
    <w:rsid w:val="000A1E30"/>
    <w:rsid w:val="000A2063"/>
    <w:rsid w:val="000A238E"/>
    <w:rsid w:val="000A23D6"/>
    <w:rsid w:val="000A24C1"/>
    <w:rsid w:val="000A28FD"/>
    <w:rsid w:val="000A2BA2"/>
    <w:rsid w:val="000A2CA6"/>
    <w:rsid w:val="000A2D17"/>
    <w:rsid w:val="000A2D97"/>
    <w:rsid w:val="000A2F67"/>
    <w:rsid w:val="000A2F6C"/>
    <w:rsid w:val="000A2F89"/>
    <w:rsid w:val="000A31A4"/>
    <w:rsid w:val="000A32D9"/>
    <w:rsid w:val="000A32E0"/>
    <w:rsid w:val="000A362A"/>
    <w:rsid w:val="000A371B"/>
    <w:rsid w:val="000A37E5"/>
    <w:rsid w:val="000A3AD4"/>
    <w:rsid w:val="000A3CFA"/>
    <w:rsid w:val="000A4000"/>
    <w:rsid w:val="000A40FE"/>
    <w:rsid w:val="000A41CF"/>
    <w:rsid w:val="000A437D"/>
    <w:rsid w:val="000A4494"/>
    <w:rsid w:val="000A4496"/>
    <w:rsid w:val="000A44F2"/>
    <w:rsid w:val="000A45A4"/>
    <w:rsid w:val="000A4F3F"/>
    <w:rsid w:val="000A4F71"/>
    <w:rsid w:val="000A4FC3"/>
    <w:rsid w:val="000A549E"/>
    <w:rsid w:val="000A5501"/>
    <w:rsid w:val="000A5626"/>
    <w:rsid w:val="000A5CB2"/>
    <w:rsid w:val="000A5E22"/>
    <w:rsid w:val="000A5EEF"/>
    <w:rsid w:val="000A5FC8"/>
    <w:rsid w:val="000A6271"/>
    <w:rsid w:val="000A6291"/>
    <w:rsid w:val="000A62B6"/>
    <w:rsid w:val="000A64DE"/>
    <w:rsid w:val="000A6650"/>
    <w:rsid w:val="000A675E"/>
    <w:rsid w:val="000A67F3"/>
    <w:rsid w:val="000A6A90"/>
    <w:rsid w:val="000A6CAB"/>
    <w:rsid w:val="000A6E1D"/>
    <w:rsid w:val="000A6E41"/>
    <w:rsid w:val="000A6E79"/>
    <w:rsid w:val="000A70B7"/>
    <w:rsid w:val="000A7151"/>
    <w:rsid w:val="000A74C3"/>
    <w:rsid w:val="000A77B5"/>
    <w:rsid w:val="000A77C6"/>
    <w:rsid w:val="000A7881"/>
    <w:rsid w:val="000A79EF"/>
    <w:rsid w:val="000A7BE4"/>
    <w:rsid w:val="000A7C85"/>
    <w:rsid w:val="000A7E0E"/>
    <w:rsid w:val="000A7F25"/>
    <w:rsid w:val="000B00BA"/>
    <w:rsid w:val="000B00F2"/>
    <w:rsid w:val="000B0156"/>
    <w:rsid w:val="000B020D"/>
    <w:rsid w:val="000B0452"/>
    <w:rsid w:val="000B0540"/>
    <w:rsid w:val="000B079E"/>
    <w:rsid w:val="000B0B03"/>
    <w:rsid w:val="000B10AD"/>
    <w:rsid w:val="000B10CD"/>
    <w:rsid w:val="000B111D"/>
    <w:rsid w:val="000B121B"/>
    <w:rsid w:val="000B1261"/>
    <w:rsid w:val="000B14AC"/>
    <w:rsid w:val="000B16E8"/>
    <w:rsid w:val="000B17BB"/>
    <w:rsid w:val="000B1807"/>
    <w:rsid w:val="000B1890"/>
    <w:rsid w:val="000B1960"/>
    <w:rsid w:val="000B1971"/>
    <w:rsid w:val="000B1985"/>
    <w:rsid w:val="000B1A66"/>
    <w:rsid w:val="000B1B53"/>
    <w:rsid w:val="000B1BBE"/>
    <w:rsid w:val="000B1DD2"/>
    <w:rsid w:val="000B1FF4"/>
    <w:rsid w:val="000B25DF"/>
    <w:rsid w:val="000B26A1"/>
    <w:rsid w:val="000B2767"/>
    <w:rsid w:val="000B2A70"/>
    <w:rsid w:val="000B3110"/>
    <w:rsid w:val="000B331A"/>
    <w:rsid w:val="000B3344"/>
    <w:rsid w:val="000B35EB"/>
    <w:rsid w:val="000B3DD7"/>
    <w:rsid w:val="000B3ED7"/>
    <w:rsid w:val="000B3F3C"/>
    <w:rsid w:val="000B3F78"/>
    <w:rsid w:val="000B4184"/>
    <w:rsid w:val="000B4247"/>
    <w:rsid w:val="000B4787"/>
    <w:rsid w:val="000B481E"/>
    <w:rsid w:val="000B4921"/>
    <w:rsid w:val="000B4995"/>
    <w:rsid w:val="000B49CA"/>
    <w:rsid w:val="000B4A66"/>
    <w:rsid w:val="000B4AD6"/>
    <w:rsid w:val="000B4C6B"/>
    <w:rsid w:val="000B4D38"/>
    <w:rsid w:val="000B4EDE"/>
    <w:rsid w:val="000B516F"/>
    <w:rsid w:val="000B5285"/>
    <w:rsid w:val="000B54D7"/>
    <w:rsid w:val="000B551F"/>
    <w:rsid w:val="000B591B"/>
    <w:rsid w:val="000B5947"/>
    <w:rsid w:val="000B597D"/>
    <w:rsid w:val="000B59FA"/>
    <w:rsid w:val="000B5C75"/>
    <w:rsid w:val="000B5F50"/>
    <w:rsid w:val="000B6022"/>
    <w:rsid w:val="000B6185"/>
    <w:rsid w:val="000B61E2"/>
    <w:rsid w:val="000B61EF"/>
    <w:rsid w:val="000B621C"/>
    <w:rsid w:val="000B6282"/>
    <w:rsid w:val="000B6415"/>
    <w:rsid w:val="000B6429"/>
    <w:rsid w:val="000B651B"/>
    <w:rsid w:val="000B653A"/>
    <w:rsid w:val="000B6549"/>
    <w:rsid w:val="000B66C1"/>
    <w:rsid w:val="000B6723"/>
    <w:rsid w:val="000B680E"/>
    <w:rsid w:val="000B69CB"/>
    <w:rsid w:val="000B6A23"/>
    <w:rsid w:val="000B6D78"/>
    <w:rsid w:val="000B6E5D"/>
    <w:rsid w:val="000B6EB0"/>
    <w:rsid w:val="000B6F25"/>
    <w:rsid w:val="000B7384"/>
    <w:rsid w:val="000B7404"/>
    <w:rsid w:val="000B766F"/>
    <w:rsid w:val="000B79A1"/>
    <w:rsid w:val="000C01A0"/>
    <w:rsid w:val="000C04C3"/>
    <w:rsid w:val="000C07E8"/>
    <w:rsid w:val="000C09E4"/>
    <w:rsid w:val="000C0A21"/>
    <w:rsid w:val="000C0BE2"/>
    <w:rsid w:val="000C0BF3"/>
    <w:rsid w:val="000C0C8E"/>
    <w:rsid w:val="000C0D5D"/>
    <w:rsid w:val="000C1286"/>
    <w:rsid w:val="000C135F"/>
    <w:rsid w:val="000C1495"/>
    <w:rsid w:val="000C14E3"/>
    <w:rsid w:val="000C155A"/>
    <w:rsid w:val="000C1588"/>
    <w:rsid w:val="000C17D8"/>
    <w:rsid w:val="000C1851"/>
    <w:rsid w:val="000C1B9A"/>
    <w:rsid w:val="000C1C7A"/>
    <w:rsid w:val="000C1E06"/>
    <w:rsid w:val="000C1FD5"/>
    <w:rsid w:val="000C2161"/>
    <w:rsid w:val="000C21C3"/>
    <w:rsid w:val="000C2356"/>
    <w:rsid w:val="000C250B"/>
    <w:rsid w:val="000C25E0"/>
    <w:rsid w:val="000C2734"/>
    <w:rsid w:val="000C2B56"/>
    <w:rsid w:val="000C2E63"/>
    <w:rsid w:val="000C2F1F"/>
    <w:rsid w:val="000C303E"/>
    <w:rsid w:val="000C3084"/>
    <w:rsid w:val="000C33A8"/>
    <w:rsid w:val="000C3575"/>
    <w:rsid w:val="000C3B0A"/>
    <w:rsid w:val="000C3D88"/>
    <w:rsid w:val="000C3F30"/>
    <w:rsid w:val="000C40E7"/>
    <w:rsid w:val="000C4171"/>
    <w:rsid w:val="000C45E8"/>
    <w:rsid w:val="000C48E6"/>
    <w:rsid w:val="000C4CF6"/>
    <w:rsid w:val="000C4D6B"/>
    <w:rsid w:val="000C51DD"/>
    <w:rsid w:val="000C523A"/>
    <w:rsid w:val="000C5346"/>
    <w:rsid w:val="000C5355"/>
    <w:rsid w:val="000C53B3"/>
    <w:rsid w:val="000C5604"/>
    <w:rsid w:val="000C5674"/>
    <w:rsid w:val="000C58DE"/>
    <w:rsid w:val="000C5936"/>
    <w:rsid w:val="000C5BF3"/>
    <w:rsid w:val="000C60C6"/>
    <w:rsid w:val="000C6262"/>
    <w:rsid w:val="000C6286"/>
    <w:rsid w:val="000C62D9"/>
    <w:rsid w:val="000C639B"/>
    <w:rsid w:val="000C6546"/>
    <w:rsid w:val="000C66DE"/>
    <w:rsid w:val="000C6832"/>
    <w:rsid w:val="000C68E9"/>
    <w:rsid w:val="000C6A01"/>
    <w:rsid w:val="000C6A44"/>
    <w:rsid w:val="000C6C39"/>
    <w:rsid w:val="000C6DDE"/>
    <w:rsid w:val="000C6E80"/>
    <w:rsid w:val="000C6F06"/>
    <w:rsid w:val="000C7117"/>
    <w:rsid w:val="000C7434"/>
    <w:rsid w:val="000C77B4"/>
    <w:rsid w:val="000C797B"/>
    <w:rsid w:val="000C7F95"/>
    <w:rsid w:val="000D0110"/>
    <w:rsid w:val="000D03EB"/>
    <w:rsid w:val="000D05D9"/>
    <w:rsid w:val="000D0AB9"/>
    <w:rsid w:val="000D0C90"/>
    <w:rsid w:val="000D0CF0"/>
    <w:rsid w:val="000D0E43"/>
    <w:rsid w:val="000D0E64"/>
    <w:rsid w:val="000D0E6E"/>
    <w:rsid w:val="000D0FC5"/>
    <w:rsid w:val="000D12DC"/>
    <w:rsid w:val="000D1425"/>
    <w:rsid w:val="000D18BE"/>
    <w:rsid w:val="000D192E"/>
    <w:rsid w:val="000D1A3C"/>
    <w:rsid w:val="000D1A97"/>
    <w:rsid w:val="000D1BEF"/>
    <w:rsid w:val="000D1DC4"/>
    <w:rsid w:val="000D1E53"/>
    <w:rsid w:val="000D1F5D"/>
    <w:rsid w:val="000D1F65"/>
    <w:rsid w:val="000D1FA0"/>
    <w:rsid w:val="000D20EF"/>
    <w:rsid w:val="000D219C"/>
    <w:rsid w:val="000D22CA"/>
    <w:rsid w:val="000D2318"/>
    <w:rsid w:val="000D25C5"/>
    <w:rsid w:val="000D276B"/>
    <w:rsid w:val="000D2F59"/>
    <w:rsid w:val="000D3038"/>
    <w:rsid w:val="000D3173"/>
    <w:rsid w:val="000D32C5"/>
    <w:rsid w:val="000D346A"/>
    <w:rsid w:val="000D3519"/>
    <w:rsid w:val="000D3522"/>
    <w:rsid w:val="000D3556"/>
    <w:rsid w:val="000D36A9"/>
    <w:rsid w:val="000D3BC5"/>
    <w:rsid w:val="000D3BE3"/>
    <w:rsid w:val="000D3C55"/>
    <w:rsid w:val="000D3CED"/>
    <w:rsid w:val="000D3D04"/>
    <w:rsid w:val="000D4164"/>
    <w:rsid w:val="000D4177"/>
    <w:rsid w:val="000D41F0"/>
    <w:rsid w:val="000D42D1"/>
    <w:rsid w:val="000D42D3"/>
    <w:rsid w:val="000D42FE"/>
    <w:rsid w:val="000D4364"/>
    <w:rsid w:val="000D436D"/>
    <w:rsid w:val="000D43A6"/>
    <w:rsid w:val="000D43B9"/>
    <w:rsid w:val="000D450C"/>
    <w:rsid w:val="000D45C3"/>
    <w:rsid w:val="000D4612"/>
    <w:rsid w:val="000D46C3"/>
    <w:rsid w:val="000D4905"/>
    <w:rsid w:val="000D4BAF"/>
    <w:rsid w:val="000D4C8A"/>
    <w:rsid w:val="000D4CE8"/>
    <w:rsid w:val="000D4D07"/>
    <w:rsid w:val="000D4D71"/>
    <w:rsid w:val="000D4F90"/>
    <w:rsid w:val="000D5030"/>
    <w:rsid w:val="000D5032"/>
    <w:rsid w:val="000D514A"/>
    <w:rsid w:val="000D551F"/>
    <w:rsid w:val="000D5652"/>
    <w:rsid w:val="000D5653"/>
    <w:rsid w:val="000D5874"/>
    <w:rsid w:val="000D59B4"/>
    <w:rsid w:val="000D5BF0"/>
    <w:rsid w:val="000D5D09"/>
    <w:rsid w:val="000D5D5A"/>
    <w:rsid w:val="000D5DFA"/>
    <w:rsid w:val="000D5E21"/>
    <w:rsid w:val="000D6049"/>
    <w:rsid w:val="000D606E"/>
    <w:rsid w:val="000D6083"/>
    <w:rsid w:val="000D60DA"/>
    <w:rsid w:val="000D6244"/>
    <w:rsid w:val="000D635A"/>
    <w:rsid w:val="000D6920"/>
    <w:rsid w:val="000D6A8E"/>
    <w:rsid w:val="000D6C06"/>
    <w:rsid w:val="000D6D04"/>
    <w:rsid w:val="000D6D66"/>
    <w:rsid w:val="000D6DB8"/>
    <w:rsid w:val="000D6F6E"/>
    <w:rsid w:val="000D7033"/>
    <w:rsid w:val="000D70A7"/>
    <w:rsid w:val="000D7133"/>
    <w:rsid w:val="000D71C1"/>
    <w:rsid w:val="000D720B"/>
    <w:rsid w:val="000D7224"/>
    <w:rsid w:val="000D724B"/>
    <w:rsid w:val="000D759D"/>
    <w:rsid w:val="000D76AB"/>
    <w:rsid w:val="000D7B87"/>
    <w:rsid w:val="000D7C3E"/>
    <w:rsid w:val="000D7C4B"/>
    <w:rsid w:val="000D7D5A"/>
    <w:rsid w:val="000E0208"/>
    <w:rsid w:val="000E025E"/>
    <w:rsid w:val="000E02E4"/>
    <w:rsid w:val="000E03FD"/>
    <w:rsid w:val="000E0498"/>
    <w:rsid w:val="000E0525"/>
    <w:rsid w:val="000E08C7"/>
    <w:rsid w:val="000E0CA5"/>
    <w:rsid w:val="000E0DA4"/>
    <w:rsid w:val="000E0E5C"/>
    <w:rsid w:val="000E0EBE"/>
    <w:rsid w:val="000E143A"/>
    <w:rsid w:val="000E152B"/>
    <w:rsid w:val="000E15D7"/>
    <w:rsid w:val="000E191A"/>
    <w:rsid w:val="000E1ADE"/>
    <w:rsid w:val="000E1B9A"/>
    <w:rsid w:val="000E1EB6"/>
    <w:rsid w:val="000E1F12"/>
    <w:rsid w:val="000E1F77"/>
    <w:rsid w:val="000E208A"/>
    <w:rsid w:val="000E21E9"/>
    <w:rsid w:val="000E22B9"/>
    <w:rsid w:val="000E249B"/>
    <w:rsid w:val="000E25C5"/>
    <w:rsid w:val="000E2785"/>
    <w:rsid w:val="000E27C3"/>
    <w:rsid w:val="000E2852"/>
    <w:rsid w:val="000E29C3"/>
    <w:rsid w:val="000E2A75"/>
    <w:rsid w:val="000E2C1C"/>
    <w:rsid w:val="000E2D46"/>
    <w:rsid w:val="000E2DF4"/>
    <w:rsid w:val="000E3082"/>
    <w:rsid w:val="000E3136"/>
    <w:rsid w:val="000E32F4"/>
    <w:rsid w:val="000E364A"/>
    <w:rsid w:val="000E3689"/>
    <w:rsid w:val="000E3732"/>
    <w:rsid w:val="000E3981"/>
    <w:rsid w:val="000E39EE"/>
    <w:rsid w:val="000E3B66"/>
    <w:rsid w:val="000E3BAD"/>
    <w:rsid w:val="000E3DCD"/>
    <w:rsid w:val="000E3E48"/>
    <w:rsid w:val="000E43BA"/>
    <w:rsid w:val="000E4713"/>
    <w:rsid w:val="000E483D"/>
    <w:rsid w:val="000E4E62"/>
    <w:rsid w:val="000E5052"/>
    <w:rsid w:val="000E5095"/>
    <w:rsid w:val="000E540D"/>
    <w:rsid w:val="000E5545"/>
    <w:rsid w:val="000E5581"/>
    <w:rsid w:val="000E568D"/>
    <w:rsid w:val="000E58BB"/>
    <w:rsid w:val="000E59F2"/>
    <w:rsid w:val="000E5AE1"/>
    <w:rsid w:val="000E5AFF"/>
    <w:rsid w:val="000E5CB2"/>
    <w:rsid w:val="000E5EF8"/>
    <w:rsid w:val="000E61E6"/>
    <w:rsid w:val="000E630A"/>
    <w:rsid w:val="000E64B4"/>
    <w:rsid w:val="000E6576"/>
    <w:rsid w:val="000E66D2"/>
    <w:rsid w:val="000E67C7"/>
    <w:rsid w:val="000E683D"/>
    <w:rsid w:val="000E6B3E"/>
    <w:rsid w:val="000E6B61"/>
    <w:rsid w:val="000E6FB7"/>
    <w:rsid w:val="000E723E"/>
    <w:rsid w:val="000E74C1"/>
    <w:rsid w:val="000E7612"/>
    <w:rsid w:val="000E765D"/>
    <w:rsid w:val="000E77B8"/>
    <w:rsid w:val="000E7ACA"/>
    <w:rsid w:val="000E7C01"/>
    <w:rsid w:val="000E7D51"/>
    <w:rsid w:val="000E7D7D"/>
    <w:rsid w:val="000F01A5"/>
    <w:rsid w:val="000F01D0"/>
    <w:rsid w:val="000F026B"/>
    <w:rsid w:val="000F037B"/>
    <w:rsid w:val="000F0445"/>
    <w:rsid w:val="000F04F6"/>
    <w:rsid w:val="000F0525"/>
    <w:rsid w:val="000F0816"/>
    <w:rsid w:val="000F0ABC"/>
    <w:rsid w:val="000F0C58"/>
    <w:rsid w:val="000F0CB4"/>
    <w:rsid w:val="000F0D2B"/>
    <w:rsid w:val="000F10E5"/>
    <w:rsid w:val="000F1117"/>
    <w:rsid w:val="000F131C"/>
    <w:rsid w:val="000F1344"/>
    <w:rsid w:val="000F14F5"/>
    <w:rsid w:val="000F16BC"/>
    <w:rsid w:val="000F1A53"/>
    <w:rsid w:val="000F1AA3"/>
    <w:rsid w:val="000F1D0C"/>
    <w:rsid w:val="000F21C3"/>
    <w:rsid w:val="000F223F"/>
    <w:rsid w:val="000F23B2"/>
    <w:rsid w:val="000F242C"/>
    <w:rsid w:val="000F2718"/>
    <w:rsid w:val="000F279E"/>
    <w:rsid w:val="000F27B7"/>
    <w:rsid w:val="000F2821"/>
    <w:rsid w:val="000F2849"/>
    <w:rsid w:val="000F2856"/>
    <w:rsid w:val="000F2930"/>
    <w:rsid w:val="000F2A83"/>
    <w:rsid w:val="000F2B81"/>
    <w:rsid w:val="000F2C12"/>
    <w:rsid w:val="000F2D80"/>
    <w:rsid w:val="000F2EB6"/>
    <w:rsid w:val="000F2FA1"/>
    <w:rsid w:val="000F30BF"/>
    <w:rsid w:val="000F3436"/>
    <w:rsid w:val="000F346D"/>
    <w:rsid w:val="000F34B4"/>
    <w:rsid w:val="000F355B"/>
    <w:rsid w:val="000F3595"/>
    <w:rsid w:val="000F38AA"/>
    <w:rsid w:val="000F3ADB"/>
    <w:rsid w:val="000F3B47"/>
    <w:rsid w:val="000F3B8A"/>
    <w:rsid w:val="000F3CA2"/>
    <w:rsid w:val="000F4034"/>
    <w:rsid w:val="000F40F5"/>
    <w:rsid w:val="000F41F2"/>
    <w:rsid w:val="000F43DE"/>
    <w:rsid w:val="000F45E1"/>
    <w:rsid w:val="000F4640"/>
    <w:rsid w:val="000F46EF"/>
    <w:rsid w:val="000F4809"/>
    <w:rsid w:val="000F489F"/>
    <w:rsid w:val="000F4991"/>
    <w:rsid w:val="000F4C07"/>
    <w:rsid w:val="000F518A"/>
    <w:rsid w:val="000F526C"/>
    <w:rsid w:val="000F52FF"/>
    <w:rsid w:val="000F530C"/>
    <w:rsid w:val="000F54AF"/>
    <w:rsid w:val="000F5568"/>
    <w:rsid w:val="000F57E7"/>
    <w:rsid w:val="000F5A52"/>
    <w:rsid w:val="000F5BC2"/>
    <w:rsid w:val="000F5FA8"/>
    <w:rsid w:val="000F5FEC"/>
    <w:rsid w:val="000F608D"/>
    <w:rsid w:val="000F628B"/>
    <w:rsid w:val="000F6486"/>
    <w:rsid w:val="000F6487"/>
    <w:rsid w:val="000F64BC"/>
    <w:rsid w:val="000F65CC"/>
    <w:rsid w:val="000F6625"/>
    <w:rsid w:val="000F6750"/>
    <w:rsid w:val="000F68A1"/>
    <w:rsid w:val="000F6A2E"/>
    <w:rsid w:val="000F6B5A"/>
    <w:rsid w:val="000F6B5C"/>
    <w:rsid w:val="000F6C17"/>
    <w:rsid w:val="000F719C"/>
    <w:rsid w:val="000F724C"/>
    <w:rsid w:val="000F72A4"/>
    <w:rsid w:val="000F730B"/>
    <w:rsid w:val="000F7394"/>
    <w:rsid w:val="000F7594"/>
    <w:rsid w:val="000F76B5"/>
    <w:rsid w:val="000F76E2"/>
    <w:rsid w:val="000F77BA"/>
    <w:rsid w:val="000F7B76"/>
    <w:rsid w:val="000F7C65"/>
    <w:rsid w:val="000F7C81"/>
    <w:rsid w:val="000F7DD9"/>
    <w:rsid w:val="000F7F3B"/>
    <w:rsid w:val="00100137"/>
    <w:rsid w:val="0010015F"/>
    <w:rsid w:val="00100284"/>
    <w:rsid w:val="00100456"/>
    <w:rsid w:val="00100553"/>
    <w:rsid w:val="0010075A"/>
    <w:rsid w:val="00100982"/>
    <w:rsid w:val="00100ADE"/>
    <w:rsid w:val="00100CAF"/>
    <w:rsid w:val="00100F47"/>
    <w:rsid w:val="00101088"/>
    <w:rsid w:val="00101258"/>
    <w:rsid w:val="001012EE"/>
    <w:rsid w:val="00101395"/>
    <w:rsid w:val="0010140E"/>
    <w:rsid w:val="00101624"/>
    <w:rsid w:val="00101720"/>
    <w:rsid w:val="001017EC"/>
    <w:rsid w:val="00101A9C"/>
    <w:rsid w:val="00101B28"/>
    <w:rsid w:val="00101B40"/>
    <w:rsid w:val="00101E63"/>
    <w:rsid w:val="00101E75"/>
    <w:rsid w:val="0010200B"/>
    <w:rsid w:val="00102273"/>
    <w:rsid w:val="00102660"/>
    <w:rsid w:val="001026B7"/>
    <w:rsid w:val="001028AE"/>
    <w:rsid w:val="00102932"/>
    <w:rsid w:val="00102CA2"/>
    <w:rsid w:val="001031A3"/>
    <w:rsid w:val="001032C0"/>
    <w:rsid w:val="0010352C"/>
    <w:rsid w:val="00103638"/>
    <w:rsid w:val="00103854"/>
    <w:rsid w:val="001039DE"/>
    <w:rsid w:val="00103CA7"/>
    <w:rsid w:val="00103CD7"/>
    <w:rsid w:val="00103DF8"/>
    <w:rsid w:val="001045B7"/>
    <w:rsid w:val="001048A9"/>
    <w:rsid w:val="00104914"/>
    <w:rsid w:val="00104AC9"/>
    <w:rsid w:val="00104B5B"/>
    <w:rsid w:val="00104FF4"/>
    <w:rsid w:val="0010504C"/>
    <w:rsid w:val="00105152"/>
    <w:rsid w:val="00105347"/>
    <w:rsid w:val="0010545A"/>
    <w:rsid w:val="00105636"/>
    <w:rsid w:val="001058D5"/>
    <w:rsid w:val="00105956"/>
    <w:rsid w:val="00105B1B"/>
    <w:rsid w:val="00105B4E"/>
    <w:rsid w:val="00105F2A"/>
    <w:rsid w:val="00105FC8"/>
    <w:rsid w:val="0010609C"/>
    <w:rsid w:val="0010623B"/>
    <w:rsid w:val="0010630F"/>
    <w:rsid w:val="00106419"/>
    <w:rsid w:val="00106632"/>
    <w:rsid w:val="00106691"/>
    <w:rsid w:val="001066EC"/>
    <w:rsid w:val="00106803"/>
    <w:rsid w:val="001068CB"/>
    <w:rsid w:val="0010691E"/>
    <w:rsid w:val="00106BA1"/>
    <w:rsid w:val="00106BAD"/>
    <w:rsid w:val="00106CF3"/>
    <w:rsid w:val="00106D28"/>
    <w:rsid w:val="00106D7A"/>
    <w:rsid w:val="00106E91"/>
    <w:rsid w:val="00106F57"/>
    <w:rsid w:val="00106FAF"/>
    <w:rsid w:val="00107399"/>
    <w:rsid w:val="001073E3"/>
    <w:rsid w:val="001078FE"/>
    <w:rsid w:val="00107AC9"/>
    <w:rsid w:val="00107B55"/>
    <w:rsid w:val="001100C1"/>
    <w:rsid w:val="0011025A"/>
    <w:rsid w:val="00110370"/>
    <w:rsid w:val="00110389"/>
    <w:rsid w:val="00110397"/>
    <w:rsid w:val="00110440"/>
    <w:rsid w:val="001106F5"/>
    <w:rsid w:val="00110787"/>
    <w:rsid w:val="001108F3"/>
    <w:rsid w:val="00110935"/>
    <w:rsid w:val="00110958"/>
    <w:rsid w:val="00110972"/>
    <w:rsid w:val="00110B97"/>
    <w:rsid w:val="00110D8F"/>
    <w:rsid w:val="00110DC2"/>
    <w:rsid w:val="00110DCF"/>
    <w:rsid w:val="001110A7"/>
    <w:rsid w:val="001111DA"/>
    <w:rsid w:val="001111F0"/>
    <w:rsid w:val="0011137C"/>
    <w:rsid w:val="0011148A"/>
    <w:rsid w:val="0011149D"/>
    <w:rsid w:val="00111856"/>
    <w:rsid w:val="001118A0"/>
    <w:rsid w:val="00111931"/>
    <w:rsid w:val="00111DE7"/>
    <w:rsid w:val="00111F84"/>
    <w:rsid w:val="00112154"/>
    <w:rsid w:val="00112210"/>
    <w:rsid w:val="001123E7"/>
    <w:rsid w:val="00112439"/>
    <w:rsid w:val="00112516"/>
    <w:rsid w:val="00112B08"/>
    <w:rsid w:val="00112C80"/>
    <w:rsid w:val="00112D0A"/>
    <w:rsid w:val="00112E5E"/>
    <w:rsid w:val="00112E67"/>
    <w:rsid w:val="00112F9B"/>
    <w:rsid w:val="00113026"/>
    <w:rsid w:val="001132BC"/>
    <w:rsid w:val="001132E3"/>
    <w:rsid w:val="0011344C"/>
    <w:rsid w:val="001136C7"/>
    <w:rsid w:val="00113706"/>
    <w:rsid w:val="0011384F"/>
    <w:rsid w:val="001138D2"/>
    <w:rsid w:val="0011397F"/>
    <w:rsid w:val="001139C1"/>
    <w:rsid w:val="00113B27"/>
    <w:rsid w:val="00113C86"/>
    <w:rsid w:val="00114069"/>
    <w:rsid w:val="00114107"/>
    <w:rsid w:val="0011411A"/>
    <w:rsid w:val="001141F2"/>
    <w:rsid w:val="001143C0"/>
    <w:rsid w:val="0011441F"/>
    <w:rsid w:val="00114501"/>
    <w:rsid w:val="00114509"/>
    <w:rsid w:val="001145F4"/>
    <w:rsid w:val="00114B68"/>
    <w:rsid w:val="00114CDD"/>
    <w:rsid w:val="00114D41"/>
    <w:rsid w:val="00114D53"/>
    <w:rsid w:val="00114F64"/>
    <w:rsid w:val="00115292"/>
    <w:rsid w:val="001153E5"/>
    <w:rsid w:val="00115454"/>
    <w:rsid w:val="001154A1"/>
    <w:rsid w:val="00115998"/>
    <w:rsid w:val="00115A3A"/>
    <w:rsid w:val="00115A7C"/>
    <w:rsid w:val="00115B82"/>
    <w:rsid w:val="00115E42"/>
    <w:rsid w:val="00115EB9"/>
    <w:rsid w:val="00116673"/>
    <w:rsid w:val="001166A5"/>
    <w:rsid w:val="00116997"/>
    <w:rsid w:val="001169C6"/>
    <w:rsid w:val="00116ACD"/>
    <w:rsid w:val="00116DA0"/>
    <w:rsid w:val="00116FB3"/>
    <w:rsid w:val="001172B0"/>
    <w:rsid w:val="00117331"/>
    <w:rsid w:val="001176F8"/>
    <w:rsid w:val="00117879"/>
    <w:rsid w:val="00117D14"/>
    <w:rsid w:val="00117EB4"/>
    <w:rsid w:val="00117F57"/>
    <w:rsid w:val="00120173"/>
    <w:rsid w:val="00120496"/>
    <w:rsid w:val="00120524"/>
    <w:rsid w:val="00120533"/>
    <w:rsid w:val="00120887"/>
    <w:rsid w:val="00120B3A"/>
    <w:rsid w:val="00120B6C"/>
    <w:rsid w:val="00120C7A"/>
    <w:rsid w:val="00120DF6"/>
    <w:rsid w:val="00120FA8"/>
    <w:rsid w:val="0012128D"/>
    <w:rsid w:val="001215E9"/>
    <w:rsid w:val="0012161D"/>
    <w:rsid w:val="001216DA"/>
    <w:rsid w:val="00121708"/>
    <w:rsid w:val="00121956"/>
    <w:rsid w:val="00121984"/>
    <w:rsid w:val="00122198"/>
    <w:rsid w:val="001223D7"/>
    <w:rsid w:val="00122442"/>
    <w:rsid w:val="001224CF"/>
    <w:rsid w:val="0012265F"/>
    <w:rsid w:val="0012267B"/>
    <w:rsid w:val="001228D5"/>
    <w:rsid w:val="001228E5"/>
    <w:rsid w:val="00122DDF"/>
    <w:rsid w:val="00122E6A"/>
    <w:rsid w:val="00122E83"/>
    <w:rsid w:val="00122E9D"/>
    <w:rsid w:val="0012304B"/>
    <w:rsid w:val="001231DB"/>
    <w:rsid w:val="00123307"/>
    <w:rsid w:val="0012351F"/>
    <w:rsid w:val="00123587"/>
    <w:rsid w:val="00123765"/>
    <w:rsid w:val="001237C7"/>
    <w:rsid w:val="0012391F"/>
    <w:rsid w:val="001239B2"/>
    <w:rsid w:val="00123CA4"/>
    <w:rsid w:val="00123FAD"/>
    <w:rsid w:val="00124281"/>
    <w:rsid w:val="001245AB"/>
    <w:rsid w:val="0012487B"/>
    <w:rsid w:val="001248DE"/>
    <w:rsid w:val="00124942"/>
    <w:rsid w:val="001249C6"/>
    <w:rsid w:val="00124B89"/>
    <w:rsid w:val="00124FDE"/>
    <w:rsid w:val="00125095"/>
    <w:rsid w:val="00125112"/>
    <w:rsid w:val="0012534E"/>
    <w:rsid w:val="001256B2"/>
    <w:rsid w:val="001257A5"/>
    <w:rsid w:val="001258E0"/>
    <w:rsid w:val="00125ABC"/>
    <w:rsid w:val="00125D1C"/>
    <w:rsid w:val="00125D4E"/>
    <w:rsid w:val="00125E1D"/>
    <w:rsid w:val="00125E37"/>
    <w:rsid w:val="00125EE5"/>
    <w:rsid w:val="00125FB8"/>
    <w:rsid w:val="00126150"/>
    <w:rsid w:val="00126392"/>
    <w:rsid w:val="00126413"/>
    <w:rsid w:val="0012656F"/>
    <w:rsid w:val="00126594"/>
    <w:rsid w:val="0012688F"/>
    <w:rsid w:val="001268C2"/>
    <w:rsid w:val="001269E3"/>
    <w:rsid w:val="00126BB2"/>
    <w:rsid w:val="00126C51"/>
    <w:rsid w:val="00126EE0"/>
    <w:rsid w:val="00127018"/>
    <w:rsid w:val="00127187"/>
    <w:rsid w:val="001271AD"/>
    <w:rsid w:val="00127387"/>
    <w:rsid w:val="0012752E"/>
    <w:rsid w:val="0012789D"/>
    <w:rsid w:val="00127A3F"/>
    <w:rsid w:val="00127BD3"/>
    <w:rsid w:val="00127C9D"/>
    <w:rsid w:val="00127D7E"/>
    <w:rsid w:val="00127D87"/>
    <w:rsid w:val="00127DA6"/>
    <w:rsid w:val="00127DEB"/>
    <w:rsid w:val="00127E88"/>
    <w:rsid w:val="00130076"/>
    <w:rsid w:val="00130274"/>
    <w:rsid w:val="0013036A"/>
    <w:rsid w:val="00130415"/>
    <w:rsid w:val="00130617"/>
    <w:rsid w:val="00130736"/>
    <w:rsid w:val="001307C3"/>
    <w:rsid w:val="0013086C"/>
    <w:rsid w:val="0013090E"/>
    <w:rsid w:val="00130E62"/>
    <w:rsid w:val="00130EF2"/>
    <w:rsid w:val="00131072"/>
    <w:rsid w:val="00131141"/>
    <w:rsid w:val="0013120C"/>
    <w:rsid w:val="0013142C"/>
    <w:rsid w:val="00131707"/>
    <w:rsid w:val="0013182D"/>
    <w:rsid w:val="00131876"/>
    <w:rsid w:val="00131934"/>
    <w:rsid w:val="00131978"/>
    <w:rsid w:val="001319DE"/>
    <w:rsid w:val="00131C41"/>
    <w:rsid w:val="00131DDD"/>
    <w:rsid w:val="00131E97"/>
    <w:rsid w:val="00131EB2"/>
    <w:rsid w:val="0013203B"/>
    <w:rsid w:val="001320EB"/>
    <w:rsid w:val="00132176"/>
    <w:rsid w:val="001321D2"/>
    <w:rsid w:val="00132238"/>
    <w:rsid w:val="0013247F"/>
    <w:rsid w:val="001324C0"/>
    <w:rsid w:val="00132526"/>
    <w:rsid w:val="00132709"/>
    <w:rsid w:val="0013270C"/>
    <w:rsid w:val="00132C34"/>
    <w:rsid w:val="00132C8D"/>
    <w:rsid w:val="001330C5"/>
    <w:rsid w:val="001331B4"/>
    <w:rsid w:val="001333C2"/>
    <w:rsid w:val="001334DF"/>
    <w:rsid w:val="0013362B"/>
    <w:rsid w:val="001338A6"/>
    <w:rsid w:val="0013397D"/>
    <w:rsid w:val="00133C93"/>
    <w:rsid w:val="00133D51"/>
    <w:rsid w:val="00134037"/>
    <w:rsid w:val="00134299"/>
    <w:rsid w:val="001343B5"/>
    <w:rsid w:val="001344C1"/>
    <w:rsid w:val="001345FC"/>
    <w:rsid w:val="00134797"/>
    <w:rsid w:val="001348A8"/>
    <w:rsid w:val="00134CB2"/>
    <w:rsid w:val="00134DBE"/>
    <w:rsid w:val="00134DE5"/>
    <w:rsid w:val="00134E2B"/>
    <w:rsid w:val="00134F2C"/>
    <w:rsid w:val="00134F73"/>
    <w:rsid w:val="0013516E"/>
    <w:rsid w:val="00135185"/>
    <w:rsid w:val="00135186"/>
    <w:rsid w:val="001352FC"/>
    <w:rsid w:val="001354E2"/>
    <w:rsid w:val="00135520"/>
    <w:rsid w:val="00135568"/>
    <w:rsid w:val="001355ED"/>
    <w:rsid w:val="00135906"/>
    <w:rsid w:val="0013594E"/>
    <w:rsid w:val="001359BB"/>
    <w:rsid w:val="00135A88"/>
    <w:rsid w:val="00135B49"/>
    <w:rsid w:val="00135C80"/>
    <w:rsid w:val="00135D2D"/>
    <w:rsid w:val="00135DC2"/>
    <w:rsid w:val="00135E1D"/>
    <w:rsid w:val="00136057"/>
    <w:rsid w:val="001360A4"/>
    <w:rsid w:val="0013616A"/>
    <w:rsid w:val="00136180"/>
    <w:rsid w:val="001362BA"/>
    <w:rsid w:val="0013644B"/>
    <w:rsid w:val="0013649A"/>
    <w:rsid w:val="0013668C"/>
    <w:rsid w:val="00136850"/>
    <w:rsid w:val="0013692F"/>
    <w:rsid w:val="00136A4C"/>
    <w:rsid w:val="00136A95"/>
    <w:rsid w:val="00136BAE"/>
    <w:rsid w:val="00136CFD"/>
    <w:rsid w:val="00136D33"/>
    <w:rsid w:val="00136DB6"/>
    <w:rsid w:val="00136E35"/>
    <w:rsid w:val="00136EF8"/>
    <w:rsid w:val="00137019"/>
    <w:rsid w:val="0013746F"/>
    <w:rsid w:val="00137530"/>
    <w:rsid w:val="00137745"/>
    <w:rsid w:val="00137898"/>
    <w:rsid w:val="00137989"/>
    <w:rsid w:val="00137E21"/>
    <w:rsid w:val="00137EC7"/>
    <w:rsid w:val="00137ECE"/>
    <w:rsid w:val="001401F7"/>
    <w:rsid w:val="00140685"/>
    <w:rsid w:val="00140799"/>
    <w:rsid w:val="001407D9"/>
    <w:rsid w:val="001407DA"/>
    <w:rsid w:val="00140848"/>
    <w:rsid w:val="00140876"/>
    <w:rsid w:val="00140C81"/>
    <w:rsid w:val="00140D72"/>
    <w:rsid w:val="00140FB6"/>
    <w:rsid w:val="0014105E"/>
    <w:rsid w:val="0014107B"/>
    <w:rsid w:val="001411E6"/>
    <w:rsid w:val="00141253"/>
    <w:rsid w:val="00141266"/>
    <w:rsid w:val="0014139E"/>
    <w:rsid w:val="00141690"/>
    <w:rsid w:val="001416F3"/>
    <w:rsid w:val="001416FE"/>
    <w:rsid w:val="001417CE"/>
    <w:rsid w:val="00141875"/>
    <w:rsid w:val="001418D7"/>
    <w:rsid w:val="00141958"/>
    <w:rsid w:val="00141DA8"/>
    <w:rsid w:val="00141DAB"/>
    <w:rsid w:val="00141DE7"/>
    <w:rsid w:val="00141E3B"/>
    <w:rsid w:val="00141F2F"/>
    <w:rsid w:val="001420B7"/>
    <w:rsid w:val="001421BD"/>
    <w:rsid w:val="00142249"/>
    <w:rsid w:val="001423D4"/>
    <w:rsid w:val="00142938"/>
    <w:rsid w:val="00142CF5"/>
    <w:rsid w:val="00142DED"/>
    <w:rsid w:val="00142E78"/>
    <w:rsid w:val="001430C7"/>
    <w:rsid w:val="0014319A"/>
    <w:rsid w:val="00143286"/>
    <w:rsid w:val="0014344C"/>
    <w:rsid w:val="00143462"/>
    <w:rsid w:val="001435DA"/>
    <w:rsid w:val="00143618"/>
    <w:rsid w:val="001436B3"/>
    <w:rsid w:val="001436E1"/>
    <w:rsid w:val="0014378B"/>
    <w:rsid w:val="001441C8"/>
    <w:rsid w:val="00144298"/>
    <w:rsid w:val="0014439E"/>
    <w:rsid w:val="001443ED"/>
    <w:rsid w:val="00144555"/>
    <w:rsid w:val="00144983"/>
    <w:rsid w:val="001449C0"/>
    <w:rsid w:val="00144AB7"/>
    <w:rsid w:val="00145183"/>
    <w:rsid w:val="00145696"/>
    <w:rsid w:val="001456C3"/>
    <w:rsid w:val="001456E9"/>
    <w:rsid w:val="00145774"/>
    <w:rsid w:val="00145964"/>
    <w:rsid w:val="0014596A"/>
    <w:rsid w:val="00145B94"/>
    <w:rsid w:val="00145C2C"/>
    <w:rsid w:val="0014600C"/>
    <w:rsid w:val="0014603C"/>
    <w:rsid w:val="00146047"/>
    <w:rsid w:val="0014624B"/>
    <w:rsid w:val="00146326"/>
    <w:rsid w:val="00146356"/>
    <w:rsid w:val="001468EA"/>
    <w:rsid w:val="00146BDA"/>
    <w:rsid w:val="00146BDE"/>
    <w:rsid w:val="00146C31"/>
    <w:rsid w:val="00146C4C"/>
    <w:rsid w:val="00146C85"/>
    <w:rsid w:val="0014705D"/>
    <w:rsid w:val="0014726E"/>
    <w:rsid w:val="001472C3"/>
    <w:rsid w:val="001472DE"/>
    <w:rsid w:val="00147308"/>
    <w:rsid w:val="00147362"/>
    <w:rsid w:val="00147483"/>
    <w:rsid w:val="001475F9"/>
    <w:rsid w:val="0014762F"/>
    <w:rsid w:val="00147656"/>
    <w:rsid w:val="00147685"/>
    <w:rsid w:val="0014769D"/>
    <w:rsid w:val="001478CB"/>
    <w:rsid w:val="00147DDD"/>
    <w:rsid w:val="00147E03"/>
    <w:rsid w:val="00150160"/>
    <w:rsid w:val="001501D7"/>
    <w:rsid w:val="001504B5"/>
    <w:rsid w:val="001505A0"/>
    <w:rsid w:val="001505A5"/>
    <w:rsid w:val="00150604"/>
    <w:rsid w:val="001507A1"/>
    <w:rsid w:val="001509FB"/>
    <w:rsid w:val="00150A5C"/>
    <w:rsid w:val="00150C64"/>
    <w:rsid w:val="00150D2C"/>
    <w:rsid w:val="00150D65"/>
    <w:rsid w:val="00150F0F"/>
    <w:rsid w:val="001511C8"/>
    <w:rsid w:val="0015123F"/>
    <w:rsid w:val="0015135A"/>
    <w:rsid w:val="001515EE"/>
    <w:rsid w:val="00151727"/>
    <w:rsid w:val="00151929"/>
    <w:rsid w:val="00151B75"/>
    <w:rsid w:val="00151D94"/>
    <w:rsid w:val="00151DE9"/>
    <w:rsid w:val="00151E76"/>
    <w:rsid w:val="00151EE2"/>
    <w:rsid w:val="00152298"/>
    <w:rsid w:val="001522D4"/>
    <w:rsid w:val="001524B4"/>
    <w:rsid w:val="001525F3"/>
    <w:rsid w:val="00152665"/>
    <w:rsid w:val="0015290A"/>
    <w:rsid w:val="00152A30"/>
    <w:rsid w:val="00152AB4"/>
    <w:rsid w:val="00152B5F"/>
    <w:rsid w:val="00152DE9"/>
    <w:rsid w:val="00152E9E"/>
    <w:rsid w:val="00152EDE"/>
    <w:rsid w:val="00152F89"/>
    <w:rsid w:val="00152FC2"/>
    <w:rsid w:val="0015303C"/>
    <w:rsid w:val="00153263"/>
    <w:rsid w:val="00153527"/>
    <w:rsid w:val="001536B1"/>
    <w:rsid w:val="00153726"/>
    <w:rsid w:val="0015382B"/>
    <w:rsid w:val="001538E6"/>
    <w:rsid w:val="0015396E"/>
    <w:rsid w:val="00153B70"/>
    <w:rsid w:val="00153EE7"/>
    <w:rsid w:val="00153F2E"/>
    <w:rsid w:val="001540A9"/>
    <w:rsid w:val="001542E8"/>
    <w:rsid w:val="0015432D"/>
    <w:rsid w:val="0015438D"/>
    <w:rsid w:val="001545CB"/>
    <w:rsid w:val="001546F9"/>
    <w:rsid w:val="001549FC"/>
    <w:rsid w:val="00154E08"/>
    <w:rsid w:val="00154FFA"/>
    <w:rsid w:val="001550BE"/>
    <w:rsid w:val="001550D9"/>
    <w:rsid w:val="001551E9"/>
    <w:rsid w:val="00155328"/>
    <w:rsid w:val="001554CE"/>
    <w:rsid w:val="001555E8"/>
    <w:rsid w:val="0015590E"/>
    <w:rsid w:val="00155B90"/>
    <w:rsid w:val="00155C0B"/>
    <w:rsid w:val="00155C30"/>
    <w:rsid w:val="00155C40"/>
    <w:rsid w:val="00155CF0"/>
    <w:rsid w:val="00155E6B"/>
    <w:rsid w:val="00155F5C"/>
    <w:rsid w:val="00156149"/>
    <w:rsid w:val="00156560"/>
    <w:rsid w:val="00156820"/>
    <w:rsid w:val="00156BC5"/>
    <w:rsid w:val="00156ECC"/>
    <w:rsid w:val="00156F85"/>
    <w:rsid w:val="0015705F"/>
    <w:rsid w:val="00157133"/>
    <w:rsid w:val="0015721E"/>
    <w:rsid w:val="00157368"/>
    <w:rsid w:val="001573D1"/>
    <w:rsid w:val="001576F7"/>
    <w:rsid w:val="00157848"/>
    <w:rsid w:val="00157923"/>
    <w:rsid w:val="00157A4C"/>
    <w:rsid w:val="00157B6F"/>
    <w:rsid w:val="00157C2E"/>
    <w:rsid w:val="00157C3E"/>
    <w:rsid w:val="00157E40"/>
    <w:rsid w:val="001604FC"/>
    <w:rsid w:val="0016050E"/>
    <w:rsid w:val="001607B8"/>
    <w:rsid w:val="00160ADB"/>
    <w:rsid w:val="00160B1F"/>
    <w:rsid w:val="00160B73"/>
    <w:rsid w:val="00160BBF"/>
    <w:rsid w:val="00160CB7"/>
    <w:rsid w:val="00160DAC"/>
    <w:rsid w:val="00160EA8"/>
    <w:rsid w:val="00160EFF"/>
    <w:rsid w:val="00160F84"/>
    <w:rsid w:val="00160FAF"/>
    <w:rsid w:val="00161027"/>
    <w:rsid w:val="0016104D"/>
    <w:rsid w:val="00161126"/>
    <w:rsid w:val="00161288"/>
    <w:rsid w:val="00161441"/>
    <w:rsid w:val="001614C5"/>
    <w:rsid w:val="00161502"/>
    <w:rsid w:val="0016170D"/>
    <w:rsid w:val="00161C5E"/>
    <w:rsid w:val="00161ED5"/>
    <w:rsid w:val="001620D8"/>
    <w:rsid w:val="001621B5"/>
    <w:rsid w:val="001625FF"/>
    <w:rsid w:val="0016260A"/>
    <w:rsid w:val="00162624"/>
    <w:rsid w:val="00162732"/>
    <w:rsid w:val="0016277C"/>
    <w:rsid w:val="00162A07"/>
    <w:rsid w:val="00162AE8"/>
    <w:rsid w:val="00162B31"/>
    <w:rsid w:val="00162F63"/>
    <w:rsid w:val="001633F3"/>
    <w:rsid w:val="00163513"/>
    <w:rsid w:val="0016353D"/>
    <w:rsid w:val="00163547"/>
    <w:rsid w:val="001635D3"/>
    <w:rsid w:val="00163705"/>
    <w:rsid w:val="0016372A"/>
    <w:rsid w:val="001637BE"/>
    <w:rsid w:val="00163AB4"/>
    <w:rsid w:val="00163C7A"/>
    <w:rsid w:val="00163C7F"/>
    <w:rsid w:val="00163D0D"/>
    <w:rsid w:val="00163D62"/>
    <w:rsid w:val="001641AA"/>
    <w:rsid w:val="00164313"/>
    <w:rsid w:val="0016433E"/>
    <w:rsid w:val="0016441F"/>
    <w:rsid w:val="001647A5"/>
    <w:rsid w:val="00164975"/>
    <w:rsid w:val="00164B82"/>
    <w:rsid w:val="00164C58"/>
    <w:rsid w:val="00165535"/>
    <w:rsid w:val="00165621"/>
    <w:rsid w:val="00165678"/>
    <w:rsid w:val="0016574D"/>
    <w:rsid w:val="0016597D"/>
    <w:rsid w:val="00165BB0"/>
    <w:rsid w:val="00165D89"/>
    <w:rsid w:val="001661EA"/>
    <w:rsid w:val="0016650E"/>
    <w:rsid w:val="00166513"/>
    <w:rsid w:val="001665E8"/>
    <w:rsid w:val="00166661"/>
    <w:rsid w:val="001666C6"/>
    <w:rsid w:val="001669D9"/>
    <w:rsid w:val="00166B60"/>
    <w:rsid w:val="00166B62"/>
    <w:rsid w:val="00166B65"/>
    <w:rsid w:val="00166CFF"/>
    <w:rsid w:val="00166D6A"/>
    <w:rsid w:val="00166F29"/>
    <w:rsid w:val="00166FA8"/>
    <w:rsid w:val="001671A9"/>
    <w:rsid w:val="001671C4"/>
    <w:rsid w:val="0016746B"/>
    <w:rsid w:val="00167540"/>
    <w:rsid w:val="00167564"/>
    <w:rsid w:val="00167649"/>
    <w:rsid w:val="0016780E"/>
    <w:rsid w:val="00167AB5"/>
    <w:rsid w:val="00167BC7"/>
    <w:rsid w:val="00167D5B"/>
    <w:rsid w:val="00167E18"/>
    <w:rsid w:val="00167E19"/>
    <w:rsid w:val="00167E5B"/>
    <w:rsid w:val="0017030A"/>
    <w:rsid w:val="00170315"/>
    <w:rsid w:val="0017068F"/>
    <w:rsid w:val="001706AB"/>
    <w:rsid w:val="00170809"/>
    <w:rsid w:val="0017094A"/>
    <w:rsid w:val="00170991"/>
    <w:rsid w:val="00170A69"/>
    <w:rsid w:val="00170A8B"/>
    <w:rsid w:val="00170AF5"/>
    <w:rsid w:val="00170EF5"/>
    <w:rsid w:val="0017109F"/>
    <w:rsid w:val="001710CF"/>
    <w:rsid w:val="00171161"/>
    <w:rsid w:val="0017119D"/>
    <w:rsid w:val="0017126D"/>
    <w:rsid w:val="001712A6"/>
    <w:rsid w:val="00171345"/>
    <w:rsid w:val="001716D4"/>
    <w:rsid w:val="00171751"/>
    <w:rsid w:val="001718AA"/>
    <w:rsid w:val="00171A08"/>
    <w:rsid w:val="00171AB8"/>
    <w:rsid w:val="00171C31"/>
    <w:rsid w:val="00171C65"/>
    <w:rsid w:val="00171D28"/>
    <w:rsid w:val="00171E02"/>
    <w:rsid w:val="0017202B"/>
    <w:rsid w:val="00172083"/>
    <w:rsid w:val="001721B5"/>
    <w:rsid w:val="001725E1"/>
    <w:rsid w:val="001727C7"/>
    <w:rsid w:val="00172AA9"/>
    <w:rsid w:val="00172AAC"/>
    <w:rsid w:val="00172AC5"/>
    <w:rsid w:val="00172B01"/>
    <w:rsid w:val="00172CC9"/>
    <w:rsid w:val="00172D8C"/>
    <w:rsid w:val="001730C9"/>
    <w:rsid w:val="0017317D"/>
    <w:rsid w:val="00173585"/>
    <w:rsid w:val="0017398C"/>
    <w:rsid w:val="001739EF"/>
    <w:rsid w:val="00173A31"/>
    <w:rsid w:val="00173C3C"/>
    <w:rsid w:val="00173D2E"/>
    <w:rsid w:val="00173E43"/>
    <w:rsid w:val="00173EA3"/>
    <w:rsid w:val="00173ECD"/>
    <w:rsid w:val="00174381"/>
    <w:rsid w:val="001743F6"/>
    <w:rsid w:val="00174451"/>
    <w:rsid w:val="00174A93"/>
    <w:rsid w:val="00174DA2"/>
    <w:rsid w:val="00174DE3"/>
    <w:rsid w:val="00174E09"/>
    <w:rsid w:val="00175139"/>
    <w:rsid w:val="001751B3"/>
    <w:rsid w:val="001751C0"/>
    <w:rsid w:val="0017522E"/>
    <w:rsid w:val="00175546"/>
    <w:rsid w:val="00175B1E"/>
    <w:rsid w:val="00175B45"/>
    <w:rsid w:val="00175C15"/>
    <w:rsid w:val="00175D2C"/>
    <w:rsid w:val="00175D85"/>
    <w:rsid w:val="00175E24"/>
    <w:rsid w:val="00175F07"/>
    <w:rsid w:val="00175FA4"/>
    <w:rsid w:val="00176082"/>
    <w:rsid w:val="001760A8"/>
    <w:rsid w:val="00176178"/>
    <w:rsid w:val="001761E2"/>
    <w:rsid w:val="0017637E"/>
    <w:rsid w:val="001764B9"/>
    <w:rsid w:val="00176EF2"/>
    <w:rsid w:val="00176FC7"/>
    <w:rsid w:val="00177032"/>
    <w:rsid w:val="00177061"/>
    <w:rsid w:val="001770A6"/>
    <w:rsid w:val="001773C1"/>
    <w:rsid w:val="00177557"/>
    <w:rsid w:val="001778F2"/>
    <w:rsid w:val="00177AB4"/>
    <w:rsid w:val="00177BDB"/>
    <w:rsid w:val="00177C94"/>
    <w:rsid w:val="00177CA3"/>
    <w:rsid w:val="00177E1E"/>
    <w:rsid w:val="00177EB3"/>
    <w:rsid w:val="00177F14"/>
    <w:rsid w:val="00177F4E"/>
    <w:rsid w:val="00177F96"/>
    <w:rsid w:val="0018005C"/>
    <w:rsid w:val="00180130"/>
    <w:rsid w:val="001801B6"/>
    <w:rsid w:val="00180488"/>
    <w:rsid w:val="00180491"/>
    <w:rsid w:val="0018054F"/>
    <w:rsid w:val="00180760"/>
    <w:rsid w:val="001807BC"/>
    <w:rsid w:val="001807F4"/>
    <w:rsid w:val="0018094F"/>
    <w:rsid w:val="00180AD1"/>
    <w:rsid w:val="00180BA6"/>
    <w:rsid w:val="00180BAC"/>
    <w:rsid w:val="00180BAD"/>
    <w:rsid w:val="00180C22"/>
    <w:rsid w:val="00180CA3"/>
    <w:rsid w:val="00180CF9"/>
    <w:rsid w:val="00180CFD"/>
    <w:rsid w:val="00180F0C"/>
    <w:rsid w:val="001812B7"/>
    <w:rsid w:val="001814FD"/>
    <w:rsid w:val="00181537"/>
    <w:rsid w:val="00181538"/>
    <w:rsid w:val="00181767"/>
    <w:rsid w:val="0018177F"/>
    <w:rsid w:val="00181912"/>
    <w:rsid w:val="00181B0F"/>
    <w:rsid w:val="00181B36"/>
    <w:rsid w:val="00181BD9"/>
    <w:rsid w:val="00181C6A"/>
    <w:rsid w:val="00181E61"/>
    <w:rsid w:val="0018202D"/>
    <w:rsid w:val="00182132"/>
    <w:rsid w:val="001821AD"/>
    <w:rsid w:val="00182377"/>
    <w:rsid w:val="0018239B"/>
    <w:rsid w:val="001826CE"/>
    <w:rsid w:val="00182733"/>
    <w:rsid w:val="00182754"/>
    <w:rsid w:val="00182872"/>
    <w:rsid w:val="0018298F"/>
    <w:rsid w:val="00182A36"/>
    <w:rsid w:val="00182BE5"/>
    <w:rsid w:val="00182E88"/>
    <w:rsid w:val="00182EB8"/>
    <w:rsid w:val="001833E1"/>
    <w:rsid w:val="001833F1"/>
    <w:rsid w:val="001835E1"/>
    <w:rsid w:val="0018372E"/>
    <w:rsid w:val="001837E0"/>
    <w:rsid w:val="00183826"/>
    <w:rsid w:val="0018382A"/>
    <w:rsid w:val="001838E7"/>
    <w:rsid w:val="001838F0"/>
    <w:rsid w:val="00183A27"/>
    <w:rsid w:val="00183A41"/>
    <w:rsid w:val="00183B22"/>
    <w:rsid w:val="00183B9B"/>
    <w:rsid w:val="00183D88"/>
    <w:rsid w:val="0018405F"/>
    <w:rsid w:val="00184195"/>
    <w:rsid w:val="001841DF"/>
    <w:rsid w:val="00184203"/>
    <w:rsid w:val="00184230"/>
    <w:rsid w:val="001843EC"/>
    <w:rsid w:val="00184530"/>
    <w:rsid w:val="0018479E"/>
    <w:rsid w:val="001849D9"/>
    <w:rsid w:val="00184AAF"/>
    <w:rsid w:val="00184B9C"/>
    <w:rsid w:val="00184BAA"/>
    <w:rsid w:val="00184C42"/>
    <w:rsid w:val="00184C98"/>
    <w:rsid w:val="00184D6A"/>
    <w:rsid w:val="0018507A"/>
    <w:rsid w:val="0018509B"/>
    <w:rsid w:val="00185359"/>
    <w:rsid w:val="0018536F"/>
    <w:rsid w:val="00185B60"/>
    <w:rsid w:val="00185D6F"/>
    <w:rsid w:val="00185E11"/>
    <w:rsid w:val="001861BD"/>
    <w:rsid w:val="001861D6"/>
    <w:rsid w:val="0018649A"/>
    <w:rsid w:val="0018650C"/>
    <w:rsid w:val="0018656B"/>
    <w:rsid w:val="00186570"/>
    <w:rsid w:val="0018661B"/>
    <w:rsid w:val="001866EF"/>
    <w:rsid w:val="0018676B"/>
    <w:rsid w:val="00186789"/>
    <w:rsid w:val="001868D2"/>
    <w:rsid w:val="00186CF2"/>
    <w:rsid w:val="00186DE9"/>
    <w:rsid w:val="001872F8"/>
    <w:rsid w:val="00187375"/>
    <w:rsid w:val="00187404"/>
    <w:rsid w:val="00187479"/>
    <w:rsid w:val="001874DD"/>
    <w:rsid w:val="00187683"/>
    <w:rsid w:val="00187865"/>
    <w:rsid w:val="00187887"/>
    <w:rsid w:val="00187BCB"/>
    <w:rsid w:val="00187F0D"/>
    <w:rsid w:val="00187FE7"/>
    <w:rsid w:val="00187FE9"/>
    <w:rsid w:val="00187FF6"/>
    <w:rsid w:val="001900DD"/>
    <w:rsid w:val="001901AA"/>
    <w:rsid w:val="0019026D"/>
    <w:rsid w:val="001903ED"/>
    <w:rsid w:val="001906F3"/>
    <w:rsid w:val="00190743"/>
    <w:rsid w:val="00190B9B"/>
    <w:rsid w:val="00190C73"/>
    <w:rsid w:val="00190EEB"/>
    <w:rsid w:val="001910DD"/>
    <w:rsid w:val="001911DA"/>
    <w:rsid w:val="0019122C"/>
    <w:rsid w:val="0019133A"/>
    <w:rsid w:val="00191397"/>
    <w:rsid w:val="0019144D"/>
    <w:rsid w:val="0019170B"/>
    <w:rsid w:val="00191720"/>
    <w:rsid w:val="0019189B"/>
    <w:rsid w:val="00191D84"/>
    <w:rsid w:val="00191E46"/>
    <w:rsid w:val="001921AB"/>
    <w:rsid w:val="001922F0"/>
    <w:rsid w:val="001924A1"/>
    <w:rsid w:val="00192643"/>
    <w:rsid w:val="00192671"/>
    <w:rsid w:val="0019267A"/>
    <w:rsid w:val="001927FE"/>
    <w:rsid w:val="00192A66"/>
    <w:rsid w:val="00192A7C"/>
    <w:rsid w:val="00192BD7"/>
    <w:rsid w:val="00192E95"/>
    <w:rsid w:val="0019309F"/>
    <w:rsid w:val="001930AD"/>
    <w:rsid w:val="00193105"/>
    <w:rsid w:val="00193212"/>
    <w:rsid w:val="001933E7"/>
    <w:rsid w:val="001934E3"/>
    <w:rsid w:val="001934F5"/>
    <w:rsid w:val="00193DC0"/>
    <w:rsid w:val="00193F3A"/>
    <w:rsid w:val="00193F6E"/>
    <w:rsid w:val="001940FB"/>
    <w:rsid w:val="00194249"/>
    <w:rsid w:val="0019442B"/>
    <w:rsid w:val="001944A8"/>
    <w:rsid w:val="001947A9"/>
    <w:rsid w:val="001947C0"/>
    <w:rsid w:val="00194967"/>
    <w:rsid w:val="00194B35"/>
    <w:rsid w:val="00194B95"/>
    <w:rsid w:val="00194BC6"/>
    <w:rsid w:val="00194BFC"/>
    <w:rsid w:val="0019515E"/>
    <w:rsid w:val="00195235"/>
    <w:rsid w:val="001952D4"/>
    <w:rsid w:val="0019541E"/>
    <w:rsid w:val="001954CC"/>
    <w:rsid w:val="001958A6"/>
    <w:rsid w:val="00195AEB"/>
    <w:rsid w:val="00195B31"/>
    <w:rsid w:val="00195FE5"/>
    <w:rsid w:val="001960BC"/>
    <w:rsid w:val="001963D4"/>
    <w:rsid w:val="0019644E"/>
    <w:rsid w:val="001964F7"/>
    <w:rsid w:val="0019659E"/>
    <w:rsid w:val="001965A6"/>
    <w:rsid w:val="0019678E"/>
    <w:rsid w:val="001968E7"/>
    <w:rsid w:val="00196B54"/>
    <w:rsid w:val="00196B5C"/>
    <w:rsid w:val="00196EC9"/>
    <w:rsid w:val="00197333"/>
    <w:rsid w:val="00197735"/>
    <w:rsid w:val="001977E5"/>
    <w:rsid w:val="001978F4"/>
    <w:rsid w:val="00197A10"/>
    <w:rsid w:val="00197EF7"/>
    <w:rsid w:val="00197F8F"/>
    <w:rsid w:val="00197FBE"/>
    <w:rsid w:val="001A001F"/>
    <w:rsid w:val="001A024E"/>
    <w:rsid w:val="001A02E6"/>
    <w:rsid w:val="001A031B"/>
    <w:rsid w:val="001A03C9"/>
    <w:rsid w:val="001A0659"/>
    <w:rsid w:val="001A0694"/>
    <w:rsid w:val="001A0873"/>
    <w:rsid w:val="001A08D5"/>
    <w:rsid w:val="001A0BEB"/>
    <w:rsid w:val="001A0D11"/>
    <w:rsid w:val="001A0E2B"/>
    <w:rsid w:val="001A0E74"/>
    <w:rsid w:val="001A11C3"/>
    <w:rsid w:val="001A1250"/>
    <w:rsid w:val="001A126F"/>
    <w:rsid w:val="001A14F8"/>
    <w:rsid w:val="001A15A7"/>
    <w:rsid w:val="001A1616"/>
    <w:rsid w:val="001A17D7"/>
    <w:rsid w:val="001A1A65"/>
    <w:rsid w:val="001A1AA3"/>
    <w:rsid w:val="001A1AE0"/>
    <w:rsid w:val="001A1B32"/>
    <w:rsid w:val="001A1C84"/>
    <w:rsid w:val="001A1CAC"/>
    <w:rsid w:val="001A1E84"/>
    <w:rsid w:val="001A207E"/>
    <w:rsid w:val="001A20D7"/>
    <w:rsid w:val="001A241B"/>
    <w:rsid w:val="001A2547"/>
    <w:rsid w:val="001A2581"/>
    <w:rsid w:val="001A26F7"/>
    <w:rsid w:val="001A272C"/>
    <w:rsid w:val="001A281B"/>
    <w:rsid w:val="001A283F"/>
    <w:rsid w:val="001A29AB"/>
    <w:rsid w:val="001A2BFB"/>
    <w:rsid w:val="001A2C4E"/>
    <w:rsid w:val="001A2C87"/>
    <w:rsid w:val="001A2CE7"/>
    <w:rsid w:val="001A2DCE"/>
    <w:rsid w:val="001A2DFF"/>
    <w:rsid w:val="001A2F01"/>
    <w:rsid w:val="001A2F84"/>
    <w:rsid w:val="001A327A"/>
    <w:rsid w:val="001A350F"/>
    <w:rsid w:val="001A362D"/>
    <w:rsid w:val="001A3A59"/>
    <w:rsid w:val="001A3B21"/>
    <w:rsid w:val="001A3B67"/>
    <w:rsid w:val="001A3D25"/>
    <w:rsid w:val="001A3D60"/>
    <w:rsid w:val="001A3E27"/>
    <w:rsid w:val="001A3F7C"/>
    <w:rsid w:val="001A3FFA"/>
    <w:rsid w:val="001A4063"/>
    <w:rsid w:val="001A41A1"/>
    <w:rsid w:val="001A4310"/>
    <w:rsid w:val="001A4365"/>
    <w:rsid w:val="001A446D"/>
    <w:rsid w:val="001A49BB"/>
    <w:rsid w:val="001A49CD"/>
    <w:rsid w:val="001A4A8A"/>
    <w:rsid w:val="001A4ABC"/>
    <w:rsid w:val="001A4B07"/>
    <w:rsid w:val="001A4BDC"/>
    <w:rsid w:val="001A4C6F"/>
    <w:rsid w:val="001A4DFC"/>
    <w:rsid w:val="001A4F18"/>
    <w:rsid w:val="001A4FA7"/>
    <w:rsid w:val="001A4FB2"/>
    <w:rsid w:val="001A5014"/>
    <w:rsid w:val="001A52F4"/>
    <w:rsid w:val="001A5473"/>
    <w:rsid w:val="001A54E6"/>
    <w:rsid w:val="001A565E"/>
    <w:rsid w:val="001A59BD"/>
    <w:rsid w:val="001A5F71"/>
    <w:rsid w:val="001A6037"/>
    <w:rsid w:val="001A61D8"/>
    <w:rsid w:val="001A621E"/>
    <w:rsid w:val="001A6290"/>
    <w:rsid w:val="001A63C9"/>
    <w:rsid w:val="001A6417"/>
    <w:rsid w:val="001A64E3"/>
    <w:rsid w:val="001A65F7"/>
    <w:rsid w:val="001A6750"/>
    <w:rsid w:val="001A6819"/>
    <w:rsid w:val="001A6BED"/>
    <w:rsid w:val="001A6DB0"/>
    <w:rsid w:val="001A6EE4"/>
    <w:rsid w:val="001A6F92"/>
    <w:rsid w:val="001A7114"/>
    <w:rsid w:val="001A7371"/>
    <w:rsid w:val="001A741A"/>
    <w:rsid w:val="001A7447"/>
    <w:rsid w:val="001A76EE"/>
    <w:rsid w:val="001A77D1"/>
    <w:rsid w:val="001A78E8"/>
    <w:rsid w:val="001A7BBD"/>
    <w:rsid w:val="001A7C1A"/>
    <w:rsid w:val="001A7C98"/>
    <w:rsid w:val="001A7E0B"/>
    <w:rsid w:val="001A7EB6"/>
    <w:rsid w:val="001A7F25"/>
    <w:rsid w:val="001A7F26"/>
    <w:rsid w:val="001A7FE2"/>
    <w:rsid w:val="001A7FE6"/>
    <w:rsid w:val="001B000D"/>
    <w:rsid w:val="001B0118"/>
    <w:rsid w:val="001B0464"/>
    <w:rsid w:val="001B0569"/>
    <w:rsid w:val="001B0588"/>
    <w:rsid w:val="001B05B7"/>
    <w:rsid w:val="001B0731"/>
    <w:rsid w:val="001B095D"/>
    <w:rsid w:val="001B0AB6"/>
    <w:rsid w:val="001B0C12"/>
    <w:rsid w:val="001B0C6D"/>
    <w:rsid w:val="001B0DD4"/>
    <w:rsid w:val="001B0FC6"/>
    <w:rsid w:val="001B0FF5"/>
    <w:rsid w:val="001B1271"/>
    <w:rsid w:val="001B12AD"/>
    <w:rsid w:val="001B14A0"/>
    <w:rsid w:val="001B1577"/>
    <w:rsid w:val="001B17E5"/>
    <w:rsid w:val="001B1C4D"/>
    <w:rsid w:val="001B1D4B"/>
    <w:rsid w:val="001B1EEF"/>
    <w:rsid w:val="001B1F25"/>
    <w:rsid w:val="001B2106"/>
    <w:rsid w:val="001B215E"/>
    <w:rsid w:val="001B234F"/>
    <w:rsid w:val="001B2403"/>
    <w:rsid w:val="001B25C3"/>
    <w:rsid w:val="001B26D5"/>
    <w:rsid w:val="001B2C86"/>
    <w:rsid w:val="001B2DBB"/>
    <w:rsid w:val="001B2DEB"/>
    <w:rsid w:val="001B2E5F"/>
    <w:rsid w:val="001B3073"/>
    <w:rsid w:val="001B30D2"/>
    <w:rsid w:val="001B30D7"/>
    <w:rsid w:val="001B333A"/>
    <w:rsid w:val="001B350D"/>
    <w:rsid w:val="001B3705"/>
    <w:rsid w:val="001B376B"/>
    <w:rsid w:val="001B37A0"/>
    <w:rsid w:val="001B38A8"/>
    <w:rsid w:val="001B3945"/>
    <w:rsid w:val="001B39F4"/>
    <w:rsid w:val="001B3A2D"/>
    <w:rsid w:val="001B3B78"/>
    <w:rsid w:val="001B3BD8"/>
    <w:rsid w:val="001B3D32"/>
    <w:rsid w:val="001B3E04"/>
    <w:rsid w:val="001B3FBF"/>
    <w:rsid w:val="001B4067"/>
    <w:rsid w:val="001B40A8"/>
    <w:rsid w:val="001B4127"/>
    <w:rsid w:val="001B4145"/>
    <w:rsid w:val="001B42AC"/>
    <w:rsid w:val="001B42B1"/>
    <w:rsid w:val="001B4380"/>
    <w:rsid w:val="001B44E8"/>
    <w:rsid w:val="001B4501"/>
    <w:rsid w:val="001B45C3"/>
    <w:rsid w:val="001B470C"/>
    <w:rsid w:val="001B4AD2"/>
    <w:rsid w:val="001B4CB8"/>
    <w:rsid w:val="001B5067"/>
    <w:rsid w:val="001B50D3"/>
    <w:rsid w:val="001B5192"/>
    <w:rsid w:val="001B53D5"/>
    <w:rsid w:val="001B5445"/>
    <w:rsid w:val="001B5515"/>
    <w:rsid w:val="001B559C"/>
    <w:rsid w:val="001B57D8"/>
    <w:rsid w:val="001B5C01"/>
    <w:rsid w:val="001B5EB1"/>
    <w:rsid w:val="001B6014"/>
    <w:rsid w:val="001B60EE"/>
    <w:rsid w:val="001B61E7"/>
    <w:rsid w:val="001B6290"/>
    <w:rsid w:val="001B6337"/>
    <w:rsid w:val="001B63D4"/>
    <w:rsid w:val="001B6401"/>
    <w:rsid w:val="001B65D9"/>
    <w:rsid w:val="001B65EE"/>
    <w:rsid w:val="001B6659"/>
    <w:rsid w:val="001B6880"/>
    <w:rsid w:val="001B6951"/>
    <w:rsid w:val="001B6A04"/>
    <w:rsid w:val="001B6C3C"/>
    <w:rsid w:val="001B6C55"/>
    <w:rsid w:val="001B6D65"/>
    <w:rsid w:val="001B72DA"/>
    <w:rsid w:val="001B7471"/>
    <w:rsid w:val="001B7475"/>
    <w:rsid w:val="001B769A"/>
    <w:rsid w:val="001B774D"/>
    <w:rsid w:val="001B786A"/>
    <w:rsid w:val="001B794A"/>
    <w:rsid w:val="001B7C29"/>
    <w:rsid w:val="001B7C71"/>
    <w:rsid w:val="001B7CEB"/>
    <w:rsid w:val="001B7DFE"/>
    <w:rsid w:val="001B7EB8"/>
    <w:rsid w:val="001B7F92"/>
    <w:rsid w:val="001B7FB3"/>
    <w:rsid w:val="001B7FD6"/>
    <w:rsid w:val="001C02A7"/>
    <w:rsid w:val="001C02BD"/>
    <w:rsid w:val="001C0336"/>
    <w:rsid w:val="001C064E"/>
    <w:rsid w:val="001C069F"/>
    <w:rsid w:val="001C08EF"/>
    <w:rsid w:val="001C0AF8"/>
    <w:rsid w:val="001C0B07"/>
    <w:rsid w:val="001C0B46"/>
    <w:rsid w:val="001C0B75"/>
    <w:rsid w:val="001C0BF4"/>
    <w:rsid w:val="001C0C3A"/>
    <w:rsid w:val="001C0C7B"/>
    <w:rsid w:val="001C0D0F"/>
    <w:rsid w:val="001C0D28"/>
    <w:rsid w:val="001C0E26"/>
    <w:rsid w:val="001C0F47"/>
    <w:rsid w:val="001C113B"/>
    <w:rsid w:val="001C11D4"/>
    <w:rsid w:val="001C127E"/>
    <w:rsid w:val="001C129E"/>
    <w:rsid w:val="001C1346"/>
    <w:rsid w:val="001C1356"/>
    <w:rsid w:val="001C13B3"/>
    <w:rsid w:val="001C14B5"/>
    <w:rsid w:val="001C1557"/>
    <w:rsid w:val="001C1762"/>
    <w:rsid w:val="001C17F6"/>
    <w:rsid w:val="001C1866"/>
    <w:rsid w:val="001C1A7A"/>
    <w:rsid w:val="001C1AA8"/>
    <w:rsid w:val="001C1C5B"/>
    <w:rsid w:val="001C1EC9"/>
    <w:rsid w:val="001C1FE1"/>
    <w:rsid w:val="001C2224"/>
    <w:rsid w:val="001C22E9"/>
    <w:rsid w:val="001C2465"/>
    <w:rsid w:val="001C26F1"/>
    <w:rsid w:val="001C29F7"/>
    <w:rsid w:val="001C2A51"/>
    <w:rsid w:val="001C2D00"/>
    <w:rsid w:val="001C2D45"/>
    <w:rsid w:val="001C2F2F"/>
    <w:rsid w:val="001C2F67"/>
    <w:rsid w:val="001C2F6F"/>
    <w:rsid w:val="001C3055"/>
    <w:rsid w:val="001C30BF"/>
    <w:rsid w:val="001C3305"/>
    <w:rsid w:val="001C341B"/>
    <w:rsid w:val="001C3665"/>
    <w:rsid w:val="001C368F"/>
    <w:rsid w:val="001C378B"/>
    <w:rsid w:val="001C37C6"/>
    <w:rsid w:val="001C38F4"/>
    <w:rsid w:val="001C3B70"/>
    <w:rsid w:val="001C3DF5"/>
    <w:rsid w:val="001C3EA2"/>
    <w:rsid w:val="001C3F36"/>
    <w:rsid w:val="001C3F45"/>
    <w:rsid w:val="001C3F5D"/>
    <w:rsid w:val="001C3FB3"/>
    <w:rsid w:val="001C40E6"/>
    <w:rsid w:val="001C40F5"/>
    <w:rsid w:val="001C4650"/>
    <w:rsid w:val="001C4B0F"/>
    <w:rsid w:val="001C4B6B"/>
    <w:rsid w:val="001C4DE1"/>
    <w:rsid w:val="001C4E54"/>
    <w:rsid w:val="001C4F09"/>
    <w:rsid w:val="001C507C"/>
    <w:rsid w:val="001C50EC"/>
    <w:rsid w:val="001C5474"/>
    <w:rsid w:val="001C554A"/>
    <w:rsid w:val="001C57FE"/>
    <w:rsid w:val="001C59DD"/>
    <w:rsid w:val="001C5AB9"/>
    <w:rsid w:val="001C5C4F"/>
    <w:rsid w:val="001C5F1C"/>
    <w:rsid w:val="001C6193"/>
    <w:rsid w:val="001C629D"/>
    <w:rsid w:val="001C63B2"/>
    <w:rsid w:val="001C64A2"/>
    <w:rsid w:val="001C656C"/>
    <w:rsid w:val="001C658F"/>
    <w:rsid w:val="001C65B2"/>
    <w:rsid w:val="001C65C6"/>
    <w:rsid w:val="001C660B"/>
    <w:rsid w:val="001C6AC7"/>
    <w:rsid w:val="001C6CA3"/>
    <w:rsid w:val="001C6F8A"/>
    <w:rsid w:val="001C6F8F"/>
    <w:rsid w:val="001C7304"/>
    <w:rsid w:val="001C7364"/>
    <w:rsid w:val="001C775B"/>
    <w:rsid w:val="001C7A6B"/>
    <w:rsid w:val="001C7B8F"/>
    <w:rsid w:val="001C7BEF"/>
    <w:rsid w:val="001C7C0F"/>
    <w:rsid w:val="001C7C88"/>
    <w:rsid w:val="001C7E6A"/>
    <w:rsid w:val="001C7F3F"/>
    <w:rsid w:val="001D000E"/>
    <w:rsid w:val="001D0097"/>
    <w:rsid w:val="001D01BF"/>
    <w:rsid w:val="001D01FA"/>
    <w:rsid w:val="001D0627"/>
    <w:rsid w:val="001D0A57"/>
    <w:rsid w:val="001D0AFC"/>
    <w:rsid w:val="001D0B59"/>
    <w:rsid w:val="001D0E2E"/>
    <w:rsid w:val="001D0F2B"/>
    <w:rsid w:val="001D0F42"/>
    <w:rsid w:val="001D12C6"/>
    <w:rsid w:val="001D12F9"/>
    <w:rsid w:val="001D132E"/>
    <w:rsid w:val="001D14AF"/>
    <w:rsid w:val="001D16C7"/>
    <w:rsid w:val="001D1C9F"/>
    <w:rsid w:val="001D1D00"/>
    <w:rsid w:val="001D1F38"/>
    <w:rsid w:val="001D1FCD"/>
    <w:rsid w:val="001D1FF6"/>
    <w:rsid w:val="001D20F9"/>
    <w:rsid w:val="001D2156"/>
    <w:rsid w:val="001D2337"/>
    <w:rsid w:val="001D23DB"/>
    <w:rsid w:val="001D23EF"/>
    <w:rsid w:val="001D24EA"/>
    <w:rsid w:val="001D2683"/>
    <w:rsid w:val="001D269F"/>
    <w:rsid w:val="001D29CE"/>
    <w:rsid w:val="001D2A23"/>
    <w:rsid w:val="001D2A8A"/>
    <w:rsid w:val="001D2AAD"/>
    <w:rsid w:val="001D2B1D"/>
    <w:rsid w:val="001D2D16"/>
    <w:rsid w:val="001D2E84"/>
    <w:rsid w:val="001D2EF6"/>
    <w:rsid w:val="001D3019"/>
    <w:rsid w:val="001D3080"/>
    <w:rsid w:val="001D30D1"/>
    <w:rsid w:val="001D3112"/>
    <w:rsid w:val="001D33EE"/>
    <w:rsid w:val="001D35F1"/>
    <w:rsid w:val="001D367E"/>
    <w:rsid w:val="001D36EF"/>
    <w:rsid w:val="001D37CA"/>
    <w:rsid w:val="001D3945"/>
    <w:rsid w:val="001D39BB"/>
    <w:rsid w:val="001D39C9"/>
    <w:rsid w:val="001D3B66"/>
    <w:rsid w:val="001D3E00"/>
    <w:rsid w:val="001D3F95"/>
    <w:rsid w:val="001D4071"/>
    <w:rsid w:val="001D4289"/>
    <w:rsid w:val="001D42D5"/>
    <w:rsid w:val="001D432F"/>
    <w:rsid w:val="001D46C2"/>
    <w:rsid w:val="001D4738"/>
    <w:rsid w:val="001D47CE"/>
    <w:rsid w:val="001D48E8"/>
    <w:rsid w:val="001D4B9B"/>
    <w:rsid w:val="001D4EEF"/>
    <w:rsid w:val="001D502F"/>
    <w:rsid w:val="001D55E1"/>
    <w:rsid w:val="001D596D"/>
    <w:rsid w:val="001D5A33"/>
    <w:rsid w:val="001D5BB3"/>
    <w:rsid w:val="001D5E4E"/>
    <w:rsid w:val="001D5E7E"/>
    <w:rsid w:val="001D608F"/>
    <w:rsid w:val="001D6113"/>
    <w:rsid w:val="001D63CF"/>
    <w:rsid w:val="001D65CE"/>
    <w:rsid w:val="001D6680"/>
    <w:rsid w:val="001D66B9"/>
    <w:rsid w:val="001D672A"/>
    <w:rsid w:val="001D67CE"/>
    <w:rsid w:val="001D6D12"/>
    <w:rsid w:val="001D6E33"/>
    <w:rsid w:val="001D6EF0"/>
    <w:rsid w:val="001D6F74"/>
    <w:rsid w:val="001D71D8"/>
    <w:rsid w:val="001D71E8"/>
    <w:rsid w:val="001D725D"/>
    <w:rsid w:val="001D738A"/>
    <w:rsid w:val="001D7420"/>
    <w:rsid w:val="001D7696"/>
    <w:rsid w:val="001D78B5"/>
    <w:rsid w:val="001D7C0B"/>
    <w:rsid w:val="001E0010"/>
    <w:rsid w:val="001E0093"/>
    <w:rsid w:val="001E03C2"/>
    <w:rsid w:val="001E06AD"/>
    <w:rsid w:val="001E06F4"/>
    <w:rsid w:val="001E08E0"/>
    <w:rsid w:val="001E095E"/>
    <w:rsid w:val="001E0A80"/>
    <w:rsid w:val="001E0B51"/>
    <w:rsid w:val="001E0BC4"/>
    <w:rsid w:val="001E0BCA"/>
    <w:rsid w:val="001E0D0B"/>
    <w:rsid w:val="001E0E21"/>
    <w:rsid w:val="001E1118"/>
    <w:rsid w:val="001E1244"/>
    <w:rsid w:val="001E143B"/>
    <w:rsid w:val="001E147D"/>
    <w:rsid w:val="001E14B1"/>
    <w:rsid w:val="001E1502"/>
    <w:rsid w:val="001E162B"/>
    <w:rsid w:val="001E176D"/>
    <w:rsid w:val="001E18A9"/>
    <w:rsid w:val="001E1C6D"/>
    <w:rsid w:val="001E1CBC"/>
    <w:rsid w:val="001E1DED"/>
    <w:rsid w:val="001E202B"/>
    <w:rsid w:val="001E20E7"/>
    <w:rsid w:val="001E2191"/>
    <w:rsid w:val="001E2242"/>
    <w:rsid w:val="001E23A9"/>
    <w:rsid w:val="001E24A2"/>
    <w:rsid w:val="001E27E6"/>
    <w:rsid w:val="001E27EE"/>
    <w:rsid w:val="001E28E7"/>
    <w:rsid w:val="001E2A39"/>
    <w:rsid w:val="001E2BF9"/>
    <w:rsid w:val="001E2E32"/>
    <w:rsid w:val="001E2FBA"/>
    <w:rsid w:val="001E3410"/>
    <w:rsid w:val="001E34F9"/>
    <w:rsid w:val="001E35B0"/>
    <w:rsid w:val="001E3649"/>
    <w:rsid w:val="001E3909"/>
    <w:rsid w:val="001E3A32"/>
    <w:rsid w:val="001E3B83"/>
    <w:rsid w:val="001E3C66"/>
    <w:rsid w:val="001E3C7A"/>
    <w:rsid w:val="001E3CDC"/>
    <w:rsid w:val="001E3D2F"/>
    <w:rsid w:val="001E4019"/>
    <w:rsid w:val="001E4046"/>
    <w:rsid w:val="001E4347"/>
    <w:rsid w:val="001E435E"/>
    <w:rsid w:val="001E43A5"/>
    <w:rsid w:val="001E4448"/>
    <w:rsid w:val="001E458E"/>
    <w:rsid w:val="001E464A"/>
    <w:rsid w:val="001E465D"/>
    <w:rsid w:val="001E4AA6"/>
    <w:rsid w:val="001E4AB3"/>
    <w:rsid w:val="001E4EBD"/>
    <w:rsid w:val="001E4F2F"/>
    <w:rsid w:val="001E4F36"/>
    <w:rsid w:val="001E5241"/>
    <w:rsid w:val="001E53E5"/>
    <w:rsid w:val="001E5486"/>
    <w:rsid w:val="001E5578"/>
    <w:rsid w:val="001E5596"/>
    <w:rsid w:val="001E5642"/>
    <w:rsid w:val="001E565D"/>
    <w:rsid w:val="001E59D8"/>
    <w:rsid w:val="001E59DC"/>
    <w:rsid w:val="001E5CC7"/>
    <w:rsid w:val="001E5D7F"/>
    <w:rsid w:val="001E5E71"/>
    <w:rsid w:val="001E5EE3"/>
    <w:rsid w:val="001E6062"/>
    <w:rsid w:val="001E6683"/>
    <w:rsid w:val="001E68F4"/>
    <w:rsid w:val="001E6A12"/>
    <w:rsid w:val="001E6BED"/>
    <w:rsid w:val="001E6CA5"/>
    <w:rsid w:val="001E6E01"/>
    <w:rsid w:val="001E6E39"/>
    <w:rsid w:val="001E6FEE"/>
    <w:rsid w:val="001E71DD"/>
    <w:rsid w:val="001E7334"/>
    <w:rsid w:val="001E7353"/>
    <w:rsid w:val="001E736A"/>
    <w:rsid w:val="001E7397"/>
    <w:rsid w:val="001E73C1"/>
    <w:rsid w:val="001E73FB"/>
    <w:rsid w:val="001E76CF"/>
    <w:rsid w:val="001E776B"/>
    <w:rsid w:val="001E778A"/>
    <w:rsid w:val="001E79D7"/>
    <w:rsid w:val="001E7AE8"/>
    <w:rsid w:val="001E7B92"/>
    <w:rsid w:val="001E7C70"/>
    <w:rsid w:val="001E7CCC"/>
    <w:rsid w:val="001E7D25"/>
    <w:rsid w:val="001F02DE"/>
    <w:rsid w:val="001F03D5"/>
    <w:rsid w:val="001F079B"/>
    <w:rsid w:val="001F0A4C"/>
    <w:rsid w:val="001F0D07"/>
    <w:rsid w:val="001F0E66"/>
    <w:rsid w:val="001F0E86"/>
    <w:rsid w:val="001F0EE0"/>
    <w:rsid w:val="001F0F3B"/>
    <w:rsid w:val="001F12C4"/>
    <w:rsid w:val="001F13D4"/>
    <w:rsid w:val="001F1407"/>
    <w:rsid w:val="001F14C8"/>
    <w:rsid w:val="001F15BC"/>
    <w:rsid w:val="001F15D6"/>
    <w:rsid w:val="001F1615"/>
    <w:rsid w:val="001F19F4"/>
    <w:rsid w:val="001F1C17"/>
    <w:rsid w:val="001F1D63"/>
    <w:rsid w:val="001F1FA3"/>
    <w:rsid w:val="001F20C5"/>
    <w:rsid w:val="001F230E"/>
    <w:rsid w:val="001F232F"/>
    <w:rsid w:val="001F2368"/>
    <w:rsid w:val="001F236E"/>
    <w:rsid w:val="001F2667"/>
    <w:rsid w:val="001F28CC"/>
    <w:rsid w:val="001F28DB"/>
    <w:rsid w:val="001F29EF"/>
    <w:rsid w:val="001F2B7D"/>
    <w:rsid w:val="001F2BBA"/>
    <w:rsid w:val="001F2E07"/>
    <w:rsid w:val="001F2E66"/>
    <w:rsid w:val="001F2EDA"/>
    <w:rsid w:val="001F3045"/>
    <w:rsid w:val="001F3059"/>
    <w:rsid w:val="001F31A3"/>
    <w:rsid w:val="001F3221"/>
    <w:rsid w:val="001F32D9"/>
    <w:rsid w:val="001F33E3"/>
    <w:rsid w:val="001F34E4"/>
    <w:rsid w:val="001F351E"/>
    <w:rsid w:val="001F3760"/>
    <w:rsid w:val="001F39FF"/>
    <w:rsid w:val="001F3A7A"/>
    <w:rsid w:val="001F40E2"/>
    <w:rsid w:val="001F441E"/>
    <w:rsid w:val="001F48B1"/>
    <w:rsid w:val="001F4BB6"/>
    <w:rsid w:val="001F4CD2"/>
    <w:rsid w:val="001F4E12"/>
    <w:rsid w:val="001F4ED0"/>
    <w:rsid w:val="001F4FE5"/>
    <w:rsid w:val="001F507F"/>
    <w:rsid w:val="001F5204"/>
    <w:rsid w:val="001F533B"/>
    <w:rsid w:val="001F54A8"/>
    <w:rsid w:val="001F5547"/>
    <w:rsid w:val="001F5AF0"/>
    <w:rsid w:val="001F5BEF"/>
    <w:rsid w:val="001F6024"/>
    <w:rsid w:val="001F62B1"/>
    <w:rsid w:val="001F673A"/>
    <w:rsid w:val="001F68EC"/>
    <w:rsid w:val="001F6BD9"/>
    <w:rsid w:val="001F6CB7"/>
    <w:rsid w:val="001F6D5C"/>
    <w:rsid w:val="001F6E48"/>
    <w:rsid w:val="001F707C"/>
    <w:rsid w:val="001F711B"/>
    <w:rsid w:val="001F7326"/>
    <w:rsid w:val="001F76BD"/>
    <w:rsid w:val="001F7841"/>
    <w:rsid w:val="001F7AB5"/>
    <w:rsid w:val="001F7D13"/>
    <w:rsid w:val="002000D9"/>
    <w:rsid w:val="002003AE"/>
    <w:rsid w:val="00200673"/>
    <w:rsid w:val="002006FA"/>
    <w:rsid w:val="002008E3"/>
    <w:rsid w:val="00200C55"/>
    <w:rsid w:val="00200CBD"/>
    <w:rsid w:val="00200E2F"/>
    <w:rsid w:val="00201036"/>
    <w:rsid w:val="00201120"/>
    <w:rsid w:val="00201368"/>
    <w:rsid w:val="00201675"/>
    <w:rsid w:val="00201731"/>
    <w:rsid w:val="00201962"/>
    <w:rsid w:val="00201A34"/>
    <w:rsid w:val="00201B91"/>
    <w:rsid w:val="00201C8C"/>
    <w:rsid w:val="00201E53"/>
    <w:rsid w:val="00202031"/>
    <w:rsid w:val="002021FA"/>
    <w:rsid w:val="002023DA"/>
    <w:rsid w:val="002025EB"/>
    <w:rsid w:val="002026DA"/>
    <w:rsid w:val="002028AB"/>
    <w:rsid w:val="00202947"/>
    <w:rsid w:val="00202B06"/>
    <w:rsid w:val="00202BD3"/>
    <w:rsid w:val="00202C61"/>
    <w:rsid w:val="00202C6D"/>
    <w:rsid w:val="00202CE3"/>
    <w:rsid w:val="00202E4E"/>
    <w:rsid w:val="0020319C"/>
    <w:rsid w:val="00203251"/>
    <w:rsid w:val="00203296"/>
    <w:rsid w:val="00203317"/>
    <w:rsid w:val="00203577"/>
    <w:rsid w:val="0020388F"/>
    <w:rsid w:val="002038B0"/>
    <w:rsid w:val="00203B5A"/>
    <w:rsid w:val="00203B96"/>
    <w:rsid w:val="00203CD0"/>
    <w:rsid w:val="00203D5B"/>
    <w:rsid w:val="00203DC7"/>
    <w:rsid w:val="002040F8"/>
    <w:rsid w:val="00204127"/>
    <w:rsid w:val="00204193"/>
    <w:rsid w:val="002041D8"/>
    <w:rsid w:val="002042C4"/>
    <w:rsid w:val="0020433A"/>
    <w:rsid w:val="0020449C"/>
    <w:rsid w:val="00204575"/>
    <w:rsid w:val="002047A4"/>
    <w:rsid w:val="002048FB"/>
    <w:rsid w:val="002049ED"/>
    <w:rsid w:val="00204ABE"/>
    <w:rsid w:val="00204C11"/>
    <w:rsid w:val="00204D03"/>
    <w:rsid w:val="00205224"/>
    <w:rsid w:val="0020528F"/>
    <w:rsid w:val="0020561D"/>
    <w:rsid w:val="00205744"/>
    <w:rsid w:val="00205765"/>
    <w:rsid w:val="0020580B"/>
    <w:rsid w:val="00205888"/>
    <w:rsid w:val="00205A46"/>
    <w:rsid w:val="00205C29"/>
    <w:rsid w:val="00205CD9"/>
    <w:rsid w:val="00205F06"/>
    <w:rsid w:val="0020605E"/>
    <w:rsid w:val="0020620A"/>
    <w:rsid w:val="0020626F"/>
    <w:rsid w:val="0020646A"/>
    <w:rsid w:val="00206583"/>
    <w:rsid w:val="00206AFC"/>
    <w:rsid w:val="00206BE7"/>
    <w:rsid w:val="00206C36"/>
    <w:rsid w:val="00207056"/>
    <w:rsid w:val="00207170"/>
    <w:rsid w:val="00207258"/>
    <w:rsid w:val="0020737E"/>
    <w:rsid w:val="002077A7"/>
    <w:rsid w:val="0020784B"/>
    <w:rsid w:val="002079C3"/>
    <w:rsid w:val="002079D7"/>
    <w:rsid w:val="00207AF2"/>
    <w:rsid w:val="00207B6D"/>
    <w:rsid w:val="00207DFD"/>
    <w:rsid w:val="00207F9D"/>
    <w:rsid w:val="0021000C"/>
    <w:rsid w:val="002100FA"/>
    <w:rsid w:val="00210173"/>
    <w:rsid w:val="00210343"/>
    <w:rsid w:val="00210614"/>
    <w:rsid w:val="0021075B"/>
    <w:rsid w:val="002107C2"/>
    <w:rsid w:val="00210B80"/>
    <w:rsid w:val="00210C0C"/>
    <w:rsid w:val="00210C39"/>
    <w:rsid w:val="00210C3E"/>
    <w:rsid w:val="00210EAF"/>
    <w:rsid w:val="0021116B"/>
    <w:rsid w:val="00211519"/>
    <w:rsid w:val="0021167D"/>
    <w:rsid w:val="0021167E"/>
    <w:rsid w:val="0021178F"/>
    <w:rsid w:val="002118F0"/>
    <w:rsid w:val="002119DF"/>
    <w:rsid w:val="00211A63"/>
    <w:rsid w:val="00211B1B"/>
    <w:rsid w:val="00211BCD"/>
    <w:rsid w:val="00211C22"/>
    <w:rsid w:val="00211DAF"/>
    <w:rsid w:val="00211F17"/>
    <w:rsid w:val="0021201A"/>
    <w:rsid w:val="002121E6"/>
    <w:rsid w:val="00212712"/>
    <w:rsid w:val="0021274D"/>
    <w:rsid w:val="00212789"/>
    <w:rsid w:val="0021280B"/>
    <w:rsid w:val="00212857"/>
    <w:rsid w:val="00212C5F"/>
    <w:rsid w:val="00212CD6"/>
    <w:rsid w:val="00212DFF"/>
    <w:rsid w:val="002133B3"/>
    <w:rsid w:val="002134F0"/>
    <w:rsid w:val="00213688"/>
    <w:rsid w:val="002136E5"/>
    <w:rsid w:val="00213771"/>
    <w:rsid w:val="00213BEE"/>
    <w:rsid w:val="00213FF7"/>
    <w:rsid w:val="002142FB"/>
    <w:rsid w:val="002144E4"/>
    <w:rsid w:val="0021463C"/>
    <w:rsid w:val="002146D9"/>
    <w:rsid w:val="002146EA"/>
    <w:rsid w:val="002148A5"/>
    <w:rsid w:val="00214B6C"/>
    <w:rsid w:val="00214CCD"/>
    <w:rsid w:val="0021500E"/>
    <w:rsid w:val="002151A5"/>
    <w:rsid w:val="0021524D"/>
    <w:rsid w:val="002152DB"/>
    <w:rsid w:val="002155B9"/>
    <w:rsid w:val="002156AE"/>
    <w:rsid w:val="0021591D"/>
    <w:rsid w:val="00215BD9"/>
    <w:rsid w:val="00215CE7"/>
    <w:rsid w:val="00216134"/>
    <w:rsid w:val="0021618B"/>
    <w:rsid w:val="002163B2"/>
    <w:rsid w:val="002164B6"/>
    <w:rsid w:val="002166D7"/>
    <w:rsid w:val="002166F3"/>
    <w:rsid w:val="00216B98"/>
    <w:rsid w:val="00216D1C"/>
    <w:rsid w:val="00216D67"/>
    <w:rsid w:val="00217022"/>
    <w:rsid w:val="002170AB"/>
    <w:rsid w:val="002172DD"/>
    <w:rsid w:val="00217388"/>
    <w:rsid w:val="00217876"/>
    <w:rsid w:val="00217AB6"/>
    <w:rsid w:val="00220B4F"/>
    <w:rsid w:val="00220C6F"/>
    <w:rsid w:val="00220E30"/>
    <w:rsid w:val="00220EF3"/>
    <w:rsid w:val="002212E6"/>
    <w:rsid w:val="0022192B"/>
    <w:rsid w:val="00221B30"/>
    <w:rsid w:val="00221BBA"/>
    <w:rsid w:val="00221C13"/>
    <w:rsid w:val="00221CB6"/>
    <w:rsid w:val="00221F1A"/>
    <w:rsid w:val="0022220E"/>
    <w:rsid w:val="00222A4F"/>
    <w:rsid w:val="00222D31"/>
    <w:rsid w:val="00222D3E"/>
    <w:rsid w:val="00222F8A"/>
    <w:rsid w:val="00222FFC"/>
    <w:rsid w:val="00223044"/>
    <w:rsid w:val="0022340F"/>
    <w:rsid w:val="0022349B"/>
    <w:rsid w:val="002234D6"/>
    <w:rsid w:val="00223823"/>
    <w:rsid w:val="0022388C"/>
    <w:rsid w:val="0022396E"/>
    <w:rsid w:val="00223978"/>
    <w:rsid w:val="002239CB"/>
    <w:rsid w:val="00223ABE"/>
    <w:rsid w:val="00223E77"/>
    <w:rsid w:val="00223F1A"/>
    <w:rsid w:val="00223F79"/>
    <w:rsid w:val="002241EC"/>
    <w:rsid w:val="00224345"/>
    <w:rsid w:val="00224698"/>
    <w:rsid w:val="00224888"/>
    <w:rsid w:val="00224974"/>
    <w:rsid w:val="002249C4"/>
    <w:rsid w:val="002249CC"/>
    <w:rsid w:val="00224C07"/>
    <w:rsid w:val="00224DD2"/>
    <w:rsid w:val="00224F9E"/>
    <w:rsid w:val="002250FC"/>
    <w:rsid w:val="002254D7"/>
    <w:rsid w:val="0022553A"/>
    <w:rsid w:val="002256C8"/>
    <w:rsid w:val="0022591E"/>
    <w:rsid w:val="00225A29"/>
    <w:rsid w:val="00225B62"/>
    <w:rsid w:val="00225CAA"/>
    <w:rsid w:val="00225E96"/>
    <w:rsid w:val="00226022"/>
    <w:rsid w:val="0022608D"/>
    <w:rsid w:val="002260AC"/>
    <w:rsid w:val="0022615C"/>
    <w:rsid w:val="0022635C"/>
    <w:rsid w:val="0022637F"/>
    <w:rsid w:val="002263D4"/>
    <w:rsid w:val="00226452"/>
    <w:rsid w:val="00226473"/>
    <w:rsid w:val="0022647E"/>
    <w:rsid w:val="002264EE"/>
    <w:rsid w:val="0022688D"/>
    <w:rsid w:val="002268EB"/>
    <w:rsid w:val="00226B71"/>
    <w:rsid w:val="00226C86"/>
    <w:rsid w:val="00226C9E"/>
    <w:rsid w:val="00226DFF"/>
    <w:rsid w:val="00226E0A"/>
    <w:rsid w:val="00226E31"/>
    <w:rsid w:val="00226EA9"/>
    <w:rsid w:val="00226ECF"/>
    <w:rsid w:val="00226F3C"/>
    <w:rsid w:val="0022717F"/>
    <w:rsid w:val="002277DA"/>
    <w:rsid w:val="00227924"/>
    <w:rsid w:val="00227A9B"/>
    <w:rsid w:val="00227AA9"/>
    <w:rsid w:val="00227E58"/>
    <w:rsid w:val="00227FB8"/>
    <w:rsid w:val="0022D535"/>
    <w:rsid w:val="0023014A"/>
    <w:rsid w:val="002302D6"/>
    <w:rsid w:val="00230474"/>
    <w:rsid w:val="00230563"/>
    <w:rsid w:val="002306EF"/>
    <w:rsid w:val="0023089D"/>
    <w:rsid w:val="00230977"/>
    <w:rsid w:val="00230E3D"/>
    <w:rsid w:val="00230E77"/>
    <w:rsid w:val="00231113"/>
    <w:rsid w:val="00231515"/>
    <w:rsid w:val="00231A4E"/>
    <w:rsid w:val="00231BFC"/>
    <w:rsid w:val="00231DEB"/>
    <w:rsid w:val="00231E24"/>
    <w:rsid w:val="00231F49"/>
    <w:rsid w:val="00231FBE"/>
    <w:rsid w:val="0023202A"/>
    <w:rsid w:val="0023206D"/>
    <w:rsid w:val="0023212E"/>
    <w:rsid w:val="00232177"/>
    <w:rsid w:val="0023257B"/>
    <w:rsid w:val="00232670"/>
    <w:rsid w:val="00232825"/>
    <w:rsid w:val="002328D6"/>
    <w:rsid w:val="00232A2F"/>
    <w:rsid w:val="00232BF9"/>
    <w:rsid w:val="00232CCE"/>
    <w:rsid w:val="00232D03"/>
    <w:rsid w:val="00232FA8"/>
    <w:rsid w:val="00233068"/>
    <w:rsid w:val="002330CB"/>
    <w:rsid w:val="002332A7"/>
    <w:rsid w:val="002333D1"/>
    <w:rsid w:val="0023348B"/>
    <w:rsid w:val="002335B2"/>
    <w:rsid w:val="0023364A"/>
    <w:rsid w:val="0023387C"/>
    <w:rsid w:val="00233992"/>
    <w:rsid w:val="00233A21"/>
    <w:rsid w:val="00233B17"/>
    <w:rsid w:val="00233B5D"/>
    <w:rsid w:val="00233BD1"/>
    <w:rsid w:val="00233C46"/>
    <w:rsid w:val="002342C1"/>
    <w:rsid w:val="0023436C"/>
    <w:rsid w:val="00234418"/>
    <w:rsid w:val="002344E3"/>
    <w:rsid w:val="002347DF"/>
    <w:rsid w:val="002348ED"/>
    <w:rsid w:val="00234B4C"/>
    <w:rsid w:val="00234CC1"/>
    <w:rsid w:val="00234D4E"/>
    <w:rsid w:val="00234DB8"/>
    <w:rsid w:val="00234EBB"/>
    <w:rsid w:val="00235116"/>
    <w:rsid w:val="00235330"/>
    <w:rsid w:val="0023555E"/>
    <w:rsid w:val="002355D3"/>
    <w:rsid w:val="00235618"/>
    <w:rsid w:val="0023568D"/>
    <w:rsid w:val="00235976"/>
    <w:rsid w:val="00235DA4"/>
    <w:rsid w:val="00235E0D"/>
    <w:rsid w:val="00235F8A"/>
    <w:rsid w:val="002360E5"/>
    <w:rsid w:val="002363FE"/>
    <w:rsid w:val="002364E7"/>
    <w:rsid w:val="0023660D"/>
    <w:rsid w:val="00236662"/>
    <w:rsid w:val="0023672D"/>
    <w:rsid w:val="00236765"/>
    <w:rsid w:val="002368F7"/>
    <w:rsid w:val="0023693C"/>
    <w:rsid w:val="0023695F"/>
    <w:rsid w:val="00236A96"/>
    <w:rsid w:val="00236C98"/>
    <w:rsid w:val="00236D4B"/>
    <w:rsid w:val="00236F4A"/>
    <w:rsid w:val="0023706C"/>
    <w:rsid w:val="00237220"/>
    <w:rsid w:val="00237901"/>
    <w:rsid w:val="00237985"/>
    <w:rsid w:val="00237AD8"/>
    <w:rsid w:val="00237AFB"/>
    <w:rsid w:val="00237B30"/>
    <w:rsid w:val="00237B33"/>
    <w:rsid w:val="00237B94"/>
    <w:rsid w:val="00240153"/>
    <w:rsid w:val="002409E1"/>
    <w:rsid w:val="00240A9B"/>
    <w:rsid w:val="00240B66"/>
    <w:rsid w:val="00240BAE"/>
    <w:rsid w:val="00240BEE"/>
    <w:rsid w:val="00240EDF"/>
    <w:rsid w:val="00240F19"/>
    <w:rsid w:val="002413C7"/>
    <w:rsid w:val="00241539"/>
    <w:rsid w:val="002415E6"/>
    <w:rsid w:val="00241750"/>
    <w:rsid w:val="00241946"/>
    <w:rsid w:val="00241AEB"/>
    <w:rsid w:val="00241C03"/>
    <w:rsid w:val="00241CAC"/>
    <w:rsid w:val="00241CAD"/>
    <w:rsid w:val="00241D17"/>
    <w:rsid w:val="00241DC7"/>
    <w:rsid w:val="00241FB4"/>
    <w:rsid w:val="00242221"/>
    <w:rsid w:val="002422F3"/>
    <w:rsid w:val="002423A0"/>
    <w:rsid w:val="00242447"/>
    <w:rsid w:val="002424C9"/>
    <w:rsid w:val="0024252D"/>
    <w:rsid w:val="00242548"/>
    <w:rsid w:val="0024280C"/>
    <w:rsid w:val="002428A0"/>
    <w:rsid w:val="00242A0F"/>
    <w:rsid w:val="00242AF9"/>
    <w:rsid w:val="00242BC6"/>
    <w:rsid w:val="00242DD1"/>
    <w:rsid w:val="00242DE6"/>
    <w:rsid w:val="00242EFD"/>
    <w:rsid w:val="00242EFE"/>
    <w:rsid w:val="00243094"/>
    <w:rsid w:val="002430DE"/>
    <w:rsid w:val="002430EC"/>
    <w:rsid w:val="00243133"/>
    <w:rsid w:val="00243143"/>
    <w:rsid w:val="002431A3"/>
    <w:rsid w:val="002432F7"/>
    <w:rsid w:val="0024337E"/>
    <w:rsid w:val="00243408"/>
    <w:rsid w:val="002434C0"/>
    <w:rsid w:val="00243755"/>
    <w:rsid w:val="00243847"/>
    <w:rsid w:val="002438B3"/>
    <w:rsid w:val="00243BA3"/>
    <w:rsid w:val="00243CA1"/>
    <w:rsid w:val="00243D98"/>
    <w:rsid w:val="00243F95"/>
    <w:rsid w:val="00243FA6"/>
    <w:rsid w:val="00244164"/>
    <w:rsid w:val="002441B0"/>
    <w:rsid w:val="002441FE"/>
    <w:rsid w:val="002442D3"/>
    <w:rsid w:val="002442D6"/>
    <w:rsid w:val="0024443A"/>
    <w:rsid w:val="002447C3"/>
    <w:rsid w:val="0024494A"/>
    <w:rsid w:val="00244A51"/>
    <w:rsid w:val="00244A7F"/>
    <w:rsid w:val="00244AA5"/>
    <w:rsid w:val="00244F1C"/>
    <w:rsid w:val="002451CF"/>
    <w:rsid w:val="002452AD"/>
    <w:rsid w:val="00245359"/>
    <w:rsid w:val="002453B2"/>
    <w:rsid w:val="00245665"/>
    <w:rsid w:val="002458A7"/>
    <w:rsid w:val="0024599A"/>
    <w:rsid w:val="00245AF7"/>
    <w:rsid w:val="00245CA1"/>
    <w:rsid w:val="00245EA4"/>
    <w:rsid w:val="00245F0D"/>
    <w:rsid w:val="00245FB4"/>
    <w:rsid w:val="0024600C"/>
    <w:rsid w:val="00246161"/>
    <w:rsid w:val="00246482"/>
    <w:rsid w:val="002464A5"/>
    <w:rsid w:val="00246572"/>
    <w:rsid w:val="00246A24"/>
    <w:rsid w:val="00246C27"/>
    <w:rsid w:val="0024741F"/>
    <w:rsid w:val="0024752B"/>
    <w:rsid w:val="00247601"/>
    <w:rsid w:val="0024773D"/>
    <w:rsid w:val="00247896"/>
    <w:rsid w:val="002478D5"/>
    <w:rsid w:val="00247911"/>
    <w:rsid w:val="00247A62"/>
    <w:rsid w:val="00247D0E"/>
    <w:rsid w:val="00247E51"/>
    <w:rsid w:val="00247E94"/>
    <w:rsid w:val="00247EDE"/>
    <w:rsid w:val="00247FDF"/>
    <w:rsid w:val="002501E0"/>
    <w:rsid w:val="00250239"/>
    <w:rsid w:val="0025047A"/>
    <w:rsid w:val="00250679"/>
    <w:rsid w:val="002506CA"/>
    <w:rsid w:val="00250702"/>
    <w:rsid w:val="002507EF"/>
    <w:rsid w:val="00250805"/>
    <w:rsid w:val="00250930"/>
    <w:rsid w:val="00250DA7"/>
    <w:rsid w:val="00250E2F"/>
    <w:rsid w:val="00250EB7"/>
    <w:rsid w:val="002510FF"/>
    <w:rsid w:val="00251335"/>
    <w:rsid w:val="0025148E"/>
    <w:rsid w:val="00251518"/>
    <w:rsid w:val="00251813"/>
    <w:rsid w:val="0025197F"/>
    <w:rsid w:val="00251A1A"/>
    <w:rsid w:val="00251A74"/>
    <w:rsid w:val="00251CF6"/>
    <w:rsid w:val="00251CFB"/>
    <w:rsid w:val="00252128"/>
    <w:rsid w:val="0025232A"/>
    <w:rsid w:val="00252469"/>
    <w:rsid w:val="002524D5"/>
    <w:rsid w:val="00252520"/>
    <w:rsid w:val="0025253D"/>
    <w:rsid w:val="002525E7"/>
    <w:rsid w:val="0025293B"/>
    <w:rsid w:val="00252A20"/>
    <w:rsid w:val="00252CC7"/>
    <w:rsid w:val="002532A8"/>
    <w:rsid w:val="00253350"/>
    <w:rsid w:val="00253644"/>
    <w:rsid w:val="00253681"/>
    <w:rsid w:val="002536D7"/>
    <w:rsid w:val="00253900"/>
    <w:rsid w:val="0025398D"/>
    <w:rsid w:val="00253B94"/>
    <w:rsid w:val="00253BE2"/>
    <w:rsid w:val="00253FC3"/>
    <w:rsid w:val="00254140"/>
    <w:rsid w:val="00254360"/>
    <w:rsid w:val="002544B2"/>
    <w:rsid w:val="00254505"/>
    <w:rsid w:val="0025461C"/>
    <w:rsid w:val="002546B9"/>
    <w:rsid w:val="002547AD"/>
    <w:rsid w:val="002548A1"/>
    <w:rsid w:val="002548F6"/>
    <w:rsid w:val="002549DF"/>
    <w:rsid w:val="00254A15"/>
    <w:rsid w:val="00254C45"/>
    <w:rsid w:val="00254F1C"/>
    <w:rsid w:val="00254F72"/>
    <w:rsid w:val="00255095"/>
    <w:rsid w:val="002551D8"/>
    <w:rsid w:val="002551E6"/>
    <w:rsid w:val="00255247"/>
    <w:rsid w:val="0025539B"/>
    <w:rsid w:val="00255438"/>
    <w:rsid w:val="0025552A"/>
    <w:rsid w:val="002555B6"/>
    <w:rsid w:val="002557C0"/>
    <w:rsid w:val="00255811"/>
    <w:rsid w:val="002558CC"/>
    <w:rsid w:val="002559D0"/>
    <w:rsid w:val="00255DAD"/>
    <w:rsid w:val="00255E05"/>
    <w:rsid w:val="00255E9B"/>
    <w:rsid w:val="00255F83"/>
    <w:rsid w:val="002562CD"/>
    <w:rsid w:val="00256485"/>
    <w:rsid w:val="00256710"/>
    <w:rsid w:val="00256833"/>
    <w:rsid w:val="0025696A"/>
    <w:rsid w:val="00256A4A"/>
    <w:rsid w:val="00256A62"/>
    <w:rsid w:val="00256AB2"/>
    <w:rsid w:val="00256BCF"/>
    <w:rsid w:val="00256CCA"/>
    <w:rsid w:val="00256F7C"/>
    <w:rsid w:val="002572C0"/>
    <w:rsid w:val="002572F6"/>
    <w:rsid w:val="0025747A"/>
    <w:rsid w:val="002576F1"/>
    <w:rsid w:val="002577FB"/>
    <w:rsid w:val="002578B9"/>
    <w:rsid w:val="0025792D"/>
    <w:rsid w:val="002579CC"/>
    <w:rsid w:val="00257CB0"/>
    <w:rsid w:val="00257D08"/>
    <w:rsid w:val="002600D9"/>
    <w:rsid w:val="002601C6"/>
    <w:rsid w:val="00260258"/>
    <w:rsid w:val="00260455"/>
    <w:rsid w:val="00260861"/>
    <w:rsid w:val="00260A21"/>
    <w:rsid w:val="00260ACF"/>
    <w:rsid w:val="00260D21"/>
    <w:rsid w:val="00260EFF"/>
    <w:rsid w:val="00260FCC"/>
    <w:rsid w:val="002611F4"/>
    <w:rsid w:val="00261205"/>
    <w:rsid w:val="0026147D"/>
    <w:rsid w:val="0026162B"/>
    <w:rsid w:val="002617CA"/>
    <w:rsid w:val="0026194E"/>
    <w:rsid w:val="00261A50"/>
    <w:rsid w:val="00261C83"/>
    <w:rsid w:val="00261CA6"/>
    <w:rsid w:val="00261FA6"/>
    <w:rsid w:val="00262468"/>
    <w:rsid w:val="00262667"/>
    <w:rsid w:val="00262683"/>
    <w:rsid w:val="00262775"/>
    <w:rsid w:val="00262792"/>
    <w:rsid w:val="002627E7"/>
    <w:rsid w:val="002629B0"/>
    <w:rsid w:val="00262A6A"/>
    <w:rsid w:val="00262BF8"/>
    <w:rsid w:val="00262C0D"/>
    <w:rsid w:val="00262F1C"/>
    <w:rsid w:val="00262F6F"/>
    <w:rsid w:val="002632C3"/>
    <w:rsid w:val="00263576"/>
    <w:rsid w:val="00263688"/>
    <w:rsid w:val="0026379D"/>
    <w:rsid w:val="00263929"/>
    <w:rsid w:val="002639C2"/>
    <w:rsid w:val="00263A23"/>
    <w:rsid w:val="00263B07"/>
    <w:rsid w:val="00263BC6"/>
    <w:rsid w:val="00263C36"/>
    <w:rsid w:val="00263CCF"/>
    <w:rsid w:val="00263D44"/>
    <w:rsid w:val="00263E6F"/>
    <w:rsid w:val="00263EA5"/>
    <w:rsid w:val="002643C7"/>
    <w:rsid w:val="00264476"/>
    <w:rsid w:val="00264615"/>
    <w:rsid w:val="00265028"/>
    <w:rsid w:val="00265405"/>
    <w:rsid w:val="002654D1"/>
    <w:rsid w:val="002655B2"/>
    <w:rsid w:val="002656AE"/>
    <w:rsid w:val="00265A24"/>
    <w:rsid w:val="00265A60"/>
    <w:rsid w:val="00265B23"/>
    <w:rsid w:val="00265B94"/>
    <w:rsid w:val="00265BA8"/>
    <w:rsid w:val="00265BD9"/>
    <w:rsid w:val="00265C4D"/>
    <w:rsid w:val="00265DE3"/>
    <w:rsid w:val="00265E4D"/>
    <w:rsid w:val="0026600B"/>
    <w:rsid w:val="0026622F"/>
    <w:rsid w:val="00266428"/>
    <w:rsid w:val="0026648D"/>
    <w:rsid w:val="002669BC"/>
    <w:rsid w:val="00266BAF"/>
    <w:rsid w:val="00266D65"/>
    <w:rsid w:val="00266F68"/>
    <w:rsid w:val="00266F71"/>
    <w:rsid w:val="002671AE"/>
    <w:rsid w:val="0026748C"/>
    <w:rsid w:val="0026751B"/>
    <w:rsid w:val="002678F6"/>
    <w:rsid w:val="00267DF5"/>
    <w:rsid w:val="00267EAF"/>
    <w:rsid w:val="00268E49"/>
    <w:rsid w:val="0027019E"/>
    <w:rsid w:val="00270568"/>
    <w:rsid w:val="0027060E"/>
    <w:rsid w:val="00270A49"/>
    <w:rsid w:val="00270C08"/>
    <w:rsid w:val="00270DD7"/>
    <w:rsid w:val="00270EC9"/>
    <w:rsid w:val="002710A5"/>
    <w:rsid w:val="002712F1"/>
    <w:rsid w:val="00271342"/>
    <w:rsid w:val="00271666"/>
    <w:rsid w:val="0027189E"/>
    <w:rsid w:val="002718EB"/>
    <w:rsid w:val="00271B61"/>
    <w:rsid w:val="00271C65"/>
    <w:rsid w:val="00271D89"/>
    <w:rsid w:val="00271F40"/>
    <w:rsid w:val="00271FB1"/>
    <w:rsid w:val="00272183"/>
    <w:rsid w:val="0027221E"/>
    <w:rsid w:val="00272337"/>
    <w:rsid w:val="0027253F"/>
    <w:rsid w:val="0027269F"/>
    <w:rsid w:val="002727D0"/>
    <w:rsid w:val="002728F7"/>
    <w:rsid w:val="00272B3C"/>
    <w:rsid w:val="00272CA0"/>
    <w:rsid w:val="00272CDF"/>
    <w:rsid w:val="00272DE5"/>
    <w:rsid w:val="00272E8F"/>
    <w:rsid w:val="00273230"/>
    <w:rsid w:val="00273248"/>
    <w:rsid w:val="002732E4"/>
    <w:rsid w:val="002733C3"/>
    <w:rsid w:val="00273806"/>
    <w:rsid w:val="00273A82"/>
    <w:rsid w:val="00273AD6"/>
    <w:rsid w:val="00273B6B"/>
    <w:rsid w:val="00273BE4"/>
    <w:rsid w:val="00273C4C"/>
    <w:rsid w:val="00273E21"/>
    <w:rsid w:val="00273E5F"/>
    <w:rsid w:val="00273EEC"/>
    <w:rsid w:val="00274038"/>
    <w:rsid w:val="00274151"/>
    <w:rsid w:val="002741A8"/>
    <w:rsid w:val="00274388"/>
    <w:rsid w:val="002743AB"/>
    <w:rsid w:val="00274427"/>
    <w:rsid w:val="00274636"/>
    <w:rsid w:val="00274BEF"/>
    <w:rsid w:val="00274D23"/>
    <w:rsid w:val="00274DC1"/>
    <w:rsid w:val="00274F16"/>
    <w:rsid w:val="0027524A"/>
    <w:rsid w:val="0027525D"/>
    <w:rsid w:val="0027544F"/>
    <w:rsid w:val="002754F2"/>
    <w:rsid w:val="002756F7"/>
    <w:rsid w:val="0027574C"/>
    <w:rsid w:val="00275822"/>
    <w:rsid w:val="00275F4D"/>
    <w:rsid w:val="0027610E"/>
    <w:rsid w:val="002763F4"/>
    <w:rsid w:val="00276443"/>
    <w:rsid w:val="0027655A"/>
    <w:rsid w:val="0027683A"/>
    <w:rsid w:val="002768AD"/>
    <w:rsid w:val="002768F6"/>
    <w:rsid w:val="00276B48"/>
    <w:rsid w:val="00276C98"/>
    <w:rsid w:val="00276CB3"/>
    <w:rsid w:val="00276E2E"/>
    <w:rsid w:val="00276FA7"/>
    <w:rsid w:val="0027752A"/>
    <w:rsid w:val="00277618"/>
    <w:rsid w:val="0027761B"/>
    <w:rsid w:val="00277762"/>
    <w:rsid w:val="002778A8"/>
    <w:rsid w:val="00277964"/>
    <w:rsid w:val="00277B51"/>
    <w:rsid w:val="0027B1BB"/>
    <w:rsid w:val="002800FE"/>
    <w:rsid w:val="00280304"/>
    <w:rsid w:val="0028033D"/>
    <w:rsid w:val="002803C4"/>
    <w:rsid w:val="00280421"/>
    <w:rsid w:val="002805CB"/>
    <w:rsid w:val="002805DC"/>
    <w:rsid w:val="00280E4E"/>
    <w:rsid w:val="00280E95"/>
    <w:rsid w:val="00280EB8"/>
    <w:rsid w:val="00280EC5"/>
    <w:rsid w:val="00280FE9"/>
    <w:rsid w:val="002810F9"/>
    <w:rsid w:val="00281176"/>
    <w:rsid w:val="0028138F"/>
    <w:rsid w:val="002813E6"/>
    <w:rsid w:val="00281522"/>
    <w:rsid w:val="002815C4"/>
    <w:rsid w:val="0028163E"/>
    <w:rsid w:val="002816F8"/>
    <w:rsid w:val="00281828"/>
    <w:rsid w:val="00281D22"/>
    <w:rsid w:val="00281FAC"/>
    <w:rsid w:val="002820DA"/>
    <w:rsid w:val="002821D5"/>
    <w:rsid w:val="00282377"/>
    <w:rsid w:val="00282814"/>
    <w:rsid w:val="002828F3"/>
    <w:rsid w:val="00282986"/>
    <w:rsid w:val="00282D4A"/>
    <w:rsid w:val="00282E0C"/>
    <w:rsid w:val="00282E24"/>
    <w:rsid w:val="00282EEA"/>
    <w:rsid w:val="00283492"/>
    <w:rsid w:val="00283A3C"/>
    <w:rsid w:val="00284018"/>
    <w:rsid w:val="00284126"/>
    <w:rsid w:val="00284AF7"/>
    <w:rsid w:val="00284C04"/>
    <w:rsid w:val="00284CEA"/>
    <w:rsid w:val="00284F41"/>
    <w:rsid w:val="00284FA4"/>
    <w:rsid w:val="00285163"/>
    <w:rsid w:val="002854AF"/>
    <w:rsid w:val="002855E9"/>
    <w:rsid w:val="002856EE"/>
    <w:rsid w:val="00285813"/>
    <w:rsid w:val="00285838"/>
    <w:rsid w:val="00285B81"/>
    <w:rsid w:val="00285D57"/>
    <w:rsid w:val="00286015"/>
    <w:rsid w:val="002861F6"/>
    <w:rsid w:val="00286323"/>
    <w:rsid w:val="002863CD"/>
    <w:rsid w:val="002864D7"/>
    <w:rsid w:val="00286AC9"/>
    <w:rsid w:val="00286BAA"/>
    <w:rsid w:val="00286BAF"/>
    <w:rsid w:val="00286C14"/>
    <w:rsid w:val="00286DC3"/>
    <w:rsid w:val="00286E58"/>
    <w:rsid w:val="00286E5C"/>
    <w:rsid w:val="0028709F"/>
    <w:rsid w:val="00287138"/>
    <w:rsid w:val="00287311"/>
    <w:rsid w:val="00287363"/>
    <w:rsid w:val="0028754A"/>
    <w:rsid w:val="0028766A"/>
    <w:rsid w:val="0028773F"/>
    <w:rsid w:val="002877BD"/>
    <w:rsid w:val="00287841"/>
    <w:rsid w:val="00287979"/>
    <w:rsid w:val="00287A64"/>
    <w:rsid w:val="00287BA1"/>
    <w:rsid w:val="00287CFF"/>
    <w:rsid w:val="00287E85"/>
    <w:rsid w:val="00287EFD"/>
    <w:rsid w:val="00290014"/>
    <w:rsid w:val="0029015D"/>
    <w:rsid w:val="00290178"/>
    <w:rsid w:val="00290196"/>
    <w:rsid w:val="00290231"/>
    <w:rsid w:val="00290250"/>
    <w:rsid w:val="00290360"/>
    <w:rsid w:val="00290445"/>
    <w:rsid w:val="002904EB"/>
    <w:rsid w:val="002908B1"/>
    <w:rsid w:val="00290B22"/>
    <w:rsid w:val="00290C41"/>
    <w:rsid w:val="00290E61"/>
    <w:rsid w:val="0029120D"/>
    <w:rsid w:val="00291358"/>
    <w:rsid w:val="00291369"/>
    <w:rsid w:val="002913C5"/>
    <w:rsid w:val="002916F8"/>
    <w:rsid w:val="00291958"/>
    <w:rsid w:val="00291AC5"/>
    <w:rsid w:val="00291BFE"/>
    <w:rsid w:val="00291DBF"/>
    <w:rsid w:val="00291F23"/>
    <w:rsid w:val="0029200E"/>
    <w:rsid w:val="0029211F"/>
    <w:rsid w:val="00292228"/>
    <w:rsid w:val="0029222B"/>
    <w:rsid w:val="00292346"/>
    <w:rsid w:val="002923BC"/>
    <w:rsid w:val="00292A45"/>
    <w:rsid w:val="00292D6D"/>
    <w:rsid w:val="00292E46"/>
    <w:rsid w:val="00292E85"/>
    <w:rsid w:val="00292F2E"/>
    <w:rsid w:val="00292F74"/>
    <w:rsid w:val="00293369"/>
    <w:rsid w:val="00293388"/>
    <w:rsid w:val="002933A9"/>
    <w:rsid w:val="00293402"/>
    <w:rsid w:val="002936C7"/>
    <w:rsid w:val="0029387F"/>
    <w:rsid w:val="002938B9"/>
    <w:rsid w:val="0029406D"/>
    <w:rsid w:val="00294087"/>
    <w:rsid w:val="002942A4"/>
    <w:rsid w:val="00294350"/>
    <w:rsid w:val="00294364"/>
    <w:rsid w:val="0029448C"/>
    <w:rsid w:val="0029455E"/>
    <w:rsid w:val="0029460A"/>
    <w:rsid w:val="00294650"/>
    <w:rsid w:val="002946A1"/>
    <w:rsid w:val="002947C0"/>
    <w:rsid w:val="002947C3"/>
    <w:rsid w:val="0029498E"/>
    <w:rsid w:val="002949FE"/>
    <w:rsid w:val="00294A2A"/>
    <w:rsid w:val="00294AAD"/>
    <w:rsid w:val="00294C7E"/>
    <w:rsid w:val="00294CFE"/>
    <w:rsid w:val="00294D7B"/>
    <w:rsid w:val="00294F55"/>
    <w:rsid w:val="00295221"/>
    <w:rsid w:val="00295230"/>
    <w:rsid w:val="00295402"/>
    <w:rsid w:val="00295714"/>
    <w:rsid w:val="00295764"/>
    <w:rsid w:val="00295B39"/>
    <w:rsid w:val="00295B60"/>
    <w:rsid w:val="00295C5A"/>
    <w:rsid w:val="00295D56"/>
    <w:rsid w:val="00296089"/>
    <w:rsid w:val="00296304"/>
    <w:rsid w:val="002965B7"/>
    <w:rsid w:val="00296B07"/>
    <w:rsid w:val="00296C4C"/>
    <w:rsid w:val="00296C5D"/>
    <w:rsid w:val="00296D99"/>
    <w:rsid w:val="00296E36"/>
    <w:rsid w:val="00296E82"/>
    <w:rsid w:val="0029700A"/>
    <w:rsid w:val="00297205"/>
    <w:rsid w:val="0029723D"/>
    <w:rsid w:val="002973C6"/>
    <w:rsid w:val="00297682"/>
    <w:rsid w:val="00297A5E"/>
    <w:rsid w:val="00297CBC"/>
    <w:rsid w:val="002A01D2"/>
    <w:rsid w:val="002A02C7"/>
    <w:rsid w:val="002A0424"/>
    <w:rsid w:val="002A08A4"/>
    <w:rsid w:val="002A0AD2"/>
    <w:rsid w:val="002A0B00"/>
    <w:rsid w:val="002A0B9A"/>
    <w:rsid w:val="002A0C9B"/>
    <w:rsid w:val="002A0DB6"/>
    <w:rsid w:val="002A1184"/>
    <w:rsid w:val="002A1214"/>
    <w:rsid w:val="002A136B"/>
    <w:rsid w:val="002A15CD"/>
    <w:rsid w:val="002A15FA"/>
    <w:rsid w:val="002A1902"/>
    <w:rsid w:val="002A19D6"/>
    <w:rsid w:val="002A1C2E"/>
    <w:rsid w:val="002A1EC3"/>
    <w:rsid w:val="002A1EF8"/>
    <w:rsid w:val="002A2332"/>
    <w:rsid w:val="002A2467"/>
    <w:rsid w:val="002A25BD"/>
    <w:rsid w:val="002A26D7"/>
    <w:rsid w:val="002A2766"/>
    <w:rsid w:val="002A27B4"/>
    <w:rsid w:val="002A28B1"/>
    <w:rsid w:val="002A2965"/>
    <w:rsid w:val="002A29C6"/>
    <w:rsid w:val="002A2ACB"/>
    <w:rsid w:val="002A2B93"/>
    <w:rsid w:val="002A2D12"/>
    <w:rsid w:val="002A2E63"/>
    <w:rsid w:val="002A3295"/>
    <w:rsid w:val="002A3324"/>
    <w:rsid w:val="002A3337"/>
    <w:rsid w:val="002A33CD"/>
    <w:rsid w:val="002A36DC"/>
    <w:rsid w:val="002A36F3"/>
    <w:rsid w:val="002A390D"/>
    <w:rsid w:val="002A3D40"/>
    <w:rsid w:val="002A3DCA"/>
    <w:rsid w:val="002A3E1E"/>
    <w:rsid w:val="002A3F11"/>
    <w:rsid w:val="002A40FF"/>
    <w:rsid w:val="002A4510"/>
    <w:rsid w:val="002A45F1"/>
    <w:rsid w:val="002A465D"/>
    <w:rsid w:val="002A46B6"/>
    <w:rsid w:val="002A479E"/>
    <w:rsid w:val="002A4AE7"/>
    <w:rsid w:val="002A4BE4"/>
    <w:rsid w:val="002A4CB1"/>
    <w:rsid w:val="002A506D"/>
    <w:rsid w:val="002A5188"/>
    <w:rsid w:val="002A51D6"/>
    <w:rsid w:val="002A5367"/>
    <w:rsid w:val="002A54B1"/>
    <w:rsid w:val="002A5651"/>
    <w:rsid w:val="002A5833"/>
    <w:rsid w:val="002A58CA"/>
    <w:rsid w:val="002A5A1B"/>
    <w:rsid w:val="002A5DEC"/>
    <w:rsid w:val="002A5EB1"/>
    <w:rsid w:val="002A5EB8"/>
    <w:rsid w:val="002A5FA1"/>
    <w:rsid w:val="002A5FA6"/>
    <w:rsid w:val="002A5FA9"/>
    <w:rsid w:val="002A680A"/>
    <w:rsid w:val="002A6928"/>
    <w:rsid w:val="002A6959"/>
    <w:rsid w:val="002A6979"/>
    <w:rsid w:val="002A6CC0"/>
    <w:rsid w:val="002A6E0C"/>
    <w:rsid w:val="002A6E0D"/>
    <w:rsid w:val="002A6E0E"/>
    <w:rsid w:val="002A6F06"/>
    <w:rsid w:val="002A700D"/>
    <w:rsid w:val="002A7729"/>
    <w:rsid w:val="002A7787"/>
    <w:rsid w:val="002A7798"/>
    <w:rsid w:val="002A77CF"/>
    <w:rsid w:val="002A7AE7"/>
    <w:rsid w:val="002A7BFC"/>
    <w:rsid w:val="002A7D5B"/>
    <w:rsid w:val="002A7E15"/>
    <w:rsid w:val="002A7E33"/>
    <w:rsid w:val="002B01E1"/>
    <w:rsid w:val="002B020D"/>
    <w:rsid w:val="002B021A"/>
    <w:rsid w:val="002B023F"/>
    <w:rsid w:val="002B0426"/>
    <w:rsid w:val="002B051B"/>
    <w:rsid w:val="002B056C"/>
    <w:rsid w:val="002B059F"/>
    <w:rsid w:val="002B08CE"/>
    <w:rsid w:val="002B0C5B"/>
    <w:rsid w:val="002B0E85"/>
    <w:rsid w:val="002B0EB0"/>
    <w:rsid w:val="002B0ED3"/>
    <w:rsid w:val="002B11EE"/>
    <w:rsid w:val="002B1225"/>
    <w:rsid w:val="002B12E3"/>
    <w:rsid w:val="002B14C6"/>
    <w:rsid w:val="002B157D"/>
    <w:rsid w:val="002B1A5A"/>
    <w:rsid w:val="002B1A87"/>
    <w:rsid w:val="002B1AAB"/>
    <w:rsid w:val="002B1B1A"/>
    <w:rsid w:val="002B1BE4"/>
    <w:rsid w:val="002B1C8D"/>
    <w:rsid w:val="002B1DFF"/>
    <w:rsid w:val="002B1EAB"/>
    <w:rsid w:val="002B1FD0"/>
    <w:rsid w:val="002B20D9"/>
    <w:rsid w:val="002B2298"/>
    <w:rsid w:val="002B23A6"/>
    <w:rsid w:val="002B24C6"/>
    <w:rsid w:val="002B262C"/>
    <w:rsid w:val="002B27DB"/>
    <w:rsid w:val="002B285E"/>
    <w:rsid w:val="002B2A5A"/>
    <w:rsid w:val="002B2A99"/>
    <w:rsid w:val="002B2ECC"/>
    <w:rsid w:val="002B2FAD"/>
    <w:rsid w:val="002B3028"/>
    <w:rsid w:val="002B32A7"/>
    <w:rsid w:val="002B336B"/>
    <w:rsid w:val="002B33E9"/>
    <w:rsid w:val="002B351B"/>
    <w:rsid w:val="002B35EC"/>
    <w:rsid w:val="002B3665"/>
    <w:rsid w:val="002B388E"/>
    <w:rsid w:val="002B3A90"/>
    <w:rsid w:val="002B3AE8"/>
    <w:rsid w:val="002B3C73"/>
    <w:rsid w:val="002B3E86"/>
    <w:rsid w:val="002B3FED"/>
    <w:rsid w:val="002B4004"/>
    <w:rsid w:val="002B41BE"/>
    <w:rsid w:val="002B41EB"/>
    <w:rsid w:val="002B42AA"/>
    <w:rsid w:val="002B4344"/>
    <w:rsid w:val="002B445E"/>
    <w:rsid w:val="002B45D3"/>
    <w:rsid w:val="002B46FB"/>
    <w:rsid w:val="002B480A"/>
    <w:rsid w:val="002B4954"/>
    <w:rsid w:val="002B4A9A"/>
    <w:rsid w:val="002B4C1D"/>
    <w:rsid w:val="002B4CEF"/>
    <w:rsid w:val="002B4F12"/>
    <w:rsid w:val="002B53D2"/>
    <w:rsid w:val="002B5503"/>
    <w:rsid w:val="002B5710"/>
    <w:rsid w:val="002B5825"/>
    <w:rsid w:val="002B59DB"/>
    <w:rsid w:val="002B5A9C"/>
    <w:rsid w:val="002B5C00"/>
    <w:rsid w:val="002B5C3D"/>
    <w:rsid w:val="002B5EB1"/>
    <w:rsid w:val="002B5F3C"/>
    <w:rsid w:val="002B5F46"/>
    <w:rsid w:val="002B603F"/>
    <w:rsid w:val="002B62F9"/>
    <w:rsid w:val="002B634C"/>
    <w:rsid w:val="002B68AB"/>
    <w:rsid w:val="002B694A"/>
    <w:rsid w:val="002B6A0C"/>
    <w:rsid w:val="002B6C0C"/>
    <w:rsid w:val="002B6CBA"/>
    <w:rsid w:val="002B6D22"/>
    <w:rsid w:val="002B6D64"/>
    <w:rsid w:val="002B7287"/>
    <w:rsid w:val="002B72B2"/>
    <w:rsid w:val="002B7665"/>
    <w:rsid w:val="002B7955"/>
    <w:rsid w:val="002B7972"/>
    <w:rsid w:val="002B7C9E"/>
    <w:rsid w:val="002B7E68"/>
    <w:rsid w:val="002C0345"/>
    <w:rsid w:val="002C041F"/>
    <w:rsid w:val="002C0612"/>
    <w:rsid w:val="002C06B6"/>
    <w:rsid w:val="002C0724"/>
    <w:rsid w:val="002C07E9"/>
    <w:rsid w:val="002C091F"/>
    <w:rsid w:val="002C0982"/>
    <w:rsid w:val="002C0C53"/>
    <w:rsid w:val="002C0DDE"/>
    <w:rsid w:val="002C0E11"/>
    <w:rsid w:val="002C0EF2"/>
    <w:rsid w:val="002C1006"/>
    <w:rsid w:val="002C10AE"/>
    <w:rsid w:val="002C12A3"/>
    <w:rsid w:val="002C14AF"/>
    <w:rsid w:val="002C14B3"/>
    <w:rsid w:val="002C16F3"/>
    <w:rsid w:val="002C1792"/>
    <w:rsid w:val="002C182E"/>
    <w:rsid w:val="002C18A1"/>
    <w:rsid w:val="002C1913"/>
    <w:rsid w:val="002C19EB"/>
    <w:rsid w:val="002C1A40"/>
    <w:rsid w:val="002C1A79"/>
    <w:rsid w:val="002C1BD9"/>
    <w:rsid w:val="002C1C19"/>
    <w:rsid w:val="002C1C31"/>
    <w:rsid w:val="002C1D1B"/>
    <w:rsid w:val="002C1F0A"/>
    <w:rsid w:val="002C1F6F"/>
    <w:rsid w:val="002C200C"/>
    <w:rsid w:val="002C23FF"/>
    <w:rsid w:val="002C2459"/>
    <w:rsid w:val="002C2588"/>
    <w:rsid w:val="002C2593"/>
    <w:rsid w:val="002C2645"/>
    <w:rsid w:val="002C2715"/>
    <w:rsid w:val="002C2BEC"/>
    <w:rsid w:val="002C2CC9"/>
    <w:rsid w:val="002C2E00"/>
    <w:rsid w:val="002C2E1A"/>
    <w:rsid w:val="002C2EA8"/>
    <w:rsid w:val="002C2F17"/>
    <w:rsid w:val="002C2F20"/>
    <w:rsid w:val="002C30CA"/>
    <w:rsid w:val="002C32ED"/>
    <w:rsid w:val="002C338A"/>
    <w:rsid w:val="002C36B6"/>
    <w:rsid w:val="002C377F"/>
    <w:rsid w:val="002C378D"/>
    <w:rsid w:val="002C3C29"/>
    <w:rsid w:val="002C4047"/>
    <w:rsid w:val="002C40C9"/>
    <w:rsid w:val="002C4365"/>
    <w:rsid w:val="002C4370"/>
    <w:rsid w:val="002C47BD"/>
    <w:rsid w:val="002C4C04"/>
    <w:rsid w:val="002C4E08"/>
    <w:rsid w:val="002C4E6B"/>
    <w:rsid w:val="002C51F0"/>
    <w:rsid w:val="002C539F"/>
    <w:rsid w:val="002C53BA"/>
    <w:rsid w:val="002C554A"/>
    <w:rsid w:val="002C59FA"/>
    <w:rsid w:val="002C5CCE"/>
    <w:rsid w:val="002C5F13"/>
    <w:rsid w:val="002C626C"/>
    <w:rsid w:val="002C629B"/>
    <w:rsid w:val="002C6500"/>
    <w:rsid w:val="002C6526"/>
    <w:rsid w:val="002C6849"/>
    <w:rsid w:val="002C6921"/>
    <w:rsid w:val="002C6A8C"/>
    <w:rsid w:val="002C6ADF"/>
    <w:rsid w:val="002C6BEF"/>
    <w:rsid w:val="002C6E1C"/>
    <w:rsid w:val="002C6E27"/>
    <w:rsid w:val="002C6FCE"/>
    <w:rsid w:val="002C702C"/>
    <w:rsid w:val="002C7042"/>
    <w:rsid w:val="002C7048"/>
    <w:rsid w:val="002C7347"/>
    <w:rsid w:val="002C7395"/>
    <w:rsid w:val="002C7570"/>
    <w:rsid w:val="002C7618"/>
    <w:rsid w:val="002C780B"/>
    <w:rsid w:val="002C78F7"/>
    <w:rsid w:val="002C7CA2"/>
    <w:rsid w:val="002C7E9D"/>
    <w:rsid w:val="002C7FBB"/>
    <w:rsid w:val="002D0061"/>
    <w:rsid w:val="002D037D"/>
    <w:rsid w:val="002D03DB"/>
    <w:rsid w:val="002D054C"/>
    <w:rsid w:val="002D08D8"/>
    <w:rsid w:val="002D0950"/>
    <w:rsid w:val="002D09A9"/>
    <w:rsid w:val="002D0CF3"/>
    <w:rsid w:val="002D0E01"/>
    <w:rsid w:val="002D0FBC"/>
    <w:rsid w:val="002D164C"/>
    <w:rsid w:val="002D17F5"/>
    <w:rsid w:val="002D1C79"/>
    <w:rsid w:val="002D1CB9"/>
    <w:rsid w:val="002D1D06"/>
    <w:rsid w:val="002D1D86"/>
    <w:rsid w:val="002D1E14"/>
    <w:rsid w:val="002D1E1E"/>
    <w:rsid w:val="002D1F88"/>
    <w:rsid w:val="002D2014"/>
    <w:rsid w:val="002D216F"/>
    <w:rsid w:val="002D21CF"/>
    <w:rsid w:val="002D2244"/>
    <w:rsid w:val="002D22EB"/>
    <w:rsid w:val="002D23BE"/>
    <w:rsid w:val="002D2534"/>
    <w:rsid w:val="002D2728"/>
    <w:rsid w:val="002D27C8"/>
    <w:rsid w:val="002D28C6"/>
    <w:rsid w:val="002D2967"/>
    <w:rsid w:val="002D2A76"/>
    <w:rsid w:val="002D2AC4"/>
    <w:rsid w:val="002D2AED"/>
    <w:rsid w:val="002D2B16"/>
    <w:rsid w:val="002D2F79"/>
    <w:rsid w:val="002D3078"/>
    <w:rsid w:val="002D30A8"/>
    <w:rsid w:val="002D31A9"/>
    <w:rsid w:val="002D31FC"/>
    <w:rsid w:val="002D3B2D"/>
    <w:rsid w:val="002D3DAD"/>
    <w:rsid w:val="002D3E61"/>
    <w:rsid w:val="002D4A67"/>
    <w:rsid w:val="002D4D52"/>
    <w:rsid w:val="002D52B2"/>
    <w:rsid w:val="002D5348"/>
    <w:rsid w:val="002D534E"/>
    <w:rsid w:val="002D5373"/>
    <w:rsid w:val="002D5529"/>
    <w:rsid w:val="002D5682"/>
    <w:rsid w:val="002D5716"/>
    <w:rsid w:val="002D5764"/>
    <w:rsid w:val="002D58F3"/>
    <w:rsid w:val="002D594E"/>
    <w:rsid w:val="002D59DB"/>
    <w:rsid w:val="002D5B2F"/>
    <w:rsid w:val="002D5C15"/>
    <w:rsid w:val="002D5C9C"/>
    <w:rsid w:val="002D5DFA"/>
    <w:rsid w:val="002D5F4B"/>
    <w:rsid w:val="002D62BD"/>
    <w:rsid w:val="002D6445"/>
    <w:rsid w:val="002D64DC"/>
    <w:rsid w:val="002D66F9"/>
    <w:rsid w:val="002D6764"/>
    <w:rsid w:val="002D683A"/>
    <w:rsid w:val="002D691E"/>
    <w:rsid w:val="002D6BDC"/>
    <w:rsid w:val="002D6C19"/>
    <w:rsid w:val="002D6D76"/>
    <w:rsid w:val="002D6DA8"/>
    <w:rsid w:val="002D6ED7"/>
    <w:rsid w:val="002D704B"/>
    <w:rsid w:val="002D70F9"/>
    <w:rsid w:val="002D7107"/>
    <w:rsid w:val="002D7116"/>
    <w:rsid w:val="002D7254"/>
    <w:rsid w:val="002D732A"/>
    <w:rsid w:val="002D74C5"/>
    <w:rsid w:val="002D75DC"/>
    <w:rsid w:val="002D77DA"/>
    <w:rsid w:val="002D7C64"/>
    <w:rsid w:val="002D7F57"/>
    <w:rsid w:val="002E040D"/>
    <w:rsid w:val="002E087E"/>
    <w:rsid w:val="002E08DD"/>
    <w:rsid w:val="002E0A7B"/>
    <w:rsid w:val="002E0D6A"/>
    <w:rsid w:val="002E0EEB"/>
    <w:rsid w:val="002E126A"/>
    <w:rsid w:val="002E136A"/>
    <w:rsid w:val="002E154B"/>
    <w:rsid w:val="002E15DB"/>
    <w:rsid w:val="002E1A53"/>
    <w:rsid w:val="002E1BE3"/>
    <w:rsid w:val="002E1E77"/>
    <w:rsid w:val="002E20D5"/>
    <w:rsid w:val="002E21F8"/>
    <w:rsid w:val="002E2286"/>
    <w:rsid w:val="002E2463"/>
    <w:rsid w:val="002E2685"/>
    <w:rsid w:val="002E28BE"/>
    <w:rsid w:val="002E2B00"/>
    <w:rsid w:val="002E2B20"/>
    <w:rsid w:val="002E2BC6"/>
    <w:rsid w:val="002E2CFC"/>
    <w:rsid w:val="002E2D27"/>
    <w:rsid w:val="002E308A"/>
    <w:rsid w:val="002E313F"/>
    <w:rsid w:val="002E348E"/>
    <w:rsid w:val="002E3969"/>
    <w:rsid w:val="002E3BCE"/>
    <w:rsid w:val="002E3C80"/>
    <w:rsid w:val="002E3D06"/>
    <w:rsid w:val="002E403E"/>
    <w:rsid w:val="002E41CB"/>
    <w:rsid w:val="002E43B9"/>
    <w:rsid w:val="002E443E"/>
    <w:rsid w:val="002E4485"/>
    <w:rsid w:val="002E4544"/>
    <w:rsid w:val="002E4841"/>
    <w:rsid w:val="002E4873"/>
    <w:rsid w:val="002E4985"/>
    <w:rsid w:val="002E4B5C"/>
    <w:rsid w:val="002E4BFD"/>
    <w:rsid w:val="002E4EDD"/>
    <w:rsid w:val="002E4F0B"/>
    <w:rsid w:val="002E50C1"/>
    <w:rsid w:val="002E5103"/>
    <w:rsid w:val="002E536D"/>
    <w:rsid w:val="002E5393"/>
    <w:rsid w:val="002E5637"/>
    <w:rsid w:val="002E57DE"/>
    <w:rsid w:val="002E5990"/>
    <w:rsid w:val="002E5B4C"/>
    <w:rsid w:val="002E5D61"/>
    <w:rsid w:val="002E5F97"/>
    <w:rsid w:val="002E6018"/>
    <w:rsid w:val="002E6375"/>
    <w:rsid w:val="002E6414"/>
    <w:rsid w:val="002E6554"/>
    <w:rsid w:val="002E6588"/>
    <w:rsid w:val="002E658E"/>
    <w:rsid w:val="002E68AD"/>
    <w:rsid w:val="002E6958"/>
    <w:rsid w:val="002E6AD6"/>
    <w:rsid w:val="002E6BA0"/>
    <w:rsid w:val="002E6BD4"/>
    <w:rsid w:val="002E6BDF"/>
    <w:rsid w:val="002E6BE2"/>
    <w:rsid w:val="002E6C2E"/>
    <w:rsid w:val="002E7063"/>
    <w:rsid w:val="002E71A1"/>
    <w:rsid w:val="002E723A"/>
    <w:rsid w:val="002E7396"/>
    <w:rsid w:val="002E74E6"/>
    <w:rsid w:val="002E7525"/>
    <w:rsid w:val="002E75A0"/>
    <w:rsid w:val="002E7651"/>
    <w:rsid w:val="002E7699"/>
    <w:rsid w:val="002E78B9"/>
    <w:rsid w:val="002E7A00"/>
    <w:rsid w:val="002E7CBF"/>
    <w:rsid w:val="002E7CFB"/>
    <w:rsid w:val="002E7D0E"/>
    <w:rsid w:val="002E7D73"/>
    <w:rsid w:val="002E7E08"/>
    <w:rsid w:val="002E7FFB"/>
    <w:rsid w:val="002F0389"/>
    <w:rsid w:val="002F03B2"/>
    <w:rsid w:val="002F0736"/>
    <w:rsid w:val="002F079F"/>
    <w:rsid w:val="002F07D6"/>
    <w:rsid w:val="002F089A"/>
    <w:rsid w:val="002F08A8"/>
    <w:rsid w:val="002F0D49"/>
    <w:rsid w:val="002F0EA3"/>
    <w:rsid w:val="002F0F60"/>
    <w:rsid w:val="002F109B"/>
    <w:rsid w:val="002F13AC"/>
    <w:rsid w:val="002F13C7"/>
    <w:rsid w:val="002F13CA"/>
    <w:rsid w:val="002F13DA"/>
    <w:rsid w:val="002F1572"/>
    <w:rsid w:val="002F17A0"/>
    <w:rsid w:val="002F1C28"/>
    <w:rsid w:val="002F1C59"/>
    <w:rsid w:val="002F1D39"/>
    <w:rsid w:val="002F1EBE"/>
    <w:rsid w:val="002F20B1"/>
    <w:rsid w:val="002F2219"/>
    <w:rsid w:val="002F24CD"/>
    <w:rsid w:val="002F2504"/>
    <w:rsid w:val="002F28C0"/>
    <w:rsid w:val="002F28FE"/>
    <w:rsid w:val="002F291F"/>
    <w:rsid w:val="002F2994"/>
    <w:rsid w:val="002F2A1C"/>
    <w:rsid w:val="002F2F74"/>
    <w:rsid w:val="002F30AB"/>
    <w:rsid w:val="002F3101"/>
    <w:rsid w:val="002F3271"/>
    <w:rsid w:val="002F3515"/>
    <w:rsid w:val="002F3688"/>
    <w:rsid w:val="002F37FF"/>
    <w:rsid w:val="002F398E"/>
    <w:rsid w:val="002F3B38"/>
    <w:rsid w:val="002F3C17"/>
    <w:rsid w:val="002F3CE6"/>
    <w:rsid w:val="002F3E5A"/>
    <w:rsid w:val="002F3E9E"/>
    <w:rsid w:val="002F3F36"/>
    <w:rsid w:val="002F413D"/>
    <w:rsid w:val="002F42A3"/>
    <w:rsid w:val="002F4341"/>
    <w:rsid w:val="002F4357"/>
    <w:rsid w:val="002F44A1"/>
    <w:rsid w:val="002F44BC"/>
    <w:rsid w:val="002F47B2"/>
    <w:rsid w:val="002F48AD"/>
    <w:rsid w:val="002F4A6A"/>
    <w:rsid w:val="002F4C1F"/>
    <w:rsid w:val="002F4D66"/>
    <w:rsid w:val="002F5215"/>
    <w:rsid w:val="002F528E"/>
    <w:rsid w:val="002F5353"/>
    <w:rsid w:val="002F53E9"/>
    <w:rsid w:val="002F542C"/>
    <w:rsid w:val="002F55A7"/>
    <w:rsid w:val="002F57C2"/>
    <w:rsid w:val="002F582E"/>
    <w:rsid w:val="002F58F2"/>
    <w:rsid w:val="002F5939"/>
    <w:rsid w:val="002F5C90"/>
    <w:rsid w:val="002F5D0B"/>
    <w:rsid w:val="002F5D5F"/>
    <w:rsid w:val="002F5E17"/>
    <w:rsid w:val="002F60F3"/>
    <w:rsid w:val="002F6282"/>
    <w:rsid w:val="002F634E"/>
    <w:rsid w:val="002F64CC"/>
    <w:rsid w:val="002F674C"/>
    <w:rsid w:val="002F6BE5"/>
    <w:rsid w:val="002F6CEF"/>
    <w:rsid w:val="002F704B"/>
    <w:rsid w:val="002F7084"/>
    <w:rsid w:val="002F709B"/>
    <w:rsid w:val="002F71B7"/>
    <w:rsid w:val="002F71BD"/>
    <w:rsid w:val="002F7268"/>
    <w:rsid w:val="002F73BE"/>
    <w:rsid w:val="002F746F"/>
    <w:rsid w:val="002F757E"/>
    <w:rsid w:val="002F75C5"/>
    <w:rsid w:val="002F7699"/>
    <w:rsid w:val="002F76AE"/>
    <w:rsid w:val="002F7BCD"/>
    <w:rsid w:val="002F7D59"/>
    <w:rsid w:val="002F7ED1"/>
    <w:rsid w:val="002F7F70"/>
    <w:rsid w:val="003000AB"/>
    <w:rsid w:val="0030026D"/>
    <w:rsid w:val="0030027C"/>
    <w:rsid w:val="00300311"/>
    <w:rsid w:val="00300345"/>
    <w:rsid w:val="00300454"/>
    <w:rsid w:val="0030050A"/>
    <w:rsid w:val="003005B5"/>
    <w:rsid w:val="003007C2"/>
    <w:rsid w:val="00300DEB"/>
    <w:rsid w:val="00300EAD"/>
    <w:rsid w:val="00300EC0"/>
    <w:rsid w:val="00301011"/>
    <w:rsid w:val="00301081"/>
    <w:rsid w:val="00301524"/>
    <w:rsid w:val="003016BA"/>
    <w:rsid w:val="00301B03"/>
    <w:rsid w:val="00301E54"/>
    <w:rsid w:val="00302711"/>
    <w:rsid w:val="0030275D"/>
    <w:rsid w:val="0030275F"/>
    <w:rsid w:val="003028FA"/>
    <w:rsid w:val="00302958"/>
    <w:rsid w:val="00302A1D"/>
    <w:rsid w:val="00302ADA"/>
    <w:rsid w:val="00302E29"/>
    <w:rsid w:val="00302F5A"/>
    <w:rsid w:val="00303117"/>
    <w:rsid w:val="003034F2"/>
    <w:rsid w:val="00303542"/>
    <w:rsid w:val="0030371A"/>
    <w:rsid w:val="003039A8"/>
    <w:rsid w:val="00303CDF"/>
    <w:rsid w:val="0030409D"/>
    <w:rsid w:val="003043D5"/>
    <w:rsid w:val="003043F1"/>
    <w:rsid w:val="003048A1"/>
    <w:rsid w:val="00304B93"/>
    <w:rsid w:val="00304D89"/>
    <w:rsid w:val="00305393"/>
    <w:rsid w:val="00305B1C"/>
    <w:rsid w:val="00305FC4"/>
    <w:rsid w:val="00305FF5"/>
    <w:rsid w:val="0030604D"/>
    <w:rsid w:val="00306052"/>
    <w:rsid w:val="00306269"/>
    <w:rsid w:val="00306950"/>
    <w:rsid w:val="003069B4"/>
    <w:rsid w:val="00306D29"/>
    <w:rsid w:val="00306DD7"/>
    <w:rsid w:val="003073BD"/>
    <w:rsid w:val="0030740F"/>
    <w:rsid w:val="003074FA"/>
    <w:rsid w:val="0030752A"/>
    <w:rsid w:val="00307783"/>
    <w:rsid w:val="0030778D"/>
    <w:rsid w:val="00307C00"/>
    <w:rsid w:val="00307D78"/>
    <w:rsid w:val="00307E55"/>
    <w:rsid w:val="00307FC1"/>
    <w:rsid w:val="0031056D"/>
    <w:rsid w:val="003105BD"/>
    <w:rsid w:val="003105EE"/>
    <w:rsid w:val="00310675"/>
    <w:rsid w:val="0031072A"/>
    <w:rsid w:val="003108D7"/>
    <w:rsid w:val="00310913"/>
    <w:rsid w:val="00310C84"/>
    <w:rsid w:val="00310E4B"/>
    <w:rsid w:val="00310EC5"/>
    <w:rsid w:val="00310F2B"/>
    <w:rsid w:val="00310F76"/>
    <w:rsid w:val="00311275"/>
    <w:rsid w:val="003112C7"/>
    <w:rsid w:val="00311302"/>
    <w:rsid w:val="0031143D"/>
    <w:rsid w:val="003114CC"/>
    <w:rsid w:val="0031161D"/>
    <w:rsid w:val="00311650"/>
    <w:rsid w:val="003118A5"/>
    <w:rsid w:val="00311C75"/>
    <w:rsid w:val="00311D96"/>
    <w:rsid w:val="00311F0D"/>
    <w:rsid w:val="0031214D"/>
    <w:rsid w:val="00312246"/>
    <w:rsid w:val="00312253"/>
    <w:rsid w:val="003123DF"/>
    <w:rsid w:val="003124B5"/>
    <w:rsid w:val="00312594"/>
    <w:rsid w:val="003125BD"/>
    <w:rsid w:val="003125C3"/>
    <w:rsid w:val="003125CE"/>
    <w:rsid w:val="00312672"/>
    <w:rsid w:val="00312796"/>
    <w:rsid w:val="003127A5"/>
    <w:rsid w:val="00312BE0"/>
    <w:rsid w:val="00312D01"/>
    <w:rsid w:val="00312DDE"/>
    <w:rsid w:val="00313312"/>
    <w:rsid w:val="00313326"/>
    <w:rsid w:val="0031349A"/>
    <w:rsid w:val="0031378F"/>
    <w:rsid w:val="00313C05"/>
    <w:rsid w:val="00313E54"/>
    <w:rsid w:val="00313FEA"/>
    <w:rsid w:val="003141B0"/>
    <w:rsid w:val="00314340"/>
    <w:rsid w:val="00314824"/>
    <w:rsid w:val="00314B90"/>
    <w:rsid w:val="00314BFE"/>
    <w:rsid w:val="00314CCF"/>
    <w:rsid w:val="00314D91"/>
    <w:rsid w:val="00314E12"/>
    <w:rsid w:val="00315250"/>
    <w:rsid w:val="00315274"/>
    <w:rsid w:val="003152C3"/>
    <w:rsid w:val="00315330"/>
    <w:rsid w:val="00315341"/>
    <w:rsid w:val="00315607"/>
    <w:rsid w:val="00315717"/>
    <w:rsid w:val="0031584D"/>
    <w:rsid w:val="0031594E"/>
    <w:rsid w:val="00315B34"/>
    <w:rsid w:val="00315B4D"/>
    <w:rsid w:val="00315F4E"/>
    <w:rsid w:val="00316022"/>
    <w:rsid w:val="00316192"/>
    <w:rsid w:val="003162DA"/>
    <w:rsid w:val="0031631E"/>
    <w:rsid w:val="0031639E"/>
    <w:rsid w:val="003163D8"/>
    <w:rsid w:val="0031647A"/>
    <w:rsid w:val="003164E0"/>
    <w:rsid w:val="00316556"/>
    <w:rsid w:val="003165C1"/>
    <w:rsid w:val="003167A0"/>
    <w:rsid w:val="00316A14"/>
    <w:rsid w:val="00316AA7"/>
    <w:rsid w:val="00316B3F"/>
    <w:rsid w:val="00316B46"/>
    <w:rsid w:val="00316BAE"/>
    <w:rsid w:val="00316D1A"/>
    <w:rsid w:val="00316DC0"/>
    <w:rsid w:val="00316E1A"/>
    <w:rsid w:val="00316FAF"/>
    <w:rsid w:val="00317141"/>
    <w:rsid w:val="00317ABF"/>
    <w:rsid w:val="00317C07"/>
    <w:rsid w:val="00317C5C"/>
    <w:rsid w:val="00317D52"/>
    <w:rsid w:val="00317E63"/>
    <w:rsid w:val="003200A7"/>
    <w:rsid w:val="003200B5"/>
    <w:rsid w:val="003201D4"/>
    <w:rsid w:val="00320331"/>
    <w:rsid w:val="00320410"/>
    <w:rsid w:val="0032049F"/>
    <w:rsid w:val="00320502"/>
    <w:rsid w:val="00320766"/>
    <w:rsid w:val="0032086E"/>
    <w:rsid w:val="003208BD"/>
    <w:rsid w:val="00320A00"/>
    <w:rsid w:val="00320A72"/>
    <w:rsid w:val="00320BDF"/>
    <w:rsid w:val="00320D2A"/>
    <w:rsid w:val="003211BC"/>
    <w:rsid w:val="00321271"/>
    <w:rsid w:val="003215A3"/>
    <w:rsid w:val="00321709"/>
    <w:rsid w:val="003217E2"/>
    <w:rsid w:val="0032180C"/>
    <w:rsid w:val="003218C6"/>
    <w:rsid w:val="00321A7A"/>
    <w:rsid w:val="00321BFC"/>
    <w:rsid w:val="00321C2C"/>
    <w:rsid w:val="00321C3B"/>
    <w:rsid w:val="00321C8A"/>
    <w:rsid w:val="00321C8E"/>
    <w:rsid w:val="00321D46"/>
    <w:rsid w:val="00321D4A"/>
    <w:rsid w:val="00321D66"/>
    <w:rsid w:val="00321DEE"/>
    <w:rsid w:val="00321F68"/>
    <w:rsid w:val="00321F6C"/>
    <w:rsid w:val="00322010"/>
    <w:rsid w:val="0032207F"/>
    <w:rsid w:val="003221EC"/>
    <w:rsid w:val="0032225D"/>
    <w:rsid w:val="0032225E"/>
    <w:rsid w:val="00322286"/>
    <w:rsid w:val="0032245B"/>
    <w:rsid w:val="003224CB"/>
    <w:rsid w:val="003227E9"/>
    <w:rsid w:val="00322834"/>
    <w:rsid w:val="0032284A"/>
    <w:rsid w:val="00322855"/>
    <w:rsid w:val="00322C01"/>
    <w:rsid w:val="00322C0B"/>
    <w:rsid w:val="00322C8D"/>
    <w:rsid w:val="00322E18"/>
    <w:rsid w:val="003230C9"/>
    <w:rsid w:val="00323244"/>
    <w:rsid w:val="0032333D"/>
    <w:rsid w:val="00323458"/>
    <w:rsid w:val="0032367F"/>
    <w:rsid w:val="003237D3"/>
    <w:rsid w:val="00323A7F"/>
    <w:rsid w:val="00323C1A"/>
    <w:rsid w:val="00323D2A"/>
    <w:rsid w:val="003244F0"/>
    <w:rsid w:val="0032451E"/>
    <w:rsid w:val="003245EF"/>
    <w:rsid w:val="00324770"/>
    <w:rsid w:val="00324906"/>
    <w:rsid w:val="003249A7"/>
    <w:rsid w:val="00324A7F"/>
    <w:rsid w:val="00324C7B"/>
    <w:rsid w:val="00324DE2"/>
    <w:rsid w:val="0032515B"/>
    <w:rsid w:val="003254D7"/>
    <w:rsid w:val="0032552F"/>
    <w:rsid w:val="00325733"/>
    <w:rsid w:val="00325763"/>
    <w:rsid w:val="00325851"/>
    <w:rsid w:val="003258EC"/>
    <w:rsid w:val="00325AEB"/>
    <w:rsid w:val="00325F0B"/>
    <w:rsid w:val="00325F4B"/>
    <w:rsid w:val="00325FE0"/>
    <w:rsid w:val="00326331"/>
    <w:rsid w:val="003264B4"/>
    <w:rsid w:val="00326B2E"/>
    <w:rsid w:val="00326B33"/>
    <w:rsid w:val="00326C45"/>
    <w:rsid w:val="00326D0A"/>
    <w:rsid w:val="00326D94"/>
    <w:rsid w:val="00326E5B"/>
    <w:rsid w:val="00327398"/>
    <w:rsid w:val="003273BA"/>
    <w:rsid w:val="003274B5"/>
    <w:rsid w:val="0032780D"/>
    <w:rsid w:val="00327890"/>
    <w:rsid w:val="00327BA2"/>
    <w:rsid w:val="00327C8D"/>
    <w:rsid w:val="00327CE6"/>
    <w:rsid w:val="00327D4B"/>
    <w:rsid w:val="00327F22"/>
    <w:rsid w:val="00330245"/>
    <w:rsid w:val="00330326"/>
    <w:rsid w:val="0033036C"/>
    <w:rsid w:val="00330386"/>
    <w:rsid w:val="003304C7"/>
    <w:rsid w:val="003307A9"/>
    <w:rsid w:val="00330A11"/>
    <w:rsid w:val="00330C3D"/>
    <w:rsid w:val="00330E12"/>
    <w:rsid w:val="00331083"/>
    <w:rsid w:val="0033114E"/>
    <w:rsid w:val="00331281"/>
    <w:rsid w:val="003313FB"/>
    <w:rsid w:val="0033147B"/>
    <w:rsid w:val="003315A7"/>
    <w:rsid w:val="003315E3"/>
    <w:rsid w:val="003316BE"/>
    <w:rsid w:val="0033171A"/>
    <w:rsid w:val="0033190D"/>
    <w:rsid w:val="00331AB7"/>
    <w:rsid w:val="00331E22"/>
    <w:rsid w:val="00331E54"/>
    <w:rsid w:val="00331EFB"/>
    <w:rsid w:val="00331F2F"/>
    <w:rsid w:val="00331F6C"/>
    <w:rsid w:val="00331F85"/>
    <w:rsid w:val="00332324"/>
    <w:rsid w:val="0033262D"/>
    <w:rsid w:val="00332660"/>
    <w:rsid w:val="00332760"/>
    <w:rsid w:val="00332858"/>
    <w:rsid w:val="00332AF5"/>
    <w:rsid w:val="00332D0E"/>
    <w:rsid w:val="00332D8F"/>
    <w:rsid w:val="00332E80"/>
    <w:rsid w:val="003330FC"/>
    <w:rsid w:val="003331A5"/>
    <w:rsid w:val="003331A9"/>
    <w:rsid w:val="003333DB"/>
    <w:rsid w:val="003335A1"/>
    <w:rsid w:val="0033363C"/>
    <w:rsid w:val="0033368F"/>
    <w:rsid w:val="00333705"/>
    <w:rsid w:val="0033391F"/>
    <w:rsid w:val="00333B63"/>
    <w:rsid w:val="00333C5F"/>
    <w:rsid w:val="00333D20"/>
    <w:rsid w:val="00333FE2"/>
    <w:rsid w:val="0033422D"/>
    <w:rsid w:val="00334296"/>
    <w:rsid w:val="0033440D"/>
    <w:rsid w:val="0033451E"/>
    <w:rsid w:val="003347D8"/>
    <w:rsid w:val="00334828"/>
    <w:rsid w:val="00334A0B"/>
    <w:rsid w:val="00334CE5"/>
    <w:rsid w:val="00334ECC"/>
    <w:rsid w:val="00334F19"/>
    <w:rsid w:val="0033508B"/>
    <w:rsid w:val="003350D5"/>
    <w:rsid w:val="00335464"/>
    <w:rsid w:val="00335737"/>
    <w:rsid w:val="003357F0"/>
    <w:rsid w:val="0033587E"/>
    <w:rsid w:val="00335AB9"/>
    <w:rsid w:val="00335AC8"/>
    <w:rsid w:val="00335B5E"/>
    <w:rsid w:val="00335C0C"/>
    <w:rsid w:val="00335C77"/>
    <w:rsid w:val="00335D3C"/>
    <w:rsid w:val="00335EE2"/>
    <w:rsid w:val="0033656F"/>
    <w:rsid w:val="0033660F"/>
    <w:rsid w:val="00336690"/>
    <w:rsid w:val="00336930"/>
    <w:rsid w:val="00336937"/>
    <w:rsid w:val="0033698B"/>
    <w:rsid w:val="00336C5E"/>
    <w:rsid w:val="00336CA8"/>
    <w:rsid w:val="00336E22"/>
    <w:rsid w:val="00336F4E"/>
    <w:rsid w:val="00337002"/>
    <w:rsid w:val="003370FB"/>
    <w:rsid w:val="00337104"/>
    <w:rsid w:val="003371B8"/>
    <w:rsid w:val="00337219"/>
    <w:rsid w:val="0033755A"/>
    <w:rsid w:val="00337578"/>
    <w:rsid w:val="00337763"/>
    <w:rsid w:val="003378D3"/>
    <w:rsid w:val="00337927"/>
    <w:rsid w:val="00337ADA"/>
    <w:rsid w:val="00337B2C"/>
    <w:rsid w:val="00337BB3"/>
    <w:rsid w:val="00337E4B"/>
    <w:rsid w:val="00337FFE"/>
    <w:rsid w:val="00340094"/>
    <w:rsid w:val="00340220"/>
    <w:rsid w:val="00340438"/>
    <w:rsid w:val="0034068B"/>
    <w:rsid w:val="003406A6"/>
    <w:rsid w:val="003407FF"/>
    <w:rsid w:val="00340B2B"/>
    <w:rsid w:val="00340B3E"/>
    <w:rsid w:val="00340D1A"/>
    <w:rsid w:val="00340D94"/>
    <w:rsid w:val="00340E34"/>
    <w:rsid w:val="00340F1E"/>
    <w:rsid w:val="00341134"/>
    <w:rsid w:val="00341182"/>
    <w:rsid w:val="0034118B"/>
    <w:rsid w:val="003411BF"/>
    <w:rsid w:val="00341339"/>
    <w:rsid w:val="0034134E"/>
    <w:rsid w:val="00341410"/>
    <w:rsid w:val="003414D1"/>
    <w:rsid w:val="003414D2"/>
    <w:rsid w:val="0034156E"/>
    <w:rsid w:val="003417C1"/>
    <w:rsid w:val="00341814"/>
    <w:rsid w:val="00341891"/>
    <w:rsid w:val="00341D3F"/>
    <w:rsid w:val="00341D48"/>
    <w:rsid w:val="00341F73"/>
    <w:rsid w:val="003421C5"/>
    <w:rsid w:val="003421D2"/>
    <w:rsid w:val="00342350"/>
    <w:rsid w:val="00342479"/>
    <w:rsid w:val="00342670"/>
    <w:rsid w:val="0034269B"/>
    <w:rsid w:val="00342734"/>
    <w:rsid w:val="003427AC"/>
    <w:rsid w:val="003428C6"/>
    <w:rsid w:val="00342923"/>
    <w:rsid w:val="0034298C"/>
    <w:rsid w:val="003429C8"/>
    <w:rsid w:val="00342B51"/>
    <w:rsid w:val="00342B7E"/>
    <w:rsid w:val="00342E92"/>
    <w:rsid w:val="00342F29"/>
    <w:rsid w:val="00342FE7"/>
    <w:rsid w:val="00343226"/>
    <w:rsid w:val="00343581"/>
    <w:rsid w:val="003436AB"/>
    <w:rsid w:val="0034372B"/>
    <w:rsid w:val="00343922"/>
    <w:rsid w:val="00343BF5"/>
    <w:rsid w:val="00343CF1"/>
    <w:rsid w:val="003440B3"/>
    <w:rsid w:val="00344180"/>
    <w:rsid w:val="00344246"/>
    <w:rsid w:val="0034425B"/>
    <w:rsid w:val="00344395"/>
    <w:rsid w:val="00344397"/>
    <w:rsid w:val="003443CA"/>
    <w:rsid w:val="003444E8"/>
    <w:rsid w:val="00344785"/>
    <w:rsid w:val="00344F2F"/>
    <w:rsid w:val="00344FBA"/>
    <w:rsid w:val="00345570"/>
    <w:rsid w:val="00345582"/>
    <w:rsid w:val="0034576D"/>
    <w:rsid w:val="00345882"/>
    <w:rsid w:val="00345C9F"/>
    <w:rsid w:val="00345CD1"/>
    <w:rsid w:val="00345EE3"/>
    <w:rsid w:val="00346507"/>
    <w:rsid w:val="00346568"/>
    <w:rsid w:val="003465FC"/>
    <w:rsid w:val="003466A4"/>
    <w:rsid w:val="0034687F"/>
    <w:rsid w:val="00346911"/>
    <w:rsid w:val="00346A46"/>
    <w:rsid w:val="00346B09"/>
    <w:rsid w:val="00346D45"/>
    <w:rsid w:val="00346DFC"/>
    <w:rsid w:val="00347021"/>
    <w:rsid w:val="003472FD"/>
    <w:rsid w:val="003473C2"/>
    <w:rsid w:val="0034747F"/>
    <w:rsid w:val="003475B7"/>
    <w:rsid w:val="00347652"/>
    <w:rsid w:val="00347A94"/>
    <w:rsid w:val="00347BAE"/>
    <w:rsid w:val="00347E88"/>
    <w:rsid w:val="00347F90"/>
    <w:rsid w:val="00350132"/>
    <w:rsid w:val="00350313"/>
    <w:rsid w:val="00350372"/>
    <w:rsid w:val="00350384"/>
    <w:rsid w:val="0035039A"/>
    <w:rsid w:val="003503ED"/>
    <w:rsid w:val="00350684"/>
    <w:rsid w:val="00350796"/>
    <w:rsid w:val="00350C48"/>
    <w:rsid w:val="00350D09"/>
    <w:rsid w:val="00350D97"/>
    <w:rsid w:val="00350DAE"/>
    <w:rsid w:val="00350DB5"/>
    <w:rsid w:val="00350F76"/>
    <w:rsid w:val="00351116"/>
    <w:rsid w:val="00351121"/>
    <w:rsid w:val="00351294"/>
    <w:rsid w:val="00351333"/>
    <w:rsid w:val="003514C7"/>
    <w:rsid w:val="00351698"/>
    <w:rsid w:val="00351838"/>
    <w:rsid w:val="0035193F"/>
    <w:rsid w:val="00351A15"/>
    <w:rsid w:val="00351A24"/>
    <w:rsid w:val="00351D10"/>
    <w:rsid w:val="00351F35"/>
    <w:rsid w:val="00351F73"/>
    <w:rsid w:val="003526BA"/>
    <w:rsid w:val="00352977"/>
    <w:rsid w:val="003529ED"/>
    <w:rsid w:val="00352A2C"/>
    <w:rsid w:val="00352BB8"/>
    <w:rsid w:val="00352C16"/>
    <w:rsid w:val="00352E2A"/>
    <w:rsid w:val="00352ED1"/>
    <w:rsid w:val="00352FBF"/>
    <w:rsid w:val="00352FD9"/>
    <w:rsid w:val="00352FDD"/>
    <w:rsid w:val="003530B9"/>
    <w:rsid w:val="00353155"/>
    <w:rsid w:val="00353242"/>
    <w:rsid w:val="003532D3"/>
    <w:rsid w:val="003534D6"/>
    <w:rsid w:val="00353CA6"/>
    <w:rsid w:val="00353F12"/>
    <w:rsid w:val="00353F42"/>
    <w:rsid w:val="00354018"/>
    <w:rsid w:val="003540A5"/>
    <w:rsid w:val="003540B7"/>
    <w:rsid w:val="00354306"/>
    <w:rsid w:val="0035437A"/>
    <w:rsid w:val="0035440E"/>
    <w:rsid w:val="00354456"/>
    <w:rsid w:val="003545EB"/>
    <w:rsid w:val="003546A6"/>
    <w:rsid w:val="0035487F"/>
    <w:rsid w:val="003549DE"/>
    <w:rsid w:val="00354FD6"/>
    <w:rsid w:val="00355005"/>
    <w:rsid w:val="003551E1"/>
    <w:rsid w:val="0035571E"/>
    <w:rsid w:val="00355760"/>
    <w:rsid w:val="00355E2B"/>
    <w:rsid w:val="00355E4A"/>
    <w:rsid w:val="00355F63"/>
    <w:rsid w:val="003560B2"/>
    <w:rsid w:val="00356104"/>
    <w:rsid w:val="00356142"/>
    <w:rsid w:val="00356195"/>
    <w:rsid w:val="0035619B"/>
    <w:rsid w:val="0035628B"/>
    <w:rsid w:val="003562AD"/>
    <w:rsid w:val="00356313"/>
    <w:rsid w:val="00356347"/>
    <w:rsid w:val="00356547"/>
    <w:rsid w:val="0035669A"/>
    <w:rsid w:val="00356886"/>
    <w:rsid w:val="003568E7"/>
    <w:rsid w:val="00356904"/>
    <w:rsid w:val="00356C6A"/>
    <w:rsid w:val="00356DCE"/>
    <w:rsid w:val="0035707C"/>
    <w:rsid w:val="00357157"/>
    <w:rsid w:val="0035717F"/>
    <w:rsid w:val="003571E3"/>
    <w:rsid w:val="003572F5"/>
    <w:rsid w:val="0035742E"/>
    <w:rsid w:val="0035749D"/>
    <w:rsid w:val="0035770A"/>
    <w:rsid w:val="00357C9A"/>
    <w:rsid w:val="00360020"/>
    <w:rsid w:val="00360105"/>
    <w:rsid w:val="0036039A"/>
    <w:rsid w:val="003605DE"/>
    <w:rsid w:val="0036061A"/>
    <w:rsid w:val="00360637"/>
    <w:rsid w:val="003608EF"/>
    <w:rsid w:val="00360A84"/>
    <w:rsid w:val="00360AFD"/>
    <w:rsid w:val="00360B28"/>
    <w:rsid w:val="00360D0F"/>
    <w:rsid w:val="00361371"/>
    <w:rsid w:val="00361461"/>
    <w:rsid w:val="003616E4"/>
    <w:rsid w:val="003617A3"/>
    <w:rsid w:val="003618DA"/>
    <w:rsid w:val="00361AAA"/>
    <w:rsid w:val="00361B6F"/>
    <w:rsid w:val="00361C3A"/>
    <w:rsid w:val="00361D41"/>
    <w:rsid w:val="00361EC4"/>
    <w:rsid w:val="00361F25"/>
    <w:rsid w:val="00362016"/>
    <w:rsid w:val="0036212B"/>
    <w:rsid w:val="00362133"/>
    <w:rsid w:val="0036224D"/>
    <w:rsid w:val="003624F8"/>
    <w:rsid w:val="00362AAC"/>
    <w:rsid w:val="00362AAE"/>
    <w:rsid w:val="00362E74"/>
    <w:rsid w:val="00362F8A"/>
    <w:rsid w:val="00362FE3"/>
    <w:rsid w:val="003631D1"/>
    <w:rsid w:val="00363391"/>
    <w:rsid w:val="003633C0"/>
    <w:rsid w:val="00363461"/>
    <w:rsid w:val="00363470"/>
    <w:rsid w:val="00363563"/>
    <w:rsid w:val="003636C1"/>
    <w:rsid w:val="0036385C"/>
    <w:rsid w:val="0036391F"/>
    <w:rsid w:val="003639E0"/>
    <w:rsid w:val="00363A1F"/>
    <w:rsid w:val="00363BAC"/>
    <w:rsid w:val="00363C15"/>
    <w:rsid w:val="00363CBB"/>
    <w:rsid w:val="00363CE9"/>
    <w:rsid w:val="00363D60"/>
    <w:rsid w:val="00364328"/>
    <w:rsid w:val="0036438E"/>
    <w:rsid w:val="003643EA"/>
    <w:rsid w:val="0036473A"/>
    <w:rsid w:val="0036482B"/>
    <w:rsid w:val="003648EF"/>
    <w:rsid w:val="0036494F"/>
    <w:rsid w:val="00364C5A"/>
    <w:rsid w:val="00364CDF"/>
    <w:rsid w:val="00364E4B"/>
    <w:rsid w:val="003650BE"/>
    <w:rsid w:val="003650F6"/>
    <w:rsid w:val="0036533B"/>
    <w:rsid w:val="003656F5"/>
    <w:rsid w:val="00365732"/>
    <w:rsid w:val="0036582D"/>
    <w:rsid w:val="00365941"/>
    <w:rsid w:val="00365BDF"/>
    <w:rsid w:val="00365C6E"/>
    <w:rsid w:val="00365CC6"/>
    <w:rsid w:val="00365D61"/>
    <w:rsid w:val="00365D79"/>
    <w:rsid w:val="00365E33"/>
    <w:rsid w:val="00365ED0"/>
    <w:rsid w:val="00365FA4"/>
    <w:rsid w:val="00366050"/>
    <w:rsid w:val="003660CC"/>
    <w:rsid w:val="003660E2"/>
    <w:rsid w:val="003665CA"/>
    <w:rsid w:val="00366B75"/>
    <w:rsid w:val="00366CFA"/>
    <w:rsid w:val="00366ECB"/>
    <w:rsid w:val="003672E9"/>
    <w:rsid w:val="0036742F"/>
    <w:rsid w:val="003674E8"/>
    <w:rsid w:val="0036754C"/>
    <w:rsid w:val="00367780"/>
    <w:rsid w:val="0036781B"/>
    <w:rsid w:val="00367820"/>
    <w:rsid w:val="00367937"/>
    <w:rsid w:val="00367950"/>
    <w:rsid w:val="00367B75"/>
    <w:rsid w:val="00367FC7"/>
    <w:rsid w:val="00367FD2"/>
    <w:rsid w:val="003702D3"/>
    <w:rsid w:val="0037032A"/>
    <w:rsid w:val="00370789"/>
    <w:rsid w:val="00370A85"/>
    <w:rsid w:val="00370ABA"/>
    <w:rsid w:val="00370BCA"/>
    <w:rsid w:val="00370C22"/>
    <w:rsid w:val="00370CED"/>
    <w:rsid w:val="00370F70"/>
    <w:rsid w:val="003710A4"/>
    <w:rsid w:val="0037113D"/>
    <w:rsid w:val="00371261"/>
    <w:rsid w:val="0037130A"/>
    <w:rsid w:val="00371321"/>
    <w:rsid w:val="003716DB"/>
    <w:rsid w:val="00371720"/>
    <w:rsid w:val="00371E1C"/>
    <w:rsid w:val="00372475"/>
    <w:rsid w:val="003724BE"/>
    <w:rsid w:val="003724FF"/>
    <w:rsid w:val="003725DC"/>
    <w:rsid w:val="00372693"/>
    <w:rsid w:val="0037269D"/>
    <w:rsid w:val="00372945"/>
    <w:rsid w:val="003729AE"/>
    <w:rsid w:val="00372C3E"/>
    <w:rsid w:val="00372DC3"/>
    <w:rsid w:val="0037303C"/>
    <w:rsid w:val="003731DB"/>
    <w:rsid w:val="00373294"/>
    <w:rsid w:val="003733B6"/>
    <w:rsid w:val="003733DD"/>
    <w:rsid w:val="00373895"/>
    <w:rsid w:val="00373A3C"/>
    <w:rsid w:val="00373C05"/>
    <w:rsid w:val="00373F0C"/>
    <w:rsid w:val="00373FA0"/>
    <w:rsid w:val="0037406F"/>
    <w:rsid w:val="003740ED"/>
    <w:rsid w:val="003741E9"/>
    <w:rsid w:val="00374224"/>
    <w:rsid w:val="0037461C"/>
    <w:rsid w:val="003748E7"/>
    <w:rsid w:val="0037497B"/>
    <w:rsid w:val="003749C2"/>
    <w:rsid w:val="00374A46"/>
    <w:rsid w:val="00374C03"/>
    <w:rsid w:val="00374CE3"/>
    <w:rsid w:val="00374D01"/>
    <w:rsid w:val="00374F65"/>
    <w:rsid w:val="00374FE9"/>
    <w:rsid w:val="00374FF3"/>
    <w:rsid w:val="00375061"/>
    <w:rsid w:val="00375069"/>
    <w:rsid w:val="00375462"/>
    <w:rsid w:val="0037552C"/>
    <w:rsid w:val="00375625"/>
    <w:rsid w:val="003756BF"/>
    <w:rsid w:val="003758ED"/>
    <w:rsid w:val="00375AC1"/>
    <w:rsid w:val="00375DC3"/>
    <w:rsid w:val="00375E25"/>
    <w:rsid w:val="00375FC5"/>
    <w:rsid w:val="003760B2"/>
    <w:rsid w:val="00376186"/>
    <w:rsid w:val="00376236"/>
    <w:rsid w:val="00376275"/>
    <w:rsid w:val="003763E7"/>
    <w:rsid w:val="00376BE1"/>
    <w:rsid w:val="00376D74"/>
    <w:rsid w:val="00377145"/>
    <w:rsid w:val="00377352"/>
    <w:rsid w:val="0037742A"/>
    <w:rsid w:val="003775E5"/>
    <w:rsid w:val="003776A5"/>
    <w:rsid w:val="0037777A"/>
    <w:rsid w:val="00377975"/>
    <w:rsid w:val="00377B90"/>
    <w:rsid w:val="00377D60"/>
    <w:rsid w:val="00377D82"/>
    <w:rsid w:val="00377ED4"/>
    <w:rsid w:val="00377EE3"/>
    <w:rsid w:val="00377EED"/>
    <w:rsid w:val="00377FF7"/>
    <w:rsid w:val="0038001B"/>
    <w:rsid w:val="0038001F"/>
    <w:rsid w:val="0038009B"/>
    <w:rsid w:val="003801EE"/>
    <w:rsid w:val="00380318"/>
    <w:rsid w:val="0038039A"/>
    <w:rsid w:val="00380422"/>
    <w:rsid w:val="003804CC"/>
    <w:rsid w:val="00380548"/>
    <w:rsid w:val="003808B5"/>
    <w:rsid w:val="003808D3"/>
    <w:rsid w:val="00380A2B"/>
    <w:rsid w:val="00380A83"/>
    <w:rsid w:val="00380D0B"/>
    <w:rsid w:val="0038100B"/>
    <w:rsid w:val="003810B2"/>
    <w:rsid w:val="00381207"/>
    <w:rsid w:val="00381702"/>
    <w:rsid w:val="00381AB2"/>
    <w:rsid w:val="00381AB6"/>
    <w:rsid w:val="00381AF3"/>
    <w:rsid w:val="00381B97"/>
    <w:rsid w:val="00381C92"/>
    <w:rsid w:val="00381CAF"/>
    <w:rsid w:val="00381CC2"/>
    <w:rsid w:val="00381D97"/>
    <w:rsid w:val="00381F3D"/>
    <w:rsid w:val="00382005"/>
    <w:rsid w:val="00382129"/>
    <w:rsid w:val="00382280"/>
    <w:rsid w:val="003823FE"/>
    <w:rsid w:val="003825EE"/>
    <w:rsid w:val="0038279B"/>
    <w:rsid w:val="003827FA"/>
    <w:rsid w:val="00382875"/>
    <w:rsid w:val="003828A8"/>
    <w:rsid w:val="00382B57"/>
    <w:rsid w:val="00382D24"/>
    <w:rsid w:val="00382E98"/>
    <w:rsid w:val="00382FCA"/>
    <w:rsid w:val="00383251"/>
    <w:rsid w:val="00383310"/>
    <w:rsid w:val="003833AD"/>
    <w:rsid w:val="003836C6"/>
    <w:rsid w:val="00383BDD"/>
    <w:rsid w:val="00383DF8"/>
    <w:rsid w:val="00383EAC"/>
    <w:rsid w:val="00383EE1"/>
    <w:rsid w:val="00384024"/>
    <w:rsid w:val="0038420C"/>
    <w:rsid w:val="003843D4"/>
    <w:rsid w:val="00384414"/>
    <w:rsid w:val="003847D1"/>
    <w:rsid w:val="00384846"/>
    <w:rsid w:val="003848FD"/>
    <w:rsid w:val="00384A85"/>
    <w:rsid w:val="00384B1C"/>
    <w:rsid w:val="00384BA5"/>
    <w:rsid w:val="003853F9"/>
    <w:rsid w:val="0038542C"/>
    <w:rsid w:val="003855B4"/>
    <w:rsid w:val="003855EF"/>
    <w:rsid w:val="003858B7"/>
    <w:rsid w:val="00385CCE"/>
    <w:rsid w:val="00385DA2"/>
    <w:rsid w:val="00385DD6"/>
    <w:rsid w:val="00385FB2"/>
    <w:rsid w:val="003860F3"/>
    <w:rsid w:val="00386168"/>
    <w:rsid w:val="00386357"/>
    <w:rsid w:val="003865FD"/>
    <w:rsid w:val="003868F1"/>
    <w:rsid w:val="00386980"/>
    <w:rsid w:val="003869B9"/>
    <w:rsid w:val="00386ACC"/>
    <w:rsid w:val="00386C9E"/>
    <w:rsid w:val="00386DB6"/>
    <w:rsid w:val="00386DF4"/>
    <w:rsid w:val="003874D2"/>
    <w:rsid w:val="003875DF"/>
    <w:rsid w:val="0038767C"/>
    <w:rsid w:val="003876E9"/>
    <w:rsid w:val="00387777"/>
    <w:rsid w:val="003877AA"/>
    <w:rsid w:val="00387800"/>
    <w:rsid w:val="003878A2"/>
    <w:rsid w:val="00387930"/>
    <w:rsid w:val="00387A27"/>
    <w:rsid w:val="00387AAF"/>
    <w:rsid w:val="00387AE5"/>
    <w:rsid w:val="00387D7A"/>
    <w:rsid w:val="00387EDB"/>
    <w:rsid w:val="00390133"/>
    <w:rsid w:val="003901B6"/>
    <w:rsid w:val="00390211"/>
    <w:rsid w:val="0039041A"/>
    <w:rsid w:val="00390577"/>
    <w:rsid w:val="00390829"/>
    <w:rsid w:val="003908B8"/>
    <w:rsid w:val="003909DD"/>
    <w:rsid w:val="00390AA1"/>
    <w:rsid w:val="00390B87"/>
    <w:rsid w:val="00390BBD"/>
    <w:rsid w:val="00390C80"/>
    <w:rsid w:val="00390E17"/>
    <w:rsid w:val="00390EB5"/>
    <w:rsid w:val="00390FD6"/>
    <w:rsid w:val="00391083"/>
    <w:rsid w:val="00391087"/>
    <w:rsid w:val="0039121C"/>
    <w:rsid w:val="003915B4"/>
    <w:rsid w:val="003915B8"/>
    <w:rsid w:val="003917B3"/>
    <w:rsid w:val="00391899"/>
    <w:rsid w:val="0039190E"/>
    <w:rsid w:val="003919E9"/>
    <w:rsid w:val="00391BC3"/>
    <w:rsid w:val="00391F9D"/>
    <w:rsid w:val="00391FC4"/>
    <w:rsid w:val="003920B7"/>
    <w:rsid w:val="003925CE"/>
    <w:rsid w:val="003926CA"/>
    <w:rsid w:val="003928D6"/>
    <w:rsid w:val="00392981"/>
    <w:rsid w:val="00392AD7"/>
    <w:rsid w:val="00392B63"/>
    <w:rsid w:val="0039305D"/>
    <w:rsid w:val="0039307D"/>
    <w:rsid w:val="003931B9"/>
    <w:rsid w:val="003932C1"/>
    <w:rsid w:val="0039349A"/>
    <w:rsid w:val="0039360A"/>
    <w:rsid w:val="0039370B"/>
    <w:rsid w:val="00393B47"/>
    <w:rsid w:val="00393BE9"/>
    <w:rsid w:val="00393E6D"/>
    <w:rsid w:val="0039459B"/>
    <w:rsid w:val="003945AC"/>
    <w:rsid w:val="003945E0"/>
    <w:rsid w:val="003946FC"/>
    <w:rsid w:val="00394A85"/>
    <w:rsid w:val="00394B00"/>
    <w:rsid w:val="00394B9F"/>
    <w:rsid w:val="00394BD0"/>
    <w:rsid w:val="00394DB6"/>
    <w:rsid w:val="00394DBB"/>
    <w:rsid w:val="003951C4"/>
    <w:rsid w:val="0039558D"/>
    <w:rsid w:val="00395845"/>
    <w:rsid w:val="003958DA"/>
    <w:rsid w:val="00395A5A"/>
    <w:rsid w:val="00395B17"/>
    <w:rsid w:val="00395C79"/>
    <w:rsid w:val="00395CCE"/>
    <w:rsid w:val="00395CDB"/>
    <w:rsid w:val="0039602C"/>
    <w:rsid w:val="003962CC"/>
    <w:rsid w:val="00396307"/>
    <w:rsid w:val="003965F6"/>
    <w:rsid w:val="00396782"/>
    <w:rsid w:val="003967F1"/>
    <w:rsid w:val="00396845"/>
    <w:rsid w:val="00396A0D"/>
    <w:rsid w:val="00396A9A"/>
    <w:rsid w:val="00396D1B"/>
    <w:rsid w:val="00396D90"/>
    <w:rsid w:val="00396E71"/>
    <w:rsid w:val="0039709E"/>
    <w:rsid w:val="003970A7"/>
    <w:rsid w:val="00397322"/>
    <w:rsid w:val="00397677"/>
    <w:rsid w:val="00397A7B"/>
    <w:rsid w:val="00397B49"/>
    <w:rsid w:val="00397D37"/>
    <w:rsid w:val="00397E89"/>
    <w:rsid w:val="003A02AD"/>
    <w:rsid w:val="003A0376"/>
    <w:rsid w:val="003A044F"/>
    <w:rsid w:val="003A0538"/>
    <w:rsid w:val="003A0B61"/>
    <w:rsid w:val="003A0BBF"/>
    <w:rsid w:val="003A0DAC"/>
    <w:rsid w:val="003A0E42"/>
    <w:rsid w:val="003A0EAB"/>
    <w:rsid w:val="003A1037"/>
    <w:rsid w:val="003A11F7"/>
    <w:rsid w:val="003A147D"/>
    <w:rsid w:val="003A14AC"/>
    <w:rsid w:val="003A16A0"/>
    <w:rsid w:val="003A1B9C"/>
    <w:rsid w:val="003A1DE3"/>
    <w:rsid w:val="003A1E95"/>
    <w:rsid w:val="003A20DF"/>
    <w:rsid w:val="003A215D"/>
    <w:rsid w:val="003A21B3"/>
    <w:rsid w:val="003A2207"/>
    <w:rsid w:val="003A22FD"/>
    <w:rsid w:val="003A232E"/>
    <w:rsid w:val="003A2383"/>
    <w:rsid w:val="003A2478"/>
    <w:rsid w:val="003A255B"/>
    <w:rsid w:val="003A2827"/>
    <w:rsid w:val="003A29A9"/>
    <w:rsid w:val="003A29B5"/>
    <w:rsid w:val="003A2EC6"/>
    <w:rsid w:val="003A2F11"/>
    <w:rsid w:val="003A2F4C"/>
    <w:rsid w:val="003A2FE9"/>
    <w:rsid w:val="003A3055"/>
    <w:rsid w:val="003A30E0"/>
    <w:rsid w:val="003A31B1"/>
    <w:rsid w:val="003A32FA"/>
    <w:rsid w:val="003A3326"/>
    <w:rsid w:val="003A33C2"/>
    <w:rsid w:val="003A34A2"/>
    <w:rsid w:val="003A36D4"/>
    <w:rsid w:val="003A3825"/>
    <w:rsid w:val="003A3889"/>
    <w:rsid w:val="003A3A0C"/>
    <w:rsid w:val="003A3C3E"/>
    <w:rsid w:val="003A3E81"/>
    <w:rsid w:val="003A422C"/>
    <w:rsid w:val="003A43B7"/>
    <w:rsid w:val="003A45D7"/>
    <w:rsid w:val="003A47CA"/>
    <w:rsid w:val="003A4902"/>
    <w:rsid w:val="003A49D9"/>
    <w:rsid w:val="003A4B57"/>
    <w:rsid w:val="003A4C90"/>
    <w:rsid w:val="003A4DD3"/>
    <w:rsid w:val="003A4FA5"/>
    <w:rsid w:val="003A51F4"/>
    <w:rsid w:val="003A56AB"/>
    <w:rsid w:val="003A5813"/>
    <w:rsid w:val="003A5867"/>
    <w:rsid w:val="003A593D"/>
    <w:rsid w:val="003A593F"/>
    <w:rsid w:val="003A59D8"/>
    <w:rsid w:val="003A5B9E"/>
    <w:rsid w:val="003A5C68"/>
    <w:rsid w:val="003A5D79"/>
    <w:rsid w:val="003A5D9E"/>
    <w:rsid w:val="003A606A"/>
    <w:rsid w:val="003A62AC"/>
    <w:rsid w:val="003A6482"/>
    <w:rsid w:val="003A655B"/>
    <w:rsid w:val="003A664E"/>
    <w:rsid w:val="003A6662"/>
    <w:rsid w:val="003A6A77"/>
    <w:rsid w:val="003A6B4F"/>
    <w:rsid w:val="003A6D50"/>
    <w:rsid w:val="003A6D8A"/>
    <w:rsid w:val="003A6E85"/>
    <w:rsid w:val="003A6F9C"/>
    <w:rsid w:val="003A6FD2"/>
    <w:rsid w:val="003A703C"/>
    <w:rsid w:val="003A7087"/>
    <w:rsid w:val="003A72A5"/>
    <w:rsid w:val="003A72BC"/>
    <w:rsid w:val="003A7432"/>
    <w:rsid w:val="003A77D4"/>
    <w:rsid w:val="003A796C"/>
    <w:rsid w:val="003A7A5D"/>
    <w:rsid w:val="003A7C1C"/>
    <w:rsid w:val="003A7DCE"/>
    <w:rsid w:val="003A7E34"/>
    <w:rsid w:val="003B0210"/>
    <w:rsid w:val="003B034F"/>
    <w:rsid w:val="003B03A4"/>
    <w:rsid w:val="003B0620"/>
    <w:rsid w:val="003B0CB5"/>
    <w:rsid w:val="003B0E15"/>
    <w:rsid w:val="003B1071"/>
    <w:rsid w:val="003B11B1"/>
    <w:rsid w:val="003B12B2"/>
    <w:rsid w:val="003B13EC"/>
    <w:rsid w:val="003B15CB"/>
    <w:rsid w:val="003B197E"/>
    <w:rsid w:val="003B1E80"/>
    <w:rsid w:val="003B1F5D"/>
    <w:rsid w:val="003B22BF"/>
    <w:rsid w:val="003B256A"/>
    <w:rsid w:val="003B26A7"/>
    <w:rsid w:val="003B275E"/>
    <w:rsid w:val="003B27ED"/>
    <w:rsid w:val="003B2803"/>
    <w:rsid w:val="003B280D"/>
    <w:rsid w:val="003B280F"/>
    <w:rsid w:val="003B2B7F"/>
    <w:rsid w:val="003B2EEC"/>
    <w:rsid w:val="003B2F6E"/>
    <w:rsid w:val="003B31B2"/>
    <w:rsid w:val="003B31E7"/>
    <w:rsid w:val="003B3265"/>
    <w:rsid w:val="003B3A71"/>
    <w:rsid w:val="003B3B64"/>
    <w:rsid w:val="003B3C70"/>
    <w:rsid w:val="003B3E60"/>
    <w:rsid w:val="003B3F4D"/>
    <w:rsid w:val="003B4040"/>
    <w:rsid w:val="003B4310"/>
    <w:rsid w:val="003B44FD"/>
    <w:rsid w:val="003B4667"/>
    <w:rsid w:val="003B4910"/>
    <w:rsid w:val="003B49CD"/>
    <w:rsid w:val="003B4A7B"/>
    <w:rsid w:val="003B4A83"/>
    <w:rsid w:val="003B4AD2"/>
    <w:rsid w:val="003B4BD3"/>
    <w:rsid w:val="003B4C63"/>
    <w:rsid w:val="003B4D04"/>
    <w:rsid w:val="003B4E12"/>
    <w:rsid w:val="003B52A7"/>
    <w:rsid w:val="003B53FA"/>
    <w:rsid w:val="003B55BD"/>
    <w:rsid w:val="003B5619"/>
    <w:rsid w:val="003B59BD"/>
    <w:rsid w:val="003B5B5A"/>
    <w:rsid w:val="003B6018"/>
    <w:rsid w:val="003B6181"/>
    <w:rsid w:val="003B63D0"/>
    <w:rsid w:val="003B650E"/>
    <w:rsid w:val="003B65B9"/>
    <w:rsid w:val="003B65FA"/>
    <w:rsid w:val="003B660A"/>
    <w:rsid w:val="003B66CA"/>
    <w:rsid w:val="003B6778"/>
    <w:rsid w:val="003B67B2"/>
    <w:rsid w:val="003B6955"/>
    <w:rsid w:val="003B69B6"/>
    <w:rsid w:val="003B6B0A"/>
    <w:rsid w:val="003B6BAD"/>
    <w:rsid w:val="003B6BF7"/>
    <w:rsid w:val="003B6C16"/>
    <w:rsid w:val="003B6D84"/>
    <w:rsid w:val="003B6DFE"/>
    <w:rsid w:val="003B71C3"/>
    <w:rsid w:val="003B71E8"/>
    <w:rsid w:val="003B73B8"/>
    <w:rsid w:val="003B73E7"/>
    <w:rsid w:val="003B7430"/>
    <w:rsid w:val="003B744C"/>
    <w:rsid w:val="003B74BC"/>
    <w:rsid w:val="003B75CB"/>
    <w:rsid w:val="003B79A3"/>
    <w:rsid w:val="003B79ED"/>
    <w:rsid w:val="003B7A39"/>
    <w:rsid w:val="003B7BB0"/>
    <w:rsid w:val="003B7F77"/>
    <w:rsid w:val="003C01F3"/>
    <w:rsid w:val="003C03DE"/>
    <w:rsid w:val="003C0513"/>
    <w:rsid w:val="003C0520"/>
    <w:rsid w:val="003C0613"/>
    <w:rsid w:val="003C0794"/>
    <w:rsid w:val="003C07A4"/>
    <w:rsid w:val="003C091A"/>
    <w:rsid w:val="003C0928"/>
    <w:rsid w:val="003C0E38"/>
    <w:rsid w:val="003C106A"/>
    <w:rsid w:val="003C10A0"/>
    <w:rsid w:val="003C10FA"/>
    <w:rsid w:val="003C117D"/>
    <w:rsid w:val="003C1298"/>
    <w:rsid w:val="003C12AD"/>
    <w:rsid w:val="003C136E"/>
    <w:rsid w:val="003C15C8"/>
    <w:rsid w:val="003C1799"/>
    <w:rsid w:val="003C1A55"/>
    <w:rsid w:val="003C1B4E"/>
    <w:rsid w:val="003C1C4F"/>
    <w:rsid w:val="003C1D64"/>
    <w:rsid w:val="003C1E0D"/>
    <w:rsid w:val="003C2213"/>
    <w:rsid w:val="003C2503"/>
    <w:rsid w:val="003C28C3"/>
    <w:rsid w:val="003C28E5"/>
    <w:rsid w:val="003C29C4"/>
    <w:rsid w:val="003C2ADC"/>
    <w:rsid w:val="003C2BA2"/>
    <w:rsid w:val="003C2C94"/>
    <w:rsid w:val="003C2CF9"/>
    <w:rsid w:val="003C2D3C"/>
    <w:rsid w:val="003C2DFA"/>
    <w:rsid w:val="003C355A"/>
    <w:rsid w:val="003C3A15"/>
    <w:rsid w:val="003C3A9A"/>
    <w:rsid w:val="003C3B94"/>
    <w:rsid w:val="003C3EA0"/>
    <w:rsid w:val="003C41F8"/>
    <w:rsid w:val="003C4283"/>
    <w:rsid w:val="003C43E2"/>
    <w:rsid w:val="003C4531"/>
    <w:rsid w:val="003C46C1"/>
    <w:rsid w:val="003C474F"/>
    <w:rsid w:val="003C4880"/>
    <w:rsid w:val="003C4CC2"/>
    <w:rsid w:val="003C4FAE"/>
    <w:rsid w:val="003C549E"/>
    <w:rsid w:val="003C5510"/>
    <w:rsid w:val="003C551D"/>
    <w:rsid w:val="003C55E4"/>
    <w:rsid w:val="003C5791"/>
    <w:rsid w:val="003C598F"/>
    <w:rsid w:val="003C59C5"/>
    <w:rsid w:val="003C5C1A"/>
    <w:rsid w:val="003C5D08"/>
    <w:rsid w:val="003C5D38"/>
    <w:rsid w:val="003C5DB4"/>
    <w:rsid w:val="003C5F25"/>
    <w:rsid w:val="003C5FAF"/>
    <w:rsid w:val="003C5FE3"/>
    <w:rsid w:val="003C6021"/>
    <w:rsid w:val="003C6420"/>
    <w:rsid w:val="003C6911"/>
    <w:rsid w:val="003C6B00"/>
    <w:rsid w:val="003C6C20"/>
    <w:rsid w:val="003C6E2A"/>
    <w:rsid w:val="003C6FE4"/>
    <w:rsid w:val="003C72A6"/>
    <w:rsid w:val="003C73A4"/>
    <w:rsid w:val="003C74F1"/>
    <w:rsid w:val="003C7595"/>
    <w:rsid w:val="003C7636"/>
    <w:rsid w:val="003C78E9"/>
    <w:rsid w:val="003C7A75"/>
    <w:rsid w:val="003C7C10"/>
    <w:rsid w:val="003C7C12"/>
    <w:rsid w:val="003C7C72"/>
    <w:rsid w:val="003C7D1F"/>
    <w:rsid w:val="003D02A5"/>
    <w:rsid w:val="003D03DC"/>
    <w:rsid w:val="003D0496"/>
    <w:rsid w:val="003D0887"/>
    <w:rsid w:val="003D08E3"/>
    <w:rsid w:val="003D0A66"/>
    <w:rsid w:val="003D0BB5"/>
    <w:rsid w:val="003D0CF4"/>
    <w:rsid w:val="003D0FB5"/>
    <w:rsid w:val="003D1093"/>
    <w:rsid w:val="003D1158"/>
    <w:rsid w:val="003D115C"/>
    <w:rsid w:val="003D126B"/>
    <w:rsid w:val="003D13D7"/>
    <w:rsid w:val="003D1413"/>
    <w:rsid w:val="003D1509"/>
    <w:rsid w:val="003D15EB"/>
    <w:rsid w:val="003D1ACE"/>
    <w:rsid w:val="003D1BE8"/>
    <w:rsid w:val="003D1FE2"/>
    <w:rsid w:val="003D2081"/>
    <w:rsid w:val="003D208F"/>
    <w:rsid w:val="003D20A1"/>
    <w:rsid w:val="003D20A3"/>
    <w:rsid w:val="003D20D1"/>
    <w:rsid w:val="003D20F6"/>
    <w:rsid w:val="003D2172"/>
    <w:rsid w:val="003D2280"/>
    <w:rsid w:val="003D23DA"/>
    <w:rsid w:val="003D2498"/>
    <w:rsid w:val="003D28ED"/>
    <w:rsid w:val="003D2A75"/>
    <w:rsid w:val="003D2ABF"/>
    <w:rsid w:val="003D3583"/>
    <w:rsid w:val="003D3787"/>
    <w:rsid w:val="003D379A"/>
    <w:rsid w:val="003D3859"/>
    <w:rsid w:val="003D3DA2"/>
    <w:rsid w:val="003D3E81"/>
    <w:rsid w:val="003D4103"/>
    <w:rsid w:val="003D4155"/>
    <w:rsid w:val="003D41D8"/>
    <w:rsid w:val="003D4230"/>
    <w:rsid w:val="003D4331"/>
    <w:rsid w:val="003D4537"/>
    <w:rsid w:val="003D4581"/>
    <w:rsid w:val="003D45FA"/>
    <w:rsid w:val="003D4711"/>
    <w:rsid w:val="003D4820"/>
    <w:rsid w:val="003D49E3"/>
    <w:rsid w:val="003D4AB6"/>
    <w:rsid w:val="003D4CFC"/>
    <w:rsid w:val="003D4FF2"/>
    <w:rsid w:val="003D543A"/>
    <w:rsid w:val="003D550D"/>
    <w:rsid w:val="003D56F5"/>
    <w:rsid w:val="003D5906"/>
    <w:rsid w:val="003D5AB4"/>
    <w:rsid w:val="003D5F08"/>
    <w:rsid w:val="003D5F12"/>
    <w:rsid w:val="003D5F6A"/>
    <w:rsid w:val="003D6070"/>
    <w:rsid w:val="003D6190"/>
    <w:rsid w:val="003D661F"/>
    <w:rsid w:val="003D674B"/>
    <w:rsid w:val="003D6BE8"/>
    <w:rsid w:val="003D6C9A"/>
    <w:rsid w:val="003D6CBC"/>
    <w:rsid w:val="003D6CCF"/>
    <w:rsid w:val="003D6ECF"/>
    <w:rsid w:val="003D6EF5"/>
    <w:rsid w:val="003D7139"/>
    <w:rsid w:val="003D726B"/>
    <w:rsid w:val="003D739C"/>
    <w:rsid w:val="003D7419"/>
    <w:rsid w:val="003D7671"/>
    <w:rsid w:val="003D773F"/>
    <w:rsid w:val="003D7791"/>
    <w:rsid w:val="003D781C"/>
    <w:rsid w:val="003D790F"/>
    <w:rsid w:val="003D7BE9"/>
    <w:rsid w:val="003D7C68"/>
    <w:rsid w:val="003D7C6D"/>
    <w:rsid w:val="003D7CF7"/>
    <w:rsid w:val="003D7D78"/>
    <w:rsid w:val="003D7EBF"/>
    <w:rsid w:val="003D7ED5"/>
    <w:rsid w:val="003E009C"/>
    <w:rsid w:val="003E00CF"/>
    <w:rsid w:val="003E017C"/>
    <w:rsid w:val="003E01C0"/>
    <w:rsid w:val="003E022B"/>
    <w:rsid w:val="003E0399"/>
    <w:rsid w:val="003E03F9"/>
    <w:rsid w:val="003E04AF"/>
    <w:rsid w:val="003E04FC"/>
    <w:rsid w:val="003E082A"/>
    <w:rsid w:val="003E09D4"/>
    <w:rsid w:val="003E09EB"/>
    <w:rsid w:val="003E0A58"/>
    <w:rsid w:val="003E0E3D"/>
    <w:rsid w:val="003E0F7C"/>
    <w:rsid w:val="003E1048"/>
    <w:rsid w:val="003E149B"/>
    <w:rsid w:val="003E14A0"/>
    <w:rsid w:val="003E16DD"/>
    <w:rsid w:val="003E176D"/>
    <w:rsid w:val="003E194E"/>
    <w:rsid w:val="003E1A80"/>
    <w:rsid w:val="003E1D69"/>
    <w:rsid w:val="003E1E92"/>
    <w:rsid w:val="003E1FC9"/>
    <w:rsid w:val="003E20BE"/>
    <w:rsid w:val="003E2126"/>
    <w:rsid w:val="003E2157"/>
    <w:rsid w:val="003E2268"/>
    <w:rsid w:val="003E2380"/>
    <w:rsid w:val="003E24A8"/>
    <w:rsid w:val="003E268F"/>
    <w:rsid w:val="003E26C0"/>
    <w:rsid w:val="003E285D"/>
    <w:rsid w:val="003E2A49"/>
    <w:rsid w:val="003E2A88"/>
    <w:rsid w:val="003E2A8F"/>
    <w:rsid w:val="003E2D2E"/>
    <w:rsid w:val="003E2D33"/>
    <w:rsid w:val="003E2DE9"/>
    <w:rsid w:val="003E2EEE"/>
    <w:rsid w:val="003E3267"/>
    <w:rsid w:val="003E327D"/>
    <w:rsid w:val="003E32FD"/>
    <w:rsid w:val="003E33BD"/>
    <w:rsid w:val="003E33EC"/>
    <w:rsid w:val="003E3476"/>
    <w:rsid w:val="003E3538"/>
    <w:rsid w:val="003E353F"/>
    <w:rsid w:val="003E356D"/>
    <w:rsid w:val="003E35AF"/>
    <w:rsid w:val="003E370B"/>
    <w:rsid w:val="003E3830"/>
    <w:rsid w:val="003E38A3"/>
    <w:rsid w:val="003E38E8"/>
    <w:rsid w:val="003E3AB0"/>
    <w:rsid w:val="003E3D34"/>
    <w:rsid w:val="003E3D65"/>
    <w:rsid w:val="003E40D2"/>
    <w:rsid w:val="003E42EF"/>
    <w:rsid w:val="003E4362"/>
    <w:rsid w:val="003E46DA"/>
    <w:rsid w:val="003E494E"/>
    <w:rsid w:val="003E49EC"/>
    <w:rsid w:val="003E4F1D"/>
    <w:rsid w:val="003E4FE0"/>
    <w:rsid w:val="003E5011"/>
    <w:rsid w:val="003E52E9"/>
    <w:rsid w:val="003E5391"/>
    <w:rsid w:val="003E540B"/>
    <w:rsid w:val="003E54D6"/>
    <w:rsid w:val="003E553F"/>
    <w:rsid w:val="003E5876"/>
    <w:rsid w:val="003E5A4F"/>
    <w:rsid w:val="003E5B19"/>
    <w:rsid w:val="003E5B4D"/>
    <w:rsid w:val="003E6048"/>
    <w:rsid w:val="003E60AA"/>
    <w:rsid w:val="003E63C4"/>
    <w:rsid w:val="003E646D"/>
    <w:rsid w:val="003E647A"/>
    <w:rsid w:val="003E6605"/>
    <w:rsid w:val="003E6799"/>
    <w:rsid w:val="003E6891"/>
    <w:rsid w:val="003E6A89"/>
    <w:rsid w:val="003E6C14"/>
    <w:rsid w:val="003E6D98"/>
    <w:rsid w:val="003E6DB3"/>
    <w:rsid w:val="003E6EA5"/>
    <w:rsid w:val="003E6F1A"/>
    <w:rsid w:val="003E71C3"/>
    <w:rsid w:val="003E7382"/>
    <w:rsid w:val="003E79CC"/>
    <w:rsid w:val="003E7F03"/>
    <w:rsid w:val="003F00C6"/>
    <w:rsid w:val="003F0288"/>
    <w:rsid w:val="003F04C4"/>
    <w:rsid w:val="003F050D"/>
    <w:rsid w:val="003F0529"/>
    <w:rsid w:val="003F0BCE"/>
    <w:rsid w:val="003F0C0A"/>
    <w:rsid w:val="003F1227"/>
    <w:rsid w:val="003F1252"/>
    <w:rsid w:val="003F1347"/>
    <w:rsid w:val="003F15C8"/>
    <w:rsid w:val="003F1CB3"/>
    <w:rsid w:val="003F1CD7"/>
    <w:rsid w:val="003F1CF9"/>
    <w:rsid w:val="003F1FC0"/>
    <w:rsid w:val="003F21E3"/>
    <w:rsid w:val="003F2488"/>
    <w:rsid w:val="003F295D"/>
    <w:rsid w:val="003F2E41"/>
    <w:rsid w:val="003F2F1A"/>
    <w:rsid w:val="003F31F8"/>
    <w:rsid w:val="003F3224"/>
    <w:rsid w:val="003F3599"/>
    <w:rsid w:val="003F3859"/>
    <w:rsid w:val="003F3A32"/>
    <w:rsid w:val="003F3BBA"/>
    <w:rsid w:val="003F3DEC"/>
    <w:rsid w:val="003F40E2"/>
    <w:rsid w:val="003F4128"/>
    <w:rsid w:val="003F4463"/>
    <w:rsid w:val="003F4641"/>
    <w:rsid w:val="003F4A74"/>
    <w:rsid w:val="003F5076"/>
    <w:rsid w:val="003F509B"/>
    <w:rsid w:val="003F5178"/>
    <w:rsid w:val="003F52E0"/>
    <w:rsid w:val="003F561E"/>
    <w:rsid w:val="003F5716"/>
    <w:rsid w:val="003F5983"/>
    <w:rsid w:val="003F5BBB"/>
    <w:rsid w:val="003F5BBD"/>
    <w:rsid w:val="003F5BE7"/>
    <w:rsid w:val="003F5F26"/>
    <w:rsid w:val="003F5FB3"/>
    <w:rsid w:val="003F61F3"/>
    <w:rsid w:val="003F634B"/>
    <w:rsid w:val="003F6362"/>
    <w:rsid w:val="003F6536"/>
    <w:rsid w:val="003F65B9"/>
    <w:rsid w:val="003F6AC7"/>
    <w:rsid w:val="003F6C7D"/>
    <w:rsid w:val="003F6C8D"/>
    <w:rsid w:val="003F6E32"/>
    <w:rsid w:val="003F6E92"/>
    <w:rsid w:val="003F70B6"/>
    <w:rsid w:val="003F7287"/>
    <w:rsid w:val="003F7541"/>
    <w:rsid w:val="003F782A"/>
    <w:rsid w:val="003F79E9"/>
    <w:rsid w:val="003F7B5A"/>
    <w:rsid w:val="003F7CFC"/>
    <w:rsid w:val="003F7DBF"/>
    <w:rsid w:val="003F7DD5"/>
    <w:rsid w:val="003F7FC4"/>
    <w:rsid w:val="003FF61A"/>
    <w:rsid w:val="0040004F"/>
    <w:rsid w:val="0040024F"/>
    <w:rsid w:val="004002C2"/>
    <w:rsid w:val="0040048B"/>
    <w:rsid w:val="0040096C"/>
    <w:rsid w:val="00400A34"/>
    <w:rsid w:val="00400AD7"/>
    <w:rsid w:val="00400B97"/>
    <w:rsid w:val="00400DC6"/>
    <w:rsid w:val="00401076"/>
    <w:rsid w:val="00401200"/>
    <w:rsid w:val="004012DF"/>
    <w:rsid w:val="004013F4"/>
    <w:rsid w:val="00401729"/>
    <w:rsid w:val="00401892"/>
    <w:rsid w:val="00401895"/>
    <w:rsid w:val="00401898"/>
    <w:rsid w:val="004018D5"/>
    <w:rsid w:val="00401DAE"/>
    <w:rsid w:val="00401E1A"/>
    <w:rsid w:val="00401E4C"/>
    <w:rsid w:val="0040206B"/>
    <w:rsid w:val="00402132"/>
    <w:rsid w:val="0040213C"/>
    <w:rsid w:val="004021EC"/>
    <w:rsid w:val="00402203"/>
    <w:rsid w:val="0040240E"/>
    <w:rsid w:val="004025E1"/>
    <w:rsid w:val="004029BC"/>
    <w:rsid w:val="00402C1B"/>
    <w:rsid w:val="00402F1B"/>
    <w:rsid w:val="00402F47"/>
    <w:rsid w:val="00402F59"/>
    <w:rsid w:val="0040321A"/>
    <w:rsid w:val="00403282"/>
    <w:rsid w:val="004033E7"/>
    <w:rsid w:val="00403467"/>
    <w:rsid w:val="00403F8E"/>
    <w:rsid w:val="00404078"/>
    <w:rsid w:val="004040D2"/>
    <w:rsid w:val="00404220"/>
    <w:rsid w:val="00404319"/>
    <w:rsid w:val="00404384"/>
    <w:rsid w:val="00404434"/>
    <w:rsid w:val="0040444E"/>
    <w:rsid w:val="0040461D"/>
    <w:rsid w:val="004046D8"/>
    <w:rsid w:val="00404854"/>
    <w:rsid w:val="00404B75"/>
    <w:rsid w:val="00404CCC"/>
    <w:rsid w:val="00404D0E"/>
    <w:rsid w:val="00404D5C"/>
    <w:rsid w:val="00404DB9"/>
    <w:rsid w:val="00404FEE"/>
    <w:rsid w:val="004050FE"/>
    <w:rsid w:val="0040519C"/>
    <w:rsid w:val="0040520D"/>
    <w:rsid w:val="004052DE"/>
    <w:rsid w:val="004052EA"/>
    <w:rsid w:val="00405364"/>
    <w:rsid w:val="0040537B"/>
    <w:rsid w:val="00405624"/>
    <w:rsid w:val="004056A5"/>
    <w:rsid w:val="004058CA"/>
    <w:rsid w:val="00405CC0"/>
    <w:rsid w:val="00405D30"/>
    <w:rsid w:val="00405EDA"/>
    <w:rsid w:val="004061C6"/>
    <w:rsid w:val="00406241"/>
    <w:rsid w:val="0040668A"/>
    <w:rsid w:val="00406752"/>
    <w:rsid w:val="0040695E"/>
    <w:rsid w:val="004069E4"/>
    <w:rsid w:val="00406C3F"/>
    <w:rsid w:val="00406DCF"/>
    <w:rsid w:val="00406DF0"/>
    <w:rsid w:val="004070D8"/>
    <w:rsid w:val="0040716C"/>
    <w:rsid w:val="004071A2"/>
    <w:rsid w:val="004071AF"/>
    <w:rsid w:val="004071B3"/>
    <w:rsid w:val="004071E5"/>
    <w:rsid w:val="004072FE"/>
    <w:rsid w:val="0040733D"/>
    <w:rsid w:val="004073BA"/>
    <w:rsid w:val="00407460"/>
    <w:rsid w:val="0040753B"/>
    <w:rsid w:val="0040793D"/>
    <w:rsid w:val="00407951"/>
    <w:rsid w:val="00407A40"/>
    <w:rsid w:val="00407C43"/>
    <w:rsid w:val="00407C62"/>
    <w:rsid w:val="00407DAC"/>
    <w:rsid w:val="00407E41"/>
    <w:rsid w:val="00407F2A"/>
    <w:rsid w:val="00407FE5"/>
    <w:rsid w:val="00410403"/>
    <w:rsid w:val="0041049F"/>
    <w:rsid w:val="0041058B"/>
    <w:rsid w:val="004105E6"/>
    <w:rsid w:val="004106A7"/>
    <w:rsid w:val="0041070F"/>
    <w:rsid w:val="00410757"/>
    <w:rsid w:val="00410866"/>
    <w:rsid w:val="00410E0E"/>
    <w:rsid w:val="00410F21"/>
    <w:rsid w:val="00411161"/>
    <w:rsid w:val="004112DB"/>
    <w:rsid w:val="004114A9"/>
    <w:rsid w:val="004114EF"/>
    <w:rsid w:val="00411575"/>
    <w:rsid w:val="00411732"/>
    <w:rsid w:val="004117EF"/>
    <w:rsid w:val="00411AB2"/>
    <w:rsid w:val="00411C3E"/>
    <w:rsid w:val="00411C85"/>
    <w:rsid w:val="00411CA1"/>
    <w:rsid w:val="004120B7"/>
    <w:rsid w:val="00412155"/>
    <w:rsid w:val="0041224D"/>
    <w:rsid w:val="0041247C"/>
    <w:rsid w:val="00412486"/>
    <w:rsid w:val="004125E7"/>
    <w:rsid w:val="004129FA"/>
    <w:rsid w:val="00412EDA"/>
    <w:rsid w:val="00412EF7"/>
    <w:rsid w:val="0041308E"/>
    <w:rsid w:val="004132C2"/>
    <w:rsid w:val="004134E4"/>
    <w:rsid w:val="00413837"/>
    <w:rsid w:val="0041390D"/>
    <w:rsid w:val="00413B46"/>
    <w:rsid w:val="00413D41"/>
    <w:rsid w:val="00413DCB"/>
    <w:rsid w:val="00413E29"/>
    <w:rsid w:val="00413E70"/>
    <w:rsid w:val="004141E3"/>
    <w:rsid w:val="0041437D"/>
    <w:rsid w:val="00414517"/>
    <w:rsid w:val="0041459B"/>
    <w:rsid w:val="004145AF"/>
    <w:rsid w:val="00414873"/>
    <w:rsid w:val="00414AD0"/>
    <w:rsid w:val="00414C1D"/>
    <w:rsid w:val="00414C6C"/>
    <w:rsid w:val="00414C8F"/>
    <w:rsid w:val="00414C95"/>
    <w:rsid w:val="00414CE5"/>
    <w:rsid w:val="00414E31"/>
    <w:rsid w:val="00414E93"/>
    <w:rsid w:val="00414F75"/>
    <w:rsid w:val="00415016"/>
    <w:rsid w:val="004150D0"/>
    <w:rsid w:val="004151D5"/>
    <w:rsid w:val="0041530D"/>
    <w:rsid w:val="0041567D"/>
    <w:rsid w:val="004157D4"/>
    <w:rsid w:val="00415955"/>
    <w:rsid w:val="004159F0"/>
    <w:rsid w:val="00415A68"/>
    <w:rsid w:val="00415EA5"/>
    <w:rsid w:val="00415EAA"/>
    <w:rsid w:val="00416084"/>
    <w:rsid w:val="004160AF"/>
    <w:rsid w:val="00416150"/>
    <w:rsid w:val="00416186"/>
    <w:rsid w:val="00416355"/>
    <w:rsid w:val="0041665E"/>
    <w:rsid w:val="004167A7"/>
    <w:rsid w:val="004169BE"/>
    <w:rsid w:val="004169F8"/>
    <w:rsid w:val="00416B41"/>
    <w:rsid w:val="00416B5B"/>
    <w:rsid w:val="00416C0B"/>
    <w:rsid w:val="00416C27"/>
    <w:rsid w:val="00416D5E"/>
    <w:rsid w:val="00416DA3"/>
    <w:rsid w:val="00416E66"/>
    <w:rsid w:val="00416E71"/>
    <w:rsid w:val="00416F31"/>
    <w:rsid w:val="004170E3"/>
    <w:rsid w:val="0041711D"/>
    <w:rsid w:val="00417129"/>
    <w:rsid w:val="0041720C"/>
    <w:rsid w:val="00417300"/>
    <w:rsid w:val="004173B8"/>
    <w:rsid w:val="00417613"/>
    <w:rsid w:val="0041769E"/>
    <w:rsid w:val="004176CB"/>
    <w:rsid w:val="00417A08"/>
    <w:rsid w:val="00417D95"/>
    <w:rsid w:val="00417E1E"/>
    <w:rsid w:val="00417EA1"/>
    <w:rsid w:val="0042053B"/>
    <w:rsid w:val="0042059F"/>
    <w:rsid w:val="004206F1"/>
    <w:rsid w:val="004208EB"/>
    <w:rsid w:val="0042093C"/>
    <w:rsid w:val="004209DE"/>
    <w:rsid w:val="00420BB1"/>
    <w:rsid w:val="00420BC8"/>
    <w:rsid w:val="00420D88"/>
    <w:rsid w:val="00420D8A"/>
    <w:rsid w:val="00420F4A"/>
    <w:rsid w:val="00420F9F"/>
    <w:rsid w:val="00420FEE"/>
    <w:rsid w:val="004210F9"/>
    <w:rsid w:val="004211B4"/>
    <w:rsid w:val="00421421"/>
    <w:rsid w:val="0042142B"/>
    <w:rsid w:val="0042150F"/>
    <w:rsid w:val="00421563"/>
    <w:rsid w:val="0042163E"/>
    <w:rsid w:val="00421AC3"/>
    <w:rsid w:val="00421BC0"/>
    <w:rsid w:val="00421C6D"/>
    <w:rsid w:val="00421C79"/>
    <w:rsid w:val="0042216F"/>
    <w:rsid w:val="00422273"/>
    <w:rsid w:val="0042230F"/>
    <w:rsid w:val="0042234A"/>
    <w:rsid w:val="00422484"/>
    <w:rsid w:val="00422495"/>
    <w:rsid w:val="00422924"/>
    <w:rsid w:val="00422A8C"/>
    <w:rsid w:val="00422CF6"/>
    <w:rsid w:val="00422E70"/>
    <w:rsid w:val="00422E73"/>
    <w:rsid w:val="00422E88"/>
    <w:rsid w:val="00422FF0"/>
    <w:rsid w:val="00423053"/>
    <w:rsid w:val="00423468"/>
    <w:rsid w:val="004234D7"/>
    <w:rsid w:val="004235BA"/>
    <w:rsid w:val="00423646"/>
    <w:rsid w:val="004237B4"/>
    <w:rsid w:val="004238DA"/>
    <w:rsid w:val="004239F8"/>
    <w:rsid w:val="00423AE1"/>
    <w:rsid w:val="00423BCC"/>
    <w:rsid w:val="00423C17"/>
    <w:rsid w:val="00423CF5"/>
    <w:rsid w:val="00423D74"/>
    <w:rsid w:val="00423E0C"/>
    <w:rsid w:val="00423F02"/>
    <w:rsid w:val="00423F4D"/>
    <w:rsid w:val="00424859"/>
    <w:rsid w:val="00424862"/>
    <w:rsid w:val="0042489E"/>
    <w:rsid w:val="00424A03"/>
    <w:rsid w:val="00424A32"/>
    <w:rsid w:val="00424AE5"/>
    <w:rsid w:val="00424B9E"/>
    <w:rsid w:val="00424EF7"/>
    <w:rsid w:val="00424FBF"/>
    <w:rsid w:val="004254B7"/>
    <w:rsid w:val="00425500"/>
    <w:rsid w:val="00425936"/>
    <w:rsid w:val="00425A6C"/>
    <w:rsid w:val="00425A8C"/>
    <w:rsid w:val="00425BC3"/>
    <w:rsid w:val="00425DE5"/>
    <w:rsid w:val="00425EDC"/>
    <w:rsid w:val="0042623A"/>
    <w:rsid w:val="004263CB"/>
    <w:rsid w:val="00426407"/>
    <w:rsid w:val="004267E3"/>
    <w:rsid w:val="0042680A"/>
    <w:rsid w:val="00426939"/>
    <w:rsid w:val="00426D4F"/>
    <w:rsid w:val="00426DA9"/>
    <w:rsid w:val="00426FBC"/>
    <w:rsid w:val="0042713E"/>
    <w:rsid w:val="004272A2"/>
    <w:rsid w:val="00427384"/>
    <w:rsid w:val="004273BD"/>
    <w:rsid w:val="004275D0"/>
    <w:rsid w:val="00427805"/>
    <w:rsid w:val="00427822"/>
    <w:rsid w:val="00427A7D"/>
    <w:rsid w:val="00427C3A"/>
    <w:rsid w:val="00427D6C"/>
    <w:rsid w:val="00427F3B"/>
    <w:rsid w:val="00430189"/>
    <w:rsid w:val="0043026F"/>
    <w:rsid w:val="00430433"/>
    <w:rsid w:val="0043076D"/>
    <w:rsid w:val="004309B7"/>
    <w:rsid w:val="00430AA2"/>
    <w:rsid w:val="00430BD9"/>
    <w:rsid w:val="00430D1E"/>
    <w:rsid w:val="00430F57"/>
    <w:rsid w:val="00430FEA"/>
    <w:rsid w:val="00430FF9"/>
    <w:rsid w:val="00431034"/>
    <w:rsid w:val="004310D5"/>
    <w:rsid w:val="00431163"/>
    <w:rsid w:val="004313B3"/>
    <w:rsid w:val="004313E1"/>
    <w:rsid w:val="004315FC"/>
    <w:rsid w:val="0043163D"/>
    <w:rsid w:val="00431AED"/>
    <w:rsid w:val="00431B14"/>
    <w:rsid w:val="00431D9F"/>
    <w:rsid w:val="00431DF2"/>
    <w:rsid w:val="00431F4E"/>
    <w:rsid w:val="004323AF"/>
    <w:rsid w:val="004323F6"/>
    <w:rsid w:val="004326EC"/>
    <w:rsid w:val="00432795"/>
    <w:rsid w:val="0043279C"/>
    <w:rsid w:val="00432817"/>
    <w:rsid w:val="00432842"/>
    <w:rsid w:val="00432C3C"/>
    <w:rsid w:val="004330F6"/>
    <w:rsid w:val="00433156"/>
    <w:rsid w:val="00433452"/>
    <w:rsid w:val="004335A8"/>
    <w:rsid w:val="0043362E"/>
    <w:rsid w:val="00433740"/>
    <w:rsid w:val="00433855"/>
    <w:rsid w:val="004338A5"/>
    <w:rsid w:val="004338D5"/>
    <w:rsid w:val="004339B2"/>
    <w:rsid w:val="00433A8A"/>
    <w:rsid w:val="00433BF2"/>
    <w:rsid w:val="00433E2E"/>
    <w:rsid w:val="00433EA3"/>
    <w:rsid w:val="00433EC7"/>
    <w:rsid w:val="00434073"/>
    <w:rsid w:val="004340B3"/>
    <w:rsid w:val="00434196"/>
    <w:rsid w:val="00434237"/>
    <w:rsid w:val="004343A7"/>
    <w:rsid w:val="004345EF"/>
    <w:rsid w:val="00434824"/>
    <w:rsid w:val="004348C4"/>
    <w:rsid w:val="00434DAB"/>
    <w:rsid w:val="0043539E"/>
    <w:rsid w:val="004353A0"/>
    <w:rsid w:val="0043543C"/>
    <w:rsid w:val="00435476"/>
    <w:rsid w:val="0043560D"/>
    <w:rsid w:val="00435801"/>
    <w:rsid w:val="0043591C"/>
    <w:rsid w:val="00435986"/>
    <w:rsid w:val="00435C87"/>
    <w:rsid w:val="00435FBA"/>
    <w:rsid w:val="00436354"/>
    <w:rsid w:val="004364E4"/>
    <w:rsid w:val="00436667"/>
    <w:rsid w:val="00436727"/>
    <w:rsid w:val="004367DB"/>
    <w:rsid w:val="0043685B"/>
    <w:rsid w:val="00436A98"/>
    <w:rsid w:val="00437087"/>
    <w:rsid w:val="004372AA"/>
    <w:rsid w:val="004375B9"/>
    <w:rsid w:val="004375FB"/>
    <w:rsid w:val="00437698"/>
    <w:rsid w:val="00437758"/>
    <w:rsid w:val="00437850"/>
    <w:rsid w:val="00437A50"/>
    <w:rsid w:val="00437B5D"/>
    <w:rsid w:val="00437C22"/>
    <w:rsid w:val="00437C8D"/>
    <w:rsid w:val="00437CF8"/>
    <w:rsid w:val="00437D33"/>
    <w:rsid w:val="00437E47"/>
    <w:rsid w:val="00437F6F"/>
    <w:rsid w:val="004400A3"/>
    <w:rsid w:val="004400B0"/>
    <w:rsid w:val="0044012E"/>
    <w:rsid w:val="004402D6"/>
    <w:rsid w:val="00440465"/>
    <w:rsid w:val="00440480"/>
    <w:rsid w:val="004406C5"/>
    <w:rsid w:val="00440A37"/>
    <w:rsid w:val="00440B9A"/>
    <w:rsid w:val="00440BFC"/>
    <w:rsid w:val="00440EB2"/>
    <w:rsid w:val="00440EE4"/>
    <w:rsid w:val="00440EF9"/>
    <w:rsid w:val="00440F3D"/>
    <w:rsid w:val="004410F7"/>
    <w:rsid w:val="004414E1"/>
    <w:rsid w:val="00441683"/>
    <w:rsid w:val="004417ED"/>
    <w:rsid w:val="00441B10"/>
    <w:rsid w:val="00442033"/>
    <w:rsid w:val="004421A2"/>
    <w:rsid w:val="004422DF"/>
    <w:rsid w:val="004422EE"/>
    <w:rsid w:val="004423C1"/>
    <w:rsid w:val="004423D0"/>
    <w:rsid w:val="00442426"/>
    <w:rsid w:val="004426C2"/>
    <w:rsid w:val="0044282C"/>
    <w:rsid w:val="004429C4"/>
    <w:rsid w:val="00442A37"/>
    <w:rsid w:val="00442A88"/>
    <w:rsid w:val="00442B68"/>
    <w:rsid w:val="00442C31"/>
    <w:rsid w:val="00442C47"/>
    <w:rsid w:val="00442D1D"/>
    <w:rsid w:val="00442D6A"/>
    <w:rsid w:val="00442DE2"/>
    <w:rsid w:val="00442EC1"/>
    <w:rsid w:val="00442EF4"/>
    <w:rsid w:val="004432BE"/>
    <w:rsid w:val="00443320"/>
    <w:rsid w:val="0044354B"/>
    <w:rsid w:val="00443558"/>
    <w:rsid w:val="00443685"/>
    <w:rsid w:val="00443B3F"/>
    <w:rsid w:val="00443CE3"/>
    <w:rsid w:val="00444055"/>
    <w:rsid w:val="00444168"/>
    <w:rsid w:val="004445FE"/>
    <w:rsid w:val="0044461E"/>
    <w:rsid w:val="00444BF3"/>
    <w:rsid w:val="00444CD8"/>
    <w:rsid w:val="00444D59"/>
    <w:rsid w:val="00444DFA"/>
    <w:rsid w:val="00444E65"/>
    <w:rsid w:val="00444FC8"/>
    <w:rsid w:val="00444FEB"/>
    <w:rsid w:val="00445596"/>
    <w:rsid w:val="004455FA"/>
    <w:rsid w:val="00445690"/>
    <w:rsid w:val="00445A08"/>
    <w:rsid w:val="00445ACB"/>
    <w:rsid w:val="00445B64"/>
    <w:rsid w:val="00445C0B"/>
    <w:rsid w:val="00445C5D"/>
    <w:rsid w:val="00445D06"/>
    <w:rsid w:val="00445DD6"/>
    <w:rsid w:val="00445E09"/>
    <w:rsid w:val="0044614C"/>
    <w:rsid w:val="00446250"/>
    <w:rsid w:val="00446304"/>
    <w:rsid w:val="00446367"/>
    <w:rsid w:val="004463D7"/>
    <w:rsid w:val="0044645F"/>
    <w:rsid w:val="00446483"/>
    <w:rsid w:val="0044677E"/>
    <w:rsid w:val="0044689A"/>
    <w:rsid w:val="004468E1"/>
    <w:rsid w:val="00446995"/>
    <w:rsid w:val="004469C3"/>
    <w:rsid w:val="00446A26"/>
    <w:rsid w:val="00446D3B"/>
    <w:rsid w:val="00446FD3"/>
    <w:rsid w:val="004470BE"/>
    <w:rsid w:val="004471B1"/>
    <w:rsid w:val="00447650"/>
    <w:rsid w:val="00447699"/>
    <w:rsid w:val="00447895"/>
    <w:rsid w:val="004479AB"/>
    <w:rsid w:val="004479DB"/>
    <w:rsid w:val="00447A93"/>
    <w:rsid w:val="00447FF2"/>
    <w:rsid w:val="00450192"/>
    <w:rsid w:val="00450254"/>
    <w:rsid w:val="004502CB"/>
    <w:rsid w:val="0045032E"/>
    <w:rsid w:val="00450499"/>
    <w:rsid w:val="00450526"/>
    <w:rsid w:val="0045062B"/>
    <w:rsid w:val="004507A7"/>
    <w:rsid w:val="00450A83"/>
    <w:rsid w:val="00450AA4"/>
    <w:rsid w:val="00450B02"/>
    <w:rsid w:val="00450BC1"/>
    <w:rsid w:val="00450C46"/>
    <w:rsid w:val="00450EC9"/>
    <w:rsid w:val="00450F47"/>
    <w:rsid w:val="00451159"/>
    <w:rsid w:val="00451213"/>
    <w:rsid w:val="0045128D"/>
    <w:rsid w:val="004513C7"/>
    <w:rsid w:val="00451482"/>
    <w:rsid w:val="00451627"/>
    <w:rsid w:val="00451B35"/>
    <w:rsid w:val="00451C1D"/>
    <w:rsid w:val="00451C5F"/>
    <w:rsid w:val="00451E00"/>
    <w:rsid w:val="0045204F"/>
    <w:rsid w:val="004520AE"/>
    <w:rsid w:val="004520C5"/>
    <w:rsid w:val="0045221C"/>
    <w:rsid w:val="004522D0"/>
    <w:rsid w:val="004524EC"/>
    <w:rsid w:val="004525FC"/>
    <w:rsid w:val="00452649"/>
    <w:rsid w:val="004528A5"/>
    <w:rsid w:val="00452960"/>
    <w:rsid w:val="00452A12"/>
    <w:rsid w:val="00452A5D"/>
    <w:rsid w:val="00452C83"/>
    <w:rsid w:val="00452D57"/>
    <w:rsid w:val="00452F91"/>
    <w:rsid w:val="00453114"/>
    <w:rsid w:val="00453252"/>
    <w:rsid w:val="004532F6"/>
    <w:rsid w:val="0045338F"/>
    <w:rsid w:val="0045340E"/>
    <w:rsid w:val="00453699"/>
    <w:rsid w:val="0045369E"/>
    <w:rsid w:val="004537DC"/>
    <w:rsid w:val="004537E8"/>
    <w:rsid w:val="004538B5"/>
    <w:rsid w:val="00453973"/>
    <w:rsid w:val="00453A1C"/>
    <w:rsid w:val="00453A2E"/>
    <w:rsid w:val="00453B7B"/>
    <w:rsid w:val="00453DF8"/>
    <w:rsid w:val="00453F94"/>
    <w:rsid w:val="004543D1"/>
    <w:rsid w:val="004544B0"/>
    <w:rsid w:val="004544E5"/>
    <w:rsid w:val="0045451C"/>
    <w:rsid w:val="0045457B"/>
    <w:rsid w:val="004546F1"/>
    <w:rsid w:val="0045477C"/>
    <w:rsid w:val="00454BC6"/>
    <w:rsid w:val="00454D15"/>
    <w:rsid w:val="00454DD9"/>
    <w:rsid w:val="00454F38"/>
    <w:rsid w:val="00455015"/>
    <w:rsid w:val="0045511C"/>
    <w:rsid w:val="004552F6"/>
    <w:rsid w:val="0045549C"/>
    <w:rsid w:val="0045577B"/>
    <w:rsid w:val="004557D4"/>
    <w:rsid w:val="00455A2E"/>
    <w:rsid w:val="00455B85"/>
    <w:rsid w:val="00455F53"/>
    <w:rsid w:val="00455FDA"/>
    <w:rsid w:val="00456093"/>
    <w:rsid w:val="00456263"/>
    <w:rsid w:val="00456365"/>
    <w:rsid w:val="004566A8"/>
    <w:rsid w:val="004566EF"/>
    <w:rsid w:val="00456B5D"/>
    <w:rsid w:val="00456DD3"/>
    <w:rsid w:val="00456E84"/>
    <w:rsid w:val="00456EED"/>
    <w:rsid w:val="004572D3"/>
    <w:rsid w:val="00457320"/>
    <w:rsid w:val="00457341"/>
    <w:rsid w:val="00457347"/>
    <w:rsid w:val="00457385"/>
    <w:rsid w:val="00457420"/>
    <w:rsid w:val="004574AE"/>
    <w:rsid w:val="00457610"/>
    <w:rsid w:val="00457657"/>
    <w:rsid w:val="004576CB"/>
    <w:rsid w:val="00457860"/>
    <w:rsid w:val="00457876"/>
    <w:rsid w:val="00457CDA"/>
    <w:rsid w:val="00457D09"/>
    <w:rsid w:val="00457E12"/>
    <w:rsid w:val="00457F14"/>
    <w:rsid w:val="00457F6C"/>
    <w:rsid w:val="0045E612"/>
    <w:rsid w:val="00460062"/>
    <w:rsid w:val="00460235"/>
    <w:rsid w:val="00460242"/>
    <w:rsid w:val="00460560"/>
    <w:rsid w:val="0046074D"/>
    <w:rsid w:val="004608DC"/>
    <w:rsid w:val="004608F7"/>
    <w:rsid w:val="00460969"/>
    <w:rsid w:val="00460A02"/>
    <w:rsid w:val="00460A4B"/>
    <w:rsid w:val="00460CC2"/>
    <w:rsid w:val="00460DCD"/>
    <w:rsid w:val="00460FA1"/>
    <w:rsid w:val="004612AF"/>
    <w:rsid w:val="004613E2"/>
    <w:rsid w:val="00461490"/>
    <w:rsid w:val="00461564"/>
    <w:rsid w:val="00461657"/>
    <w:rsid w:val="004616A3"/>
    <w:rsid w:val="004616D9"/>
    <w:rsid w:val="004617A5"/>
    <w:rsid w:val="00461BBB"/>
    <w:rsid w:val="00461BED"/>
    <w:rsid w:val="00461D7C"/>
    <w:rsid w:val="00461E3C"/>
    <w:rsid w:val="00461FE6"/>
    <w:rsid w:val="00462263"/>
    <w:rsid w:val="004622DD"/>
    <w:rsid w:val="00462357"/>
    <w:rsid w:val="00462523"/>
    <w:rsid w:val="00462530"/>
    <w:rsid w:val="0046283A"/>
    <w:rsid w:val="004629D4"/>
    <w:rsid w:val="004629F6"/>
    <w:rsid w:val="00462A26"/>
    <w:rsid w:val="00462CDF"/>
    <w:rsid w:val="00462EBE"/>
    <w:rsid w:val="00463090"/>
    <w:rsid w:val="00463147"/>
    <w:rsid w:val="0046324F"/>
    <w:rsid w:val="00463434"/>
    <w:rsid w:val="004634E7"/>
    <w:rsid w:val="0046363E"/>
    <w:rsid w:val="00463C24"/>
    <w:rsid w:val="004642E8"/>
    <w:rsid w:val="004643E5"/>
    <w:rsid w:val="0046450E"/>
    <w:rsid w:val="0046454E"/>
    <w:rsid w:val="004646D8"/>
    <w:rsid w:val="00464A83"/>
    <w:rsid w:val="00464C47"/>
    <w:rsid w:val="00464D08"/>
    <w:rsid w:val="00464FD0"/>
    <w:rsid w:val="0046506C"/>
    <w:rsid w:val="004650B1"/>
    <w:rsid w:val="004650BC"/>
    <w:rsid w:val="004651C8"/>
    <w:rsid w:val="004653A9"/>
    <w:rsid w:val="004653F6"/>
    <w:rsid w:val="0046540A"/>
    <w:rsid w:val="004654C0"/>
    <w:rsid w:val="0046558B"/>
    <w:rsid w:val="004655F0"/>
    <w:rsid w:val="004659F1"/>
    <w:rsid w:val="00465B2E"/>
    <w:rsid w:val="00465B7E"/>
    <w:rsid w:val="00465BC9"/>
    <w:rsid w:val="00466031"/>
    <w:rsid w:val="004661C7"/>
    <w:rsid w:val="004662B7"/>
    <w:rsid w:val="004662EC"/>
    <w:rsid w:val="0046630D"/>
    <w:rsid w:val="004666A1"/>
    <w:rsid w:val="0046674E"/>
    <w:rsid w:val="004667B1"/>
    <w:rsid w:val="00466958"/>
    <w:rsid w:val="004669DD"/>
    <w:rsid w:val="00466AEE"/>
    <w:rsid w:val="00466BEE"/>
    <w:rsid w:val="00466C28"/>
    <w:rsid w:val="00467091"/>
    <w:rsid w:val="00467146"/>
    <w:rsid w:val="00467170"/>
    <w:rsid w:val="004671FE"/>
    <w:rsid w:val="00467622"/>
    <w:rsid w:val="0046799B"/>
    <w:rsid w:val="00467A01"/>
    <w:rsid w:val="00467A41"/>
    <w:rsid w:val="00467B03"/>
    <w:rsid w:val="00467C7B"/>
    <w:rsid w:val="00467D6C"/>
    <w:rsid w:val="00467DBD"/>
    <w:rsid w:val="00467F04"/>
    <w:rsid w:val="0047019E"/>
    <w:rsid w:val="0047020A"/>
    <w:rsid w:val="004702FF"/>
    <w:rsid w:val="00470576"/>
    <w:rsid w:val="004706AD"/>
    <w:rsid w:val="00470784"/>
    <w:rsid w:val="00470AD3"/>
    <w:rsid w:val="00470BB5"/>
    <w:rsid w:val="00470C14"/>
    <w:rsid w:val="00470C45"/>
    <w:rsid w:val="00470C86"/>
    <w:rsid w:val="00471004"/>
    <w:rsid w:val="0047113E"/>
    <w:rsid w:val="004712A8"/>
    <w:rsid w:val="00471445"/>
    <w:rsid w:val="0047161D"/>
    <w:rsid w:val="004717D0"/>
    <w:rsid w:val="00471919"/>
    <w:rsid w:val="00471A04"/>
    <w:rsid w:val="00471A91"/>
    <w:rsid w:val="00471B2B"/>
    <w:rsid w:val="00471B56"/>
    <w:rsid w:val="00471BBD"/>
    <w:rsid w:val="00471C6F"/>
    <w:rsid w:val="0047214F"/>
    <w:rsid w:val="0047219F"/>
    <w:rsid w:val="0047244E"/>
    <w:rsid w:val="004725FA"/>
    <w:rsid w:val="00472666"/>
    <w:rsid w:val="0047269F"/>
    <w:rsid w:val="00472876"/>
    <w:rsid w:val="00472928"/>
    <w:rsid w:val="0047294D"/>
    <w:rsid w:val="0047315B"/>
    <w:rsid w:val="00473308"/>
    <w:rsid w:val="00473396"/>
    <w:rsid w:val="004733C1"/>
    <w:rsid w:val="00473415"/>
    <w:rsid w:val="00473633"/>
    <w:rsid w:val="00473647"/>
    <w:rsid w:val="00473777"/>
    <w:rsid w:val="004738CC"/>
    <w:rsid w:val="00473E03"/>
    <w:rsid w:val="00473FEE"/>
    <w:rsid w:val="00474279"/>
    <w:rsid w:val="00474540"/>
    <w:rsid w:val="0047455C"/>
    <w:rsid w:val="004746CE"/>
    <w:rsid w:val="004747ED"/>
    <w:rsid w:val="004747FC"/>
    <w:rsid w:val="0047497C"/>
    <w:rsid w:val="00474AA6"/>
    <w:rsid w:val="00474B0D"/>
    <w:rsid w:val="00474B70"/>
    <w:rsid w:val="00474B83"/>
    <w:rsid w:val="00474DEA"/>
    <w:rsid w:val="004750C8"/>
    <w:rsid w:val="004754F2"/>
    <w:rsid w:val="004757E8"/>
    <w:rsid w:val="0047580D"/>
    <w:rsid w:val="00475883"/>
    <w:rsid w:val="0047591F"/>
    <w:rsid w:val="00475B23"/>
    <w:rsid w:val="00475BAE"/>
    <w:rsid w:val="00475C67"/>
    <w:rsid w:val="00475D21"/>
    <w:rsid w:val="00475DFF"/>
    <w:rsid w:val="00475E17"/>
    <w:rsid w:val="00475E49"/>
    <w:rsid w:val="00475EAC"/>
    <w:rsid w:val="004760AC"/>
    <w:rsid w:val="00476446"/>
    <w:rsid w:val="004764C7"/>
    <w:rsid w:val="004765C1"/>
    <w:rsid w:val="0047672D"/>
    <w:rsid w:val="004767E8"/>
    <w:rsid w:val="00476847"/>
    <w:rsid w:val="004769EB"/>
    <w:rsid w:val="00476A00"/>
    <w:rsid w:val="00476A01"/>
    <w:rsid w:val="00476A44"/>
    <w:rsid w:val="00476B32"/>
    <w:rsid w:val="00476EBA"/>
    <w:rsid w:val="00476F39"/>
    <w:rsid w:val="00476F59"/>
    <w:rsid w:val="00476FD6"/>
    <w:rsid w:val="00477142"/>
    <w:rsid w:val="00477227"/>
    <w:rsid w:val="0047723D"/>
    <w:rsid w:val="0047724F"/>
    <w:rsid w:val="00477635"/>
    <w:rsid w:val="00477719"/>
    <w:rsid w:val="00477926"/>
    <w:rsid w:val="0047794C"/>
    <w:rsid w:val="00477A45"/>
    <w:rsid w:val="00477CDC"/>
    <w:rsid w:val="004800F5"/>
    <w:rsid w:val="00480145"/>
    <w:rsid w:val="00480328"/>
    <w:rsid w:val="004803AB"/>
    <w:rsid w:val="00480460"/>
    <w:rsid w:val="00480464"/>
    <w:rsid w:val="004805F5"/>
    <w:rsid w:val="00480619"/>
    <w:rsid w:val="004807E4"/>
    <w:rsid w:val="00480964"/>
    <w:rsid w:val="004809CF"/>
    <w:rsid w:val="004809DF"/>
    <w:rsid w:val="00480B62"/>
    <w:rsid w:val="00480E95"/>
    <w:rsid w:val="004811F5"/>
    <w:rsid w:val="004812EB"/>
    <w:rsid w:val="00481403"/>
    <w:rsid w:val="00481424"/>
    <w:rsid w:val="00481568"/>
    <w:rsid w:val="0048184B"/>
    <w:rsid w:val="004819BF"/>
    <w:rsid w:val="00481A58"/>
    <w:rsid w:val="00481B65"/>
    <w:rsid w:val="00481C18"/>
    <w:rsid w:val="00481D1C"/>
    <w:rsid w:val="00481E1E"/>
    <w:rsid w:val="00481F13"/>
    <w:rsid w:val="00481F1A"/>
    <w:rsid w:val="00481FDC"/>
    <w:rsid w:val="00481FDE"/>
    <w:rsid w:val="00482028"/>
    <w:rsid w:val="004824AA"/>
    <w:rsid w:val="00482CD9"/>
    <w:rsid w:val="00482D7F"/>
    <w:rsid w:val="00482FCD"/>
    <w:rsid w:val="004831FA"/>
    <w:rsid w:val="0048321D"/>
    <w:rsid w:val="004832E5"/>
    <w:rsid w:val="004836BE"/>
    <w:rsid w:val="0048377B"/>
    <w:rsid w:val="00483831"/>
    <w:rsid w:val="00483972"/>
    <w:rsid w:val="00483A34"/>
    <w:rsid w:val="00483EE9"/>
    <w:rsid w:val="004840D5"/>
    <w:rsid w:val="0048419E"/>
    <w:rsid w:val="0048429C"/>
    <w:rsid w:val="00484403"/>
    <w:rsid w:val="004847C6"/>
    <w:rsid w:val="004847E5"/>
    <w:rsid w:val="00484877"/>
    <w:rsid w:val="00484950"/>
    <w:rsid w:val="00484C80"/>
    <w:rsid w:val="00484CD6"/>
    <w:rsid w:val="00484DAC"/>
    <w:rsid w:val="00484DE4"/>
    <w:rsid w:val="00485003"/>
    <w:rsid w:val="004852B5"/>
    <w:rsid w:val="00485331"/>
    <w:rsid w:val="004856A8"/>
    <w:rsid w:val="004857CE"/>
    <w:rsid w:val="00485993"/>
    <w:rsid w:val="00485C7A"/>
    <w:rsid w:val="00485CC1"/>
    <w:rsid w:val="00485F93"/>
    <w:rsid w:val="00486402"/>
    <w:rsid w:val="004864CC"/>
    <w:rsid w:val="004865A7"/>
    <w:rsid w:val="004868A3"/>
    <w:rsid w:val="00486B55"/>
    <w:rsid w:val="00486B79"/>
    <w:rsid w:val="00486CD1"/>
    <w:rsid w:val="00486F79"/>
    <w:rsid w:val="004871F1"/>
    <w:rsid w:val="00487662"/>
    <w:rsid w:val="004876B5"/>
    <w:rsid w:val="004877D0"/>
    <w:rsid w:val="00487932"/>
    <w:rsid w:val="00487A5F"/>
    <w:rsid w:val="00487B6A"/>
    <w:rsid w:val="00487EF8"/>
    <w:rsid w:val="00487F3F"/>
    <w:rsid w:val="004900E0"/>
    <w:rsid w:val="00490266"/>
    <w:rsid w:val="004904C2"/>
    <w:rsid w:val="0049050D"/>
    <w:rsid w:val="00490773"/>
    <w:rsid w:val="0049092C"/>
    <w:rsid w:val="00490B11"/>
    <w:rsid w:val="00490B85"/>
    <w:rsid w:val="00490DD9"/>
    <w:rsid w:val="00490F48"/>
    <w:rsid w:val="0049105C"/>
    <w:rsid w:val="00491187"/>
    <w:rsid w:val="00491233"/>
    <w:rsid w:val="004915AC"/>
    <w:rsid w:val="004916D1"/>
    <w:rsid w:val="0049178D"/>
    <w:rsid w:val="00491972"/>
    <w:rsid w:val="004919A7"/>
    <w:rsid w:val="00491AC5"/>
    <w:rsid w:val="00491ACB"/>
    <w:rsid w:val="00492067"/>
    <w:rsid w:val="00492147"/>
    <w:rsid w:val="00492534"/>
    <w:rsid w:val="0049274A"/>
    <w:rsid w:val="004928CE"/>
    <w:rsid w:val="00492A23"/>
    <w:rsid w:val="00492A3A"/>
    <w:rsid w:val="00492A91"/>
    <w:rsid w:val="00492AA2"/>
    <w:rsid w:val="00492CAF"/>
    <w:rsid w:val="00492E72"/>
    <w:rsid w:val="00492F12"/>
    <w:rsid w:val="00493497"/>
    <w:rsid w:val="00493535"/>
    <w:rsid w:val="004937EC"/>
    <w:rsid w:val="004939EC"/>
    <w:rsid w:val="00493CDA"/>
    <w:rsid w:val="00493D29"/>
    <w:rsid w:val="00493F7C"/>
    <w:rsid w:val="00493F95"/>
    <w:rsid w:val="004940F3"/>
    <w:rsid w:val="0049417D"/>
    <w:rsid w:val="00494546"/>
    <w:rsid w:val="00494549"/>
    <w:rsid w:val="00494638"/>
    <w:rsid w:val="004946A3"/>
    <w:rsid w:val="0049477A"/>
    <w:rsid w:val="00494789"/>
    <w:rsid w:val="00494A86"/>
    <w:rsid w:val="00494A89"/>
    <w:rsid w:val="00494F51"/>
    <w:rsid w:val="00495044"/>
    <w:rsid w:val="004952C0"/>
    <w:rsid w:val="0049542D"/>
    <w:rsid w:val="00495BDE"/>
    <w:rsid w:val="00495C5B"/>
    <w:rsid w:val="00495D09"/>
    <w:rsid w:val="00495E55"/>
    <w:rsid w:val="00495F59"/>
    <w:rsid w:val="00496010"/>
    <w:rsid w:val="004961F5"/>
    <w:rsid w:val="00496277"/>
    <w:rsid w:val="00496392"/>
    <w:rsid w:val="00496752"/>
    <w:rsid w:val="0049686A"/>
    <w:rsid w:val="00496996"/>
    <w:rsid w:val="00496F45"/>
    <w:rsid w:val="0049714B"/>
    <w:rsid w:val="00497189"/>
    <w:rsid w:val="004972D0"/>
    <w:rsid w:val="00497343"/>
    <w:rsid w:val="0049738D"/>
    <w:rsid w:val="0049753A"/>
    <w:rsid w:val="0049758C"/>
    <w:rsid w:val="0049783E"/>
    <w:rsid w:val="00497AEF"/>
    <w:rsid w:val="00497DAE"/>
    <w:rsid w:val="004A046B"/>
    <w:rsid w:val="004A0486"/>
    <w:rsid w:val="004A089C"/>
    <w:rsid w:val="004A08CE"/>
    <w:rsid w:val="004A0925"/>
    <w:rsid w:val="004A0A1D"/>
    <w:rsid w:val="004A0BF3"/>
    <w:rsid w:val="004A0E1A"/>
    <w:rsid w:val="004A0EC0"/>
    <w:rsid w:val="004A105E"/>
    <w:rsid w:val="004A1436"/>
    <w:rsid w:val="004A157F"/>
    <w:rsid w:val="004A1986"/>
    <w:rsid w:val="004A1CF2"/>
    <w:rsid w:val="004A1D79"/>
    <w:rsid w:val="004A1DA4"/>
    <w:rsid w:val="004A1E62"/>
    <w:rsid w:val="004A200B"/>
    <w:rsid w:val="004A2238"/>
    <w:rsid w:val="004A2367"/>
    <w:rsid w:val="004A237A"/>
    <w:rsid w:val="004A2673"/>
    <w:rsid w:val="004A2679"/>
    <w:rsid w:val="004A26C6"/>
    <w:rsid w:val="004A288B"/>
    <w:rsid w:val="004A2A01"/>
    <w:rsid w:val="004A2A24"/>
    <w:rsid w:val="004A2A40"/>
    <w:rsid w:val="004A2FBA"/>
    <w:rsid w:val="004A3308"/>
    <w:rsid w:val="004A34B4"/>
    <w:rsid w:val="004A36F0"/>
    <w:rsid w:val="004A3722"/>
    <w:rsid w:val="004A380D"/>
    <w:rsid w:val="004A390B"/>
    <w:rsid w:val="004A3FB4"/>
    <w:rsid w:val="004A3FD2"/>
    <w:rsid w:val="004A4110"/>
    <w:rsid w:val="004A4529"/>
    <w:rsid w:val="004A46CB"/>
    <w:rsid w:val="004A47C6"/>
    <w:rsid w:val="004A47DF"/>
    <w:rsid w:val="004A4988"/>
    <w:rsid w:val="004A4B47"/>
    <w:rsid w:val="004A4F0D"/>
    <w:rsid w:val="004A4F85"/>
    <w:rsid w:val="004A512D"/>
    <w:rsid w:val="004A5225"/>
    <w:rsid w:val="004A5568"/>
    <w:rsid w:val="004A560E"/>
    <w:rsid w:val="004A57AE"/>
    <w:rsid w:val="004A5810"/>
    <w:rsid w:val="004A5873"/>
    <w:rsid w:val="004A593E"/>
    <w:rsid w:val="004A618D"/>
    <w:rsid w:val="004A6231"/>
    <w:rsid w:val="004A65C4"/>
    <w:rsid w:val="004A68DC"/>
    <w:rsid w:val="004A6B18"/>
    <w:rsid w:val="004A6ED2"/>
    <w:rsid w:val="004A718F"/>
    <w:rsid w:val="004A727C"/>
    <w:rsid w:val="004A736B"/>
    <w:rsid w:val="004A78AC"/>
    <w:rsid w:val="004A7AEB"/>
    <w:rsid w:val="004A7C33"/>
    <w:rsid w:val="004A7CA4"/>
    <w:rsid w:val="004A7D67"/>
    <w:rsid w:val="004A7E52"/>
    <w:rsid w:val="004A7F30"/>
    <w:rsid w:val="004A7FB6"/>
    <w:rsid w:val="004B042F"/>
    <w:rsid w:val="004B0485"/>
    <w:rsid w:val="004B04A3"/>
    <w:rsid w:val="004B06C9"/>
    <w:rsid w:val="004B089E"/>
    <w:rsid w:val="004B08C4"/>
    <w:rsid w:val="004B0AA4"/>
    <w:rsid w:val="004B0BCF"/>
    <w:rsid w:val="004B0C18"/>
    <w:rsid w:val="004B116A"/>
    <w:rsid w:val="004B11D0"/>
    <w:rsid w:val="004B19C3"/>
    <w:rsid w:val="004B1B44"/>
    <w:rsid w:val="004B1D41"/>
    <w:rsid w:val="004B1F05"/>
    <w:rsid w:val="004B2099"/>
    <w:rsid w:val="004B22D6"/>
    <w:rsid w:val="004B2714"/>
    <w:rsid w:val="004B2A1C"/>
    <w:rsid w:val="004B2AD3"/>
    <w:rsid w:val="004B2FEC"/>
    <w:rsid w:val="004B30BF"/>
    <w:rsid w:val="004B30DC"/>
    <w:rsid w:val="004B34DE"/>
    <w:rsid w:val="004B35A1"/>
    <w:rsid w:val="004B36EA"/>
    <w:rsid w:val="004B3701"/>
    <w:rsid w:val="004B3723"/>
    <w:rsid w:val="004B38B2"/>
    <w:rsid w:val="004B3A28"/>
    <w:rsid w:val="004B3C00"/>
    <w:rsid w:val="004B3FAC"/>
    <w:rsid w:val="004B4216"/>
    <w:rsid w:val="004B4249"/>
    <w:rsid w:val="004B42F9"/>
    <w:rsid w:val="004B4420"/>
    <w:rsid w:val="004B460B"/>
    <w:rsid w:val="004B47BA"/>
    <w:rsid w:val="004B48C3"/>
    <w:rsid w:val="004B493C"/>
    <w:rsid w:val="004B4AF3"/>
    <w:rsid w:val="004B4B32"/>
    <w:rsid w:val="004B4E9F"/>
    <w:rsid w:val="004B4ED9"/>
    <w:rsid w:val="004B4F6F"/>
    <w:rsid w:val="004B4FB5"/>
    <w:rsid w:val="004B4FD9"/>
    <w:rsid w:val="004B547C"/>
    <w:rsid w:val="004B55CB"/>
    <w:rsid w:val="004B56B7"/>
    <w:rsid w:val="004B5A44"/>
    <w:rsid w:val="004B5A73"/>
    <w:rsid w:val="004B5B7C"/>
    <w:rsid w:val="004B5BAE"/>
    <w:rsid w:val="004B5CC6"/>
    <w:rsid w:val="004B5CF2"/>
    <w:rsid w:val="004B604C"/>
    <w:rsid w:val="004B62B4"/>
    <w:rsid w:val="004B62CE"/>
    <w:rsid w:val="004B6325"/>
    <w:rsid w:val="004B63EE"/>
    <w:rsid w:val="004B66BC"/>
    <w:rsid w:val="004B6702"/>
    <w:rsid w:val="004B68A6"/>
    <w:rsid w:val="004B68F8"/>
    <w:rsid w:val="004B6B62"/>
    <w:rsid w:val="004B6BA9"/>
    <w:rsid w:val="004B6CC6"/>
    <w:rsid w:val="004B6E65"/>
    <w:rsid w:val="004B6E77"/>
    <w:rsid w:val="004B6F1A"/>
    <w:rsid w:val="004B741D"/>
    <w:rsid w:val="004B7458"/>
    <w:rsid w:val="004B766C"/>
    <w:rsid w:val="004B79AE"/>
    <w:rsid w:val="004B7D26"/>
    <w:rsid w:val="004B7D54"/>
    <w:rsid w:val="004B7EB5"/>
    <w:rsid w:val="004B7FD8"/>
    <w:rsid w:val="004BA3E2"/>
    <w:rsid w:val="004C01D1"/>
    <w:rsid w:val="004C0352"/>
    <w:rsid w:val="004C0402"/>
    <w:rsid w:val="004C07A6"/>
    <w:rsid w:val="004C0C0D"/>
    <w:rsid w:val="004C0D14"/>
    <w:rsid w:val="004C0D45"/>
    <w:rsid w:val="004C113F"/>
    <w:rsid w:val="004C144D"/>
    <w:rsid w:val="004C14A2"/>
    <w:rsid w:val="004C14EF"/>
    <w:rsid w:val="004C156A"/>
    <w:rsid w:val="004C159A"/>
    <w:rsid w:val="004C15E9"/>
    <w:rsid w:val="004C1845"/>
    <w:rsid w:val="004C1B9A"/>
    <w:rsid w:val="004C1CF3"/>
    <w:rsid w:val="004C1D10"/>
    <w:rsid w:val="004C1D36"/>
    <w:rsid w:val="004C1F09"/>
    <w:rsid w:val="004C238D"/>
    <w:rsid w:val="004C242A"/>
    <w:rsid w:val="004C2469"/>
    <w:rsid w:val="004C25DD"/>
    <w:rsid w:val="004C2974"/>
    <w:rsid w:val="004C2AE1"/>
    <w:rsid w:val="004C2F61"/>
    <w:rsid w:val="004C3075"/>
    <w:rsid w:val="004C30A6"/>
    <w:rsid w:val="004C3455"/>
    <w:rsid w:val="004C3464"/>
    <w:rsid w:val="004C35A9"/>
    <w:rsid w:val="004C35CC"/>
    <w:rsid w:val="004C36CA"/>
    <w:rsid w:val="004C3B0D"/>
    <w:rsid w:val="004C3B78"/>
    <w:rsid w:val="004C3BF7"/>
    <w:rsid w:val="004C3C38"/>
    <w:rsid w:val="004C3CB3"/>
    <w:rsid w:val="004C3E69"/>
    <w:rsid w:val="004C3E8C"/>
    <w:rsid w:val="004C3EE8"/>
    <w:rsid w:val="004C3FEA"/>
    <w:rsid w:val="004C41FF"/>
    <w:rsid w:val="004C4218"/>
    <w:rsid w:val="004C49B5"/>
    <w:rsid w:val="004C4A4F"/>
    <w:rsid w:val="004C4CC1"/>
    <w:rsid w:val="004C4EA3"/>
    <w:rsid w:val="004C502F"/>
    <w:rsid w:val="004C5172"/>
    <w:rsid w:val="004C51A8"/>
    <w:rsid w:val="004C5238"/>
    <w:rsid w:val="004C5309"/>
    <w:rsid w:val="004C5347"/>
    <w:rsid w:val="004C535F"/>
    <w:rsid w:val="004C5471"/>
    <w:rsid w:val="004C5647"/>
    <w:rsid w:val="004C56D9"/>
    <w:rsid w:val="004C576F"/>
    <w:rsid w:val="004C5863"/>
    <w:rsid w:val="004C5AF9"/>
    <w:rsid w:val="004C5EDD"/>
    <w:rsid w:val="004C6310"/>
    <w:rsid w:val="004C6352"/>
    <w:rsid w:val="004C64F0"/>
    <w:rsid w:val="004C65B8"/>
    <w:rsid w:val="004C675A"/>
    <w:rsid w:val="004C67D8"/>
    <w:rsid w:val="004C6897"/>
    <w:rsid w:val="004C689C"/>
    <w:rsid w:val="004C6996"/>
    <w:rsid w:val="004C69F2"/>
    <w:rsid w:val="004C6B82"/>
    <w:rsid w:val="004C6C47"/>
    <w:rsid w:val="004C6CF9"/>
    <w:rsid w:val="004C6DF4"/>
    <w:rsid w:val="004C6E72"/>
    <w:rsid w:val="004C6F02"/>
    <w:rsid w:val="004C6F1B"/>
    <w:rsid w:val="004C6F73"/>
    <w:rsid w:val="004C6FA0"/>
    <w:rsid w:val="004C6FFB"/>
    <w:rsid w:val="004C7002"/>
    <w:rsid w:val="004C722C"/>
    <w:rsid w:val="004C73D3"/>
    <w:rsid w:val="004C7497"/>
    <w:rsid w:val="004C7AEE"/>
    <w:rsid w:val="004C7BFE"/>
    <w:rsid w:val="004C7E4E"/>
    <w:rsid w:val="004D01F4"/>
    <w:rsid w:val="004D04BB"/>
    <w:rsid w:val="004D0635"/>
    <w:rsid w:val="004D0666"/>
    <w:rsid w:val="004D070E"/>
    <w:rsid w:val="004D0732"/>
    <w:rsid w:val="004D07D7"/>
    <w:rsid w:val="004D0851"/>
    <w:rsid w:val="004D0858"/>
    <w:rsid w:val="004D0A6C"/>
    <w:rsid w:val="004D0B0A"/>
    <w:rsid w:val="004D0B93"/>
    <w:rsid w:val="004D0BD5"/>
    <w:rsid w:val="004D0C41"/>
    <w:rsid w:val="004D0D41"/>
    <w:rsid w:val="004D0E36"/>
    <w:rsid w:val="004D0FBC"/>
    <w:rsid w:val="004D1347"/>
    <w:rsid w:val="004D1582"/>
    <w:rsid w:val="004D16D4"/>
    <w:rsid w:val="004D178F"/>
    <w:rsid w:val="004D17F5"/>
    <w:rsid w:val="004D1B69"/>
    <w:rsid w:val="004D1CE7"/>
    <w:rsid w:val="004D1D22"/>
    <w:rsid w:val="004D1D45"/>
    <w:rsid w:val="004D1EDB"/>
    <w:rsid w:val="004D1F5D"/>
    <w:rsid w:val="004D208A"/>
    <w:rsid w:val="004D2106"/>
    <w:rsid w:val="004D2163"/>
    <w:rsid w:val="004D21B1"/>
    <w:rsid w:val="004D237A"/>
    <w:rsid w:val="004D27A1"/>
    <w:rsid w:val="004D27AA"/>
    <w:rsid w:val="004D28CE"/>
    <w:rsid w:val="004D2C6B"/>
    <w:rsid w:val="004D2E74"/>
    <w:rsid w:val="004D2EEF"/>
    <w:rsid w:val="004D3071"/>
    <w:rsid w:val="004D328C"/>
    <w:rsid w:val="004D32D0"/>
    <w:rsid w:val="004D35E8"/>
    <w:rsid w:val="004D3712"/>
    <w:rsid w:val="004D374B"/>
    <w:rsid w:val="004D3950"/>
    <w:rsid w:val="004D3A81"/>
    <w:rsid w:val="004D3CE1"/>
    <w:rsid w:val="004D3D46"/>
    <w:rsid w:val="004D3DDB"/>
    <w:rsid w:val="004D3E77"/>
    <w:rsid w:val="004D3F38"/>
    <w:rsid w:val="004D403D"/>
    <w:rsid w:val="004D4083"/>
    <w:rsid w:val="004D42AC"/>
    <w:rsid w:val="004D432A"/>
    <w:rsid w:val="004D43A2"/>
    <w:rsid w:val="004D4755"/>
    <w:rsid w:val="004D4862"/>
    <w:rsid w:val="004D4AC6"/>
    <w:rsid w:val="004D4AEC"/>
    <w:rsid w:val="004D4B6A"/>
    <w:rsid w:val="004D4C98"/>
    <w:rsid w:val="004D4F19"/>
    <w:rsid w:val="004D5125"/>
    <w:rsid w:val="004D51A4"/>
    <w:rsid w:val="004D525F"/>
    <w:rsid w:val="004D52C6"/>
    <w:rsid w:val="004D53DE"/>
    <w:rsid w:val="004D56FC"/>
    <w:rsid w:val="004D586B"/>
    <w:rsid w:val="004D58D0"/>
    <w:rsid w:val="004D59CD"/>
    <w:rsid w:val="004D5B1C"/>
    <w:rsid w:val="004D5D7F"/>
    <w:rsid w:val="004D5EA0"/>
    <w:rsid w:val="004D5EE8"/>
    <w:rsid w:val="004D5F24"/>
    <w:rsid w:val="004D5FA7"/>
    <w:rsid w:val="004D64CA"/>
    <w:rsid w:val="004D653E"/>
    <w:rsid w:val="004D6688"/>
    <w:rsid w:val="004D6915"/>
    <w:rsid w:val="004D6C21"/>
    <w:rsid w:val="004D6DA7"/>
    <w:rsid w:val="004D70B7"/>
    <w:rsid w:val="004D71A3"/>
    <w:rsid w:val="004D71E5"/>
    <w:rsid w:val="004D72DD"/>
    <w:rsid w:val="004D73CB"/>
    <w:rsid w:val="004D7C40"/>
    <w:rsid w:val="004D7C7C"/>
    <w:rsid w:val="004D7ED8"/>
    <w:rsid w:val="004E0103"/>
    <w:rsid w:val="004E01A9"/>
    <w:rsid w:val="004E02D4"/>
    <w:rsid w:val="004E02D5"/>
    <w:rsid w:val="004E037B"/>
    <w:rsid w:val="004E038D"/>
    <w:rsid w:val="004E04D5"/>
    <w:rsid w:val="004E0539"/>
    <w:rsid w:val="004E0556"/>
    <w:rsid w:val="004E0608"/>
    <w:rsid w:val="004E06BC"/>
    <w:rsid w:val="004E06C5"/>
    <w:rsid w:val="004E0779"/>
    <w:rsid w:val="004E0889"/>
    <w:rsid w:val="004E0AB4"/>
    <w:rsid w:val="004E0B1A"/>
    <w:rsid w:val="004E0B5E"/>
    <w:rsid w:val="004E0CCD"/>
    <w:rsid w:val="004E0CFD"/>
    <w:rsid w:val="004E0E11"/>
    <w:rsid w:val="004E0ECD"/>
    <w:rsid w:val="004E0ED9"/>
    <w:rsid w:val="004E1079"/>
    <w:rsid w:val="004E123D"/>
    <w:rsid w:val="004E132C"/>
    <w:rsid w:val="004E1634"/>
    <w:rsid w:val="004E172B"/>
    <w:rsid w:val="004E1737"/>
    <w:rsid w:val="004E178A"/>
    <w:rsid w:val="004E1794"/>
    <w:rsid w:val="004E197F"/>
    <w:rsid w:val="004E1A7B"/>
    <w:rsid w:val="004E1CA0"/>
    <w:rsid w:val="004E1DB5"/>
    <w:rsid w:val="004E2388"/>
    <w:rsid w:val="004E23C7"/>
    <w:rsid w:val="004E23EB"/>
    <w:rsid w:val="004E2567"/>
    <w:rsid w:val="004E27B5"/>
    <w:rsid w:val="004E288A"/>
    <w:rsid w:val="004E2927"/>
    <w:rsid w:val="004E2A3F"/>
    <w:rsid w:val="004E2A59"/>
    <w:rsid w:val="004E2C83"/>
    <w:rsid w:val="004E2DF7"/>
    <w:rsid w:val="004E2EDD"/>
    <w:rsid w:val="004E2F03"/>
    <w:rsid w:val="004E307F"/>
    <w:rsid w:val="004E31BD"/>
    <w:rsid w:val="004E31E5"/>
    <w:rsid w:val="004E3260"/>
    <w:rsid w:val="004E3463"/>
    <w:rsid w:val="004E346B"/>
    <w:rsid w:val="004E34A0"/>
    <w:rsid w:val="004E3507"/>
    <w:rsid w:val="004E366E"/>
    <w:rsid w:val="004E3717"/>
    <w:rsid w:val="004E380C"/>
    <w:rsid w:val="004E39A8"/>
    <w:rsid w:val="004E39D4"/>
    <w:rsid w:val="004E3AEB"/>
    <w:rsid w:val="004E3B51"/>
    <w:rsid w:val="004E3DA9"/>
    <w:rsid w:val="004E3DB4"/>
    <w:rsid w:val="004E3E1F"/>
    <w:rsid w:val="004E40A5"/>
    <w:rsid w:val="004E415D"/>
    <w:rsid w:val="004E416E"/>
    <w:rsid w:val="004E41AF"/>
    <w:rsid w:val="004E4216"/>
    <w:rsid w:val="004E4287"/>
    <w:rsid w:val="004E429C"/>
    <w:rsid w:val="004E4364"/>
    <w:rsid w:val="004E4671"/>
    <w:rsid w:val="004E4D6F"/>
    <w:rsid w:val="004E4EC1"/>
    <w:rsid w:val="004E4F0C"/>
    <w:rsid w:val="004E4F24"/>
    <w:rsid w:val="004E51BA"/>
    <w:rsid w:val="004E51D2"/>
    <w:rsid w:val="004E579E"/>
    <w:rsid w:val="004E58A2"/>
    <w:rsid w:val="004E5972"/>
    <w:rsid w:val="004E5B18"/>
    <w:rsid w:val="004E5E06"/>
    <w:rsid w:val="004E5E61"/>
    <w:rsid w:val="004E5F88"/>
    <w:rsid w:val="004E5FBF"/>
    <w:rsid w:val="004E6212"/>
    <w:rsid w:val="004E62A4"/>
    <w:rsid w:val="004E62B6"/>
    <w:rsid w:val="004E63F3"/>
    <w:rsid w:val="004E642A"/>
    <w:rsid w:val="004E65BE"/>
    <w:rsid w:val="004E6749"/>
    <w:rsid w:val="004E679D"/>
    <w:rsid w:val="004E69CE"/>
    <w:rsid w:val="004E6A56"/>
    <w:rsid w:val="004E6B03"/>
    <w:rsid w:val="004E6C2D"/>
    <w:rsid w:val="004E6C53"/>
    <w:rsid w:val="004E6E81"/>
    <w:rsid w:val="004E701D"/>
    <w:rsid w:val="004E71B3"/>
    <w:rsid w:val="004E727B"/>
    <w:rsid w:val="004E73C4"/>
    <w:rsid w:val="004E7601"/>
    <w:rsid w:val="004E7793"/>
    <w:rsid w:val="004E77A3"/>
    <w:rsid w:val="004E785D"/>
    <w:rsid w:val="004E7996"/>
    <w:rsid w:val="004E79A1"/>
    <w:rsid w:val="004E79B4"/>
    <w:rsid w:val="004E7A86"/>
    <w:rsid w:val="004E7BBD"/>
    <w:rsid w:val="004E7D45"/>
    <w:rsid w:val="004E7D47"/>
    <w:rsid w:val="004F0267"/>
    <w:rsid w:val="004F034D"/>
    <w:rsid w:val="004F03DB"/>
    <w:rsid w:val="004F06DD"/>
    <w:rsid w:val="004F0737"/>
    <w:rsid w:val="004F0A3E"/>
    <w:rsid w:val="004F0DDE"/>
    <w:rsid w:val="004F0E68"/>
    <w:rsid w:val="004F0E72"/>
    <w:rsid w:val="004F0F11"/>
    <w:rsid w:val="004F0F18"/>
    <w:rsid w:val="004F130B"/>
    <w:rsid w:val="004F1486"/>
    <w:rsid w:val="004F1672"/>
    <w:rsid w:val="004F16C6"/>
    <w:rsid w:val="004F16CF"/>
    <w:rsid w:val="004F1A00"/>
    <w:rsid w:val="004F1B6F"/>
    <w:rsid w:val="004F1C7B"/>
    <w:rsid w:val="004F1E16"/>
    <w:rsid w:val="004F1EB1"/>
    <w:rsid w:val="004F1FE5"/>
    <w:rsid w:val="004F22A0"/>
    <w:rsid w:val="004F24DB"/>
    <w:rsid w:val="004F2626"/>
    <w:rsid w:val="004F264B"/>
    <w:rsid w:val="004F27F7"/>
    <w:rsid w:val="004F2B75"/>
    <w:rsid w:val="004F2C8C"/>
    <w:rsid w:val="004F31A4"/>
    <w:rsid w:val="004F3225"/>
    <w:rsid w:val="004F3435"/>
    <w:rsid w:val="004F343E"/>
    <w:rsid w:val="004F34C9"/>
    <w:rsid w:val="004F34FF"/>
    <w:rsid w:val="004F3606"/>
    <w:rsid w:val="004F36AC"/>
    <w:rsid w:val="004F36B5"/>
    <w:rsid w:val="004F36CE"/>
    <w:rsid w:val="004F36D3"/>
    <w:rsid w:val="004F36FD"/>
    <w:rsid w:val="004F3724"/>
    <w:rsid w:val="004F3B2E"/>
    <w:rsid w:val="004F3C39"/>
    <w:rsid w:val="004F3D04"/>
    <w:rsid w:val="004F3DB6"/>
    <w:rsid w:val="004F3E5D"/>
    <w:rsid w:val="004F40CF"/>
    <w:rsid w:val="004F413C"/>
    <w:rsid w:val="004F4343"/>
    <w:rsid w:val="004F43FD"/>
    <w:rsid w:val="004F4602"/>
    <w:rsid w:val="004F460D"/>
    <w:rsid w:val="004F4692"/>
    <w:rsid w:val="004F4792"/>
    <w:rsid w:val="004F4825"/>
    <w:rsid w:val="004F48F9"/>
    <w:rsid w:val="004F4B7E"/>
    <w:rsid w:val="004F508E"/>
    <w:rsid w:val="004F51EA"/>
    <w:rsid w:val="004F521C"/>
    <w:rsid w:val="004F5513"/>
    <w:rsid w:val="004F55B9"/>
    <w:rsid w:val="004F56E2"/>
    <w:rsid w:val="004F57FA"/>
    <w:rsid w:val="004F5B17"/>
    <w:rsid w:val="004F5C11"/>
    <w:rsid w:val="004F625B"/>
    <w:rsid w:val="004F6402"/>
    <w:rsid w:val="004F6611"/>
    <w:rsid w:val="004F67AC"/>
    <w:rsid w:val="004F693E"/>
    <w:rsid w:val="004F69F8"/>
    <w:rsid w:val="004F6ABD"/>
    <w:rsid w:val="004F6B0E"/>
    <w:rsid w:val="004F6C8B"/>
    <w:rsid w:val="004F6D28"/>
    <w:rsid w:val="004F6E3D"/>
    <w:rsid w:val="004F6EBF"/>
    <w:rsid w:val="004F6F55"/>
    <w:rsid w:val="004F6FB1"/>
    <w:rsid w:val="004F70B3"/>
    <w:rsid w:val="004F715B"/>
    <w:rsid w:val="004F7236"/>
    <w:rsid w:val="004F738F"/>
    <w:rsid w:val="004F73C6"/>
    <w:rsid w:val="004F7A84"/>
    <w:rsid w:val="004F7AB7"/>
    <w:rsid w:val="004F7C00"/>
    <w:rsid w:val="005001A9"/>
    <w:rsid w:val="005002BF"/>
    <w:rsid w:val="005004FC"/>
    <w:rsid w:val="00500504"/>
    <w:rsid w:val="005005B9"/>
    <w:rsid w:val="00500702"/>
    <w:rsid w:val="005009DC"/>
    <w:rsid w:val="00500B39"/>
    <w:rsid w:val="00500F08"/>
    <w:rsid w:val="00500F1F"/>
    <w:rsid w:val="00501167"/>
    <w:rsid w:val="005014A3"/>
    <w:rsid w:val="00501571"/>
    <w:rsid w:val="0050162C"/>
    <w:rsid w:val="0050163B"/>
    <w:rsid w:val="005018A3"/>
    <w:rsid w:val="005018D7"/>
    <w:rsid w:val="00501B94"/>
    <w:rsid w:val="00501C56"/>
    <w:rsid w:val="00501D28"/>
    <w:rsid w:val="00501DB3"/>
    <w:rsid w:val="005020A1"/>
    <w:rsid w:val="005021C0"/>
    <w:rsid w:val="005022C1"/>
    <w:rsid w:val="005022E9"/>
    <w:rsid w:val="00502376"/>
    <w:rsid w:val="0050249C"/>
    <w:rsid w:val="00502507"/>
    <w:rsid w:val="00502563"/>
    <w:rsid w:val="00502653"/>
    <w:rsid w:val="00502672"/>
    <w:rsid w:val="005026BE"/>
    <w:rsid w:val="005026C8"/>
    <w:rsid w:val="005027F4"/>
    <w:rsid w:val="005029C8"/>
    <w:rsid w:val="00502A6E"/>
    <w:rsid w:val="00502D70"/>
    <w:rsid w:val="00502E38"/>
    <w:rsid w:val="00502EC6"/>
    <w:rsid w:val="00502FDB"/>
    <w:rsid w:val="005030F4"/>
    <w:rsid w:val="005033BC"/>
    <w:rsid w:val="00503443"/>
    <w:rsid w:val="005036DC"/>
    <w:rsid w:val="005037F9"/>
    <w:rsid w:val="00503AD6"/>
    <w:rsid w:val="00503C7C"/>
    <w:rsid w:val="00503CCD"/>
    <w:rsid w:val="00503E4B"/>
    <w:rsid w:val="00503E6D"/>
    <w:rsid w:val="00503EC6"/>
    <w:rsid w:val="00503F40"/>
    <w:rsid w:val="00503FA2"/>
    <w:rsid w:val="0050402C"/>
    <w:rsid w:val="0050419A"/>
    <w:rsid w:val="00504241"/>
    <w:rsid w:val="00504337"/>
    <w:rsid w:val="0050436D"/>
    <w:rsid w:val="005046F1"/>
    <w:rsid w:val="00504815"/>
    <w:rsid w:val="005048CB"/>
    <w:rsid w:val="005049F1"/>
    <w:rsid w:val="00504A85"/>
    <w:rsid w:val="00504B4D"/>
    <w:rsid w:val="00504C5A"/>
    <w:rsid w:val="00504E77"/>
    <w:rsid w:val="00505213"/>
    <w:rsid w:val="005052B5"/>
    <w:rsid w:val="00505516"/>
    <w:rsid w:val="0050555C"/>
    <w:rsid w:val="005055EA"/>
    <w:rsid w:val="005055F9"/>
    <w:rsid w:val="00505842"/>
    <w:rsid w:val="0050599E"/>
    <w:rsid w:val="00505C5C"/>
    <w:rsid w:val="00505DDC"/>
    <w:rsid w:val="00505F5B"/>
    <w:rsid w:val="00506002"/>
    <w:rsid w:val="0050600F"/>
    <w:rsid w:val="00506186"/>
    <w:rsid w:val="0050619A"/>
    <w:rsid w:val="00506391"/>
    <w:rsid w:val="005064C2"/>
    <w:rsid w:val="00506647"/>
    <w:rsid w:val="005066BA"/>
    <w:rsid w:val="00506993"/>
    <w:rsid w:val="005069CD"/>
    <w:rsid w:val="00506CA6"/>
    <w:rsid w:val="00506D28"/>
    <w:rsid w:val="00506DAC"/>
    <w:rsid w:val="00506EB2"/>
    <w:rsid w:val="0050700F"/>
    <w:rsid w:val="005070F0"/>
    <w:rsid w:val="005074D6"/>
    <w:rsid w:val="005075E2"/>
    <w:rsid w:val="0050782B"/>
    <w:rsid w:val="00507982"/>
    <w:rsid w:val="00507BD4"/>
    <w:rsid w:val="00510068"/>
    <w:rsid w:val="00510071"/>
    <w:rsid w:val="00510134"/>
    <w:rsid w:val="005101F3"/>
    <w:rsid w:val="0051024C"/>
    <w:rsid w:val="005102A6"/>
    <w:rsid w:val="00510327"/>
    <w:rsid w:val="00510505"/>
    <w:rsid w:val="005108F7"/>
    <w:rsid w:val="005108FD"/>
    <w:rsid w:val="0051099A"/>
    <w:rsid w:val="00510A19"/>
    <w:rsid w:val="00510BDE"/>
    <w:rsid w:val="00510CFD"/>
    <w:rsid w:val="00510DD7"/>
    <w:rsid w:val="00510E65"/>
    <w:rsid w:val="00511016"/>
    <w:rsid w:val="005111D1"/>
    <w:rsid w:val="005113AA"/>
    <w:rsid w:val="005115B3"/>
    <w:rsid w:val="00511753"/>
    <w:rsid w:val="005117DB"/>
    <w:rsid w:val="0051188E"/>
    <w:rsid w:val="00511B31"/>
    <w:rsid w:val="00511CDA"/>
    <w:rsid w:val="00511D76"/>
    <w:rsid w:val="00511EB7"/>
    <w:rsid w:val="00511F61"/>
    <w:rsid w:val="00511FEF"/>
    <w:rsid w:val="0051253C"/>
    <w:rsid w:val="005125FC"/>
    <w:rsid w:val="005128AA"/>
    <w:rsid w:val="00512EA1"/>
    <w:rsid w:val="00512EEA"/>
    <w:rsid w:val="00512F55"/>
    <w:rsid w:val="005134E1"/>
    <w:rsid w:val="0051355C"/>
    <w:rsid w:val="005136C8"/>
    <w:rsid w:val="00513836"/>
    <w:rsid w:val="00513859"/>
    <w:rsid w:val="00513914"/>
    <w:rsid w:val="00513C38"/>
    <w:rsid w:val="00513EE0"/>
    <w:rsid w:val="00514177"/>
    <w:rsid w:val="005142DA"/>
    <w:rsid w:val="0051449F"/>
    <w:rsid w:val="0051464C"/>
    <w:rsid w:val="00514735"/>
    <w:rsid w:val="005147B0"/>
    <w:rsid w:val="005148E1"/>
    <w:rsid w:val="00514921"/>
    <w:rsid w:val="0051494B"/>
    <w:rsid w:val="005149C6"/>
    <w:rsid w:val="00514A4A"/>
    <w:rsid w:val="00514B9B"/>
    <w:rsid w:val="00514CD3"/>
    <w:rsid w:val="00514CE9"/>
    <w:rsid w:val="00514F20"/>
    <w:rsid w:val="00514F65"/>
    <w:rsid w:val="00515284"/>
    <w:rsid w:val="0051555D"/>
    <w:rsid w:val="005155DD"/>
    <w:rsid w:val="005156D8"/>
    <w:rsid w:val="005157E5"/>
    <w:rsid w:val="00515A17"/>
    <w:rsid w:val="00515A4F"/>
    <w:rsid w:val="00515BAD"/>
    <w:rsid w:val="00515BF7"/>
    <w:rsid w:val="00515C08"/>
    <w:rsid w:val="00515CC2"/>
    <w:rsid w:val="0051603F"/>
    <w:rsid w:val="00516331"/>
    <w:rsid w:val="005163C1"/>
    <w:rsid w:val="00516487"/>
    <w:rsid w:val="005164B0"/>
    <w:rsid w:val="00516502"/>
    <w:rsid w:val="00516504"/>
    <w:rsid w:val="00516990"/>
    <w:rsid w:val="00516AEF"/>
    <w:rsid w:val="00516B3E"/>
    <w:rsid w:val="00516C9B"/>
    <w:rsid w:val="005170D3"/>
    <w:rsid w:val="005172EB"/>
    <w:rsid w:val="00517663"/>
    <w:rsid w:val="00517870"/>
    <w:rsid w:val="00517B7D"/>
    <w:rsid w:val="00517C61"/>
    <w:rsid w:val="00517CE4"/>
    <w:rsid w:val="00517FDB"/>
    <w:rsid w:val="005202E4"/>
    <w:rsid w:val="00520317"/>
    <w:rsid w:val="00520550"/>
    <w:rsid w:val="00520652"/>
    <w:rsid w:val="0052082D"/>
    <w:rsid w:val="005208E2"/>
    <w:rsid w:val="00520B60"/>
    <w:rsid w:val="00520CAC"/>
    <w:rsid w:val="00520D55"/>
    <w:rsid w:val="00520DD1"/>
    <w:rsid w:val="00520F8B"/>
    <w:rsid w:val="00521038"/>
    <w:rsid w:val="00521271"/>
    <w:rsid w:val="00521434"/>
    <w:rsid w:val="005216C6"/>
    <w:rsid w:val="00521742"/>
    <w:rsid w:val="0052185C"/>
    <w:rsid w:val="0052193D"/>
    <w:rsid w:val="00521B85"/>
    <w:rsid w:val="0052213E"/>
    <w:rsid w:val="0052227E"/>
    <w:rsid w:val="0052247D"/>
    <w:rsid w:val="005227B4"/>
    <w:rsid w:val="005228FE"/>
    <w:rsid w:val="00522D5C"/>
    <w:rsid w:val="00522FC9"/>
    <w:rsid w:val="00522FF8"/>
    <w:rsid w:val="0052300F"/>
    <w:rsid w:val="00523056"/>
    <w:rsid w:val="00523057"/>
    <w:rsid w:val="0052320F"/>
    <w:rsid w:val="0052326A"/>
    <w:rsid w:val="005237F9"/>
    <w:rsid w:val="005238E6"/>
    <w:rsid w:val="00523977"/>
    <w:rsid w:val="005239E5"/>
    <w:rsid w:val="00523C1B"/>
    <w:rsid w:val="00523D6D"/>
    <w:rsid w:val="0052403E"/>
    <w:rsid w:val="005241B3"/>
    <w:rsid w:val="00524410"/>
    <w:rsid w:val="005244D1"/>
    <w:rsid w:val="00524532"/>
    <w:rsid w:val="00524738"/>
    <w:rsid w:val="00524BFD"/>
    <w:rsid w:val="00524C0C"/>
    <w:rsid w:val="00524E25"/>
    <w:rsid w:val="0052530F"/>
    <w:rsid w:val="00525720"/>
    <w:rsid w:val="00525722"/>
    <w:rsid w:val="00525738"/>
    <w:rsid w:val="00525993"/>
    <w:rsid w:val="00525B30"/>
    <w:rsid w:val="00526514"/>
    <w:rsid w:val="0052655A"/>
    <w:rsid w:val="0052667D"/>
    <w:rsid w:val="00526760"/>
    <w:rsid w:val="005268EA"/>
    <w:rsid w:val="00526922"/>
    <w:rsid w:val="00526C0F"/>
    <w:rsid w:val="0052702C"/>
    <w:rsid w:val="0052712A"/>
    <w:rsid w:val="005272DA"/>
    <w:rsid w:val="0052738C"/>
    <w:rsid w:val="00527588"/>
    <w:rsid w:val="00527636"/>
    <w:rsid w:val="00527815"/>
    <w:rsid w:val="00527847"/>
    <w:rsid w:val="00527B04"/>
    <w:rsid w:val="00527B8C"/>
    <w:rsid w:val="00527C21"/>
    <w:rsid w:val="00527CFD"/>
    <w:rsid w:val="00527E04"/>
    <w:rsid w:val="00527F5E"/>
    <w:rsid w:val="00530026"/>
    <w:rsid w:val="00530239"/>
    <w:rsid w:val="005303C6"/>
    <w:rsid w:val="005304F8"/>
    <w:rsid w:val="005305F7"/>
    <w:rsid w:val="00530698"/>
    <w:rsid w:val="00530771"/>
    <w:rsid w:val="00530947"/>
    <w:rsid w:val="00530995"/>
    <w:rsid w:val="00530A46"/>
    <w:rsid w:val="00530ABF"/>
    <w:rsid w:val="00530CEA"/>
    <w:rsid w:val="00530D91"/>
    <w:rsid w:val="00530F5E"/>
    <w:rsid w:val="005313AB"/>
    <w:rsid w:val="0053158B"/>
    <w:rsid w:val="005319FE"/>
    <w:rsid w:val="00531C8B"/>
    <w:rsid w:val="00531CFB"/>
    <w:rsid w:val="00531D79"/>
    <w:rsid w:val="00531D97"/>
    <w:rsid w:val="00531FF7"/>
    <w:rsid w:val="0053222C"/>
    <w:rsid w:val="005324D1"/>
    <w:rsid w:val="00532934"/>
    <w:rsid w:val="0053299B"/>
    <w:rsid w:val="005329C7"/>
    <w:rsid w:val="00532B54"/>
    <w:rsid w:val="00532C38"/>
    <w:rsid w:val="00532C57"/>
    <w:rsid w:val="00532C5F"/>
    <w:rsid w:val="00532C93"/>
    <w:rsid w:val="00532CE7"/>
    <w:rsid w:val="00532DC5"/>
    <w:rsid w:val="00532E39"/>
    <w:rsid w:val="00532EB9"/>
    <w:rsid w:val="00533152"/>
    <w:rsid w:val="00533178"/>
    <w:rsid w:val="00533277"/>
    <w:rsid w:val="005332DD"/>
    <w:rsid w:val="005333FA"/>
    <w:rsid w:val="00533572"/>
    <w:rsid w:val="005335C2"/>
    <w:rsid w:val="00533800"/>
    <w:rsid w:val="00533845"/>
    <w:rsid w:val="005338B1"/>
    <w:rsid w:val="00533995"/>
    <w:rsid w:val="005339C7"/>
    <w:rsid w:val="00533A55"/>
    <w:rsid w:val="00533AB2"/>
    <w:rsid w:val="00533B0A"/>
    <w:rsid w:val="0053415C"/>
    <w:rsid w:val="0053447C"/>
    <w:rsid w:val="005344A9"/>
    <w:rsid w:val="005348B7"/>
    <w:rsid w:val="00534915"/>
    <w:rsid w:val="00534962"/>
    <w:rsid w:val="00534B8B"/>
    <w:rsid w:val="00534BAE"/>
    <w:rsid w:val="00534CDA"/>
    <w:rsid w:val="00534F01"/>
    <w:rsid w:val="00534F2F"/>
    <w:rsid w:val="005350A6"/>
    <w:rsid w:val="0053516D"/>
    <w:rsid w:val="0053521D"/>
    <w:rsid w:val="005353B2"/>
    <w:rsid w:val="0053561D"/>
    <w:rsid w:val="005356A7"/>
    <w:rsid w:val="005357A1"/>
    <w:rsid w:val="0053587D"/>
    <w:rsid w:val="00535D39"/>
    <w:rsid w:val="00535D49"/>
    <w:rsid w:val="00535E80"/>
    <w:rsid w:val="00535FB7"/>
    <w:rsid w:val="00535FF7"/>
    <w:rsid w:val="0053602E"/>
    <w:rsid w:val="005362A8"/>
    <w:rsid w:val="005363EA"/>
    <w:rsid w:val="00536658"/>
    <w:rsid w:val="00536B37"/>
    <w:rsid w:val="00536DF8"/>
    <w:rsid w:val="00536F22"/>
    <w:rsid w:val="00536FB3"/>
    <w:rsid w:val="00537101"/>
    <w:rsid w:val="00537630"/>
    <w:rsid w:val="00537711"/>
    <w:rsid w:val="005377D0"/>
    <w:rsid w:val="0053780E"/>
    <w:rsid w:val="0053786F"/>
    <w:rsid w:val="00537CBF"/>
    <w:rsid w:val="00537CDD"/>
    <w:rsid w:val="00537F29"/>
    <w:rsid w:val="00540657"/>
    <w:rsid w:val="005408F6"/>
    <w:rsid w:val="005409FA"/>
    <w:rsid w:val="00540C05"/>
    <w:rsid w:val="00540C6D"/>
    <w:rsid w:val="00540C74"/>
    <w:rsid w:val="00540EFA"/>
    <w:rsid w:val="00540F58"/>
    <w:rsid w:val="00540F66"/>
    <w:rsid w:val="00540F8A"/>
    <w:rsid w:val="0054101D"/>
    <w:rsid w:val="005410AC"/>
    <w:rsid w:val="0054117A"/>
    <w:rsid w:val="005412AB"/>
    <w:rsid w:val="005412D3"/>
    <w:rsid w:val="00541351"/>
    <w:rsid w:val="005413B5"/>
    <w:rsid w:val="005413E4"/>
    <w:rsid w:val="00541486"/>
    <w:rsid w:val="005416CB"/>
    <w:rsid w:val="005416D8"/>
    <w:rsid w:val="0054185B"/>
    <w:rsid w:val="00541DC3"/>
    <w:rsid w:val="00541DD0"/>
    <w:rsid w:val="00541EBE"/>
    <w:rsid w:val="00541F6A"/>
    <w:rsid w:val="0054223D"/>
    <w:rsid w:val="0054255E"/>
    <w:rsid w:val="00542587"/>
    <w:rsid w:val="00542600"/>
    <w:rsid w:val="00542620"/>
    <w:rsid w:val="00542638"/>
    <w:rsid w:val="00542743"/>
    <w:rsid w:val="005427EC"/>
    <w:rsid w:val="00542826"/>
    <w:rsid w:val="00542A75"/>
    <w:rsid w:val="00543050"/>
    <w:rsid w:val="00543103"/>
    <w:rsid w:val="00543148"/>
    <w:rsid w:val="0054317A"/>
    <w:rsid w:val="0054323E"/>
    <w:rsid w:val="0054345D"/>
    <w:rsid w:val="0054348F"/>
    <w:rsid w:val="005434F7"/>
    <w:rsid w:val="0054353B"/>
    <w:rsid w:val="005436A7"/>
    <w:rsid w:val="005438E2"/>
    <w:rsid w:val="0054391B"/>
    <w:rsid w:val="00543B6E"/>
    <w:rsid w:val="00543BC0"/>
    <w:rsid w:val="0054402B"/>
    <w:rsid w:val="005440EF"/>
    <w:rsid w:val="00544280"/>
    <w:rsid w:val="005443AB"/>
    <w:rsid w:val="00544442"/>
    <w:rsid w:val="00544534"/>
    <w:rsid w:val="00544559"/>
    <w:rsid w:val="00544968"/>
    <w:rsid w:val="00544A98"/>
    <w:rsid w:val="00544CC5"/>
    <w:rsid w:val="00544D08"/>
    <w:rsid w:val="00545009"/>
    <w:rsid w:val="00545179"/>
    <w:rsid w:val="005452CD"/>
    <w:rsid w:val="005456A7"/>
    <w:rsid w:val="00545876"/>
    <w:rsid w:val="0054588F"/>
    <w:rsid w:val="00545930"/>
    <w:rsid w:val="00545D21"/>
    <w:rsid w:val="005460FF"/>
    <w:rsid w:val="005464A7"/>
    <w:rsid w:val="00546577"/>
    <w:rsid w:val="00546833"/>
    <w:rsid w:val="005468E2"/>
    <w:rsid w:val="005469FD"/>
    <w:rsid w:val="00546E0C"/>
    <w:rsid w:val="00546E59"/>
    <w:rsid w:val="005470E4"/>
    <w:rsid w:val="0054716D"/>
    <w:rsid w:val="00547175"/>
    <w:rsid w:val="00547393"/>
    <w:rsid w:val="00547454"/>
    <w:rsid w:val="0054760F"/>
    <w:rsid w:val="005477A1"/>
    <w:rsid w:val="00547890"/>
    <w:rsid w:val="00547A34"/>
    <w:rsid w:val="00547A61"/>
    <w:rsid w:val="00547ABC"/>
    <w:rsid w:val="00547B67"/>
    <w:rsid w:val="00547F2F"/>
    <w:rsid w:val="0055015B"/>
    <w:rsid w:val="00550388"/>
    <w:rsid w:val="005503F0"/>
    <w:rsid w:val="00550450"/>
    <w:rsid w:val="00550507"/>
    <w:rsid w:val="005505A5"/>
    <w:rsid w:val="005506CF"/>
    <w:rsid w:val="0055077E"/>
    <w:rsid w:val="005509EA"/>
    <w:rsid w:val="00550B9E"/>
    <w:rsid w:val="00550DF0"/>
    <w:rsid w:val="00550F25"/>
    <w:rsid w:val="005510CB"/>
    <w:rsid w:val="005514AB"/>
    <w:rsid w:val="0055163D"/>
    <w:rsid w:val="005519E2"/>
    <w:rsid w:val="00551BB3"/>
    <w:rsid w:val="00551CFC"/>
    <w:rsid w:val="00551E92"/>
    <w:rsid w:val="00551F02"/>
    <w:rsid w:val="0055229D"/>
    <w:rsid w:val="005523D4"/>
    <w:rsid w:val="005523FD"/>
    <w:rsid w:val="0055240D"/>
    <w:rsid w:val="00552612"/>
    <w:rsid w:val="00552681"/>
    <w:rsid w:val="005526B9"/>
    <w:rsid w:val="005528DB"/>
    <w:rsid w:val="005529F0"/>
    <w:rsid w:val="00552AB3"/>
    <w:rsid w:val="00552AD1"/>
    <w:rsid w:val="00552AD5"/>
    <w:rsid w:val="00552BB6"/>
    <w:rsid w:val="00552C15"/>
    <w:rsid w:val="00553181"/>
    <w:rsid w:val="00553193"/>
    <w:rsid w:val="005531EF"/>
    <w:rsid w:val="00553318"/>
    <w:rsid w:val="00553392"/>
    <w:rsid w:val="0055349F"/>
    <w:rsid w:val="005534B1"/>
    <w:rsid w:val="00553506"/>
    <w:rsid w:val="005537AC"/>
    <w:rsid w:val="00553A25"/>
    <w:rsid w:val="00553D10"/>
    <w:rsid w:val="00553D91"/>
    <w:rsid w:val="00553E67"/>
    <w:rsid w:val="00553FA3"/>
    <w:rsid w:val="00554170"/>
    <w:rsid w:val="005541D4"/>
    <w:rsid w:val="00554418"/>
    <w:rsid w:val="005545B8"/>
    <w:rsid w:val="005545F5"/>
    <w:rsid w:val="00554612"/>
    <w:rsid w:val="005549BE"/>
    <w:rsid w:val="005549D5"/>
    <w:rsid w:val="00554C64"/>
    <w:rsid w:val="00554D41"/>
    <w:rsid w:val="0055503F"/>
    <w:rsid w:val="00555193"/>
    <w:rsid w:val="005554BF"/>
    <w:rsid w:val="00555594"/>
    <w:rsid w:val="0055568F"/>
    <w:rsid w:val="00555867"/>
    <w:rsid w:val="0055590B"/>
    <w:rsid w:val="00555BE1"/>
    <w:rsid w:val="00555C64"/>
    <w:rsid w:val="00555CC1"/>
    <w:rsid w:val="00555DE9"/>
    <w:rsid w:val="00555FC5"/>
    <w:rsid w:val="00555FD4"/>
    <w:rsid w:val="0055600B"/>
    <w:rsid w:val="00556327"/>
    <w:rsid w:val="0055645C"/>
    <w:rsid w:val="00556511"/>
    <w:rsid w:val="00556656"/>
    <w:rsid w:val="005566E1"/>
    <w:rsid w:val="005567EB"/>
    <w:rsid w:val="00556842"/>
    <w:rsid w:val="00556A08"/>
    <w:rsid w:val="00556A1C"/>
    <w:rsid w:val="00556C7C"/>
    <w:rsid w:val="00556F22"/>
    <w:rsid w:val="00556F86"/>
    <w:rsid w:val="00556F90"/>
    <w:rsid w:val="00557093"/>
    <w:rsid w:val="005570E7"/>
    <w:rsid w:val="00557128"/>
    <w:rsid w:val="005572CB"/>
    <w:rsid w:val="00557309"/>
    <w:rsid w:val="00557360"/>
    <w:rsid w:val="0055737D"/>
    <w:rsid w:val="00557396"/>
    <w:rsid w:val="00557449"/>
    <w:rsid w:val="0055747A"/>
    <w:rsid w:val="005579AF"/>
    <w:rsid w:val="00557A6D"/>
    <w:rsid w:val="00557C72"/>
    <w:rsid w:val="00557CCF"/>
    <w:rsid w:val="00557CEE"/>
    <w:rsid w:val="00557D2A"/>
    <w:rsid w:val="0056002B"/>
    <w:rsid w:val="0056016D"/>
    <w:rsid w:val="00560301"/>
    <w:rsid w:val="005603A7"/>
    <w:rsid w:val="00560437"/>
    <w:rsid w:val="0056044E"/>
    <w:rsid w:val="00560523"/>
    <w:rsid w:val="0056084A"/>
    <w:rsid w:val="00560947"/>
    <w:rsid w:val="00560B1D"/>
    <w:rsid w:val="00560DC2"/>
    <w:rsid w:val="00560F59"/>
    <w:rsid w:val="00561261"/>
    <w:rsid w:val="005612EE"/>
    <w:rsid w:val="00561444"/>
    <w:rsid w:val="00561467"/>
    <w:rsid w:val="0056167C"/>
    <w:rsid w:val="005617C2"/>
    <w:rsid w:val="00561875"/>
    <w:rsid w:val="00561CC3"/>
    <w:rsid w:val="00561E94"/>
    <w:rsid w:val="00562017"/>
    <w:rsid w:val="0056208A"/>
    <w:rsid w:val="005620B4"/>
    <w:rsid w:val="005620CC"/>
    <w:rsid w:val="005620D3"/>
    <w:rsid w:val="00562114"/>
    <w:rsid w:val="00562260"/>
    <w:rsid w:val="005625C4"/>
    <w:rsid w:val="0056261D"/>
    <w:rsid w:val="005626B3"/>
    <w:rsid w:val="005628A5"/>
    <w:rsid w:val="005628F0"/>
    <w:rsid w:val="00562E01"/>
    <w:rsid w:val="00562E51"/>
    <w:rsid w:val="00562E91"/>
    <w:rsid w:val="00562ECF"/>
    <w:rsid w:val="00562FA6"/>
    <w:rsid w:val="0056315A"/>
    <w:rsid w:val="005631E4"/>
    <w:rsid w:val="005633CD"/>
    <w:rsid w:val="00563427"/>
    <w:rsid w:val="0056362F"/>
    <w:rsid w:val="005638A7"/>
    <w:rsid w:val="00563A62"/>
    <w:rsid w:val="00563D2A"/>
    <w:rsid w:val="00563E46"/>
    <w:rsid w:val="00563F2E"/>
    <w:rsid w:val="00564152"/>
    <w:rsid w:val="0056417A"/>
    <w:rsid w:val="0056418E"/>
    <w:rsid w:val="005643C5"/>
    <w:rsid w:val="0056442F"/>
    <w:rsid w:val="0056466D"/>
    <w:rsid w:val="00564954"/>
    <w:rsid w:val="00564A47"/>
    <w:rsid w:val="00564AB4"/>
    <w:rsid w:val="00564B56"/>
    <w:rsid w:val="00564BBF"/>
    <w:rsid w:val="00564D15"/>
    <w:rsid w:val="00564E31"/>
    <w:rsid w:val="00564E60"/>
    <w:rsid w:val="00564EBE"/>
    <w:rsid w:val="0056507C"/>
    <w:rsid w:val="00565249"/>
    <w:rsid w:val="005652B3"/>
    <w:rsid w:val="0056594A"/>
    <w:rsid w:val="00565959"/>
    <w:rsid w:val="005659F3"/>
    <w:rsid w:val="00565B81"/>
    <w:rsid w:val="00565B88"/>
    <w:rsid w:val="00566002"/>
    <w:rsid w:val="00566051"/>
    <w:rsid w:val="005661D3"/>
    <w:rsid w:val="00566269"/>
    <w:rsid w:val="005662FC"/>
    <w:rsid w:val="005664E5"/>
    <w:rsid w:val="0056657B"/>
    <w:rsid w:val="005668B7"/>
    <w:rsid w:val="005668BF"/>
    <w:rsid w:val="005668EF"/>
    <w:rsid w:val="00566983"/>
    <w:rsid w:val="00566AE3"/>
    <w:rsid w:val="00566AEE"/>
    <w:rsid w:val="00566C42"/>
    <w:rsid w:val="00566DB5"/>
    <w:rsid w:val="00566E36"/>
    <w:rsid w:val="00566EDE"/>
    <w:rsid w:val="0056714B"/>
    <w:rsid w:val="00567368"/>
    <w:rsid w:val="00567373"/>
    <w:rsid w:val="005673D0"/>
    <w:rsid w:val="0056741A"/>
    <w:rsid w:val="00567482"/>
    <w:rsid w:val="0056763E"/>
    <w:rsid w:val="005679CF"/>
    <w:rsid w:val="00567A26"/>
    <w:rsid w:val="00567B0B"/>
    <w:rsid w:val="00567B23"/>
    <w:rsid w:val="00567CAD"/>
    <w:rsid w:val="00567E64"/>
    <w:rsid w:val="005700C5"/>
    <w:rsid w:val="0057046B"/>
    <w:rsid w:val="00570546"/>
    <w:rsid w:val="0057057D"/>
    <w:rsid w:val="005705F5"/>
    <w:rsid w:val="00570850"/>
    <w:rsid w:val="005709E0"/>
    <w:rsid w:val="00570B1E"/>
    <w:rsid w:val="00570B2E"/>
    <w:rsid w:val="00570C06"/>
    <w:rsid w:val="00570F0B"/>
    <w:rsid w:val="00570F4B"/>
    <w:rsid w:val="0057103E"/>
    <w:rsid w:val="00571125"/>
    <w:rsid w:val="0057126C"/>
    <w:rsid w:val="0057129E"/>
    <w:rsid w:val="0057137C"/>
    <w:rsid w:val="005714CA"/>
    <w:rsid w:val="00571693"/>
    <w:rsid w:val="005716A0"/>
    <w:rsid w:val="00571718"/>
    <w:rsid w:val="0057174A"/>
    <w:rsid w:val="005717E2"/>
    <w:rsid w:val="005718CF"/>
    <w:rsid w:val="005718EE"/>
    <w:rsid w:val="0057191C"/>
    <w:rsid w:val="00571B41"/>
    <w:rsid w:val="00571C59"/>
    <w:rsid w:val="00571C92"/>
    <w:rsid w:val="00571D12"/>
    <w:rsid w:val="00571D9C"/>
    <w:rsid w:val="00571DFD"/>
    <w:rsid w:val="00571F2B"/>
    <w:rsid w:val="005720BA"/>
    <w:rsid w:val="005721E0"/>
    <w:rsid w:val="0057235C"/>
    <w:rsid w:val="005723BD"/>
    <w:rsid w:val="005724FE"/>
    <w:rsid w:val="00572624"/>
    <w:rsid w:val="00572646"/>
    <w:rsid w:val="005726E2"/>
    <w:rsid w:val="0057270B"/>
    <w:rsid w:val="0057287A"/>
    <w:rsid w:val="00572972"/>
    <w:rsid w:val="005729D2"/>
    <w:rsid w:val="00572AC0"/>
    <w:rsid w:val="00572F0A"/>
    <w:rsid w:val="00573316"/>
    <w:rsid w:val="00573462"/>
    <w:rsid w:val="0057354A"/>
    <w:rsid w:val="0057360B"/>
    <w:rsid w:val="00573624"/>
    <w:rsid w:val="005736A3"/>
    <w:rsid w:val="00573726"/>
    <w:rsid w:val="0057376D"/>
    <w:rsid w:val="00573948"/>
    <w:rsid w:val="0057396A"/>
    <w:rsid w:val="00573A9B"/>
    <w:rsid w:val="00573ADD"/>
    <w:rsid w:val="00573D06"/>
    <w:rsid w:val="00573E35"/>
    <w:rsid w:val="00573F37"/>
    <w:rsid w:val="00574009"/>
    <w:rsid w:val="0057416F"/>
    <w:rsid w:val="00574174"/>
    <w:rsid w:val="005742C4"/>
    <w:rsid w:val="00574741"/>
    <w:rsid w:val="00574B65"/>
    <w:rsid w:val="00574C65"/>
    <w:rsid w:val="00574DE5"/>
    <w:rsid w:val="00574E96"/>
    <w:rsid w:val="00574EFE"/>
    <w:rsid w:val="00574F87"/>
    <w:rsid w:val="00575016"/>
    <w:rsid w:val="00575079"/>
    <w:rsid w:val="005751E7"/>
    <w:rsid w:val="0057524A"/>
    <w:rsid w:val="00575461"/>
    <w:rsid w:val="005754EA"/>
    <w:rsid w:val="0057558F"/>
    <w:rsid w:val="005755B9"/>
    <w:rsid w:val="0057568B"/>
    <w:rsid w:val="00575978"/>
    <w:rsid w:val="00575BB8"/>
    <w:rsid w:val="00575C46"/>
    <w:rsid w:val="00575F96"/>
    <w:rsid w:val="0057605F"/>
    <w:rsid w:val="00576207"/>
    <w:rsid w:val="0057620A"/>
    <w:rsid w:val="00576256"/>
    <w:rsid w:val="005762EA"/>
    <w:rsid w:val="00576599"/>
    <w:rsid w:val="00576639"/>
    <w:rsid w:val="005767D6"/>
    <w:rsid w:val="00576968"/>
    <w:rsid w:val="005769EC"/>
    <w:rsid w:val="00576A61"/>
    <w:rsid w:val="00576AA6"/>
    <w:rsid w:val="00576C0B"/>
    <w:rsid w:val="00576C1E"/>
    <w:rsid w:val="00576C44"/>
    <w:rsid w:val="00576C46"/>
    <w:rsid w:val="00577019"/>
    <w:rsid w:val="005770AE"/>
    <w:rsid w:val="005770E2"/>
    <w:rsid w:val="00577289"/>
    <w:rsid w:val="00577960"/>
    <w:rsid w:val="00577C8F"/>
    <w:rsid w:val="00577DAE"/>
    <w:rsid w:val="00577E23"/>
    <w:rsid w:val="00577E34"/>
    <w:rsid w:val="00577E7F"/>
    <w:rsid w:val="00577FD0"/>
    <w:rsid w:val="005800DC"/>
    <w:rsid w:val="0058018B"/>
    <w:rsid w:val="005801DE"/>
    <w:rsid w:val="0058023E"/>
    <w:rsid w:val="00580323"/>
    <w:rsid w:val="00580358"/>
    <w:rsid w:val="005803A6"/>
    <w:rsid w:val="005803BA"/>
    <w:rsid w:val="005803DC"/>
    <w:rsid w:val="005804FD"/>
    <w:rsid w:val="0058061C"/>
    <w:rsid w:val="0058085F"/>
    <w:rsid w:val="00580AA9"/>
    <w:rsid w:val="00580AC5"/>
    <w:rsid w:val="00580DF1"/>
    <w:rsid w:val="00580E4D"/>
    <w:rsid w:val="00580E53"/>
    <w:rsid w:val="00580EB7"/>
    <w:rsid w:val="0058133B"/>
    <w:rsid w:val="0058140A"/>
    <w:rsid w:val="0058149A"/>
    <w:rsid w:val="00581525"/>
    <w:rsid w:val="0058168A"/>
    <w:rsid w:val="00581690"/>
    <w:rsid w:val="0058172C"/>
    <w:rsid w:val="00581B5B"/>
    <w:rsid w:val="00581C04"/>
    <w:rsid w:val="00581D22"/>
    <w:rsid w:val="00581FE8"/>
    <w:rsid w:val="005820F7"/>
    <w:rsid w:val="005824F2"/>
    <w:rsid w:val="005825AC"/>
    <w:rsid w:val="00582843"/>
    <w:rsid w:val="00582B01"/>
    <w:rsid w:val="00582C1D"/>
    <w:rsid w:val="00582E48"/>
    <w:rsid w:val="0058319E"/>
    <w:rsid w:val="00583207"/>
    <w:rsid w:val="00583227"/>
    <w:rsid w:val="0058339C"/>
    <w:rsid w:val="005833AA"/>
    <w:rsid w:val="0058355D"/>
    <w:rsid w:val="005835C2"/>
    <w:rsid w:val="0058385A"/>
    <w:rsid w:val="0058397A"/>
    <w:rsid w:val="005839E3"/>
    <w:rsid w:val="00583A78"/>
    <w:rsid w:val="00583C4D"/>
    <w:rsid w:val="00583F10"/>
    <w:rsid w:val="005840C0"/>
    <w:rsid w:val="005841E7"/>
    <w:rsid w:val="00584215"/>
    <w:rsid w:val="00584322"/>
    <w:rsid w:val="0058436F"/>
    <w:rsid w:val="005845FC"/>
    <w:rsid w:val="00584742"/>
    <w:rsid w:val="005847C4"/>
    <w:rsid w:val="005848D4"/>
    <w:rsid w:val="005849DB"/>
    <w:rsid w:val="00584AD7"/>
    <w:rsid w:val="00584C61"/>
    <w:rsid w:val="00584CF9"/>
    <w:rsid w:val="00584ECC"/>
    <w:rsid w:val="00585302"/>
    <w:rsid w:val="00585303"/>
    <w:rsid w:val="005854A7"/>
    <w:rsid w:val="005854D6"/>
    <w:rsid w:val="0058581A"/>
    <w:rsid w:val="00585928"/>
    <w:rsid w:val="00585A50"/>
    <w:rsid w:val="00585DD9"/>
    <w:rsid w:val="00585E5D"/>
    <w:rsid w:val="00585EEA"/>
    <w:rsid w:val="005863BA"/>
    <w:rsid w:val="005864A1"/>
    <w:rsid w:val="005864F9"/>
    <w:rsid w:val="005865FB"/>
    <w:rsid w:val="00586623"/>
    <w:rsid w:val="005866AF"/>
    <w:rsid w:val="00586723"/>
    <w:rsid w:val="00586803"/>
    <w:rsid w:val="005868E4"/>
    <w:rsid w:val="00586AD8"/>
    <w:rsid w:val="00586D7B"/>
    <w:rsid w:val="00586E09"/>
    <w:rsid w:val="00586FD8"/>
    <w:rsid w:val="005870A1"/>
    <w:rsid w:val="00587398"/>
    <w:rsid w:val="00587856"/>
    <w:rsid w:val="005878F7"/>
    <w:rsid w:val="00587918"/>
    <w:rsid w:val="00587B8A"/>
    <w:rsid w:val="00587B9E"/>
    <w:rsid w:val="00587CDB"/>
    <w:rsid w:val="00587DC4"/>
    <w:rsid w:val="00587E73"/>
    <w:rsid w:val="00587F3F"/>
    <w:rsid w:val="00587F6C"/>
    <w:rsid w:val="00587FA1"/>
    <w:rsid w:val="00590000"/>
    <w:rsid w:val="0059016E"/>
    <w:rsid w:val="00590343"/>
    <w:rsid w:val="00590810"/>
    <w:rsid w:val="0059087C"/>
    <w:rsid w:val="0059099B"/>
    <w:rsid w:val="00590A23"/>
    <w:rsid w:val="00590C2E"/>
    <w:rsid w:val="00590C80"/>
    <w:rsid w:val="00590D98"/>
    <w:rsid w:val="00590EFB"/>
    <w:rsid w:val="00590F0D"/>
    <w:rsid w:val="00590F29"/>
    <w:rsid w:val="0059186B"/>
    <w:rsid w:val="0059199F"/>
    <w:rsid w:val="00591A8C"/>
    <w:rsid w:val="00591C98"/>
    <w:rsid w:val="00591CC3"/>
    <w:rsid w:val="00591DC3"/>
    <w:rsid w:val="00592380"/>
    <w:rsid w:val="00592401"/>
    <w:rsid w:val="00592456"/>
    <w:rsid w:val="005924D0"/>
    <w:rsid w:val="005928F3"/>
    <w:rsid w:val="005929FD"/>
    <w:rsid w:val="00592A61"/>
    <w:rsid w:val="00592B7D"/>
    <w:rsid w:val="00592FB0"/>
    <w:rsid w:val="00592FCB"/>
    <w:rsid w:val="00593064"/>
    <w:rsid w:val="005934BC"/>
    <w:rsid w:val="00593585"/>
    <w:rsid w:val="005935BD"/>
    <w:rsid w:val="005935D4"/>
    <w:rsid w:val="0059369B"/>
    <w:rsid w:val="005938F7"/>
    <w:rsid w:val="00593AAE"/>
    <w:rsid w:val="00593C02"/>
    <w:rsid w:val="00593D68"/>
    <w:rsid w:val="00593EE3"/>
    <w:rsid w:val="005940F1"/>
    <w:rsid w:val="00594165"/>
    <w:rsid w:val="00594223"/>
    <w:rsid w:val="00594353"/>
    <w:rsid w:val="0059448C"/>
    <w:rsid w:val="00594599"/>
    <w:rsid w:val="005947F2"/>
    <w:rsid w:val="00594932"/>
    <w:rsid w:val="00594E0D"/>
    <w:rsid w:val="00595154"/>
    <w:rsid w:val="0059559A"/>
    <w:rsid w:val="005955D0"/>
    <w:rsid w:val="00595642"/>
    <w:rsid w:val="005957F0"/>
    <w:rsid w:val="005958A4"/>
    <w:rsid w:val="00595E30"/>
    <w:rsid w:val="00595F6F"/>
    <w:rsid w:val="00595F7B"/>
    <w:rsid w:val="00595FA6"/>
    <w:rsid w:val="005962A3"/>
    <w:rsid w:val="00596306"/>
    <w:rsid w:val="005965C5"/>
    <w:rsid w:val="005966F5"/>
    <w:rsid w:val="00596725"/>
    <w:rsid w:val="005967F3"/>
    <w:rsid w:val="0059682F"/>
    <w:rsid w:val="0059685C"/>
    <w:rsid w:val="005968C9"/>
    <w:rsid w:val="005968EB"/>
    <w:rsid w:val="00596AE0"/>
    <w:rsid w:val="00596B29"/>
    <w:rsid w:val="00596B81"/>
    <w:rsid w:val="00596EB1"/>
    <w:rsid w:val="00596FEE"/>
    <w:rsid w:val="00596FF5"/>
    <w:rsid w:val="0059737C"/>
    <w:rsid w:val="0059747A"/>
    <w:rsid w:val="005974FC"/>
    <w:rsid w:val="005978A1"/>
    <w:rsid w:val="005978FB"/>
    <w:rsid w:val="00597A4A"/>
    <w:rsid w:val="00597B10"/>
    <w:rsid w:val="00597BBE"/>
    <w:rsid w:val="00597BC8"/>
    <w:rsid w:val="00597C02"/>
    <w:rsid w:val="00597D7D"/>
    <w:rsid w:val="00597D9E"/>
    <w:rsid w:val="00597DC5"/>
    <w:rsid w:val="00597DDD"/>
    <w:rsid w:val="00597ECB"/>
    <w:rsid w:val="00597FAA"/>
    <w:rsid w:val="00597FB0"/>
    <w:rsid w:val="005A0231"/>
    <w:rsid w:val="005A035B"/>
    <w:rsid w:val="005A067D"/>
    <w:rsid w:val="005A09E7"/>
    <w:rsid w:val="005A0A00"/>
    <w:rsid w:val="005A0AF4"/>
    <w:rsid w:val="005A0CC7"/>
    <w:rsid w:val="005A0D07"/>
    <w:rsid w:val="005A0D21"/>
    <w:rsid w:val="005A0D9E"/>
    <w:rsid w:val="005A0E4A"/>
    <w:rsid w:val="005A0EDA"/>
    <w:rsid w:val="005A0FF8"/>
    <w:rsid w:val="005A1171"/>
    <w:rsid w:val="005A1181"/>
    <w:rsid w:val="005A128E"/>
    <w:rsid w:val="005A1486"/>
    <w:rsid w:val="005A15C6"/>
    <w:rsid w:val="005A1719"/>
    <w:rsid w:val="005A187E"/>
    <w:rsid w:val="005A1EAD"/>
    <w:rsid w:val="005A1F42"/>
    <w:rsid w:val="005A2344"/>
    <w:rsid w:val="005A2583"/>
    <w:rsid w:val="005A26EE"/>
    <w:rsid w:val="005A27DD"/>
    <w:rsid w:val="005A29B8"/>
    <w:rsid w:val="005A29DA"/>
    <w:rsid w:val="005A2A1C"/>
    <w:rsid w:val="005A2B90"/>
    <w:rsid w:val="005A2F32"/>
    <w:rsid w:val="005A31B7"/>
    <w:rsid w:val="005A3261"/>
    <w:rsid w:val="005A3397"/>
    <w:rsid w:val="005A371C"/>
    <w:rsid w:val="005A3822"/>
    <w:rsid w:val="005A3824"/>
    <w:rsid w:val="005A3A89"/>
    <w:rsid w:val="005A3BDD"/>
    <w:rsid w:val="005A3BF2"/>
    <w:rsid w:val="005A3D28"/>
    <w:rsid w:val="005A3DFA"/>
    <w:rsid w:val="005A3EA2"/>
    <w:rsid w:val="005A3F5E"/>
    <w:rsid w:val="005A40B4"/>
    <w:rsid w:val="005A417F"/>
    <w:rsid w:val="005A41C9"/>
    <w:rsid w:val="005A444E"/>
    <w:rsid w:val="005A448F"/>
    <w:rsid w:val="005A44C8"/>
    <w:rsid w:val="005A458D"/>
    <w:rsid w:val="005A45C6"/>
    <w:rsid w:val="005A4649"/>
    <w:rsid w:val="005A4667"/>
    <w:rsid w:val="005A46BE"/>
    <w:rsid w:val="005A4730"/>
    <w:rsid w:val="005A48D4"/>
    <w:rsid w:val="005A4DCB"/>
    <w:rsid w:val="005A4DFC"/>
    <w:rsid w:val="005A4E65"/>
    <w:rsid w:val="005A5086"/>
    <w:rsid w:val="005A533B"/>
    <w:rsid w:val="005A5777"/>
    <w:rsid w:val="005A5B3E"/>
    <w:rsid w:val="005A5B9D"/>
    <w:rsid w:val="005A5BA6"/>
    <w:rsid w:val="005A5C9D"/>
    <w:rsid w:val="005A5E7D"/>
    <w:rsid w:val="005A5EE7"/>
    <w:rsid w:val="005A6076"/>
    <w:rsid w:val="005A61F2"/>
    <w:rsid w:val="005A6202"/>
    <w:rsid w:val="005A62B4"/>
    <w:rsid w:val="005A6595"/>
    <w:rsid w:val="005A65A2"/>
    <w:rsid w:val="005A65A8"/>
    <w:rsid w:val="005A65AA"/>
    <w:rsid w:val="005A6786"/>
    <w:rsid w:val="005A68F5"/>
    <w:rsid w:val="005A6AF3"/>
    <w:rsid w:val="005A6EDC"/>
    <w:rsid w:val="005A6F24"/>
    <w:rsid w:val="005A7166"/>
    <w:rsid w:val="005A719F"/>
    <w:rsid w:val="005A7203"/>
    <w:rsid w:val="005A7704"/>
    <w:rsid w:val="005A7794"/>
    <w:rsid w:val="005A7872"/>
    <w:rsid w:val="005A78C3"/>
    <w:rsid w:val="005A78FC"/>
    <w:rsid w:val="005A7993"/>
    <w:rsid w:val="005A7AB1"/>
    <w:rsid w:val="005A7D75"/>
    <w:rsid w:val="005A7DA2"/>
    <w:rsid w:val="005A7F65"/>
    <w:rsid w:val="005B0052"/>
    <w:rsid w:val="005B0070"/>
    <w:rsid w:val="005B0153"/>
    <w:rsid w:val="005B0358"/>
    <w:rsid w:val="005B048A"/>
    <w:rsid w:val="005B08FC"/>
    <w:rsid w:val="005B0A4A"/>
    <w:rsid w:val="005B0B05"/>
    <w:rsid w:val="005B0D63"/>
    <w:rsid w:val="005B0ECF"/>
    <w:rsid w:val="005B0FC7"/>
    <w:rsid w:val="005B0FE4"/>
    <w:rsid w:val="005B1033"/>
    <w:rsid w:val="005B1257"/>
    <w:rsid w:val="005B138B"/>
    <w:rsid w:val="005B1520"/>
    <w:rsid w:val="005B1656"/>
    <w:rsid w:val="005B1682"/>
    <w:rsid w:val="005B1AFB"/>
    <w:rsid w:val="005B1C50"/>
    <w:rsid w:val="005B1C53"/>
    <w:rsid w:val="005B1D57"/>
    <w:rsid w:val="005B2015"/>
    <w:rsid w:val="005B20CE"/>
    <w:rsid w:val="005B227E"/>
    <w:rsid w:val="005B22FD"/>
    <w:rsid w:val="005B2396"/>
    <w:rsid w:val="005B2619"/>
    <w:rsid w:val="005B2850"/>
    <w:rsid w:val="005B29CE"/>
    <w:rsid w:val="005B2DAF"/>
    <w:rsid w:val="005B2FEC"/>
    <w:rsid w:val="005B302A"/>
    <w:rsid w:val="005B3092"/>
    <w:rsid w:val="005B311D"/>
    <w:rsid w:val="005B318E"/>
    <w:rsid w:val="005B328B"/>
    <w:rsid w:val="005B34AB"/>
    <w:rsid w:val="005B362A"/>
    <w:rsid w:val="005B381D"/>
    <w:rsid w:val="005B3889"/>
    <w:rsid w:val="005B38C2"/>
    <w:rsid w:val="005B394E"/>
    <w:rsid w:val="005B3ABB"/>
    <w:rsid w:val="005B3B7E"/>
    <w:rsid w:val="005B3BEC"/>
    <w:rsid w:val="005B3FF5"/>
    <w:rsid w:val="005B4425"/>
    <w:rsid w:val="005B442D"/>
    <w:rsid w:val="005B451F"/>
    <w:rsid w:val="005B45F5"/>
    <w:rsid w:val="005B4838"/>
    <w:rsid w:val="005B49CE"/>
    <w:rsid w:val="005B4ADE"/>
    <w:rsid w:val="005B4B8D"/>
    <w:rsid w:val="005B4C51"/>
    <w:rsid w:val="005B4CFE"/>
    <w:rsid w:val="005B4DA3"/>
    <w:rsid w:val="005B4E40"/>
    <w:rsid w:val="005B4F0F"/>
    <w:rsid w:val="005B4FD4"/>
    <w:rsid w:val="005B5165"/>
    <w:rsid w:val="005B53FD"/>
    <w:rsid w:val="005B55D9"/>
    <w:rsid w:val="005B5777"/>
    <w:rsid w:val="005B57A5"/>
    <w:rsid w:val="005B5840"/>
    <w:rsid w:val="005B5898"/>
    <w:rsid w:val="005B58C0"/>
    <w:rsid w:val="005B5952"/>
    <w:rsid w:val="005B5A33"/>
    <w:rsid w:val="005B5B1D"/>
    <w:rsid w:val="005B5B80"/>
    <w:rsid w:val="005B5D6B"/>
    <w:rsid w:val="005B5EBA"/>
    <w:rsid w:val="005B6116"/>
    <w:rsid w:val="005B61D0"/>
    <w:rsid w:val="005B627A"/>
    <w:rsid w:val="005B63C4"/>
    <w:rsid w:val="005B63FF"/>
    <w:rsid w:val="005B6839"/>
    <w:rsid w:val="005B68AD"/>
    <w:rsid w:val="005B69FB"/>
    <w:rsid w:val="005B6AB0"/>
    <w:rsid w:val="005B6E01"/>
    <w:rsid w:val="005B6E67"/>
    <w:rsid w:val="005B6F26"/>
    <w:rsid w:val="005B704F"/>
    <w:rsid w:val="005B71C7"/>
    <w:rsid w:val="005B7291"/>
    <w:rsid w:val="005B7317"/>
    <w:rsid w:val="005B7619"/>
    <w:rsid w:val="005B7904"/>
    <w:rsid w:val="005B79A8"/>
    <w:rsid w:val="005B7B47"/>
    <w:rsid w:val="005B7CBC"/>
    <w:rsid w:val="005B7DBF"/>
    <w:rsid w:val="005BA5E4"/>
    <w:rsid w:val="005C0078"/>
    <w:rsid w:val="005C042A"/>
    <w:rsid w:val="005C04DD"/>
    <w:rsid w:val="005C0567"/>
    <w:rsid w:val="005C0578"/>
    <w:rsid w:val="005C07B2"/>
    <w:rsid w:val="005C0848"/>
    <w:rsid w:val="005C08C1"/>
    <w:rsid w:val="005C0919"/>
    <w:rsid w:val="005C0AB6"/>
    <w:rsid w:val="005C0BC9"/>
    <w:rsid w:val="005C0CE1"/>
    <w:rsid w:val="005C0E49"/>
    <w:rsid w:val="005C1102"/>
    <w:rsid w:val="005C1299"/>
    <w:rsid w:val="005C14B3"/>
    <w:rsid w:val="005C14C6"/>
    <w:rsid w:val="005C155F"/>
    <w:rsid w:val="005C1829"/>
    <w:rsid w:val="005C198A"/>
    <w:rsid w:val="005C1ABC"/>
    <w:rsid w:val="005C1ADA"/>
    <w:rsid w:val="005C1D3D"/>
    <w:rsid w:val="005C1DCF"/>
    <w:rsid w:val="005C1F94"/>
    <w:rsid w:val="005C21D4"/>
    <w:rsid w:val="005C22F9"/>
    <w:rsid w:val="005C2385"/>
    <w:rsid w:val="005C2425"/>
    <w:rsid w:val="005C2428"/>
    <w:rsid w:val="005C2514"/>
    <w:rsid w:val="005C2529"/>
    <w:rsid w:val="005C2592"/>
    <w:rsid w:val="005C292B"/>
    <w:rsid w:val="005C2975"/>
    <w:rsid w:val="005C2A82"/>
    <w:rsid w:val="005C2A85"/>
    <w:rsid w:val="005C2C1A"/>
    <w:rsid w:val="005C3455"/>
    <w:rsid w:val="005C35A1"/>
    <w:rsid w:val="005C35AE"/>
    <w:rsid w:val="005C3835"/>
    <w:rsid w:val="005C3B54"/>
    <w:rsid w:val="005C3C90"/>
    <w:rsid w:val="005C3DCF"/>
    <w:rsid w:val="005C3E21"/>
    <w:rsid w:val="005C404C"/>
    <w:rsid w:val="005C4247"/>
    <w:rsid w:val="005C4254"/>
    <w:rsid w:val="005C42EF"/>
    <w:rsid w:val="005C4324"/>
    <w:rsid w:val="005C438C"/>
    <w:rsid w:val="005C44CE"/>
    <w:rsid w:val="005C468E"/>
    <w:rsid w:val="005C4788"/>
    <w:rsid w:val="005C4A87"/>
    <w:rsid w:val="005C4B9E"/>
    <w:rsid w:val="005C4C21"/>
    <w:rsid w:val="005C4C6A"/>
    <w:rsid w:val="005C4F0C"/>
    <w:rsid w:val="005C504C"/>
    <w:rsid w:val="005C536E"/>
    <w:rsid w:val="005C548B"/>
    <w:rsid w:val="005C5632"/>
    <w:rsid w:val="005C56D6"/>
    <w:rsid w:val="005C575C"/>
    <w:rsid w:val="005C57FF"/>
    <w:rsid w:val="005C5ACC"/>
    <w:rsid w:val="005C5B49"/>
    <w:rsid w:val="005C5C3F"/>
    <w:rsid w:val="005C5FC7"/>
    <w:rsid w:val="005C6091"/>
    <w:rsid w:val="005C60DA"/>
    <w:rsid w:val="005C6138"/>
    <w:rsid w:val="005C630A"/>
    <w:rsid w:val="005C6350"/>
    <w:rsid w:val="005C6402"/>
    <w:rsid w:val="005C644A"/>
    <w:rsid w:val="005C65DD"/>
    <w:rsid w:val="005C6637"/>
    <w:rsid w:val="005C6CFB"/>
    <w:rsid w:val="005C6EDF"/>
    <w:rsid w:val="005C7087"/>
    <w:rsid w:val="005C7191"/>
    <w:rsid w:val="005C7198"/>
    <w:rsid w:val="005C741F"/>
    <w:rsid w:val="005C7591"/>
    <w:rsid w:val="005C762F"/>
    <w:rsid w:val="005C76C9"/>
    <w:rsid w:val="005C77D4"/>
    <w:rsid w:val="005C77FF"/>
    <w:rsid w:val="005C7897"/>
    <w:rsid w:val="005C79C9"/>
    <w:rsid w:val="005C7A4C"/>
    <w:rsid w:val="005C7BBC"/>
    <w:rsid w:val="005C7DF9"/>
    <w:rsid w:val="005CCE00"/>
    <w:rsid w:val="005D01BD"/>
    <w:rsid w:val="005D01F1"/>
    <w:rsid w:val="005D0276"/>
    <w:rsid w:val="005D035C"/>
    <w:rsid w:val="005D03EF"/>
    <w:rsid w:val="005D046C"/>
    <w:rsid w:val="005D04AF"/>
    <w:rsid w:val="005D0662"/>
    <w:rsid w:val="005D0752"/>
    <w:rsid w:val="005D07A4"/>
    <w:rsid w:val="005D0900"/>
    <w:rsid w:val="005D0987"/>
    <w:rsid w:val="005D0A58"/>
    <w:rsid w:val="005D0A77"/>
    <w:rsid w:val="005D0CF7"/>
    <w:rsid w:val="005D0D6C"/>
    <w:rsid w:val="005D0E28"/>
    <w:rsid w:val="005D1037"/>
    <w:rsid w:val="005D106A"/>
    <w:rsid w:val="005D1202"/>
    <w:rsid w:val="005D121A"/>
    <w:rsid w:val="005D1391"/>
    <w:rsid w:val="005D13E7"/>
    <w:rsid w:val="005D15DF"/>
    <w:rsid w:val="005D17A3"/>
    <w:rsid w:val="005D1A27"/>
    <w:rsid w:val="005D1A54"/>
    <w:rsid w:val="005D1A88"/>
    <w:rsid w:val="005D1BFB"/>
    <w:rsid w:val="005D1CC7"/>
    <w:rsid w:val="005D1E35"/>
    <w:rsid w:val="005D1E83"/>
    <w:rsid w:val="005D2568"/>
    <w:rsid w:val="005D28DF"/>
    <w:rsid w:val="005D292A"/>
    <w:rsid w:val="005D2A0A"/>
    <w:rsid w:val="005D2B37"/>
    <w:rsid w:val="005D2C7A"/>
    <w:rsid w:val="005D2F39"/>
    <w:rsid w:val="005D3359"/>
    <w:rsid w:val="005D3489"/>
    <w:rsid w:val="005D34B6"/>
    <w:rsid w:val="005D35BE"/>
    <w:rsid w:val="005D368A"/>
    <w:rsid w:val="005D36B1"/>
    <w:rsid w:val="005D39F0"/>
    <w:rsid w:val="005D3B80"/>
    <w:rsid w:val="005D3CA0"/>
    <w:rsid w:val="005D3F2E"/>
    <w:rsid w:val="005D3FF5"/>
    <w:rsid w:val="005D42D0"/>
    <w:rsid w:val="005D448A"/>
    <w:rsid w:val="005D4819"/>
    <w:rsid w:val="005D4B3F"/>
    <w:rsid w:val="005D4C6E"/>
    <w:rsid w:val="005D4E17"/>
    <w:rsid w:val="005D4EBD"/>
    <w:rsid w:val="005D4FAF"/>
    <w:rsid w:val="005D50E4"/>
    <w:rsid w:val="005D50F5"/>
    <w:rsid w:val="005D524D"/>
    <w:rsid w:val="005D52B0"/>
    <w:rsid w:val="005D5340"/>
    <w:rsid w:val="005D53BC"/>
    <w:rsid w:val="005D54EF"/>
    <w:rsid w:val="005D555B"/>
    <w:rsid w:val="005D580E"/>
    <w:rsid w:val="005D581C"/>
    <w:rsid w:val="005D5846"/>
    <w:rsid w:val="005D5991"/>
    <w:rsid w:val="005D5A34"/>
    <w:rsid w:val="005D5C73"/>
    <w:rsid w:val="005D5CE4"/>
    <w:rsid w:val="005D5FCC"/>
    <w:rsid w:val="005D5FFE"/>
    <w:rsid w:val="005D601A"/>
    <w:rsid w:val="005D606E"/>
    <w:rsid w:val="005D64CC"/>
    <w:rsid w:val="005D64E9"/>
    <w:rsid w:val="005D65A7"/>
    <w:rsid w:val="005D65B6"/>
    <w:rsid w:val="005D66A6"/>
    <w:rsid w:val="005D66B0"/>
    <w:rsid w:val="005D66E8"/>
    <w:rsid w:val="005D673D"/>
    <w:rsid w:val="005D6789"/>
    <w:rsid w:val="005D6CF6"/>
    <w:rsid w:val="005D71C2"/>
    <w:rsid w:val="005D7259"/>
    <w:rsid w:val="005D746B"/>
    <w:rsid w:val="005D74DC"/>
    <w:rsid w:val="005D7540"/>
    <w:rsid w:val="005D75BE"/>
    <w:rsid w:val="005D77A9"/>
    <w:rsid w:val="005D78B9"/>
    <w:rsid w:val="005D79B2"/>
    <w:rsid w:val="005D7A1A"/>
    <w:rsid w:val="005D7AE1"/>
    <w:rsid w:val="005E035A"/>
    <w:rsid w:val="005E0467"/>
    <w:rsid w:val="005E078A"/>
    <w:rsid w:val="005E0840"/>
    <w:rsid w:val="005E08F4"/>
    <w:rsid w:val="005E09A5"/>
    <w:rsid w:val="005E0A47"/>
    <w:rsid w:val="005E0CF1"/>
    <w:rsid w:val="005E0D8B"/>
    <w:rsid w:val="005E0E81"/>
    <w:rsid w:val="005E0F01"/>
    <w:rsid w:val="005E100A"/>
    <w:rsid w:val="005E1148"/>
    <w:rsid w:val="005E1163"/>
    <w:rsid w:val="005E13C3"/>
    <w:rsid w:val="005E1402"/>
    <w:rsid w:val="005E1416"/>
    <w:rsid w:val="005E177A"/>
    <w:rsid w:val="005E23ED"/>
    <w:rsid w:val="005E2475"/>
    <w:rsid w:val="005E2520"/>
    <w:rsid w:val="005E2648"/>
    <w:rsid w:val="005E28FC"/>
    <w:rsid w:val="005E2A8E"/>
    <w:rsid w:val="005E2B9B"/>
    <w:rsid w:val="005E2C79"/>
    <w:rsid w:val="005E2D75"/>
    <w:rsid w:val="005E2EBE"/>
    <w:rsid w:val="005E319A"/>
    <w:rsid w:val="005E371D"/>
    <w:rsid w:val="005E377E"/>
    <w:rsid w:val="005E381D"/>
    <w:rsid w:val="005E3866"/>
    <w:rsid w:val="005E3913"/>
    <w:rsid w:val="005E3A51"/>
    <w:rsid w:val="005E3B75"/>
    <w:rsid w:val="005E3E47"/>
    <w:rsid w:val="005E44FA"/>
    <w:rsid w:val="005E4530"/>
    <w:rsid w:val="005E4599"/>
    <w:rsid w:val="005E46E8"/>
    <w:rsid w:val="005E48A8"/>
    <w:rsid w:val="005E48DB"/>
    <w:rsid w:val="005E4DCA"/>
    <w:rsid w:val="005E4E8F"/>
    <w:rsid w:val="005E502F"/>
    <w:rsid w:val="005E5362"/>
    <w:rsid w:val="005E540B"/>
    <w:rsid w:val="005E543D"/>
    <w:rsid w:val="005E54A4"/>
    <w:rsid w:val="005E55A1"/>
    <w:rsid w:val="005E57C0"/>
    <w:rsid w:val="005E5862"/>
    <w:rsid w:val="005E58F9"/>
    <w:rsid w:val="005E593C"/>
    <w:rsid w:val="005E5B11"/>
    <w:rsid w:val="005E5CF1"/>
    <w:rsid w:val="005E5D3A"/>
    <w:rsid w:val="005E6260"/>
    <w:rsid w:val="005E6330"/>
    <w:rsid w:val="005E63B1"/>
    <w:rsid w:val="005E6483"/>
    <w:rsid w:val="005E64FA"/>
    <w:rsid w:val="005E6567"/>
    <w:rsid w:val="005E6700"/>
    <w:rsid w:val="005E6756"/>
    <w:rsid w:val="005E6AAA"/>
    <w:rsid w:val="005E6BD6"/>
    <w:rsid w:val="005E6BEE"/>
    <w:rsid w:val="005E6C6D"/>
    <w:rsid w:val="005E6CA8"/>
    <w:rsid w:val="005E6CF6"/>
    <w:rsid w:val="005E6F2F"/>
    <w:rsid w:val="005E723E"/>
    <w:rsid w:val="005E7302"/>
    <w:rsid w:val="005E73A9"/>
    <w:rsid w:val="005E75BB"/>
    <w:rsid w:val="005E75E5"/>
    <w:rsid w:val="005E76D0"/>
    <w:rsid w:val="005E7908"/>
    <w:rsid w:val="005E79FF"/>
    <w:rsid w:val="005E7A0C"/>
    <w:rsid w:val="005E7B89"/>
    <w:rsid w:val="005E7BB4"/>
    <w:rsid w:val="005E7F95"/>
    <w:rsid w:val="005F01DD"/>
    <w:rsid w:val="005F02D2"/>
    <w:rsid w:val="005F0759"/>
    <w:rsid w:val="005F08D4"/>
    <w:rsid w:val="005F0941"/>
    <w:rsid w:val="005F097A"/>
    <w:rsid w:val="005F097C"/>
    <w:rsid w:val="005F0A04"/>
    <w:rsid w:val="005F0A46"/>
    <w:rsid w:val="005F0A83"/>
    <w:rsid w:val="005F0BBA"/>
    <w:rsid w:val="005F0CB4"/>
    <w:rsid w:val="005F0D2E"/>
    <w:rsid w:val="005F0F2F"/>
    <w:rsid w:val="005F0FEE"/>
    <w:rsid w:val="005F10A6"/>
    <w:rsid w:val="005F1242"/>
    <w:rsid w:val="005F1326"/>
    <w:rsid w:val="005F13F7"/>
    <w:rsid w:val="005F1499"/>
    <w:rsid w:val="005F14A5"/>
    <w:rsid w:val="005F1714"/>
    <w:rsid w:val="005F1C0D"/>
    <w:rsid w:val="005F1C86"/>
    <w:rsid w:val="005F1D0C"/>
    <w:rsid w:val="005F1E80"/>
    <w:rsid w:val="005F2281"/>
    <w:rsid w:val="005F229C"/>
    <w:rsid w:val="005F278F"/>
    <w:rsid w:val="005F2BAB"/>
    <w:rsid w:val="005F2C7E"/>
    <w:rsid w:val="005F2EAD"/>
    <w:rsid w:val="005F2F1E"/>
    <w:rsid w:val="005F2F8C"/>
    <w:rsid w:val="005F329C"/>
    <w:rsid w:val="005F3A0E"/>
    <w:rsid w:val="005F3F3B"/>
    <w:rsid w:val="005F3F62"/>
    <w:rsid w:val="005F4202"/>
    <w:rsid w:val="005F42F4"/>
    <w:rsid w:val="005F4481"/>
    <w:rsid w:val="005F45B9"/>
    <w:rsid w:val="005F4907"/>
    <w:rsid w:val="005F4C09"/>
    <w:rsid w:val="005F4F25"/>
    <w:rsid w:val="005F4F78"/>
    <w:rsid w:val="005F5003"/>
    <w:rsid w:val="005F5034"/>
    <w:rsid w:val="005F50C1"/>
    <w:rsid w:val="005F5165"/>
    <w:rsid w:val="005F518F"/>
    <w:rsid w:val="005F5211"/>
    <w:rsid w:val="005F53C5"/>
    <w:rsid w:val="005F544F"/>
    <w:rsid w:val="005F551C"/>
    <w:rsid w:val="005F57BC"/>
    <w:rsid w:val="005F5CA1"/>
    <w:rsid w:val="005F5ED3"/>
    <w:rsid w:val="005F5F51"/>
    <w:rsid w:val="005F6095"/>
    <w:rsid w:val="005F6195"/>
    <w:rsid w:val="005F6217"/>
    <w:rsid w:val="005F63E2"/>
    <w:rsid w:val="005F64B3"/>
    <w:rsid w:val="005F6550"/>
    <w:rsid w:val="005F671B"/>
    <w:rsid w:val="005F688A"/>
    <w:rsid w:val="005F68B1"/>
    <w:rsid w:val="005F6BF1"/>
    <w:rsid w:val="005F6E11"/>
    <w:rsid w:val="005F72A1"/>
    <w:rsid w:val="005F736D"/>
    <w:rsid w:val="005F74DD"/>
    <w:rsid w:val="005F78F8"/>
    <w:rsid w:val="005F794B"/>
    <w:rsid w:val="005F7E99"/>
    <w:rsid w:val="005F7EC0"/>
    <w:rsid w:val="00600152"/>
    <w:rsid w:val="00600285"/>
    <w:rsid w:val="00600326"/>
    <w:rsid w:val="00600347"/>
    <w:rsid w:val="00600405"/>
    <w:rsid w:val="00600462"/>
    <w:rsid w:val="00600534"/>
    <w:rsid w:val="00600737"/>
    <w:rsid w:val="00600785"/>
    <w:rsid w:val="006008A5"/>
    <w:rsid w:val="0060093E"/>
    <w:rsid w:val="00600A9D"/>
    <w:rsid w:val="006011A2"/>
    <w:rsid w:val="0060136F"/>
    <w:rsid w:val="0060139D"/>
    <w:rsid w:val="00601629"/>
    <w:rsid w:val="006016FB"/>
    <w:rsid w:val="0060174D"/>
    <w:rsid w:val="006017B8"/>
    <w:rsid w:val="006017DE"/>
    <w:rsid w:val="00601810"/>
    <w:rsid w:val="00601C36"/>
    <w:rsid w:val="00601D13"/>
    <w:rsid w:val="00601DAB"/>
    <w:rsid w:val="00602045"/>
    <w:rsid w:val="006025BA"/>
    <w:rsid w:val="006026A9"/>
    <w:rsid w:val="00602752"/>
    <w:rsid w:val="006027D2"/>
    <w:rsid w:val="006028ED"/>
    <w:rsid w:val="00602A6B"/>
    <w:rsid w:val="00602B38"/>
    <w:rsid w:val="00602B5B"/>
    <w:rsid w:val="00602E41"/>
    <w:rsid w:val="00603019"/>
    <w:rsid w:val="006031FD"/>
    <w:rsid w:val="0060321C"/>
    <w:rsid w:val="006034D4"/>
    <w:rsid w:val="0060381A"/>
    <w:rsid w:val="00603856"/>
    <w:rsid w:val="0060387E"/>
    <w:rsid w:val="006039EE"/>
    <w:rsid w:val="00603A4C"/>
    <w:rsid w:val="00603A73"/>
    <w:rsid w:val="00603CBA"/>
    <w:rsid w:val="00603D15"/>
    <w:rsid w:val="00603DE6"/>
    <w:rsid w:val="00603EC1"/>
    <w:rsid w:val="00603FA0"/>
    <w:rsid w:val="00603FCE"/>
    <w:rsid w:val="00604103"/>
    <w:rsid w:val="00604210"/>
    <w:rsid w:val="00604351"/>
    <w:rsid w:val="006043B6"/>
    <w:rsid w:val="006043C1"/>
    <w:rsid w:val="00604419"/>
    <w:rsid w:val="0060441C"/>
    <w:rsid w:val="0060447A"/>
    <w:rsid w:val="00604495"/>
    <w:rsid w:val="0060469C"/>
    <w:rsid w:val="00604704"/>
    <w:rsid w:val="0060471A"/>
    <w:rsid w:val="00604736"/>
    <w:rsid w:val="006047AA"/>
    <w:rsid w:val="00604B47"/>
    <w:rsid w:val="00604CAB"/>
    <w:rsid w:val="00604CF0"/>
    <w:rsid w:val="00604F72"/>
    <w:rsid w:val="006051E4"/>
    <w:rsid w:val="0060543B"/>
    <w:rsid w:val="00605669"/>
    <w:rsid w:val="006057B6"/>
    <w:rsid w:val="00605C7C"/>
    <w:rsid w:val="00605D01"/>
    <w:rsid w:val="00605D92"/>
    <w:rsid w:val="00605EA6"/>
    <w:rsid w:val="00605F2A"/>
    <w:rsid w:val="00605F2D"/>
    <w:rsid w:val="00605FC6"/>
    <w:rsid w:val="00606251"/>
    <w:rsid w:val="00606370"/>
    <w:rsid w:val="006063E1"/>
    <w:rsid w:val="00606478"/>
    <w:rsid w:val="0060650A"/>
    <w:rsid w:val="0060695F"/>
    <w:rsid w:val="00606A66"/>
    <w:rsid w:val="00606D3C"/>
    <w:rsid w:val="00606FF8"/>
    <w:rsid w:val="00607017"/>
    <w:rsid w:val="006070F7"/>
    <w:rsid w:val="00607168"/>
    <w:rsid w:val="006073FB"/>
    <w:rsid w:val="006074DD"/>
    <w:rsid w:val="00607505"/>
    <w:rsid w:val="0060756D"/>
    <w:rsid w:val="00607639"/>
    <w:rsid w:val="00607657"/>
    <w:rsid w:val="0060791A"/>
    <w:rsid w:val="0060793A"/>
    <w:rsid w:val="00607969"/>
    <w:rsid w:val="00607B29"/>
    <w:rsid w:val="00607CA7"/>
    <w:rsid w:val="00607D3C"/>
    <w:rsid w:val="00607D60"/>
    <w:rsid w:val="0061008E"/>
    <w:rsid w:val="0061021F"/>
    <w:rsid w:val="006104FC"/>
    <w:rsid w:val="00610587"/>
    <w:rsid w:val="00610704"/>
    <w:rsid w:val="00610947"/>
    <w:rsid w:val="00610A78"/>
    <w:rsid w:val="00610FB2"/>
    <w:rsid w:val="00611090"/>
    <w:rsid w:val="006110AC"/>
    <w:rsid w:val="006112D5"/>
    <w:rsid w:val="00611492"/>
    <w:rsid w:val="006118AD"/>
    <w:rsid w:val="006118B0"/>
    <w:rsid w:val="00611964"/>
    <w:rsid w:val="00611B6B"/>
    <w:rsid w:val="00611C6C"/>
    <w:rsid w:val="00611EE0"/>
    <w:rsid w:val="00611F78"/>
    <w:rsid w:val="006120CB"/>
    <w:rsid w:val="0061215B"/>
    <w:rsid w:val="006124AD"/>
    <w:rsid w:val="006125D5"/>
    <w:rsid w:val="00612765"/>
    <w:rsid w:val="00612826"/>
    <w:rsid w:val="0061289A"/>
    <w:rsid w:val="006128B4"/>
    <w:rsid w:val="00612A5F"/>
    <w:rsid w:val="00612A93"/>
    <w:rsid w:val="00612DC5"/>
    <w:rsid w:val="00612FF8"/>
    <w:rsid w:val="006131B8"/>
    <w:rsid w:val="0061339E"/>
    <w:rsid w:val="00613421"/>
    <w:rsid w:val="00613491"/>
    <w:rsid w:val="00613522"/>
    <w:rsid w:val="00613663"/>
    <w:rsid w:val="006138AD"/>
    <w:rsid w:val="00613B1A"/>
    <w:rsid w:val="00613D0A"/>
    <w:rsid w:val="00613D40"/>
    <w:rsid w:val="00613EFC"/>
    <w:rsid w:val="006142B9"/>
    <w:rsid w:val="00614440"/>
    <w:rsid w:val="006144AB"/>
    <w:rsid w:val="00614645"/>
    <w:rsid w:val="00614A86"/>
    <w:rsid w:val="00614ECE"/>
    <w:rsid w:val="00614FE9"/>
    <w:rsid w:val="00615287"/>
    <w:rsid w:val="00615366"/>
    <w:rsid w:val="006155AA"/>
    <w:rsid w:val="0061560A"/>
    <w:rsid w:val="0061578F"/>
    <w:rsid w:val="006157F3"/>
    <w:rsid w:val="006158AD"/>
    <w:rsid w:val="00615A8C"/>
    <w:rsid w:val="00615B67"/>
    <w:rsid w:val="00615BA0"/>
    <w:rsid w:val="00615C89"/>
    <w:rsid w:val="00615C98"/>
    <w:rsid w:val="00615F73"/>
    <w:rsid w:val="00616286"/>
    <w:rsid w:val="00616295"/>
    <w:rsid w:val="00616457"/>
    <w:rsid w:val="0061645C"/>
    <w:rsid w:val="00616619"/>
    <w:rsid w:val="00616774"/>
    <w:rsid w:val="0061684A"/>
    <w:rsid w:val="006168BC"/>
    <w:rsid w:val="00616B33"/>
    <w:rsid w:val="00616C1B"/>
    <w:rsid w:val="00616D17"/>
    <w:rsid w:val="00616D3A"/>
    <w:rsid w:val="00616D69"/>
    <w:rsid w:val="00616E6B"/>
    <w:rsid w:val="00616F41"/>
    <w:rsid w:val="00617263"/>
    <w:rsid w:val="0061748D"/>
    <w:rsid w:val="006175FF"/>
    <w:rsid w:val="0061760C"/>
    <w:rsid w:val="00617BC3"/>
    <w:rsid w:val="00617C76"/>
    <w:rsid w:val="00617C7F"/>
    <w:rsid w:val="00617D1A"/>
    <w:rsid w:val="00617D3B"/>
    <w:rsid w:val="00617FF2"/>
    <w:rsid w:val="0062012F"/>
    <w:rsid w:val="00620193"/>
    <w:rsid w:val="006202BE"/>
    <w:rsid w:val="00620382"/>
    <w:rsid w:val="00620499"/>
    <w:rsid w:val="006204ED"/>
    <w:rsid w:val="0062053B"/>
    <w:rsid w:val="0062060A"/>
    <w:rsid w:val="006206B9"/>
    <w:rsid w:val="0062086F"/>
    <w:rsid w:val="00620B65"/>
    <w:rsid w:val="00620EEA"/>
    <w:rsid w:val="0062103B"/>
    <w:rsid w:val="0062110B"/>
    <w:rsid w:val="00621428"/>
    <w:rsid w:val="00621459"/>
    <w:rsid w:val="006215E0"/>
    <w:rsid w:val="00621750"/>
    <w:rsid w:val="0062187A"/>
    <w:rsid w:val="006218A7"/>
    <w:rsid w:val="006218AD"/>
    <w:rsid w:val="00621968"/>
    <w:rsid w:val="00621A13"/>
    <w:rsid w:val="00621BE6"/>
    <w:rsid w:val="00621E45"/>
    <w:rsid w:val="00621F5B"/>
    <w:rsid w:val="0062255F"/>
    <w:rsid w:val="006226BE"/>
    <w:rsid w:val="00622B1A"/>
    <w:rsid w:val="00622D11"/>
    <w:rsid w:val="00622D39"/>
    <w:rsid w:val="006232AA"/>
    <w:rsid w:val="006232DB"/>
    <w:rsid w:val="00623405"/>
    <w:rsid w:val="0062347A"/>
    <w:rsid w:val="0062373E"/>
    <w:rsid w:val="0062388D"/>
    <w:rsid w:val="006238B0"/>
    <w:rsid w:val="006239EA"/>
    <w:rsid w:val="00623A84"/>
    <w:rsid w:val="00623AD1"/>
    <w:rsid w:val="00623B98"/>
    <w:rsid w:val="00623C64"/>
    <w:rsid w:val="00623D79"/>
    <w:rsid w:val="006240C6"/>
    <w:rsid w:val="00624137"/>
    <w:rsid w:val="0062469D"/>
    <w:rsid w:val="00624710"/>
    <w:rsid w:val="006248DE"/>
    <w:rsid w:val="00624938"/>
    <w:rsid w:val="0062499B"/>
    <w:rsid w:val="006249C7"/>
    <w:rsid w:val="00624AE0"/>
    <w:rsid w:val="00624BBF"/>
    <w:rsid w:val="00624C13"/>
    <w:rsid w:val="00624C9B"/>
    <w:rsid w:val="00624DE5"/>
    <w:rsid w:val="00624E47"/>
    <w:rsid w:val="00624E7E"/>
    <w:rsid w:val="00625284"/>
    <w:rsid w:val="00625413"/>
    <w:rsid w:val="006254A3"/>
    <w:rsid w:val="00625825"/>
    <w:rsid w:val="00625988"/>
    <w:rsid w:val="00625A17"/>
    <w:rsid w:val="00625B41"/>
    <w:rsid w:val="00625CFB"/>
    <w:rsid w:val="00625E32"/>
    <w:rsid w:val="00626013"/>
    <w:rsid w:val="0062616C"/>
    <w:rsid w:val="00626201"/>
    <w:rsid w:val="00626272"/>
    <w:rsid w:val="0062631A"/>
    <w:rsid w:val="006264DA"/>
    <w:rsid w:val="00626575"/>
    <w:rsid w:val="0062661A"/>
    <w:rsid w:val="0062689B"/>
    <w:rsid w:val="00626ADA"/>
    <w:rsid w:val="00626D14"/>
    <w:rsid w:val="00626D32"/>
    <w:rsid w:val="00626D64"/>
    <w:rsid w:val="00626D86"/>
    <w:rsid w:val="00626E02"/>
    <w:rsid w:val="00626EC7"/>
    <w:rsid w:val="00626EF4"/>
    <w:rsid w:val="00626F21"/>
    <w:rsid w:val="0062723F"/>
    <w:rsid w:val="006272FB"/>
    <w:rsid w:val="00627414"/>
    <w:rsid w:val="00627571"/>
    <w:rsid w:val="00627577"/>
    <w:rsid w:val="00627F21"/>
    <w:rsid w:val="00627F4F"/>
    <w:rsid w:val="00630368"/>
    <w:rsid w:val="006304B8"/>
    <w:rsid w:val="00630556"/>
    <w:rsid w:val="0063056D"/>
    <w:rsid w:val="00630650"/>
    <w:rsid w:val="00630768"/>
    <w:rsid w:val="006307FF"/>
    <w:rsid w:val="00630906"/>
    <w:rsid w:val="00630908"/>
    <w:rsid w:val="00630982"/>
    <w:rsid w:val="00630C29"/>
    <w:rsid w:val="00630C33"/>
    <w:rsid w:val="0063124D"/>
    <w:rsid w:val="006312C9"/>
    <w:rsid w:val="00631438"/>
    <w:rsid w:val="00631498"/>
    <w:rsid w:val="00631903"/>
    <w:rsid w:val="00631C0D"/>
    <w:rsid w:val="00631D25"/>
    <w:rsid w:val="00631D90"/>
    <w:rsid w:val="00632110"/>
    <w:rsid w:val="0063216F"/>
    <w:rsid w:val="0063226D"/>
    <w:rsid w:val="00632359"/>
    <w:rsid w:val="0063236D"/>
    <w:rsid w:val="006323A5"/>
    <w:rsid w:val="00632590"/>
    <w:rsid w:val="00632648"/>
    <w:rsid w:val="006326CB"/>
    <w:rsid w:val="00632725"/>
    <w:rsid w:val="006328FC"/>
    <w:rsid w:val="00632BF2"/>
    <w:rsid w:val="00632DAB"/>
    <w:rsid w:val="00632DB7"/>
    <w:rsid w:val="006330F7"/>
    <w:rsid w:val="0063352A"/>
    <w:rsid w:val="00633624"/>
    <w:rsid w:val="00633709"/>
    <w:rsid w:val="00633826"/>
    <w:rsid w:val="00633C43"/>
    <w:rsid w:val="00633DAB"/>
    <w:rsid w:val="00633E8B"/>
    <w:rsid w:val="00633F20"/>
    <w:rsid w:val="00633F35"/>
    <w:rsid w:val="006341CF"/>
    <w:rsid w:val="006342BF"/>
    <w:rsid w:val="006344C0"/>
    <w:rsid w:val="006345FB"/>
    <w:rsid w:val="0063460B"/>
    <w:rsid w:val="00634639"/>
    <w:rsid w:val="00634693"/>
    <w:rsid w:val="00634782"/>
    <w:rsid w:val="00634972"/>
    <w:rsid w:val="00634A57"/>
    <w:rsid w:val="00634BA2"/>
    <w:rsid w:val="00634C66"/>
    <w:rsid w:val="00634DCB"/>
    <w:rsid w:val="00634E22"/>
    <w:rsid w:val="00634E73"/>
    <w:rsid w:val="00634EE6"/>
    <w:rsid w:val="00635306"/>
    <w:rsid w:val="0063550A"/>
    <w:rsid w:val="006357FA"/>
    <w:rsid w:val="00635A1D"/>
    <w:rsid w:val="00635A2D"/>
    <w:rsid w:val="00635B6D"/>
    <w:rsid w:val="00635B81"/>
    <w:rsid w:val="00635BE0"/>
    <w:rsid w:val="00635BF5"/>
    <w:rsid w:val="00635CA2"/>
    <w:rsid w:val="00635CC5"/>
    <w:rsid w:val="00635E0E"/>
    <w:rsid w:val="00635E51"/>
    <w:rsid w:val="00635EE6"/>
    <w:rsid w:val="006361B9"/>
    <w:rsid w:val="006362CE"/>
    <w:rsid w:val="0063649A"/>
    <w:rsid w:val="00636837"/>
    <w:rsid w:val="006368AB"/>
    <w:rsid w:val="00636955"/>
    <w:rsid w:val="00636960"/>
    <w:rsid w:val="006369BE"/>
    <w:rsid w:val="00636A4A"/>
    <w:rsid w:val="00636AD9"/>
    <w:rsid w:val="006370AE"/>
    <w:rsid w:val="00637291"/>
    <w:rsid w:val="006374B1"/>
    <w:rsid w:val="006374D8"/>
    <w:rsid w:val="0063751F"/>
    <w:rsid w:val="0063763F"/>
    <w:rsid w:val="006378E8"/>
    <w:rsid w:val="0063795B"/>
    <w:rsid w:val="00637974"/>
    <w:rsid w:val="00637AC1"/>
    <w:rsid w:val="00637AF9"/>
    <w:rsid w:val="00637EA7"/>
    <w:rsid w:val="006400D2"/>
    <w:rsid w:val="0064028A"/>
    <w:rsid w:val="0064029E"/>
    <w:rsid w:val="00640334"/>
    <w:rsid w:val="00640419"/>
    <w:rsid w:val="00640449"/>
    <w:rsid w:val="00640607"/>
    <w:rsid w:val="006407DB"/>
    <w:rsid w:val="00640C6B"/>
    <w:rsid w:val="00641180"/>
    <w:rsid w:val="00641195"/>
    <w:rsid w:val="006415AD"/>
    <w:rsid w:val="006415F4"/>
    <w:rsid w:val="006416EF"/>
    <w:rsid w:val="0064182E"/>
    <w:rsid w:val="00641B4E"/>
    <w:rsid w:val="00641B6D"/>
    <w:rsid w:val="00641BEB"/>
    <w:rsid w:val="00641D30"/>
    <w:rsid w:val="00641E5D"/>
    <w:rsid w:val="006423A2"/>
    <w:rsid w:val="006425DB"/>
    <w:rsid w:val="00642806"/>
    <w:rsid w:val="00642B46"/>
    <w:rsid w:val="00642C9A"/>
    <w:rsid w:val="00642CC6"/>
    <w:rsid w:val="00643159"/>
    <w:rsid w:val="00643219"/>
    <w:rsid w:val="006433A2"/>
    <w:rsid w:val="0064352B"/>
    <w:rsid w:val="00643762"/>
    <w:rsid w:val="0064376D"/>
    <w:rsid w:val="00643A12"/>
    <w:rsid w:val="00643C1B"/>
    <w:rsid w:val="00643C1C"/>
    <w:rsid w:val="00643C3B"/>
    <w:rsid w:val="00643D77"/>
    <w:rsid w:val="00643D89"/>
    <w:rsid w:val="00643DF1"/>
    <w:rsid w:val="00643EE1"/>
    <w:rsid w:val="00643FA4"/>
    <w:rsid w:val="00643FD5"/>
    <w:rsid w:val="006441CC"/>
    <w:rsid w:val="006441F8"/>
    <w:rsid w:val="0064428E"/>
    <w:rsid w:val="0064460A"/>
    <w:rsid w:val="00644802"/>
    <w:rsid w:val="0064496C"/>
    <w:rsid w:val="00644977"/>
    <w:rsid w:val="00644DB8"/>
    <w:rsid w:val="0064501F"/>
    <w:rsid w:val="006453FA"/>
    <w:rsid w:val="0064574B"/>
    <w:rsid w:val="00645960"/>
    <w:rsid w:val="00645A46"/>
    <w:rsid w:val="00645CE2"/>
    <w:rsid w:val="00645DEE"/>
    <w:rsid w:val="006461E9"/>
    <w:rsid w:val="00646338"/>
    <w:rsid w:val="006466B6"/>
    <w:rsid w:val="006468CF"/>
    <w:rsid w:val="00646946"/>
    <w:rsid w:val="0064694F"/>
    <w:rsid w:val="00646A15"/>
    <w:rsid w:val="00646B00"/>
    <w:rsid w:val="00646DEB"/>
    <w:rsid w:val="00646F5B"/>
    <w:rsid w:val="00647170"/>
    <w:rsid w:val="00647258"/>
    <w:rsid w:val="00647289"/>
    <w:rsid w:val="00647446"/>
    <w:rsid w:val="0064747D"/>
    <w:rsid w:val="006475C1"/>
    <w:rsid w:val="00647720"/>
    <w:rsid w:val="0064774F"/>
    <w:rsid w:val="00647896"/>
    <w:rsid w:val="00647A0C"/>
    <w:rsid w:val="00647A4D"/>
    <w:rsid w:val="00647C81"/>
    <w:rsid w:val="0064BEE4"/>
    <w:rsid w:val="0064E08B"/>
    <w:rsid w:val="00650057"/>
    <w:rsid w:val="00650317"/>
    <w:rsid w:val="00650406"/>
    <w:rsid w:val="00650648"/>
    <w:rsid w:val="006506E7"/>
    <w:rsid w:val="006506FF"/>
    <w:rsid w:val="0065086E"/>
    <w:rsid w:val="00650883"/>
    <w:rsid w:val="00650A00"/>
    <w:rsid w:val="00650BC5"/>
    <w:rsid w:val="00650F05"/>
    <w:rsid w:val="0065121D"/>
    <w:rsid w:val="00651586"/>
    <w:rsid w:val="006515F4"/>
    <w:rsid w:val="006517E3"/>
    <w:rsid w:val="00651AE7"/>
    <w:rsid w:val="00651B27"/>
    <w:rsid w:val="00651C1D"/>
    <w:rsid w:val="00651C27"/>
    <w:rsid w:val="00651CA9"/>
    <w:rsid w:val="00651CF8"/>
    <w:rsid w:val="00651E08"/>
    <w:rsid w:val="00651EB7"/>
    <w:rsid w:val="00652390"/>
    <w:rsid w:val="0065258C"/>
    <w:rsid w:val="00652763"/>
    <w:rsid w:val="0065279B"/>
    <w:rsid w:val="00652814"/>
    <w:rsid w:val="00652B48"/>
    <w:rsid w:val="00652CBD"/>
    <w:rsid w:val="00652F1D"/>
    <w:rsid w:val="00652F31"/>
    <w:rsid w:val="006532BF"/>
    <w:rsid w:val="00653317"/>
    <w:rsid w:val="00653344"/>
    <w:rsid w:val="00653393"/>
    <w:rsid w:val="00653451"/>
    <w:rsid w:val="00653585"/>
    <w:rsid w:val="00653640"/>
    <w:rsid w:val="00653713"/>
    <w:rsid w:val="006538A3"/>
    <w:rsid w:val="00653B4D"/>
    <w:rsid w:val="00653B9F"/>
    <w:rsid w:val="00653C08"/>
    <w:rsid w:val="00653D61"/>
    <w:rsid w:val="00653D7C"/>
    <w:rsid w:val="00653EC5"/>
    <w:rsid w:val="006542B5"/>
    <w:rsid w:val="0065448B"/>
    <w:rsid w:val="0065460F"/>
    <w:rsid w:val="00654C32"/>
    <w:rsid w:val="00654C63"/>
    <w:rsid w:val="00654C97"/>
    <w:rsid w:val="00654ED8"/>
    <w:rsid w:val="00654EF2"/>
    <w:rsid w:val="00654FEA"/>
    <w:rsid w:val="006550FC"/>
    <w:rsid w:val="00655152"/>
    <w:rsid w:val="006555A5"/>
    <w:rsid w:val="006555AA"/>
    <w:rsid w:val="00655CE1"/>
    <w:rsid w:val="00655D5B"/>
    <w:rsid w:val="00655D8D"/>
    <w:rsid w:val="00655EA3"/>
    <w:rsid w:val="00655FAF"/>
    <w:rsid w:val="006560C8"/>
    <w:rsid w:val="00656326"/>
    <w:rsid w:val="00656334"/>
    <w:rsid w:val="00656509"/>
    <w:rsid w:val="006565B8"/>
    <w:rsid w:val="006566A3"/>
    <w:rsid w:val="00656821"/>
    <w:rsid w:val="00656975"/>
    <w:rsid w:val="00656C5A"/>
    <w:rsid w:val="00656D8A"/>
    <w:rsid w:val="00656F68"/>
    <w:rsid w:val="00657187"/>
    <w:rsid w:val="006571EA"/>
    <w:rsid w:val="0065727A"/>
    <w:rsid w:val="0065746E"/>
    <w:rsid w:val="0065753C"/>
    <w:rsid w:val="00657628"/>
    <w:rsid w:val="00657634"/>
    <w:rsid w:val="006576DC"/>
    <w:rsid w:val="00657ACC"/>
    <w:rsid w:val="00657BD3"/>
    <w:rsid w:val="0065B5D9"/>
    <w:rsid w:val="0066006E"/>
    <w:rsid w:val="00660072"/>
    <w:rsid w:val="00660423"/>
    <w:rsid w:val="006605FC"/>
    <w:rsid w:val="0066065C"/>
    <w:rsid w:val="0066068D"/>
    <w:rsid w:val="00660704"/>
    <w:rsid w:val="0066074A"/>
    <w:rsid w:val="00660BAC"/>
    <w:rsid w:val="00660D41"/>
    <w:rsid w:val="0066116F"/>
    <w:rsid w:val="00661200"/>
    <w:rsid w:val="00661CD3"/>
    <w:rsid w:val="00661D13"/>
    <w:rsid w:val="00661D88"/>
    <w:rsid w:val="00661E40"/>
    <w:rsid w:val="00662048"/>
    <w:rsid w:val="006620E5"/>
    <w:rsid w:val="0066222C"/>
    <w:rsid w:val="00662254"/>
    <w:rsid w:val="0066232E"/>
    <w:rsid w:val="006623CA"/>
    <w:rsid w:val="0066270C"/>
    <w:rsid w:val="0066288E"/>
    <w:rsid w:val="0066296E"/>
    <w:rsid w:val="00662B41"/>
    <w:rsid w:val="00662BBC"/>
    <w:rsid w:val="00662BDC"/>
    <w:rsid w:val="00662DFC"/>
    <w:rsid w:val="00662E61"/>
    <w:rsid w:val="00662EB1"/>
    <w:rsid w:val="00662ED4"/>
    <w:rsid w:val="00663029"/>
    <w:rsid w:val="006631B5"/>
    <w:rsid w:val="006632CF"/>
    <w:rsid w:val="00663460"/>
    <w:rsid w:val="00663835"/>
    <w:rsid w:val="00663878"/>
    <w:rsid w:val="006638AF"/>
    <w:rsid w:val="006639AF"/>
    <w:rsid w:val="00663B0A"/>
    <w:rsid w:val="00663BCB"/>
    <w:rsid w:val="00663BEB"/>
    <w:rsid w:val="00663C2A"/>
    <w:rsid w:val="00663D57"/>
    <w:rsid w:val="00663F6D"/>
    <w:rsid w:val="00664024"/>
    <w:rsid w:val="0066405E"/>
    <w:rsid w:val="00664074"/>
    <w:rsid w:val="00664095"/>
    <w:rsid w:val="006640AA"/>
    <w:rsid w:val="006645CD"/>
    <w:rsid w:val="00664718"/>
    <w:rsid w:val="006648EF"/>
    <w:rsid w:val="006648F1"/>
    <w:rsid w:val="00664987"/>
    <w:rsid w:val="006649E4"/>
    <w:rsid w:val="00664B64"/>
    <w:rsid w:val="00664EA0"/>
    <w:rsid w:val="00664F06"/>
    <w:rsid w:val="00665136"/>
    <w:rsid w:val="00665196"/>
    <w:rsid w:val="006652C8"/>
    <w:rsid w:val="00665514"/>
    <w:rsid w:val="00665610"/>
    <w:rsid w:val="00665799"/>
    <w:rsid w:val="00665BC3"/>
    <w:rsid w:val="00665C41"/>
    <w:rsid w:val="00665F58"/>
    <w:rsid w:val="00666071"/>
    <w:rsid w:val="0066614E"/>
    <w:rsid w:val="006664C9"/>
    <w:rsid w:val="00666670"/>
    <w:rsid w:val="006666A1"/>
    <w:rsid w:val="00666790"/>
    <w:rsid w:val="006667F0"/>
    <w:rsid w:val="00666926"/>
    <w:rsid w:val="0066692E"/>
    <w:rsid w:val="006669F2"/>
    <w:rsid w:val="00666A2D"/>
    <w:rsid w:val="00666D68"/>
    <w:rsid w:val="00666E06"/>
    <w:rsid w:val="00666F43"/>
    <w:rsid w:val="006671F2"/>
    <w:rsid w:val="00667215"/>
    <w:rsid w:val="0066726D"/>
    <w:rsid w:val="0066787A"/>
    <w:rsid w:val="006678E4"/>
    <w:rsid w:val="006678F4"/>
    <w:rsid w:val="00667934"/>
    <w:rsid w:val="00667A70"/>
    <w:rsid w:val="00667AD8"/>
    <w:rsid w:val="00667B07"/>
    <w:rsid w:val="00667F1C"/>
    <w:rsid w:val="0067020A"/>
    <w:rsid w:val="006703E2"/>
    <w:rsid w:val="00670476"/>
    <w:rsid w:val="0067065F"/>
    <w:rsid w:val="00670AAD"/>
    <w:rsid w:val="00670ACF"/>
    <w:rsid w:val="00670B73"/>
    <w:rsid w:val="00670C89"/>
    <w:rsid w:val="00670D87"/>
    <w:rsid w:val="00670EEB"/>
    <w:rsid w:val="00670F59"/>
    <w:rsid w:val="00671043"/>
    <w:rsid w:val="006712A7"/>
    <w:rsid w:val="0067145E"/>
    <w:rsid w:val="006715D2"/>
    <w:rsid w:val="006715F8"/>
    <w:rsid w:val="00671626"/>
    <w:rsid w:val="0067175E"/>
    <w:rsid w:val="00671943"/>
    <w:rsid w:val="00671AC5"/>
    <w:rsid w:val="00671AE2"/>
    <w:rsid w:val="00671BD0"/>
    <w:rsid w:val="00671BEA"/>
    <w:rsid w:val="00671D50"/>
    <w:rsid w:val="006720C4"/>
    <w:rsid w:val="006725C5"/>
    <w:rsid w:val="00672630"/>
    <w:rsid w:val="00672EBC"/>
    <w:rsid w:val="006730B4"/>
    <w:rsid w:val="00673242"/>
    <w:rsid w:val="00673256"/>
    <w:rsid w:val="006732C2"/>
    <w:rsid w:val="0067354E"/>
    <w:rsid w:val="0067357A"/>
    <w:rsid w:val="006738F5"/>
    <w:rsid w:val="00673B19"/>
    <w:rsid w:val="00673B3C"/>
    <w:rsid w:val="00673BA4"/>
    <w:rsid w:val="00673CBD"/>
    <w:rsid w:val="00674143"/>
    <w:rsid w:val="00674253"/>
    <w:rsid w:val="006747D8"/>
    <w:rsid w:val="00674810"/>
    <w:rsid w:val="00674865"/>
    <w:rsid w:val="00674A5E"/>
    <w:rsid w:val="00674C41"/>
    <w:rsid w:val="00674CBA"/>
    <w:rsid w:val="00674CCB"/>
    <w:rsid w:val="00674DB7"/>
    <w:rsid w:val="00674ECA"/>
    <w:rsid w:val="00674EEC"/>
    <w:rsid w:val="00674F07"/>
    <w:rsid w:val="00674F57"/>
    <w:rsid w:val="006750C1"/>
    <w:rsid w:val="00675682"/>
    <w:rsid w:val="0067581D"/>
    <w:rsid w:val="00675839"/>
    <w:rsid w:val="00675892"/>
    <w:rsid w:val="00675C80"/>
    <w:rsid w:val="00675CEF"/>
    <w:rsid w:val="00675CFC"/>
    <w:rsid w:val="00675D1A"/>
    <w:rsid w:val="00675EE1"/>
    <w:rsid w:val="00675F76"/>
    <w:rsid w:val="006761E4"/>
    <w:rsid w:val="006761F6"/>
    <w:rsid w:val="006766BC"/>
    <w:rsid w:val="006766C5"/>
    <w:rsid w:val="006767E3"/>
    <w:rsid w:val="00676B65"/>
    <w:rsid w:val="00676FE8"/>
    <w:rsid w:val="00677001"/>
    <w:rsid w:val="0067700A"/>
    <w:rsid w:val="00677091"/>
    <w:rsid w:val="00677216"/>
    <w:rsid w:val="0067725D"/>
    <w:rsid w:val="0067738F"/>
    <w:rsid w:val="006774F3"/>
    <w:rsid w:val="00677513"/>
    <w:rsid w:val="0067756F"/>
    <w:rsid w:val="00677652"/>
    <w:rsid w:val="0067769D"/>
    <w:rsid w:val="006776A2"/>
    <w:rsid w:val="006776D8"/>
    <w:rsid w:val="006777A8"/>
    <w:rsid w:val="006778A9"/>
    <w:rsid w:val="0067790D"/>
    <w:rsid w:val="0067797A"/>
    <w:rsid w:val="00677998"/>
    <w:rsid w:val="00677BFD"/>
    <w:rsid w:val="00677C61"/>
    <w:rsid w:val="00677CB5"/>
    <w:rsid w:val="00677DC4"/>
    <w:rsid w:val="00677F27"/>
    <w:rsid w:val="00677F36"/>
    <w:rsid w:val="00677FBE"/>
    <w:rsid w:val="006804DC"/>
    <w:rsid w:val="00680631"/>
    <w:rsid w:val="0068065B"/>
    <w:rsid w:val="0068099D"/>
    <w:rsid w:val="00680B47"/>
    <w:rsid w:val="00680D16"/>
    <w:rsid w:val="00680D27"/>
    <w:rsid w:val="00680DA7"/>
    <w:rsid w:val="00680E2C"/>
    <w:rsid w:val="006811AD"/>
    <w:rsid w:val="0068131D"/>
    <w:rsid w:val="006813E4"/>
    <w:rsid w:val="006814C6"/>
    <w:rsid w:val="006815E6"/>
    <w:rsid w:val="006815FE"/>
    <w:rsid w:val="006816EF"/>
    <w:rsid w:val="0068172A"/>
    <w:rsid w:val="00681763"/>
    <w:rsid w:val="00681815"/>
    <w:rsid w:val="0068194B"/>
    <w:rsid w:val="00681A71"/>
    <w:rsid w:val="00681ABD"/>
    <w:rsid w:val="00681CFF"/>
    <w:rsid w:val="00681D98"/>
    <w:rsid w:val="00681E25"/>
    <w:rsid w:val="00682288"/>
    <w:rsid w:val="00682416"/>
    <w:rsid w:val="0068241B"/>
    <w:rsid w:val="0068242C"/>
    <w:rsid w:val="00682594"/>
    <w:rsid w:val="00682652"/>
    <w:rsid w:val="006828E0"/>
    <w:rsid w:val="00682C74"/>
    <w:rsid w:val="00682D99"/>
    <w:rsid w:val="00682E4E"/>
    <w:rsid w:val="0068306A"/>
    <w:rsid w:val="00683163"/>
    <w:rsid w:val="006831F2"/>
    <w:rsid w:val="00683227"/>
    <w:rsid w:val="006836C2"/>
    <w:rsid w:val="0068376D"/>
    <w:rsid w:val="00683886"/>
    <w:rsid w:val="00683A87"/>
    <w:rsid w:val="00683C40"/>
    <w:rsid w:val="00683C4D"/>
    <w:rsid w:val="00683E11"/>
    <w:rsid w:val="00683F12"/>
    <w:rsid w:val="00683F69"/>
    <w:rsid w:val="0068416A"/>
    <w:rsid w:val="0068423E"/>
    <w:rsid w:val="006842F5"/>
    <w:rsid w:val="006843CB"/>
    <w:rsid w:val="006843E1"/>
    <w:rsid w:val="006846D3"/>
    <w:rsid w:val="00684779"/>
    <w:rsid w:val="0068486C"/>
    <w:rsid w:val="00684BAE"/>
    <w:rsid w:val="00684D4C"/>
    <w:rsid w:val="00684E06"/>
    <w:rsid w:val="00684E27"/>
    <w:rsid w:val="0068503F"/>
    <w:rsid w:val="0068505E"/>
    <w:rsid w:val="0068528D"/>
    <w:rsid w:val="0068537B"/>
    <w:rsid w:val="006853CB"/>
    <w:rsid w:val="006854D9"/>
    <w:rsid w:val="0068553B"/>
    <w:rsid w:val="006855A3"/>
    <w:rsid w:val="006856AB"/>
    <w:rsid w:val="00685738"/>
    <w:rsid w:val="0068578A"/>
    <w:rsid w:val="006857EF"/>
    <w:rsid w:val="006858D6"/>
    <w:rsid w:val="00685ACA"/>
    <w:rsid w:val="00685BBD"/>
    <w:rsid w:val="0068602D"/>
    <w:rsid w:val="006860B6"/>
    <w:rsid w:val="0068619B"/>
    <w:rsid w:val="00686531"/>
    <w:rsid w:val="006867F7"/>
    <w:rsid w:val="00686998"/>
    <w:rsid w:val="006869EC"/>
    <w:rsid w:val="00686C33"/>
    <w:rsid w:val="00686D71"/>
    <w:rsid w:val="00686F58"/>
    <w:rsid w:val="00687050"/>
    <w:rsid w:val="00687186"/>
    <w:rsid w:val="0068729E"/>
    <w:rsid w:val="00687A51"/>
    <w:rsid w:val="00687AC3"/>
    <w:rsid w:val="00687CDD"/>
    <w:rsid w:val="00687D9C"/>
    <w:rsid w:val="00687FC1"/>
    <w:rsid w:val="00690030"/>
    <w:rsid w:val="006900B6"/>
    <w:rsid w:val="006902FB"/>
    <w:rsid w:val="0069045D"/>
    <w:rsid w:val="0069047B"/>
    <w:rsid w:val="006904A0"/>
    <w:rsid w:val="006904E6"/>
    <w:rsid w:val="00690577"/>
    <w:rsid w:val="006906D7"/>
    <w:rsid w:val="00690700"/>
    <w:rsid w:val="006909BC"/>
    <w:rsid w:val="006909D3"/>
    <w:rsid w:val="00690BD3"/>
    <w:rsid w:val="00690C7B"/>
    <w:rsid w:val="00690D97"/>
    <w:rsid w:val="00690E7A"/>
    <w:rsid w:val="00690EF5"/>
    <w:rsid w:val="00690F3B"/>
    <w:rsid w:val="00690F49"/>
    <w:rsid w:val="00690FBF"/>
    <w:rsid w:val="006913A2"/>
    <w:rsid w:val="0069140E"/>
    <w:rsid w:val="0069142D"/>
    <w:rsid w:val="006914E6"/>
    <w:rsid w:val="00691785"/>
    <w:rsid w:val="00691F65"/>
    <w:rsid w:val="006921FA"/>
    <w:rsid w:val="006922E9"/>
    <w:rsid w:val="006923B5"/>
    <w:rsid w:val="00692461"/>
    <w:rsid w:val="006926EC"/>
    <w:rsid w:val="006927A6"/>
    <w:rsid w:val="006927AC"/>
    <w:rsid w:val="006928F2"/>
    <w:rsid w:val="00692927"/>
    <w:rsid w:val="00692945"/>
    <w:rsid w:val="00692A9C"/>
    <w:rsid w:val="00692BF0"/>
    <w:rsid w:val="00692D91"/>
    <w:rsid w:val="00692ED3"/>
    <w:rsid w:val="00692F79"/>
    <w:rsid w:val="00692F96"/>
    <w:rsid w:val="006931BA"/>
    <w:rsid w:val="00693242"/>
    <w:rsid w:val="0069354B"/>
    <w:rsid w:val="006937BE"/>
    <w:rsid w:val="00693A8E"/>
    <w:rsid w:val="00693CC3"/>
    <w:rsid w:val="00693E9C"/>
    <w:rsid w:val="0069418F"/>
    <w:rsid w:val="006941F4"/>
    <w:rsid w:val="006942D2"/>
    <w:rsid w:val="0069435F"/>
    <w:rsid w:val="006944CA"/>
    <w:rsid w:val="00694A4B"/>
    <w:rsid w:val="006950F3"/>
    <w:rsid w:val="006951D3"/>
    <w:rsid w:val="006952A8"/>
    <w:rsid w:val="00695316"/>
    <w:rsid w:val="0069534F"/>
    <w:rsid w:val="0069547B"/>
    <w:rsid w:val="00695575"/>
    <w:rsid w:val="006956A3"/>
    <w:rsid w:val="00695761"/>
    <w:rsid w:val="00695980"/>
    <w:rsid w:val="00695B8C"/>
    <w:rsid w:val="00695C77"/>
    <w:rsid w:val="00695D08"/>
    <w:rsid w:val="00695D68"/>
    <w:rsid w:val="00695FFB"/>
    <w:rsid w:val="00696074"/>
    <w:rsid w:val="0069621A"/>
    <w:rsid w:val="006962D6"/>
    <w:rsid w:val="006962EA"/>
    <w:rsid w:val="00696475"/>
    <w:rsid w:val="00696A2C"/>
    <w:rsid w:val="00696F38"/>
    <w:rsid w:val="006972C8"/>
    <w:rsid w:val="006974FC"/>
    <w:rsid w:val="0069755A"/>
    <w:rsid w:val="006975D4"/>
    <w:rsid w:val="00697603"/>
    <w:rsid w:val="00697622"/>
    <w:rsid w:val="0069779D"/>
    <w:rsid w:val="006979EF"/>
    <w:rsid w:val="006979FA"/>
    <w:rsid w:val="00697B4B"/>
    <w:rsid w:val="00697D7A"/>
    <w:rsid w:val="00697DFF"/>
    <w:rsid w:val="00697F78"/>
    <w:rsid w:val="006A03AD"/>
    <w:rsid w:val="006A068A"/>
    <w:rsid w:val="006A070E"/>
    <w:rsid w:val="006A0A4D"/>
    <w:rsid w:val="006A0B79"/>
    <w:rsid w:val="006A0CDD"/>
    <w:rsid w:val="006A0DB9"/>
    <w:rsid w:val="006A1039"/>
    <w:rsid w:val="006A129D"/>
    <w:rsid w:val="006A1302"/>
    <w:rsid w:val="006A1A13"/>
    <w:rsid w:val="006A1AD9"/>
    <w:rsid w:val="006A1B2F"/>
    <w:rsid w:val="006A1DFA"/>
    <w:rsid w:val="006A1E44"/>
    <w:rsid w:val="006A1EF6"/>
    <w:rsid w:val="006A1F20"/>
    <w:rsid w:val="006A1F71"/>
    <w:rsid w:val="006A1FA1"/>
    <w:rsid w:val="006A20D0"/>
    <w:rsid w:val="006A2114"/>
    <w:rsid w:val="006A21A9"/>
    <w:rsid w:val="006A21D6"/>
    <w:rsid w:val="006A220E"/>
    <w:rsid w:val="006A2231"/>
    <w:rsid w:val="006A22CC"/>
    <w:rsid w:val="006A262A"/>
    <w:rsid w:val="006A263D"/>
    <w:rsid w:val="006A268C"/>
    <w:rsid w:val="006A29E4"/>
    <w:rsid w:val="006A2B75"/>
    <w:rsid w:val="006A2B93"/>
    <w:rsid w:val="006A2CA3"/>
    <w:rsid w:val="006A2CFA"/>
    <w:rsid w:val="006A3103"/>
    <w:rsid w:val="006A3233"/>
    <w:rsid w:val="006A361C"/>
    <w:rsid w:val="006A3A0E"/>
    <w:rsid w:val="006A3BB1"/>
    <w:rsid w:val="006A3BF8"/>
    <w:rsid w:val="006A3C49"/>
    <w:rsid w:val="006A3DC2"/>
    <w:rsid w:val="006A3F0A"/>
    <w:rsid w:val="006A4325"/>
    <w:rsid w:val="006A432B"/>
    <w:rsid w:val="006A44D8"/>
    <w:rsid w:val="006A4558"/>
    <w:rsid w:val="006A4593"/>
    <w:rsid w:val="006A45C3"/>
    <w:rsid w:val="006A4658"/>
    <w:rsid w:val="006A4760"/>
    <w:rsid w:val="006A4826"/>
    <w:rsid w:val="006A48AE"/>
    <w:rsid w:val="006A4930"/>
    <w:rsid w:val="006A4999"/>
    <w:rsid w:val="006A49CE"/>
    <w:rsid w:val="006A4AA9"/>
    <w:rsid w:val="006A4DC6"/>
    <w:rsid w:val="006A4F36"/>
    <w:rsid w:val="006A4F44"/>
    <w:rsid w:val="006A4F67"/>
    <w:rsid w:val="006A5140"/>
    <w:rsid w:val="006A514A"/>
    <w:rsid w:val="006A514B"/>
    <w:rsid w:val="006A5282"/>
    <w:rsid w:val="006A5387"/>
    <w:rsid w:val="006A567A"/>
    <w:rsid w:val="006A588F"/>
    <w:rsid w:val="006A58AF"/>
    <w:rsid w:val="006A5932"/>
    <w:rsid w:val="006A5BE2"/>
    <w:rsid w:val="006A5EA8"/>
    <w:rsid w:val="006A605F"/>
    <w:rsid w:val="006A60C1"/>
    <w:rsid w:val="006A6381"/>
    <w:rsid w:val="006A644F"/>
    <w:rsid w:val="006A649A"/>
    <w:rsid w:val="006A6671"/>
    <w:rsid w:val="006A66A7"/>
    <w:rsid w:val="006A66EC"/>
    <w:rsid w:val="006A67B4"/>
    <w:rsid w:val="006A6912"/>
    <w:rsid w:val="006A6A01"/>
    <w:rsid w:val="006A6B0F"/>
    <w:rsid w:val="006A6B5C"/>
    <w:rsid w:val="006A6B95"/>
    <w:rsid w:val="006A6C83"/>
    <w:rsid w:val="006A6E05"/>
    <w:rsid w:val="006A6E9F"/>
    <w:rsid w:val="006A6ED2"/>
    <w:rsid w:val="006A6F96"/>
    <w:rsid w:val="006A7176"/>
    <w:rsid w:val="006A7464"/>
    <w:rsid w:val="006A74AC"/>
    <w:rsid w:val="006A74EA"/>
    <w:rsid w:val="006A776F"/>
    <w:rsid w:val="006A77B6"/>
    <w:rsid w:val="006A77ED"/>
    <w:rsid w:val="006A784F"/>
    <w:rsid w:val="006A7AE4"/>
    <w:rsid w:val="006A7B30"/>
    <w:rsid w:val="006A7EFA"/>
    <w:rsid w:val="006A7FD3"/>
    <w:rsid w:val="006B0006"/>
    <w:rsid w:val="006B0131"/>
    <w:rsid w:val="006B01E1"/>
    <w:rsid w:val="006B01ED"/>
    <w:rsid w:val="006B03A1"/>
    <w:rsid w:val="006B0466"/>
    <w:rsid w:val="006B09BA"/>
    <w:rsid w:val="006B0DF7"/>
    <w:rsid w:val="006B0F53"/>
    <w:rsid w:val="006B103A"/>
    <w:rsid w:val="006B12CD"/>
    <w:rsid w:val="006B14D5"/>
    <w:rsid w:val="006B159D"/>
    <w:rsid w:val="006B15A4"/>
    <w:rsid w:val="006B17AD"/>
    <w:rsid w:val="006B17DD"/>
    <w:rsid w:val="006B1829"/>
    <w:rsid w:val="006B1AE9"/>
    <w:rsid w:val="006B1BDB"/>
    <w:rsid w:val="006B1BEA"/>
    <w:rsid w:val="006B1C22"/>
    <w:rsid w:val="006B1F7E"/>
    <w:rsid w:val="006B2709"/>
    <w:rsid w:val="006B283C"/>
    <w:rsid w:val="006B29BE"/>
    <w:rsid w:val="006B2A5C"/>
    <w:rsid w:val="006B2AD6"/>
    <w:rsid w:val="006B2CB5"/>
    <w:rsid w:val="006B2E00"/>
    <w:rsid w:val="006B2E2A"/>
    <w:rsid w:val="006B3104"/>
    <w:rsid w:val="006B32D4"/>
    <w:rsid w:val="006B3317"/>
    <w:rsid w:val="006B3338"/>
    <w:rsid w:val="006B3513"/>
    <w:rsid w:val="006B35BB"/>
    <w:rsid w:val="006B3799"/>
    <w:rsid w:val="006B39FB"/>
    <w:rsid w:val="006B3B77"/>
    <w:rsid w:val="006B3D53"/>
    <w:rsid w:val="006B3F7F"/>
    <w:rsid w:val="006B42D0"/>
    <w:rsid w:val="006B4441"/>
    <w:rsid w:val="006B45C3"/>
    <w:rsid w:val="006B470C"/>
    <w:rsid w:val="006B4926"/>
    <w:rsid w:val="006B4944"/>
    <w:rsid w:val="006B4A18"/>
    <w:rsid w:val="006B4A58"/>
    <w:rsid w:val="006B4A72"/>
    <w:rsid w:val="006B5060"/>
    <w:rsid w:val="006B5122"/>
    <w:rsid w:val="006B51C5"/>
    <w:rsid w:val="006B51DD"/>
    <w:rsid w:val="006B5550"/>
    <w:rsid w:val="006B568F"/>
    <w:rsid w:val="006B56F7"/>
    <w:rsid w:val="006B581E"/>
    <w:rsid w:val="006B5956"/>
    <w:rsid w:val="006B5A39"/>
    <w:rsid w:val="006B5A8F"/>
    <w:rsid w:val="006B64C9"/>
    <w:rsid w:val="006B64F0"/>
    <w:rsid w:val="006B662A"/>
    <w:rsid w:val="006B666E"/>
    <w:rsid w:val="006B6AD5"/>
    <w:rsid w:val="006B6B0E"/>
    <w:rsid w:val="006B6CB3"/>
    <w:rsid w:val="006B6CDA"/>
    <w:rsid w:val="006B6D1E"/>
    <w:rsid w:val="006B714E"/>
    <w:rsid w:val="006B71D0"/>
    <w:rsid w:val="006B732B"/>
    <w:rsid w:val="006B7378"/>
    <w:rsid w:val="006B7406"/>
    <w:rsid w:val="006B74CD"/>
    <w:rsid w:val="006B75A4"/>
    <w:rsid w:val="006B76F5"/>
    <w:rsid w:val="006B76FD"/>
    <w:rsid w:val="006B77C8"/>
    <w:rsid w:val="006B78C1"/>
    <w:rsid w:val="006B7C04"/>
    <w:rsid w:val="006C0032"/>
    <w:rsid w:val="006C00BE"/>
    <w:rsid w:val="006C031F"/>
    <w:rsid w:val="006C038C"/>
    <w:rsid w:val="006C0665"/>
    <w:rsid w:val="006C06AD"/>
    <w:rsid w:val="006C075C"/>
    <w:rsid w:val="006C077E"/>
    <w:rsid w:val="006C0923"/>
    <w:rsid w:val="006C0927"/>
    <w:rsid w:val="006C0D1F"/>
    <w:rsid w:val="006C0F6C"/>
    <w:rsid w:val="006C0FAD"/>
    <w:rsid w:val="006C165B"/>
    <w:rsid w:val="006C186C"/>
    <w:rsid w:val="006C19E2"/>
    <w:rsid w:val="006C1B26"/>
    <w:rsid w:val="006C1B77"/>
    <w:rsid w:val="006C1B78"/>
    <w:rsid w:val="006C1C1C"/>
    <w:rsid w:val="006C1D7A"/>
    <w:rsid w:val="006C1DC5"/>
    <w:rsid w:val="006C1DC9"/>
    <w:rsid w:val="006C1E72"/>
    <w:rsid w:val="006C1ECA"/>
    <w:rsid w:val="006C21A4"/>
    <w:rsid w:val="006C21CE"/>
    <w:rsid w:val="006C2247"/>
    <w:rsid w:val="006C2314"/>
    <w:rsid w:val="006C23D1"/>
    <w:rsid w:val="006C24B9"/>
    <w:rsid w:val="006C2796"/>
    <w:rsid w:val="006C2932"/>
    <w:rsid w:val="006C2A87"/>
    <w:rsid w:val="006C2D30"/>
    <w:rsid w:val="006C3087"/>
    <w:rsid w:val="006C31E9"/>
    <w:rsid w:val="006C31F7"/>
    <w:rsid w:val="006C324C"/>
    <w:rsid w:val="006C3317"/>
    <w:rsid w:val="006C3479"/>
    <w:rsid w:val="006C349E"/>
    <w:rsid w:val="006C34BF"/>
    <w:rsid w:val="006C3657"/>
    <w:rsid w:val="006C3770"/>
    <w:rsid w:val="006C3A4E"/>
    <w:rsid w:val="006C3B21"/>
    <w:rsid w:val="006C40A6"/>
    <w:rsid w:val="006C459C"/>
    <w:rsid w:val="006C4967"/>
    <w:rsid w:val="006C49EC"/>
    <w:rsid w:val="006C4A37"/>
    <w:rsid w:val="006C4A41"/>
    <w:rsid w:val="006C4B40"/>
    <w:rsid w:val="006C4C5A"/>
    <w:rsid w:val="006C4E4B"/>
    <w:rsid w:val="006C5323"/>
    <w:rsid w:val="006C541C"/>
    <w:rsid w:val="006C5559"/>
    <w:rsid w:val="006C55FA"/>
    <w:rsid w:val="006C583F"/>
    <w:rsid w:val="006C5939"/>
    <w:rsid w:val="006C59FF"/>
    <w:rsid w:val="006C5A70"/>
    <w:rsid w:val="006C5B0C"/>
    <w:rsid w:val="006C5C00"/>
    <w:rsid w:val="006C5EC2"/>
    <w:rsid w:val="006C5FC5"/>
    <w:rsid w:val="006C6055"/>
    <w:rsid w:val="006C62BF"/>
    <w:rsid w:val="006C65B3"/>
    <w:rsid w:val="006C65D6"/>
    <w:rsid w:val="006C67CB"/>
    <w:rsid w:val="006C686D"/>
    <w:rsid w:val="006C68C3"/>
    <w:rsid w:val="006C68CD"/>
    <w:rsid w:val="006C69F2"/>
    <w:rsid w:val="006C6BD5"/>
    <w:rsid w:val="006C6D6C"/>
    <w:rsid w:val="006C72AD"/>
    <w:rsid w:val="006C7312"/>
    <w:rsid w:val="006C7657"/>
    <w:rsid w:val="006C7706"/>
    <w:rsid w:val="006C78CB"/>
    <w:rsid w:val="006C7EE8"/>
    <w:rsid w:val="006D0363"/>
    <w:rsid w:val="006D0497"/>
    <w:rsid w:val="006D04CC"/>
    <w:rsid w:val="006D06D3"/>
    <w:rsid w:val="006D07A5"/>
    <w:rsid w:val="006D085B"/>
    <w:rsid w:val="006D0897"/>
    <w:rsid w:val="006D0904"/>
    <w:rsid w:val="006D0B48"/>
    <w:rsid w:val="006D0D47"/>
    <w:rsid w:val="006D0D95"/>
    <w:rsid w:val="006D10F5"/>
    <w:rsid w:val="006D110B"/>
    <w:rsid w:val="006D1140"/>
    <w:rsid w:val="006D118C"/>
    <w:rsid w:val="006D11D9"/>
    <w:rsid w:val="006D1249"/>
    <w:rsid w:val="006D15F7"/>
    <w:rsid w:val="006D171E"/>
    <w:rsid w:val="006D18EF"/>
    <w:rsid w:val="006D1A1E"/>
    <w:rsid w:val="006D1ADD"/>
    <w:rsid w:val="006D1AF9"/>
    <w:rsid w:val="006D1B24"/>
    <w:rsid w:val="006D1B6E"/>
    <w:rsid w:val="006D1BBA"/>
    <w:rsid w:val="006D1C78"/>
    <w:rsid w:val="006D1F8C"/>
    <w:rsid w:val="006D22B5"/>
    <w:rsid w:val="006D23AA"/>
    <w:rsid w:val="006D26ED"/>
    <w:rsid w:val="006D2709"/>
    <w:rsid w:val="006D2818"/>
    <w:rsid w:val="006D2A1C"/>
    <w:rsid w:val="006D2E6A"/>
    <w:rsid w:val="006D314D"/>
    <w:rsid w:val="006D327A"/>
    <w:rsid w:val="006D32F5"/>
    <w:rsid w:val="006D330B"/>
    <w:rsid w:val="006D331B"/>
    <w:rsid w:val="006D3324"/>
    <w:rsid w:val="006D333C"/>
    <w:rsid w:val="006D33D5"/>
    <w:rsid w:val="006D34AD"/>
    <w:rsid w:val="006D3634"/>
    <w:rsid w:val="006D3689"/>
    <w:rsid w:val="006D36FD"/>
    <w:rsid w:val="006D376D"/>
    <w:rsid w:val="006D3815"/>
    <w:rsid w:val="006D38D0"/>
    <w:rsid w:val="006D392D"/>
    <w:rsid w:val="006D3A9C"/>
    <w:rsid w:val="006D3B30"/>
    <w:rsid w:val="006D3BEF"/>
    <w:rsid w:val="006D3E10"/>
    <w:rsid w:val="006D3EA9"/>
    <w:rsid w:val="006D3EF1"/>
    <w:rsid w:val="006D4102"/>
    <w:rsid w:val="006D41DD"/>
    <w:rsid w:val="006D4269"/>
    <w:rsid w:val="006D42EF"/>
    <w:rsid w:val="006D4379"/>
    <w:rsid w:val="006D4418"/>
    <w:rsid w:val="006D44B7"/>
    <w:rsid w:val="006D44C4"/>
    <w:rsid w:val="006D44C7"/>
    <w:rsid w:val="006D452F"/>
    <w:rsid w:val="006D456D"/>
    <w:rsid w:val="006D469C"/>
    <w:rsid w:val="006D470F"/>
    <w:rsid w:val="006D4710"/>
    <w:rsid w:val="006D4976"/>
    <w:rsid w:val="006D4BD7"/>
    <w:rsid w:val="006D4CB4"/>
    <w:rsid w:val="006D4D70"/>
    <w:rsid w:val="006D4F93"/>
    <w:rsid w:val="006D5780"/>
    <w:rsid w:val="006D5848"/>
    <w:rsid w:val="006D5969"/>
    <w:rsid w:val="006D5C81"/>
    <w:rsid w:val="006D5CC3"/>
    <w:rsid w:val="006D5E2E"/>
    <w:rsid w:val="006D5F02"/>
    <w:rsid w:val="006D5F4F"/>
    <w:rsid w:val="006D6122"/>
    <w:rsid w:val="006D61C0"/>
    <w:rsid w:val="006D645D"/>
    <w:rsid w:val="006D64A8"/>
    <w:rsid w:val="006D64DC"/>
    <w:rsid w:val="006D659A"/>
    <w:rsid w:val="006D670C"/>
    <w:rsid w:val="006D6F36"/>
    <w:rsid w:val="006D6FAB"/>
    <w:rsid w:val="006D6FF1"/>
    <w:rsid w:val="006D7026"/>
    <w:rsid w:val="006D71E1"/>
    <w:rsid w:val="006D720C"/>
    <w:rsid w:val="006D7243"/>
    <w:rsid w:val="006D72DE"/>
    <w:rsid w:val="006D7338"/>
    <w:rsid w:val="006D74FF"/>
    <w:rsid w:val="006D7765"/>
    <w:rsid w:val="006D7A3A"/>
    <w:rsid w:val="006D7AAA"/>
    <w:rsid w:val="006D7B9C"/>
    <w:rsid w:val="006D7C47"/>
    <w:rsid w:val="006E00FB"/>
    <w:rsid w:val="006E0103"/>
    <w:rsid w:val="006E019B"/>
    <w:rsid w:val="006E0237"/>
    <w:rsid w:val="006E02E5"/>
    <w:rsid w:val="006E02FE"/>
    <w:rsid w:val="006E03B1"/>
    <w:rsid w:val="006E04E2"/>
    <w:rsid w:val="006E05AD"/>
    <w:rsid w:val="006E088B"/>
    <w:rsid w:val="006E112E"/>
    <w:rsid w:val="006E1216"/>
    <w:rsid w:val="006E12F0"/>
    <w:rsid w:val="006E1862"/>
    <w:rsid w:val="006E1875"/>
    <w:rsid w:val="006E1911"/>
    <w:rsid w:val="006E1AFE"/>
    <w:rsid w:val="006E1B57"/>
    <w:rsid w:val="006E1BBE"/>
    <w:rsid w:val="006E1D65"/>
    <w:rsid w:val="006E1EB9"/>
    <w:rsid w:val="006E210D"/>
    <w:rsid w:val="006E21EA"/>
    <w:rsid w:val="006E2249"/>
    <w:rsid w:val="006E22C5"/>
    <w:rsid w:val="006E24A1"/>
    <w:rsid w:val="006E24A8"/>
    <w:rsid w:val="006E2779"/>
    <w:rsid w:val="006E282F"/>
    <w:rsid w:val="006E2A68"/>
    <w:rsid w:val="006E2AC7"/>
    <w:rsid w:val="006E2B23"/>
    <w:rsid w:val="006E2B26"/>
    <w:rsid w:val="006E2E4B"/>
    <w:rsid w:val="006E330B"/>
    <w:rsid w:val="006E340A"/>
    <w:rsid w:val="006E34E6"/>
    <w:rsid w:val="006E3637"/>
    <w:rsid w:val="006E36D3"/>
    <w:rsid w:val="006E3732"/>
    <w:rsid w:val="006E3BC6"/>
    <w:rsid w:val="006E3CAC"/>
    <w:rsid w:val="006E3EB9"/>
    <w:rsid w:val="006E411A"/>
    <w:rsid w:val="006E414D"/>
    <w:rsid w:val="006E41B1"/>
    <w:rsid w:val="006E41C5"/>
    <w:rsid w:val="006E4275"/>
    <w:rsid w:val="006E43E7"/>
    <w:rsid w:val="006E45FA"/>
    <w:rsid w:val="006E4646"/>
    <w:rsid w:val="006E4B88"/>
    <w:rsid w:val="006E4C19"/>
    <w:rsid w:val="006E4E5A"/>
    <w:rsid w:val="006E4F81"/>
    <w:rsid w:val="006E4FE9"/>
    <w:rsid w:val="006E5070"/>
    <w:rsid w:val="006E5180"/>
    <w:rsid w:val="006E51B2"/>
    <w:rsid w:val="006E522C"/>
    <w:rsid w:val="006E5353"/>
    <w:rsid w:val="006E536E"/>
    <w:rsid w:val="006E5416"/>
    <w:rsid w:val="006E54AA"/>
    <w:rsid w:val="006E54DC"/>
    <w:rsid w:val="006E5901"/>
    <w:rsid w:val="006E59AA"/>
    <w:rsid w:val="006E5A0D"/>
    <w:rsid w:val="006E5BEE"/>
    <w:rsid w:val="006E5E9A"/>
    <w:rsid w:val="006E5EF0"/>
    <w:rsid w:val="006E6045"/>
    <w:rsid w:val="006E6106"/>
    <w:rsid w:val="006E6174"/>
    <w:rsid w:val="006E6250"/>
    <w:rsid w:val="006E6577"/>
    <w:rsid w:val="006E65F3"/>
    <w:rsid w:val="006E670B"/>
    <w:rsid w:val="006E6755"/>
    <w:rsid w:val="006E68DC"/>
    <w:rsid w:val="006E6BC8"/>
    <w:rsid w:val="006E6BD5"/>
    <w:rsid w:val="006E6BEF"/>
    <w:rsid w:val="006E6C27"/>
    <w:rsid w:val="006E6F2F"/>
    <w:rsid w:val="006E750F"/>
    <w:rsid w:val="006E76C6"/>
    <w:rsid w:val="006E76DC"/>
    <w:rsid w:val="006E7ACD"/>
    <w:rsid w:val="006E7B22"/>
    <w:rsid w:val="006E7B36"/>
    <w:rsid w:val="006E7DAC"/>
    <w:rsid w:val="006E7E6E"/>
    <w:rsid w:val="006EF91E"/>
    <w:rsid w:val="006F0076"/>
    <w:rsid w:val="006F012C"/>
    <w:rsid w:val="006F043A"/>
    <w:rsid w:val="006F0523"/>
    <w:rsid w:val="006F057E"/>
    <w:rsid w:val="006F05E1"/>
    <w:rsid w:val="006F0618"/>
    <w:rsid w:val="006F07CA"/>
    <w:rsid w:val="006F0A09"/>
    <w:rsid w:val="006F0A2E"/>
    <w:rsid w:val="006F0C02"/>
    <w:rsid w:val="006F0E2D"/>
    <w:rsid w:val="006F0EE5"/>
    <w:rsid w:val="006F0F16"/>
    <w:rsid w:val="006F14C2"/>
    <w:rsid w:val="006F15D2"/>
    <w:rsid w:val="006F18F0"/>
    <w:rsid w:val="006F1A0C"/>
    <w:rsid w:val="006F1ADD"/>
    <w:rsid w:val="006F1BB1"/>
    <w:rsid w:val="006F1C58"/>
    <w:rsid w:val="006F1D06"/>
    <w:rsid w:val="006F1D31"/>
    <w:rsid w:val="006F1D7E"/>
    <w:rsid w:val="006F1E97"/>
    <w:rsid w:val="006F20BF"/>
    <w:rsid w:val="006F2151"/>
    <w:rsid w:val="006F2182"/>
    <w:rsid w:val="006F21D7"/>
    <w:rsid w:val="006F2287"/>
    <w:rsid w:val="006F2340"/>
    <w:rsid w:val="006F2440"/>
    <w:rsid w:val="006F24A1"/>
    <w:rsid w:val="006F24DD"/>
    <w:rsid w:val="006F254F"/>
    <w:rsid w:val="006F2856"/>
    <w:rsid w:val="006F29BE"/>
    <w:rsid w:val="006F2B0B"/>
    <w:rsid w:val="006F2CE1"/>
    <w:rsid w:val="006F2D4C"/>
    <w:rsid w:val="006F2FFD"/>
    <w:rsid w:val="006F3133"/>
    <w:rsid w:val="006F314B"/>
    <w:rsid w:val="006F33E9"/>
    <w:rsid w:val="006F3698"/>
    <w:rsid w:val="006F36EA"/>
    <w:rsid w:val="006F38C8"/>
    <w:rsid w:val="006F394A"/>
    <w:rsid w:val="006F3967"/>
    <w:rsid w:val="006F3A83"/>
    <w:rsid w:val="006F3D3B"/>
    <w:rsid w:val="006F3E51"/>
    <w:rsid w:val="006F3F98"/>
    <w:rsid w:val="006F4188"/>
    <w:rsid w:val="006F4249"/>
    <w:rsid w:val="006F44D5"/>
    <w:rsid w:val="006F450E"/>
    <w:rsid w:val="006F45B7"/>
    <w:rsid w:val="006F4909"/>
    <w:rsid w:val="006F491C"/>
    <w:rsid w:val="006F4964"/>
    <w:rsid w:val="006F4A8C"/>
    <w:rsid w:val="006F4BCA"/>
    <w:rsid w:val="006F4E1B"/>
    <w:rsid w:val="006F5020"/>
    <w:rsid w:val="006F507C"/>
    <w:rsid w:val="006F5136"/>
    <w:rsid w:val="006F5398"/>
    <w:rsid w:val="006F539A"/>
    <w:rsid w:val="006F53D0"/>
    <w:rsid w:val="006F5536"/>
    <w:rsid w:val="006F5674"/>
    <w:rsid w:val="006F56CB"/>
    <w:rsid w:val="006F58F9"/>
    <w:rsid w:val="006F5A53"/>
    <w:rsid w:val="006F5A66"/>
    <w:rsid w:val="006F5CF5"/>
    <w:rsid w:val="006F6246"/>
    <w:rsid w:val="006F6342"/>
    <w:rsid w:val="006F6344"/>
    <w:rsid w:val="006F6378"/>
    <w:rsid w:val="006F64E8"/>
    <w:rsid w:val="006F66C3"/>
    <w:rsid w:val="006F66E0"/>
    <w:rsid w:val="006F6975"/>
    <w:rsid w:val="006F69CA"/>
    <w:rsid w:val="006F6F84"/>
    <w:rsid w:val="006F70F7"/>
    <w:rsid w:val="006F70F8"/>
    <w:rsid w:val="006F72E4"/>
    <w:rsid w:val="006F7404"/>
    <w:rsid w:val="006F75AA"/>
    <w:rsid w:val="006F7824"/>
    <w:rsid w:val="006F7A61"/>
    <w:rsid w:val="006F7ACE"/>
    <w:rsid w:val="006F7E71"/>
    <w:rsid w:val="006F7FFB"/>
    <w:rsid w:val="007002D6"/>
    <w:rsid w:val="007002F9"/>
    <w:rsid w:val="0070033C"/>
    <w:rsid w:val="0070042D"/>
    <w:rsid w:val="00700580"/>
    <w:rsid w:val="007005C0"/>
    <w:rsid w:val="007008A6"/>
    <w:rsid w:val="007009D4"/>
    <w:rsid w:val="00700C76"/>
    <w:rsid w:val="00700CED"/>
    <w:rsid w:val="00700E35"/>
    <w:rsid w:val="00700F8F"/>
    <w:rsid w:val="00701348"/>
    <w:rsid w:val="0070145D"/>
    <w:rsid w:val="00701745"/>
    <w:rsid w:val="00701848"/>
    <w:rsid w:val="0070222D"/>
    <w:rsid w:val="00702556"/>
    <w:rsid w:val="00702794"/>
    <w:rsid w:val="007029E2"/>
    <w:rsid w:val="00702B4D"/>
    <w:rsid w:val="00702C19"/>
    <w:rsid w:val="00702F8C"/>
    <w:rsid w:val="00702FBE"/>
    <w:rsid w:val="00703149"/>
    <w:rsid w:val="00703491"/>
    <w:rsid w:val="00703503"/>
    <w:rsid w:val="00703559"/>
    <w:rsid w:val="007035C4"/>
    <w:rsid w:val="0070373A"/>
    <w:rsid w:val="007037A9"/>
    <w:rsid w:val="007038F8"/>
    <w:rsid w:val="00703960"/>
    <w:rsid w:val="007039DC"/>
    <w:rsid w:val="00703C98"/>
    <w:rsid w:val="00703CB5"/>
    <w:rsid w:val="00703F55"/>
    <w:rsid w:val="00704346"/>
    <w:rsid w:val="00704465"/>
    <w:rsid w:val="00704533"/>
    <w:rsid w:val="00704615"/>
    <w:rsid w:val="0070464A"/>
    <w:rsid w:val="00704751"/>
    <w:rsid w:val="007048EC"/>
    <w:rsid w:val="00704993"/>
    <w:rsid w:val="0070503B"/>
    <w:rsid w:val="007050B6"/>
    <w:rsid w:val="0070513F"/>
    <w:rsid w:val="007051E2"/>
    <w:rsid w:val="0070540A"/>
    <w:rsid w:val="0070546D"/>
    <w:rsid w:val="007056C1"/>
    <w:rsid w:val="0070582B"/>
    <w:rsid w:val="007059A7"/>
    <w:rsid w:val="007059AB"/>
    <w:rsid w:val="00705A11"/>
    <w:rsid w:val="00705CE7"/>
    <w:rsid w:val="00705E40"/>
    <w:rsid w:val="00705ECA"/>
    <w:rsid w:val="00705F18"/>
    <w:rsid w:val="007060FE"/>
    <w:rsid w:val="00706173"/>
    <w:rsid w:val="007062A9"/>
    <w:rsid w:val="007062EC"/>
    <w:rsid w:val="0070632E"/>
    <w:rsid w:val="0070647C"/>
    <w:rsid w:val="0070654E"/>
    <w:rsid w:val="00706585"/>
    <w:rsid w:val="00706686"/>
    <w:rsid w:val="0070694E"/>
    <w:rsid w:val="00706C4F"/>
    <w:rsid w:val="00707274"/>
    <w:rsid w:val="00707503"/>
    <w:rsid w:val="00707601"/>
    <w:rsid w:val="00707712"/>
    <w:rsid w:val="0070778C"/>
    <w:rsid w:val="00707A3F"/>
    <w:rsid w:val="00707BE1"/>
    <w:rsid w:val="00707BFD"/>
    <w:rsid w:val="007100EC"/>
    <w:rsid w:val="007101C0"/>
    <w:rsid w:val="007101C5"/>
    <w:rsid w:val="007101E3"/>
    <w:rsid w:val="007102CA"/>
    <w:rsid w:val="00710525"/>
    <w:rsid w:val="0071057F"/>
    <w:rsid w:val="00710A6E"/>
    <w:rsid w:val="00710A9D"/>
    <w:rsid w:val="00710CE7"/>
    <w:rsid w:val="00710EAD"/>
    <w:rsid w:val="00710F76"/>
    <w:rsid w:val="007114BF"/>
    <w:rsid w:val="007114D0"/>
    <w:rsid w:val="007115CB"/>
    <w:rsid w:val="0071168E"/>
    <w:rsid w:val="00711976"/>
    <w:rsid w:val="00711C50"/>
    <w:rsid w:val="00711E19"/>
    <w:rsid w:val="00711EAA"/>
    <w:rsid w:val="007120AC"/>
    <w:rsid w:val="007123D3"/>
    <w:rsid w:val="00712462"/>
    <w:rsid w:val="007124A7"/>
    <w:rsid w:val="007124D0"/>
    <w:rsid w:val="00712514"/>
    <w:rsid w:val="00712580"/>
    <w:rsid w:val="0071281F"/>
    <w:rsid w:val="00712825"/>
    <w:rsid w:val="007129B1"/>
    <w:rsid w:val="00712A1B"/>
    <w:rsid w:val="00712C3D"/>
    <w:rsid w:val="00712D4A"/>
    <w:rsid w:val="00712ED6"/>
    <w:rsid w:val="00712FF8"/>
    <w:rsid w:val="00713035"/>
    <w:rsid w:val="00713108"/>
    <w:rsid w:val="007131B6"/>
    <w:rsid w:val="007132E7"/>
    <w:rsid w:val="0071337E"/>
    <w:rsid w:val="00713716"/>
    <w:rsid w:val="0071374C"/>
    <w:rsid w:val="007137F7"/>
    <w:rsid w:val="0071380E"/>
    <w:rsid w:val="00713CCA"/>
    <w:rsid w:val="00713E28"/>
    <w:rsid w:val="00713EB2"/>
    <w:rsid w:val="0071413E"/>
    <w:rsid w:val="0071442D"/>
    <w:rsid w:val="0071449D"/>
    <w:rsid w:val="00714580"/>
    <w:rsid w:val="007146CA"/>
    <w:rsid w:val="0071478D"/>
    <w:rsid w:val="00714966"/>
    <w:rsid w:val="007149F4"/>
    <w:rsid w:val="00714B29"/>
    <w:rsid w:val="0071500F"/>
    <w:rsid w:val="0071501E"/>
    <w:rsid w:val="007150B8"/>
    <w:rsid w:val="00715403"/>
    <w:rsid w:val="007155E0"/>
    <w:rsid w:val="007156CC"/>
    <w:rsid w:val="0071590A"/>
    <w:rsid w:val="007159AB"/>
    <w:rsid w:val="00715A59"/>
    <w:rsid w:val="00715ABF"/>
    <w:rsid w:val="00715C4F"/>
    <w:rsid w:val="00715DCC"/>
    <w:rsid w:val="00716108"/>
    <w:rsid w:val="00716194"/>
    <w:rsid w:val="0071638D"/>
    <w:rsid w:val="007163D9"/>
    <w:rsid w:val="00716624"/>
    <w:rsid w:val="00716B25"/>
    <w:rsid w:val="00716CB4"/>
    <w:rsid w:val="007170A4"/>
    <w:rsid w:val="007172F7"/>
    <w:rsid w:val="00717353"/>
    <w:rsid w:val="007175F1"/>
    <w:rsid w:val="00717744"/>
    <w:rsid w:val="0071790C"/>
    <w:rsid w:val="00717964"/>
    <w:rsid w:val="00717AEE"/>
    <w:rsid w:val="00717BB5"/>
    <w:rsid w:val="00717C13"/>
    <w:rsid w:val="00717E7E"/>
    <w:rsid w:val="007203D6"/>
    <w:rsid w:val="007203F0"/>
    <w:rsid w:val="007204B1"/>
    <w:rsid w:val="0072057B"/>
    <w:rsid w:val="0072074C"/>
    <w:rsid w:val="007207BB"/>
    <w:rsid w:val="0072094B"/>
    <w:rsid w:val="00720ADD"/>
    <w:rsid w:val="00720D18"/>
    <w:rsid w:val="00720D91"/>
    <w:rsid w:val="00720E38"/>
    <w:rsid w:val="00720E60"/>
    <w:rsid w:val="0072130C"/>
    <w:rsid w:val="007218D7"/>
    <w:rsid w:val="00721A9D"/>
    <w:rsid w:val="00721B2A"/>
    <w:rsid w:val="00721C26"/>
    <w:rsid w:val="00721C2D"/>
    <w:rsid w:val="00722037"/>
    <w:rsid w:val="007220DA"/>
    <w:rsid w:val="00722145"/>
    <w:rsid w:val="00722272"/>
    <w:rsid w:val="007223FC"/>
    <w:rsid w:val="0072250B"/>
    <w:rsid w:val="00722555"/>
    <w:rsid w:val="00722826"/>
    <w:rsid w:val="00722940"/>
    <w:rsid w:val="007229EC"/>
    <w:rsid w:val="00722B56"/>
    <w:rsid w:val="00722B92"/>
    <w:rsid w:val="00722F40"/>
    <w:rsid w:val="00723096"/>
    <w:rsid w:val="00723130"/>
    <w:rsid w:val="00723134"/>
    <w:rsid w:val="007231B0"/>
    <w:rsid w:val="00723206"/>
    <w:rsid w:val="00723279"/>
    <w:rsid w:val="0072329C"/>
    <w:rsid w:val="007232A1"/>
    <w:rsid w:val="007232CC"/>
    <w:rsid w:val="00723343"/>
    <w:rsid w:val="007237A9"/>
    <w:rsid w:val="007238C4"/>
    <w:rsid w:val="007238F6"/>
    <w:rsid w:val="00723C9A"/>
    <w:rsid w:val="00723DA1"/>
    <w:rsid w:val="00723EA3"/>
    <w:rsid w:val="00723FB1"/>
    <w:rsid w:val="007240C2"/>
    <w:rsid w:val="00724317"/>
    <w:rsid w:val="00724383"/>
    <w:rsid w:val="007244DF"/>
    <w:rsid w:val="007245F7"/>
    <w:rsid w:val="00724BFE"/>
    <w:rsid w:val="00724D16"/>
    <w:rsid w:val="00724D33"/>
    <w:rsid w:val="00724D7A"/>
    <w:rsid w:val="0072508F"/>
    <w:rsid w:val="007252E2"/>
    <w:rsid w:val="0072536F"/>
    <w:rsid w:val="0072546B"/>
    <w:rsid w:val="00725501"/>
    <w:rsid w:val="00725A28"/>
    <w:rsid w:val="00725A3D"/>
    <w:rsid w:val="00725BC3"/>
    <w:rsid w:val="00725C2A"/>
    <w:rsid w:val="00725CD5"/>
    <w:rsid w:val="00725DD0"/>
    <w:rsid w:val="00725F9B"/>
    <w:rsid w:val="0072603A"/>
    <w:rsid w:val="0072619D"/>
    <w:rsid w:val="0072632B"/>
    <w:rsid w:val="00726393"/>
    <w:rsid w:val="00726409"/>
    <w:rsid w:val="007264C3"/>
    <w:rsid w:val="0072651F"/>
    <w:rsid w:val="00726546"/>
    <w:rsid w:val="00726668"/>
    <w:rsid w:val="007269CC"/>
    <w:rsid w:val="00726BD8"/>
    <w:rsid w:val="00726E16"/>
    <w:rsid w:val="00726E44"/>
    <w:rsid w:val="00726F20"/>
    <w:rsid w:val="00727548"/>
    <w:rsid w:val="007275F4"/>
    <w:rsid w:val="00727831"/>
    <w:rsid w:val="00727889"/>
    <w:rsid w:val="00727AB5"/>
    <w:rsid w:val="00727AEA"/>
    <w:rsid w:val="00727B52"/>
    <w:rsid w:val="00727CD8"/>
    <w:rsid w:val="00727DB7"/>
    <w:rsid w:val="00727E16"/>
    <w:rsid w:val="007302B3"/>
    <w:rsid w:val="00730340"/>
    <w:rsid w:val="00730429"/>
    <w:rsid w:val="0073049A"/>
    <w:rsid w:val="00730538"/>
    <w:rsid w:val="007305AB"/>
    <w:rsid w:val="0073061A"/>
    <w:rsid w:val="007306BE"/>
    <w:rsid w:val="007306DD"/>
    <w:rsid w:val="00730890"/>
    <w:rsid w:val="007308F0"/>
    <w:rsid w:val="00730DE7"/>
    <w:rsid w:val="00730DF0"/>
    <w:rsid w:val="007310A6"/>
    <w:rsid w:val="00731284"/>
    <w:rsid w:val="0073129C"/>
    <w:rsid w:val="00731B03"/>
    <w:rsid w:val="00731B23"/>
    <w:rsid w:val="00731B3E"/>
    <w:rsid w:val="00731C6A"/>
    <w:rsid w:val="00731CA5"/>
    <w:rsid w:val="00731E6A"/>
    <w:rsid w:val="00731EBA"/>
    <w:rsid w:val="007320D1"/>
    <w:rsid w:val="00732286"/>
    <w:rsid w:val="00732304"/>
    <w:rsid w:val="00732331"/>
    <w:rsid w:val="00732441"/>
    <w:rsid w:val="007324A9"/>
    <w:rsid w:val="00732662"/>
    <w:rsid w:val="00732817"/>
    <w:rsid w:val="00732885"/>
    <w:rsid w:val="00732AE9"/>
    <w:rsid w:val="00732B60"/>
    <w:rsid w:val="00732C0A"/>
    <w:rsid w:val="00732CB7"/>
    <w:rsid w:val="00732CFF"/>
    <w:rsid w:val="00732EE1"/>
    <w:rsid w:val="0073316A"/>
    <w:rsid w:val="00733474"/>
    <w:rsid w:val="00733515"/>
    <w:rsid w:val="007335E4"/>
    <w:rsid w:val="00733643"/>
    <w:rsid w:val="007339C0"/>
    <w:rsid w:val="00733AB7"/>
    <w:rsid w:val="00733BFE"/>
    <w:rsid w:val="00733E15"/>
    <w:rsid w:val="007342C2"/>
    <w:rsid w:val="00734506"/>
    <w:rsid w:val="00734753"/>
    <w:rsid w:val="00734C0F"/>
    <w:rsid w:val="00734F77"/>
    <w:rsid w:val="00734FA6"/>
    <w:rsid w:val="00734FC9"/>
    <w:rsid w:val="0073521D"/>
    <w:rsid w:val="007353FB"/>
    <w:rsid w:val="00735495"/>
    <w:rsid w:val="007355AE"/>
    <w:rsid w:val="00735A6C"/>
    <w:rsid w:val="00735B00"/>
    <w:rsid w:val="00735C40"/>
    <w:rsid w:val="00735C47"/>
    <w:rsid w:val="00735C63"/>
    <w:rsid w:val="00735C83"/>
    <w:rsid w:val="007362A6"/>
    <w:rsid w:val="00736376"/>
    <w:rsid w:val="007363A9"/>
    <w:rsid w:val="00736486"/>
    <w:rsid w:val="007365BB"/>
    <w:rsid w:val="007366F5"/>
    <w:rsid w:val="007367E6"/>
    <w:rsid w:val="00736841"/>
    <w:rsid w:val="00736A40"/>
    <w:rsid w:val="00736AC9"/>
    <w:rsid w:val="00736E21"/>
    <w:rsid w:val="0073725B"/>
    <w:rsid w:val="007373AD"/>
    <w:rsid w:val="007374EF"/>
    <w:rsid w:val="00737743"/>
    <w:rsid w:val="007377E8"/>
    <w:rsid w:val="007378D0"/>
    <w:rsid w:val="00737944"/>
    <w:rsid w:val="0073795A"/>
    <w:rsid w:val="00737967"/>
    <w:rsid w:val="00737B02"/>
    <w:rsid w:val="00737B16"/>
    <w:rsid w:val="00737BC2"/>
    <w:rsid w:val="00737C4B"/>
    <w:rsid w:val="00737C9E"/>
    <w:rsid w:val="00737E50"/>
    <w:rsid w:val="00737FCD"/>
    <w:rsid w:val="0074007A"/>
    <w:rsid w:val="007400F7"/>
    <w:rsid w:val="00740294"/>
    <w:rsid w:val="0074029F"/>
    <w:rsid w:val="0074056A"/>
    <w:rsid w:val="007408B3"/>
    <w:rsid w:val="00740940"/>
    <w:rsid w:val="00740C14"/>
    <w:rsid w:val="00740D18"/>
    <w:rsid w:val="007411E4"/>
    <w:rsid w:val="007411F0"/>
    <w:rsid w:val="0074128B"/>
    <w:rsid w:val="007412ED"/>
    <w:rsid w:val="00741342"/>
    <w:rsid w:val="007413EA"/>
    <w:rsid w:val="007415B8"/>
    <w:rsid w:val="00741638"/>
    <w:rsid w:val="00741721"/>
    <w:rsid w:val="00741853"/>
    <w:rsid w:val="00741BB9"/>
    <w:rsid w:val="00741CC1"/>
    <w:rsid w:val="00741FF9"/>
    <w:rsid w:val="007420B0"/>
    <w:rsid w:val="00742315"/>
    <w:rsid w:val="007423C1"/>
    <w:rsid w:val="00742551"/>
    <w:rsid w:val="00742579"/>
    <w:rsid w:val="00742902"/>
    <w:rsid w:val="00742BA8"/>
    <w:rsid w:val="00742D7C"/>
    <w:rsid w:val="00742E07"/>
    <w:rsid w:val="0074302C"/>
    <w:rsid w:val="007434AD"/>
    <w:rsid w:val="00743544"/>
    <w:rsid w:val="0074383A"/>
    <w:rsid w:val="0074384F"/>
    <w:rsid w:val="00743912"/>
    <w:rsid w:val="00743985"/>
    <w:rsid w:val="00743B15"/>
    <w:rsid w:val="00743B2B"/>
    <w:rsid w:val="00743B81"/>
    <w:rsid w:val="00743E39"/>
    <w:rsid w:val="00743FDC"/>
    <w:rsid w:val="00743FDD"/>
    <w:rsid w:val="0074426A"/>
    <w:rsid w:val="007446D8"/>
    <w:rsid w:val="0074491D"/>
    <w:rsid w:val="00744C1B"/>
    <w:rsid w:val="00744CC9"/>
    <w:rsid w:val="0074501E"/>
    <w:rsid w:val="00745160"/>
    <w:rsid w:val="00745732"/>
    <w:rsid w:val="007457E2"/>
    <w:rsid w:val="0074586F"/>
    <w:rsid w:val="007458F2"/>
    <w:rsid w:val="00745A4F"/>
    <w:rsid w:val="00745AAF"/>
    <w:rsid w:val="00745BEE"/>
    <w:rsid w:val="00745D7A"/>
    <w:rsid w:val="00745E1B"/>
    <w:rsid w:val="00745FDB"/>
    <w:rsid w:val="007462DD"/>
    <w:rsid w:val="00746445"/>
    <w:rsid w:val="0074662D"/>
    <w:rsid w:val="00746676"/>
    <w:rsid w:val="00746677"/>
    <w:rsid w:val="00746685"/>
    <w:rsid w:val="007467F2"/>
    <w:rsid w:val="00746812"/>
    <w:rsid w:val="00746E0E"/>
    <w:rsid w:val="00746ED9"/>
    <w:rsid w:val="00746FEF"/>
    <w:rsid w:val="0074715B"/>
    <w:rsid w:val="0074725E"/>
    <w:rsid w:val="00747359"/>
    <w:rsid w:val="007473D2"/>
    <w:rsid w:val="0074740D"/>
    <w:rsid w:val="007476FE"/>
    <w:rsid w:val="0074779F"/>
    <w:rsid w:val="00747957"/>
    <w:rsid w:val="00747A25"/>
    <w:rsid w:val="00747C90"/>
    <w:rsid w:val="00747CAE"/>
    <w:rsid w:val="00747DF2"/>
    <w:rsid w:val="0075005A"/>
    <w:rsid w:val="007500B9"/>
    <w:rsid w:val="007503C1"/>
    <w:rsid w:val="007503EC"/>
    <w:rsid w:val="0075093C"/>
    <w:rsid w:val="00750EA5"/>
    <w:rsid w:val="00750EE8"/>
    <w:rsid w:val="00750F8B"/>
    <w:rsid w:val="0075117A"/>
    <w:rsid w:val="00751412"/>
    <w:rsid w:val="00751640"/>
    <w:rsid w:val="00751660"/>
    <w:rsid w:val="0075189F"/>
    <w:rsid w:val="0075194D"/>
    <w:rsid w:val="007519D4"/>
    <w:rsid w:val="0075212E"/>
    <w:rsid w:val="00752168"/>
    <w:rsid w:val="00752289"/>
    <w:rsid w:val="00752333"/>
    <w:rsid w:val="00752435"/>
    <w:rsid w:val="0075253F"/>
    <w:rsid w:val="00752643"/>
    <w:rsid w:val="0075272D"/>
    <w:rsid w:val="0075276A"/>
    <w:rsid w:val="007528D6"/>
    <w:rsid w:val="0075293A"/>
    <w:rsid w:val="00752965"/>
    <w:rsid w:val="007529EE"/>
    <w:rsid w:val="00752A18"/>
    <w:rsid w:val="00752B3A"/>
    <w:rsid w:val="00752B78"/>
    <w:rsid w:val="00752BF1"/>
    <w:rsid w:val="00753032"/>
    <w:rsid w:val="007530B7"/>
    <w:rsid w:val="007530D1"/>
    <w:rsid w:val="007532A7"/>
    <w:rsid w:val="0075344E"/>
    <w:rsid w:val="00753741"/>
    <w:rsid w:val="007537DA"/>
    <w:rsid w:val="007537EB"/>
    <w:rsid w:val="00753CC2"/>
    <w:rsid w:val="00753D79"/>
    <w:rsid w:val="00753E60"/>
    <w:rsid w:val="00754030"/>
    <w:rsid w:val="007542E6"/>
    <w:rsid w:val="007545DC"/>
    <w:rsid w:val="00754615"/>
    <w:rsid w:val="00754672"/>
    <w:rsid w:val="007546AF"/>
    <w:rsid w:val="007547B8"/>
    <w:rsid w:val="00754A23"/>
    <w:rsid w:val="00754C3B"/>
    <w:rsid w:val="00754C7F"/>
    <w:rsid w:val="00754CAB"/>
    <w:rsid w:val="00754CBF"/>
    <w:rsid w:val="00754F41"/>
    <w:rsid w:val="00755146"/>
    <w:rsid w:val="0075546B"/>
    <w:rsid w:val="007555CF"/>
    <w:rsid w:val="00755664"/>
    <w:rsid w:val="007557B8"/>
    <w:rsid w:val="00755E32"/>
    <w:rsid w:val="00756329"/>
    <w:rsid w:val="00756674"/>
    <w:rsid w:val="0075674B"/>
    <w:rsid w:val="00756815"/>
    <w:rsid w:val="00756874"/>
    <w:rsid w:val="00756926"/>
    <w:rsid w:val="0075698D"/>
    <w:rsid w:val="00756CBF"/>
    <w:rsid w:val="00756CD0"/>
    <w:rsid w:val="00756CE2"/>
    <w:rsid w:val="00756D05"/>
    <w:rsid w:val="00756DEA"/>
    <w:rsid w:val="00756FAD"/>
    <w:rsid w:val="00757242"/>
    <w:rsid w:val="007574EF"/>
    <w:rsid w:val="007578D4"/>
    <w:rsid w:val="0075791D"/>
    <w:rsid w:val="007579AA"/>
    <w:rsid w:val="007579F1"/>
    <w:rsid w:val="00757AA7"/>
    <w:rsid w:val="00757B8A"/>
    <w:rsid w:val="00757BF4"/>
    <w:rsid w:val="00757E74"/>
    <w:rsid w:val="0076015D"/>
    <w:rsid w:val="0076025E"/>
    <w:rsid w:val="00760482"/>
    <w:rsid w:val="00760661"/>
    <w:rsid w:val="0076085F"/>
    <w:rsid w:val="00760A41"/>
    <w:rsid w:val="00760A6C"/>
    <w:rsid w:val="00760B79"/>
    <w:rsid w:val="00760DE7"/>
    <w:rsid w:val="00760DF7"/>
    <w:rsid w:val="00760EE2"/>
    <w:rsid w:val="007611B0"/>
    <w:rsid w:val="007612BC"/>
    <w:rsid w:val="00761702"/>
    <w:rsid w:val="00761742"/>
    <w:rsid w:val="007618F2"/>
    <w:rsid w:val="00761A92"/>
    <w:rsid w:val="00761EBF"/>
    <w:rsid w:val="00761F85"/>
    <w:rsid w:val="00761F9F"/>
    <w:rsid w:val="00762078"/>
    <w:rsid w:val="007620C5"/>
    <w:rsid w:val="00762110"/>
    <w:rsid w:val="007622C3"/>
    <w:rsid w:val="007622E1"/>
    <w:rsid w:val="0076230D"/>
    <w:rsid w:val="0076234C"/>
    <w:rsid w:val="0076236D"/>
    <w:rsid w:val="0076271D"/>
    <w:rsid w:val="00762766"/>
    <w:rsid w:val="0076280B"/>
    <w:rsid w:val="0076283B"/>
    <w:rsid w:val="007629D5"/>
    <w:rsid w:val="00762D60"/>
    <w:rsid w:val="00762D74"/>
    <w:rsid w:val="00762DAF"/>
    <w:rsid w:val="00763004"/>
    <w:rsid w:val="00763496"/>
    <w:rsid w:val="0076355C"/>
    <w:rsid w:val="007635C1"/>
    <w:rsid w:val="00763677"/>
    <w:rsid w:val="007636F2"/>
    <w:rsid w:val="0076373A"/>
    <w:rsid w:val="00763745"/>
    <w:rsid w:val="00763BF9"/>
    <w:rsid w:val="00763C83"/>
    <w:rsid w:val="00763D92"/>
    <w:rsid w:val="00763E0F"/>
    <w:rsid w:val="00763F9A"/>
    <w:rsid w:val="007640AF"/>
    <w:rsid w:val="007641E9"/>
    <w:rsid w:val="00764294"/>
    <w:rsid w:val="007642BB"/>
    <w:rsid w:val="00764303"/>
    <w:rsid w:val="007644B5"/>
    <w:rsid w:val="00764652"/>
    <w:rsid w:val="0076466C"/>
    <w:rsid w:val="00764B05"/>
    <w:rsid w:val="00764B54"/>
    <w:rsid w:val="00764B5E"/>
    <w:rsid w:val="00764F44"/>
    <w:rsid w:val="00764F71"/>
    <w:rsid w:val="0076518C"/>
    <w:rsid w:val="00765700"/>
    <w:rsid w:val="00765769"/>
    <w:rsid w:val="00765799"/>
    <w:rsid w:val="007657A0"/>
    <w:rsid w:val="007657F8"/>
    <w:rsid w:val="00765B78"/>
    <w:rsid w:val="00765C6B"/>
    <w:rsid w:val="0076644F"/>
    <w:rsid w:val="00766518"/>
    <w:rsid w:val="007665AA"/>
    <w:rsid w:val="007666E0"/>
    <w:rsid w:val="00766C3C"/>
    <w:rsid w:val="00766CD1"/>
    <w:rsid w:val="00766EFF"/>
    <w:rsid w:val="00766FAB"/>
    <w:rsid w:val="007672C9"/>
    <w:rsid w:val="007673C5"/>
    <w:rsid w:val="00767600"/>
    <w:rsid w:val="00767620"/>
    <w:rsid w:val="00767A94"/>
    <w:rsid w:val="00767BA6"/>
    <w:rsid w:val="00767BB3"/>
    <w:rsid w:val="00767BF6"/>
    <w:rsid w:val="00767DBE"/>
    <w:rsid w:val="00767F4B"/>
    <w:rsid w:val="00767FAA"/>
    <w:rsid w:val="00770170"/>
    <w:rsid w:val="007702BB"/>
    <w:rsid w:val="00770328"/>
    <w:rsid w:val="0077035C"/>
    <w:rsid w:val="00770404"/>
    <w:rsid w:val="00770503"/>
    <w:rsid w:val="00770532"/>
    <w:rsid w:val="00770559"/>
    <w:rsid w:val="007705DD"/>
    <w:rsid w:val="00770751"/>
    <w:rsid w:val="00770A3C"/>
    <w:rsid w:val="00770DEF"/>
    <w:rsid w:val="00771004"/>
    <w:rsid w:val="00771047"/>
    <w:rsid w:val="007713EA"/>
    <w:rsid w:val="00771498"/>
    <w:rsid w:val="0077155A"/>
    <w:rsid w:val="0077170E"/>
    <w:rsid w:val="0077181F"/>
    <w:rsid w:val="00771EBC"/>
    <w:rsid w:val="00772231"/>
    <w:rsid w:val="0077246E"/>
    <w:rsid w:val="00772657"/>
    <w:rsid w:val="00772A22"/>
    <w:rsid w:val="00772B00"/>
    <w:rsid w:val="00772D6B"/>
    <w:rsid w:val="00772DEA"/>
    <w:rsid w:val="007730F0"/>
    <w:rsid w:val="007731A2"/>
    <w:rsid w:val="00773633"/>
    <w:rsid w:val="0077371E"/>
    <w:rsid w:val="0077387D"/>
    <w:rsid w:val="00773962"/>
    <w:rsid w:val="00773AD9"/>
    <w:rsid w:val="00773DF5"/>
    <w:rsid w:val="00773E0F"/>
    <w:rsid w:val="00773F02"/>
    <w:rsid w:val="00774035"/>
    <w:rsid w:val="0077406C"/>
    <w:rsid w:val="00774117"/>
    <w:rsid w:val="007742DC"/>
    <w:rsid w:val="00774361"/>
    <w:rsid w:val="0077436A"/>
    <w:rsid w:val="00774499"/>
    <w:rsid w:val="007744B1"/>
    <w:rsid w:val="007745B3"/>
    <w:rsid w:val="007747DC"/>
    <w:rsid w:val="00774986"/>
    <w:rsid w:val="007749AE"/>
    <w:rsid w:val="00774BE5"/>
    <w:rsid w:val="00774D8F"/>
    <w:rsid w:val="00774DB6"/>
    <w:rsid w:val="00774F2D"/>
    <w:rsid w:val="00774FD3"/>
    <w:rsid w:val="00775165"/>
    <w:rsid w:val="0077523F"/>
    <w:rsid w:val="00775327"/>
    <w:rsid w:val="00775376"/>
    <w:rsid w:val="007753D8"/>
    <w:rsid w:val="0077562E"/>
    <w:rsid w:val="00775658"/>
    <w:rsid w:val="00775713"/>
    <w:rsid w:val="0077576D"/>
    <w:rsid w:val="0077594A"/>
    <w:rsid w:val="00775B04"/>
    <w:rsid w:val="00775C78"/>
    <w:rsid w:val="00775C82"/>
    <w:rsid w:val="00775D41"/>
    <w:rsid w:val="00775D9A"/>
    <w:rsid w:val="00775E4B"/>
    <w:rsid w:val="00775F70"/>
    <w:rsid w:val="007761A3"/>
    <w:rsid w:val="00776492"/>
    <w:rsid w:val="00776525"/>
    <w:rsid w:val="00776607"/>
    <w:rsid w:val="007768D2"/>
    <w:rsid w:val="00776964"/>
    <w:rsid w:val="00776FD7"/>
    <w:rsid w:val="007772E8"/>
    <w:rsid w:val="00777309"/>
    <w:rsid w:val="007774B8"/>
    <w:rsid w:val="007776B0"/>
    <w:rsid w:val="00777A42"/>
    <w:rsid w:val="00777A7F"/>
    <w:rsid w:val="00777B7F"/>
    <w:rsid w:val="00777B9A"/>
    <w:rsid w:val="007804B6"/>
    <w:rsid w:val="0078061E"/>
    <w:rsid w:val="007806EF"/>
    <w:rsid w:val="00780733"/>
    <w:rsid w:val="00780ADF"/>
    <w:rsid w:val="00780C3E"/>
    <w:rsid w:val="00780EE0"/>
    <w:rsid w:val="0078123E"/>
    <w:rsid w:val="00781347"/>
    <w:rsid w:val="007813AF"/>
    <w:rsid w:val="007815A6"/>
    <w:rsid w:val="007815B0"/>
    <w:rsid w:val="00781647"/>
    <w:rsid w:val="00781791"/>
    <w:rsid w:val="00781A47"/>
    <w:rsid w:val="00781B63"/>
    <w:rsid w:val="00781C4B"/>
    <w:rsid w:val="00782242"/>
    <w:rsid w:val="0078228A"/>
    <w:rsid w:val="007823F9"/>
    <w:rsid w:val="007824BA"/>
    <w:rsid w:val="0078262E"/>
    <w:rsid w:val="00782688"/>
    <w:rsid w:val="007827BC"/>
    <w:rsid w:val="00782D52"/>
    <w:rsid w:val="00782D97"/>
    <w:rsid w:val="00782E1C"/>
    <w:rsid w:val="007830AF"/>
    <w:rsid w:val="007830FC"/>
    <w:rsid w:val="00783167"/>
    <w:rsid w:val="00783286"/>
    <w:rsid w:val="007834A0"/>
    <w:rsid w:val="007834A1"/>
    <w:rsid w:val="007834C9"/>
    <w:rsid w:val="00783730"/>
    <w:rsid w:val="007838BA"/>
    <w:rsid w:val="00783AA5"/>
    <w:rsid w:val="00783B03"/>
    <w:rsid w:val="00783CA7"/>
    <w:rsid w:val="00783CBB"/>
    <w:rsid w:val="00783D09"/>
    <w:rsid w:val="00783E0D"/>
    <w:rsid w:val="00783E82"/>
    <w:rsid w:val="00783F0E"/>
    <w:rsid w:val="007841CB"/>
    <w:rsid w:val="00784286"/>
    <w:rsid w:val="007843D0"/>
    <w:rsid w:val="007844BD"/>
    <w:rsid w:val="00784742"/>
    <w:rsid w:val="00784BE9"/>
    <w:rsid w:val="00784D6F"/>
    <w:rsid w:val="00784E39"/>
    <w:rsid w:val="0078503F"/>
    <w:rsid w:val="0078527E"/>
    <w:rsid w:val="00785280"/>
    <w:rsid w:val="00785378"/>
    <w:rsid w:val="007853DB"/>
    <w:rsid w:val="007854D2"/>
    <w:rsid w:val="007854FA"/>
    <w:rsid w:val="0078554A"/>
    <w:rsid w:val="007855DF"/>
    <w:rsid w:val="007856A2"/>
    <w:rsid w:val="0078578F"/>
    <w:rsid w:val="00785A94"/>
    <w:rsid w:val="00785BC0"/>
    <w:rsid w:val="00785BC9"/>
    <w:rsid w:val="00785C8A"/>
    <w:rsid w:val="00785D40"/>
    <w:rsid w:val="00785DD5"/>
    <w:rsid w:val="00785ED6"/>
    <w:rsid w:val="00786029"/>
    <w:rsid w:val="0078631F"/>
    <w:rsid w:val="00786429"/>
    <w:rsid w:val="00786454"/>
    <w:rsid w:val="0078648E"/>
    <w:rsid w:val="00786576"/>
    <w:rsid w:val="007865B6"/>
    <w:rsid w:val="007865CE"/>
    <w:rsid w:val="007867BE"/>
    <w:rsid w:val="00786C41"/>
    <w:rsid w:val="00786E46"/>
    <w:rsid w:val="007875B9"/>
    <w:rsid w:val="0078783C"/>
    <w:rsid w:val="007878D6"/>
    <w:rsid w:val="007878FC"/>
    <w:rsid w:val="0078790D"/>
    <w:rsid w:val="00787AB6"/>
    <w:rsid w:val="00787AE4"/>
    <w:rsid w:val="00787E99"/>
    <w:rsid w:val="00787ECF"/>
    <w:rsid w:val="00787F40"/>
    <w:rsid w:val="00787FBA"/>
    <w:rsid w:val="00787FFE"/>
    <w:rsid w:val="007904CC"/>
    <w:rsid w:val="007907E0"/>
    <w:rsid w:val="00790839"/>
    <w:rsid w:val="00790886"/>
    <w:rsid w:val="00790A96"/>
    <w:rsid w:val="00790C47"/>
    <w:rsid w:val="00790FC4"/>
    <w:rsid w:val="0079106C"/>
    <w:rsid w:val="00791086"/>
    <w:rsid w:val="007910DC"/>
    <w:rsid w:val="007911A3"/>
    <w:rsid w:val="0079149A"/>
    <w:rsid w:val="007914E2"/>
    <w:rsid w:val="007918AB"/>
    <w:rsid w:val="0079196F"/>
    <w:rsid w:val="0079199D"/>
    <w:rsid w:val="007919E1"/>
    <w:rsid w:val="00791A27"/>
    <w:rsid w:val="00791AB0"/>
    <w:rsid w:val="00791DD2"/>
    <w:rsid w:val="00791F92"/>
    <w:rsid w:val="00792075"/>
    <w:rsid w:val="007924DA"/>
    <w:rsid w:val="0079261F"/>
    <w:rsid w:val="00792709"/>
    <w:rsid w:val="007927C6"/>
    <w:rsid w:val="00792800"/>
    <w:rsid w:val="0079285F"/>
    <w:rsid w:val="00792969"/>
    <w:rsid w:val="007929EB"/>
    <w:rsid w:val="00793121"/>
    <w:rsid w:val="007935B5"/>
    <w:rsid w:val="007937D6"/>
    <w:rsid w:val="00793A61"/>
    <w:rsid w:val="00793AF5"/>
    <w:rsid w:val="00793B38"/>
    <w:rsid w:val="00793C18"/>
    <w:rsid w:val="00793D38"/>
    <w:rsid w:val="00793D57"/>
    <w:rsid w:val="00793ECD"/>
    <w:rsid w:val="0079400F"/>
    <w:rsid w:val="0079407D"/>
    <w:rsid w:val="00794090"/>
    <w:rsid w:val="0079413D"/>
    <w:rsid w:val="00794441"/>
    <w:rsid w:val="007947ED"/>
    <w:rsid w:val="0079480A"/>
    <w:rsid w:val="0079491B"/>
    <w:rsid w:val="00794AE4"/>
    <w:rsid w:val="00794CC8"/>
    <w:rsid w:val="00794CF9"/>
    <w:rsid w:val="00794D74"/>
    <w:rsid w:val="00794E1D"/>
    <w:rsid w:val="00794EB1"/>
    <w:rsid w:val="00795015"/>
    <w:rsid w:val="007952F5"/>
    <w:rsid w:val="00795328"/>
    <w:rsid w:val="0079542D"/>
    <w:rsid w:val="00795532"/>
    <w:rsid w:val="0079574A"/>
    <w:rsid w:val="00795CB4"/>
    <w:rsid w:val="00795CE1"/>
    <w:rsid w:val="00795D7A"/>
    <w:rsid w:val="00796008"/>
    <w:rsid w:val="00796312"/>
    <w:rsid w:val="00796416"/>
    <w:rsid w:val="007967CB"/>
    <w:rsid w:val="0079684E"/>
    <w:rsid w:val="00796941"/>
    <w:rsid w:val="00796BF6"/>
    <w:rsid w:val="00796FEA"/>
    <w:rsid w:val="00797064"/>
    <w:rsid w:val="00797155"/>
    <w:rsid w:val="00797239"/>
    <w:rsid w:val="0079750E"/>
    <w:rsid w:val="007976D6"/>
    <w:rsid w:val="00797773"/>
    <w:rsid w:val="0079784A"/>
    <w:rsid w:val="007979AB"/>
    <w:rsid w:val="007979F6"/>
    <w:rsid w:val="00797AD2"/>
    <w:rsid w:val="00797B04"/>
    <w:rsid w:val="00797B26"/>
    <w:rsid w:val="00797CA0"/>
    <w:rsid w:val="00797E6D"/>
    <w:rsid w:val="00797EC5"/>
    <w:rsid w:val="007A00AF"/>
    <w:rsid w:val="007A0422"/>
    <w:rsid w:val="007A0983"/>
    <w:rsid w:val="007A0A2A"/>
    <w:rsid w:val="007A0B2E"/>
    <w:rsid w:val="007A11D0"/>
    <w:rsid w:val="007A11D9"/>
    <w:rsid w:val="007A134C"/>
    <w:rsid w:val="007A1421"/>
    <w:rsid w:val="007A16C0"/>
    <w:rsid w:val="007A190E"/>
    <w:rsid w:val="007A1A50"/>
    <w:rsid w:val="007A1E3C"/>
    <w:rsid w:val="007A1F8B"/>
    <w:rsid w:val="007A20C5"/>
    <w:rsid w:val="007A2246"/>
    <w:rsid w:val="007A2267"/>
    <w:rsid w:val="007A22C5"/>
    <w:rsid w:val="007A24C0"/>
    <w:rsid w:val="007A25C1"/>
    <w:rsid w:val="007A26C6"/>
    <w:rsid w:val="007A285F"/>
    <w:rsid w:val="007A2A09"/>
    <w:rsid w:val="007A2CAA"/>
    <w:rsid w:val="007A2D09"/>
    <w:rsid w:val="007A2F1D"/>
    <w:rsid w:val="007A3043"/>
    <w:rsid w:val="007A30E4"/>
    <w:rsid w:val="007A31A0"/>
    <w:rsid w:val="007A31AB"/>
    <w:rsid w:val="007A322C"/>
    <w:rsid w:val="007A33FE"/>
    <w:rsid w:val="007A3416"/>
    <w:rsid w:val="007A344F"/>
    <w:rsid w:val="007A34B5"/>
    <w:rsid w:val="007A34F1"/>
    <w:rsid w:val="007A3556"/>
    <w:rsid w:val="007A356B"/>
    <w:rsid w:val="007A39FB"/>
    <w:rsid w:val="007A3C9E"/>
    <w:rsid w:val="007A3D04"/>
    <w:rsid w:val="007A3D48"/>
    <w:rsid w:val="007A3FDD"/>
    <w:rsid w:val="007A40CE"/>
    <w:rsid w:val="007A43FF"/>
    <w:rsid w:val="007A442E"/>
    <w:rsid w:val="007A4579"/>
    <w:rsid w:val="007A45B3"/>
    <w:rsid w:val="007A4797"/>
    <w:rsid w:val="007A487D"/>
    <w:rsid w:val="007A4A33"/>
    <w:rsid w:val="007A4E19"/>
    <w:rsid w:val="007A5000"/>
    <w:rsid w:val="007A50D8"/>
    <w:rsid w:val="007A51A3"/>
    <w:rsid w:val="007A5448"/>
    <w:rsid w:val="007A566A"/>
    <w:rsid w:val="007A571A"/>
    <w:rsid w:val="007A57A6"/>
    <w:rsid w:val="007A5803"/>
    <w:rsid w:val="007A599C"/>
    <w:rsid w:val="007A5A0E"/>
    <w:rsid w:val="007A5B04"/>
    <w:rsid w:val="007A5BC9"/>
    <w:rsid w:val="007A5BEC"/>
    <w:rsid w:val="007A5C61"/>
    <w:rsid w:val="007A5CA2"/>
    <w:rsid w:val="007A5EBC"/>
    <w:rsid w:val="007A6340"/>
    <w:rsid w:val="007A65B1"/>
    <w:rsid w:val="007A66C0"/>
    <w:rsid w:val="007A6720"/>
    <w:rsid w:val="007A675F"/>
    <w:rsid w:val="007A67CA"/>
    <w:rsid w:val="007A697C"/>
    <w:rsid w:val="007A6A44"/>
    <w:rsid w:val="007A6B26"/>
    <w:rsid w:val="007A6D3F"/>
    <w:rsid w:val="007A6E30"/>
    <w:rsid w:val="007A7050"/>
    <w:rsid w:val="007A73DF"/>
    <w:rsid w:val="007A7513"/>
    <w:rsid w:val="007A75F6"/>
    <w:rsid w:val="007A780B"/>
    <w:rsid w:val="007A799B"/>
    <w:rsid w:val="007A7D40"/>
    <w:rsid w:val="007A7F9E"/>
    <w:rsid w:val="007B0007"/>
    <w:rsid w:val="007B0088"/>
    <w:rsid w:val="007B00FC"/>
    <w:rsid w:val="007B0194"/>
    <w:rsid w:val="007B049C"/>
    <w:rsid w:val="007B04DD"/>
    <w:rsid w:val="007B050B"/>
    <w:rsid w:val="007B0741"/>
    <w:rsid w:val="007B0CAD"/>
    <w:rsid w:val="007B0D03"/>
    <w:rsid w:val="007B0D81"/>
    <w:rsid w:val="007B0D8B"/>
    <w:rsid w:val="007B0DE6"/>
    <w:rsid w:val="007B0E7C"/>
    <w:rsid w:val="007B0F2D"/>
    <w:rsid w:val="007B0FF8"/>
    <w:rsid w:val="007B10B3"/>
    <w:rsid w:val="007B118D"/>
    <w:rsid w:val="007B11EF"/>
    <w:rsid w:val="007B1556"/>
    <w:rsid w:val="007B15C3"/>
    <w:rsid w:val="007B160E"/>
    <w:rsid w:val="007B18BC"/>
    <w:rsid w:val="007B1929"/>
    <w:rsid w:val="007B192A"/>
    <w:rsid w:val="007B1955"/>
    <w:rsid w:val="007B1B4A"/>
    <w:rsid w:val="007B1BC9"/>
    <w:rsid w:val="007B1DED"/>
    <w:rsid w:val="007B1E0F"/>
    <w:rsid w:val="007B1F9C"/>
    <w:rsid w:val="007B20ED"/>
    <w:rsid w:val="007B21FC"/>
    <w:rsid w:val="007B227A"/>
    <w:rsid w:val="007B22D2"/>
    <w:rsid w:val="007B2317"/>
    <w:rsid w:val="007B2362"/>
    <w:rsid w:val="007B23BA"/>
    <w:rsid w:val="007B2575"/>
    <w:rsid w:val="007B2711"/>
    <w:rsid w:val="007B2C12"/>
    <w:rsid w:val="007B2F3F"/>
    <w:rsid w:val="007B3546"/>
    <w:rsid w:val="007B3860"/>
    <w:rsid w:val="007B39B4"/>
    <w:rsid w:val="007B3A56"/>
    <w:rsid w:val="007B3D4A"/>
    <w:rsid w:val="007B3F99"/>
    <w:rsid w:val="007B4025"/>
    <w:rsid w:val="007B40D3"/>
    <w:rsid w:val="007B4166"/>
    <w:rsid w:val="007B433D"/>
    <w:rsid w:val="007B43B5"/>
    <w:rsid w:val="007B45BA"/>
    <w:rsid w:val="007B46CC"/>
    <w:rsid w:val="007B4757"/>
    <w:rsid w:val="007B48F0"/>
    <w:rsid w:val="007B4AA5"/>
    <w:rsid w:val="007B4EC9"/>
    <w:rsid w:val="007B5063"/>
    <w:rsid w:val="007B50D8"/>
    <w:rsid w:val="007B528F"/>
    <w:rsid w:val="007B547B"/>
    <w:rsid w:val="007B548E"/>
    <w:rsid w:val="007B5DCC"/>
    <w:rsid w:val="007B5EB1"/>
    <w:rsid w:val="007B6251"/>
    <w:rsid w:val="007B6269"/>
    <w:rsid w:val="007B6271"/>
    <w:rsid w:val="007B6337"/>
    <w:rsid w:val="007B65FE"/>
    <w:rsid w:val="007B67EA"/>
    <w:rsid w:val="007B680C"/>
    <w:rsid w:val="007B6CD2"/>
    <w:rsid w:val="007B6ED9"/>
    <w:rsid w:val="007B7035"/>
    <w:rsid w:val="007B70D9"/>
    <w:rsid w:val="007B714A"/>
    <w:rsid w:val="007B71F4"/>
    <w:rsid w:val="007B74BC"/>
    <w:rsid w:val="007B74DD"/>
    <w:rsid w:val="007B7600"/>
    <w:rsid w:val="007B76DA"/>
    <w:rsid w:val="007B770F"/>
    <w:rsid w:val="007B7753"/>
    <w:rsid w:val="007B7781"/>
    <w:rsid w:val="007B77E1"/>
    <w:rsid w:val="007B78F0"/>
    <w:rsid w:val="007B7917"/>
    <w:rsid w:val="007B7D1D"/>
    <w:rsid w:val="007B7E8E"/>
    <w:rsid w:val="007B7F60"/>
    <w:rsid w:val="007B7FA3"/>
    <w:rsid w:val="007C0024"/>
    <w:rsid w:val="007C01ED"/>
    <w:rsid w:val="007C0217"/>
    <w:rsid w:val="007C0266"/>
    <w:rsid w:val="007C0267"/>
    <w:rsid w:val="007C0333"/>
    <w:rsid w:val="007C037C"/>
    <w:rsid w:val="007C0579"/>
    <w:rsid w:val="007C059D"/>
    <w:rsid w:val="007C0898"/>
    <w:rsid w:val="007C089E"/>
    <w:rsid w:val="007C09FF"/>
    <w:rsid w:val="007C0A29"/>
    <w:rsid w:val="007C0A8D"/>
    <w:rsid w:val="007C0B88"/>
    <w:rsid w:val="007C109D"/>
    <w:rsid w:val="007C12EF"/>
    <w:rsid w:val="007C1349"/>
    <w:rsid w:val="007C134D"/>
    <w:rsid w:val="007C1373"/>
    <w:rsid w:val="007C167A"/>
    <w:rsid w:val="007C1703"/>
    <w:rsid w:val="007C17A9"/>
    <w:rsid w:val="007C18D2"/>
    <w:rsid w:val="007C19C9"/>
    <w:rsid w:val="007C1AF7"/>
    <w:rsid w:val="007C1B1E"/>
    <w:rsid w:val="007C1B9F"/>
    <w:rsid w:val="007C1BC0"/>
    <w:rsid w:val="007C1CCF"/>
    <w:rsid w:val="007C1F79"/>
    <w:rsid w:val="007C20C7"/>
    <w:rsid w:val="007C2422"/>
    <w:rsid w:val="007C2584"/>
    <w:rsid w:val="007C25CB"/>
    <w:rsid w:val="007C25D7"/>
    <w:rsid w:val="007C261F"/>
    <w:rsid w:val="007C2743"/>
    <w:rsid w:val="007C282D"/>
    <w:rsid w:val="007C2926"/>
    <w:rsid w:val="007C2982"/>
    <w:rsid w:val="007C2A17"/>
    <w:rsid w:val="007C2C3A"/>
    <w:rsid w:val="007C2F71"/>
    <w:rsid w:val="007C32A3"/>
    <w:rsid w:val="007C32A5"/>
    <w:rsid w:val="007C333A"/>
    <w:rsid w:val="007C3491"/>
    <w:rsid w:val="007C34C1"/>
    <w:rsid w:val="007C35B5"/>
    <w:rsid w:val="007C36F8"/>
    <w:rsid w:val="007C3769"/>
    <w:rsid w:val="007C3B5A"/>
    <w:rsid w:val="007C3BF3"/>
    <w:rsid w:val="007C3C9F"/>
    <w:rsid w:val="007C3F7F"/>
    <w:rsid w:val="007C3FD6"/>
    <w:rsid w:val="007C4014"/>
    <w:rsid w:val="007C40AF"/>
    <w:rsid w:val="007C41D1"/>
    <w:rsid w:val="007C428B"/>
    <w:rsid w:val="007C4555"/>
    <w:rsid w:val="007C47EB"/>
    <w:rsid w:val="007C480E"/>
    <w:rsid w:val="007C49BF"/>
    <w:rsid w:val="007C4A3F"/>
    <w:rsid w:val="007C4DB1"/>
    <w:rsid w:val="007C4E08"/>
    <w:rsid w:val="007C5207"/>
    <w:rsid w:val="007C5560"/>
    <w:rsid w:val="007C557F"/>
    <w:rsid w:val="007C55B7"/>
    <w:rsid w:val="007C56BA"/>
    <w:rsid w:val="007C5795"/>
    <w:rsid w:val="007C57C7"/>
    <w:rsid w:val="007C5849"/>
    <w:rsid w:val="007C58C9"/>
    <w:rsid w:val="007C5A9F"/>
    <w:rsid w:val="007C5C76"/>
    <w:rsid w:val="007C5C7B"/>
    <w:rsid w:val="007C5CCC"/>
    <w:rsid w:val="007C5DFC"/>
    <w:rsid w:val="007C6323"/>
    <w:rsid w:val="007C67DB"/>
    <w:rsid w:val="007C68FF"/>
    <w:rsid w:val="007C6C85"/>
    <w:rsid w:val="007C6ED4"/>
    <w:rsid w:val="007C6FC0"/>
    <w:rsid w:val="007C719D"/>
    <w:rsid w:val="007C733C"/>
    <w:rsid w:val="007C73FF"/>
    <w:rsid w:val="007C7654"/>
    <w:rsid w:val="007C767A"/>
    <w:rsid w:val="007C790A"/>
    <w:rsid w:val="007C7914"/>
    <w:rsid w:val="007C7A44"/>
    <w:rsid w:val="007C7BFF"/>
    <w:rsid w:val="007C7CED"/>
    <w:rsid w:val="007D01B5"/>
    <w:rsid w:val="007D0318"/>
    <w:rsid w:val="007D036E"/>
    <w:rsid w:val="007D03FE"/>
    <w:rsid w:val="007D07C8"/>
    <w:rsid w:val="007D094B"/>
    <w:rsid w:val="007D0AD3"/>
    <w:rsid w:val="007D0AF1"/>
    <w:rsid w:val="007D0C63"/>
    <w:rsid w:val="007D0DC1"/>
    <w:rsid w:val="007D0ED9"/>
    <w:rsid w:val="007D0F91"/>
    <w:rsid w:val="007D10A9"/>
    <w:rsid w:val="007D12F8"/>
    <w:rsid w:val="007D162A"/>
    <w:rsid w:val="007D16DF"/>
    <w:rsid w:val="007D1945"/>
    <w:rsid w:val="007D1A1A"/>
    <w:rsid w:val="007D1DA8"/>
    <w:rsid w:val="007D1FA7"/>
    <w:rsid w:val="007D1FDA"/>
    <w:rsid w:val="007D204D"/>
    <w:rsid w:val="007D2128"/>
    <w:rsid w:val="007D2493"/>
    <w:rsid w:val="007D25A0"/>
    <w:rsid w:val="007D2624"/>
    <w:rsid w:val="007D276C"/>
    <w:rsid w:val="007D2791"/>
    <w:rsid w:val="007D2877"/>
    <w:rsid w:val="007D28B1"/>
    <w:rsid w:val="007D2912"/>
    <w:rsid w:val="007D2B6B"/>
    <w:rsid w:val="007D2C11"/>
    <w:rsid w:val="007D2D3C"/>
    <w:rsid w:val="007D2EA1"/>
    <w:rsid w:val="007D2F3A"/>
    <w:rsid w:val="007D2FAC"/>
    <w:rsid w:val="007D2FDD"/>
    <w:rsid w:val="007D32BE"/>
    <w:rsid w:val="007D3A7E"/>
    <w:rsid w:val="007D3F3C"/>
    <w:rsid w:val="007D3FBC"/>
    <w:rsid w:val="007D40A1"/>
    <w:rsid w:val="007D41AB"/>
    <w:rsid w:val="007D4298"/>
    <w:rsid w:val="007D4497"/>
    <w:rsid w:val="007D4590"/>
    <w:rsid w:val="007D4710"/>
    <w:rsid w:val="007D4808"/>
    <w:rsid w:val="007D4A64"/>
    <w:rsid w:val="007D4BE3"/>
    <w:rsid w:val="007D4F7B"/>
    <w:rsid w:val="007D5213"/>
    <w:rsid w:val="007D540A"/>
    <w:rsid w:val="007D55BE"/>
    <w:rsid w:val="007D5C6B"/>
    <w:rsid w:val="007D5C9E"/>
    <w:rsid w:val="007D5DED"/>
    <w:rsid w:val="007D5F1C"/>
    <w:rsid w:val="007D615C"/>
    <w:rsid w:val="007D642F"/>
    <w:rsid w:val="007D6732"/>
    <w:rsid w:val="007D69BA"/>
    <w:rsid w:val="007D6BC9"/>
    <w:rsid w:val="007D6CE0"/>
    <w:rsid w:val="007D6CE8"/>
    <w:rsid w:val="007D6DE7"/>
    <w:rsid w:val="007D6F88"/>
    <w:rsid w:val="007D71C9"/>
    <w:rsid w:val="007D7483"/>
    <w:rsid w:val="007D7500"/>
    <w:rsid w:val="007D7567"/>
    <w:rsid w:val="007D75DB"/>
    <w:rsid w:val="007D7B40"/>
    <w:rsid w:val="007D7C7C"/>
    <w:rsid w:val="007D7D49"/>
    <w:rsid w:val="007D7D62"/>
    <w:rsid w:val="007D7E06"/>
    <w:rsid w:val="007D7E3C"/>
    <w:rsid w:val="007D7FD9"/>
    <w:rsid w:val="007E005B"/>
    <w:rsid w:val="007E018D"/>
    <w:rsid w:val="007E024C"/>
    <w:rsid w:val="007E02A4"/>
    <w:rsid w:val="007E05DE"/>
    <w:rsid w:val="007E05F2"/>
    <w:rsid w:val="007E0614"/>
    <w:rsid w:val="007E0662"/>
    <w:rsid w:val="007E0711"/>
    <w:rsid w:val="007E09A2"/>
    <w:rsid w:val="007E0A3B"/>
    <w:rsid w:val="007E0B52"/>
    <w:rsid w:val="007E0D84"/>
    <w:rsid w:val="007E0F39"/>
    <w:rsid w:val="007E0F53"/>
    <w:rsid w:val="007E1197"/>
    <w:rsid w:val="007E124B"/>
    <w:rsid w:val="007E1336"/>
    <w:rsid w:val="007E138D"/>
    <w:rsid w:val="007E13C1"/>
    <w:rsid w:val="007E1542"/>
    <w:rsid w:val="007E154E"/>
    <w:rsid w:val="007E1595"/>
    <w:rsid w:val="007E1791"/>
    <w:rsid w:val="007E199C"/>
    <w:rsid w:val="007E1D77"/>
    <w:rsid w:val="007E1F27"/>
    <w:rsid w:val="007E22C5"/>
    <w:rsid w:val="007E2667"/>
    <w:rsid w:val="007E26B0"/>
    <w:rsid w:val="007E28FE"/>
    <w:rsid w:val="007E292B"/>
    <w:rsid w:val="007E2AA9"/>
    <w:rsid w:val="007E2D9F"/>
    <w:rsid w:val="007E2E47"/>
    <w:rsid w:val="007E2F95"/>
    <w:rsid w:val="007E2FBE"/>
    <w:rsid w:val="007E2FE1"/>
    <w:rsid w:val="007E31D5"/>
    <w:rsid w:val="007E31EE"/>
    <w:rsid w:val="007E32FD"/>
    <w:rsid w:val="007E3360"/>
    <w:rsid w:val="007E3606"/>
    <w:rsid w:val="007E3692"/>
    <w:rsid w:val="007E39EF"/>
    <w:rsid w:val="007E3B99"/>
    <w:rsid w:val="007E3EAF"/>
    <w:rsid w:val="007E41F3"/>
    <w:rsid w:val="007E4293"/>
    <w:rsid w:val="007E42C6"/>
    <w:rsid w:val="007E42E7"/>
    <w:rsid w:val="007E445E"/>
    <w:rsid w:val="007E47BD"/>
    <w:rsid w:val="007E47D5"/>
    <w:rsid w:val="007E47EC"/>
    <w:rsid w:val="007E4B32"/>
    <w:rsid w:val="007E4BB2"/>
    <w:rsid w:val="007E4BDF"/>
    <w:rsid w:val="007E4E11"/>
    <w:rsid w:val="007E4E23"/>
    <w:rsid w:val="007E4EAD"/>
    <w:rsid w:val="007E4FFF"/>
    <w:rsid w:val="007E5006"/>
    <w:rsid w:val="007E5041"/>
    <w:rsid w:val="007E50DF"/>
    <w:rsid w:val="007E511A"/>
    <w:rsid w:val="007E5273"/>
    <w:rsid w:val="007E5449"/>
    <w:rsid w:val="007E552B"/>
    <w:rsid w:val="007E56DE"/>
    <w:rsid w:val="007E5C8C"/>
    <w:rsid w:val="007E5D1B"/>
    <w:rsid w:val="007E5DE3"/>
    <w:rsid w:val="007E5E95"/>
    <w:rsid w:val="007E5EAE"/>
    <w:rsid w:val="007E60FC"/>
    <w:rsid w:val="007E61CE"/>
    <w:rsid w:val="007E636E"/>
    <w:rsid w:val="007E638C"/>
    <w:rsid w:val="007E640F"/>
    <w:rsid w:val="007E6544"/>
    <w:rsid w:val="007E6546"/>
    <w:rsid w:val="007E677C"/>
    <w:rsid w:val="007E67AC"/>
    <w:rsid w:val="007E693D"/>
    <w:rsid w:val="007E6BB5"/>
    <w:rsid w:val="007E6CB1"/>
    <w:rsid w:val="007E6E14"/>
    <w:rsid w:val="007E6E1A"/>
    <w:rsid w:val="007E7114"/>
    <w:rsid w:val="007E721C"/>
    <w:rsid w:val="007E737C"/>
    <w:rsid w:val="007E73A3"/>
    <w:rsid w:val="007E75BD"/>
    <w:rsid w:val="007E77B9"/>
    <w:rsid w:val="007E7AD7"/>
    <w:rsid w:val="007E7E29"/>
    <w:rsid w:val="007F0077"/>
    <w:rsid w:val="007F00DA"/>
    <w:rsid w:val="007F013A"/>
    <w:rsid w:val="007F0190"/>
    <w:rsid w:val="007F0777"/>
    <w:rsid w:val="007F080D"/>
    <w:rsid w:val="007F0833"/>
    <w:rsid w:val="007F08FF"/>
    <w:rsid w:val="007F09C2"/>
    <w:rsid w:val="007F0AED"/>
    <w:rsid w:val="007F0E06"/>
    <w:rsid w:val="007F0F5C"/>
    <w:rsid w:val="007F1036"/>
    <w:rsid w:val="007F11FB"/>
    <w:rsid w:val="007F12BE"/>
    <w:rsid w:val="007F13F1"/>
    <w:rsid w:val="007F1690"/>
    <w:rsid w:val="007F18FE"/>
    <w:rsid w:val="007F1B76"/>
    <w:rsid w:val="007F1FC3"/>
    <w:rsid w:val="007F2145"/>
    <w:rsid w:val="007F2327"/>
    <w:rsid w:val="007F2356"/>
    <w:rsid w:val="007F236C"/>
    <w:rsid w:val="007F2519"/>
    <w:rsid w:val="007F277F"/>
    <w:rsid w:val="007F27D8"/>
    <w:rsid w:val="007F29D1"/>
    <w:rsid w:val="007F2CCF"/>
    <w:rsid w:val="007F2F5D"/>
    <w:rsid w:val="007F300C"/>
    <w:rsid w:val="007F3177"/>
    <w:rsid w:val="007F31EF"/>
    <w:rsid w:val="007F32F8"/>
    <w:rsid w:val="007F349D"/>
    <w:rsid w:val="007F392F"/>
    <w:rsid w:val="007F3BD6"/>
    <w:rsid w:val="007F3D96"/>
    <w:rsid w:val="007F3E44"/>
    <w:rsid w:val="007F3F94"/>
    <w:rsid w:val="007F42A2"/>
    <w:rsid w:val="007F436C"/>
    <w:rsid w:val="007F4390"/>
    <w:rsid w:val="007F4470"/>
    <w:rsid w:val="007F462A"/>
    <w:rsid w:val="007F4A7C"/>
    <w:rsid w:val="007F4B78"/>
    <w:rsid w:val="007F4C35"/>
    <w:rsid w:val="007F4D60"/>
    <w:rsid w:val="007F5461"/>
    <w:rsid w:val="007F552B"/>
    <w:rsid w:val="007F5783"/>
    <w:rsid w:val="007F581E"/>
    <w:rsid w:val="007F587C"/>
    <w:rsid w:val="007F5A15"/>
    <w:rsid w:val="007F5A2C"/>
    <w:rsid w:val="007F5A4C"/>
    <w:rsid w:val="007F5AE2"/>
    <w:rsid w:val="007F5CBD"/>
    <w:rsid w:val="007F5ED3"/>
    <w:rsid w:val="007F624F"/>
    <w:rsid w:val="007F6283"/>
    <w:rsid w:val="007F62E8"/>
    <w:rsid w:val="007F66CE"/>
    <w:rsid w:val="007F66E0"/>
    <w:rsid w:val="007F66E7"/>
    <w:rsid w:val="007F6D27"/>
    <w:rsid w:val="007F6DFD"/>
    <w:rsid w:val="007F6E99"/>
    <w:rsid w:val="007F711E"/>
    <w:rsid w:val="007F7235"/>
    <w:rsid w:val="007F7393"/>
    <w:rsid w:val="007F73A0"/>
    <w:rsid w:val="007F73D7"/>
    <w:rsid w:val="007F7419"/>
    <w:rsid w:val="007F747C"/>
    <w:rsid w:val="007F7552"/>
    <w:rsid w:val="007F7617"/>
    <w:rsid w:val="007F7658"/>
    <w:rsid w:val="007F79DD"/>
    <w:rsid w:val="007F7D96"/>
    <w:rsid w:val="007F7DDA"/>
    <w:rsid w:val="008002DF"/>
    <w:rsid w:val="008007B1"/>
    <w:rsid w:val="008009A2"/>
    <w:rsid w:val="00800AAF"/>
    <w:rsid w:val="00800E0B"/>
    <w:rsid w:val="00800E5A"/>
    <w:rsid w:val="0080106C"/>
    <w:rsid w:val="00801122"/>
    <w:rsid w:val="00801195"/>
    <w:rsid w:val="0080123B"/>
    <w:rsid w:val="0080126C"/>
    <w:rsid w:val="008013F6"/>
    <w:rsid w:val="00801448"/>
    <w:rsid w:val="00801527"/>
    <w:rsid w:val="0080186F"/>
    <w:rsid w:val="00801C7F"/>
    <w:rsid w:val="00801C98"/>
    <w:rsid w:val="00801E39"/>
    <w:rsid w:val="00802145"/>
    <w:rsid w:val="00802188"/>
    <w:rsid w:val="0080227C"/>
    <w:rsid w:val="008022BA"/>
    <w:rsid w:val="00802532"/>
    <w:rsid w:val="008025A5"/>
    <w:rsid w:val="008025D8"/>
    <w:rsid w:val="0080274E"/>
    <w:rsid w:val="00802B4D"/>
    <w:rsid w:val="00802F9D"/>
    <w:rsid w:val="00803102"/>
    <w:rsid w:val="008031BD"/>
    <w:rsid w:val="008031E0"/>
    <w:rsid w:val="0080325A"/>
    <w:rsid w:val="008035E5"/>
    <w:rsid w:val="00803622"/>
    <w:rsid w:val="008036EC"/>
    <w:rsid w:val="00803722"/>
    <w:rsid w:val="00803726"/>
    <w:rsid w:val="008038B6"/>
    <w:rsid w:val="008038F0"/>
    <w:rsid w:val="00803A8D"/>
    <w:rsid w:val="00803AB0"/>
    <w:rsid w:val="00803B00"/>
    <w:rsid w:val="00803B05"/>
    <w:rsid w:val="00803C05"/>
    <w:rsid w:val="00803ECD"/>
    <w:rsid w:val="0080424A"/>
    <w:rsid w:val="0080440D"/>
    <w:rsid w:val="00804643"/>
    <w:rsid w:val="008046A4"/>
    <w:rsid w:val="008047C4"/>
    <w:rsid w:val="0080487A"/>
    <w:rsid w:val="00804A38"/>
    <w:rsid w:val="00804BB1"/>
    <w:rsid w:val="00804D1E"/>
    <w:rsid w:val="00804DFD"/>
    <w:rsid w:val="0080519A"/>
    <w:rsid w:val="00805226"/>
    <w:rsid w:val="00805266"/>
    <w:rsid w:val="00805407"/>
    <w:rsid w:val="00805557"/>
    <w:rsid w:val="0080560E"/>
    <w:rsid w:val="00805931"/>
    <w:rsid w:val="0080599B"/>
    <w:rsid w:val="008059DB"/>
    <w:rsid w:val="00805B44"/>
    <w:rsid w:val="00805B72"/>
    <w:rsid w:val="00805BB0"/>
    <w:rsid w:val="00805BBC"/>
    <w:rsid w:val="00805DC1"/>
    <w:rsid w:val="00805E5E"/>
    <w:rsid w:val="0080658F"/>
    <w:rsid w:val="008066A4"/>
    <w:rsid w:val="008066B1"/>
    <w:rsid w:val="00806850"/>
    <w:rsid w:val="00806968"/>
    <w:rsid w:val="00806986"/>
    <w:rsid w:val="00806A8D"/>
    <w:rsid w:val="00806B32"/>
    <w:rsid w:val="00806C3E"/>
    <w:rsid w:val="00806D35"/>
    <w:rsid w:val="00806DB6"/>
    <w:rsid w:val="008075E2"/>
    <w:rsid w:val="008076A1"/>
    <w:rsid w:val="008077CE"/>
    <w:rsid w:val="00807822"/>
    <w:rsid w:val="00807A0D"/>
    <w:rsid w:val="00807B56"/>
    <w:rsid w:val="00807F76"/>
    <w:rsid w:val="00810615"/>
    <w:rsid w:val="008106A7"/>
    <w:rsid w:val="00810B97"/>
    <w:rsid w:val="00810D4B"/>
    <w:rsid w:val="00810F8B"/>
    <w:rsid w:val="00810FF7"/>
    <w:rsid w:val="0081109C"/>
    <w:rsid w:val="008110FE"/>
    <w:rsid w:val="008111CB"/>
    <w:rsid w:val="00811312"/>
    <w:rsid w:val="00811457"/>
    <w:rsid w:val="008115FE"/>
    <w:rsid w:val="00811873"/>
    <w:rsid w:val="00811BDD"/>
    <w:rsid w:val="0081207A"/>
    <w:rsid w:val="0081210A"/>
    <w:rsid w:val="00812177"/>
    <w:rsid w:val="0081229E"/>
    <w:rsid w:val="0081278C"/>
    <w:rsid w:val="0081297D"/>
    <w:rsid w:val="00812B38"/>
    <w:rsid w:val="00812B43"/>
    <w:rsid w:val="00812D73"/>
    <w:rsid w:val="00812DB5"/>
    <w:rsid w:val="008130B8"/>
    <w:rsid w:val="008133A6"/>
    <w:rsid w:val="008135EB"/>
    <w:rsid w:val="0081367A"/>
    <w:rsid w:val="008136E7"/>
    <w:rsid w:val="00813719"/>
    <w:rsid w:val="00813AA0"/>
    <w:rsid w:val="00813B46"/>
    <w:rsid w:val="00813B48"/>
    <w:rsid w:val="00813C1F"/>
    <w:rsid w:val="00813E8A"/>
    <w:rsid w:val="00813F3B"/>
    <w:rsid w:val="008140B4"/>
    <w:rsid w:val="008142B6"/>
    <w:rsid w:val="00814527"/>
    <w:rsid w:val="008145E3"/>
    <w:rsid w:val="00814668"/>
    <w:rsid w:val="00814A90"/>
    <w:rsid w:val="00814AC7"/>
    <w:rsid w:val="00814B45"/>
    <w:rsid w:val="00814CEA"/>
    <w:rsid w:val="00814FC6"/>
    <w:rsid w:val="008150D7"/>
    <w:rsid w:val="00815351"/>
    <w:rsid w:val="008156A2"/>
    <w:rsid w:val="008156BE"/>
    <w:rsid w:val="008159FC"/>
    <w:rsid w:val="00815A5C"/>
    <w:rsid w:val="00815CB5"/>
    <w:rsid w:val="00815CC4"/>
    <w:rsid w:val="00815F8C"/>
    <w:rsid w:val="00816028"/>
    <w:rsid w:val="00816029"/>
    <w:rsid w:val="008164DA"/>
    <w:rsid w:val="008165C0"/>
    <w:rsid w:val="00816A89"/>
    <w:rsid w:val="00816BCA"/>
    <w:rsid w:val="00816F4A"/>
    <w:rsid w:val="00816FB0"/>
    <w:rsid w:val="00816FE3"/>
    <w:rsid w:val="008170A9"/>
    <w:rsid w:val="008170BD"/>
    <w:rsid w:val="0081743C"/>
    <w:rsid w:val="00817507"/>
    <w:rsid w:val="0081759A"/>
    <w:rsid w:val="008175B8"/>
    <w:rsid w:val="008175D9"/>
    <w:rsid w:val="0081774C"/>
    <w:rsid w:val="008178EC"/>
    <w:rsid w:val="00817B75"/>
    <w:rsid w:val="00817BEE"/>
    <w:rsid w:val="00817C2D"/>
    <w:rsid w:val="00817CCC"/>
    <w:rsid w:val="00817D2C"/>
    <w:rsid w:val="00817D83"/>
    <w:rsid w:val="00817DD0"/>
    <w:rsid w:val="00817E78"/>
    <w:rsid w:val="00817F53"/>
    <w:rsid w:val="00820086"/>
    <w:rsid w:val="00820197"/>
    <w:rsid w:val="00820513"/>
    <w:rsid w:val="00820628"/>
    <w:rsid w:val="008206BB"/>
    <w:rsid w:val="00820707"/>
    <w:rsid w:val="00820854"/>
    <w:rsid w:val="00820AAD"/>
    <w:rsid w:val="00820B49"/>
    <w:rsid w:val="00820DBC"/>
    <w:rsid w:val="00820EA2"/>
    <w:rsid w:val="00820FAB"/>
    <w:rsid w:val="008210CC"/>
    <w:rsid w:val="008211FC"/>
    <w:rsid w:val="0082135B"/>
    <w:rsid w:val="008215FC"/>
    <w:rsid w:val="008216D4"/>
    <w:rsid w:val="0082175C"/>
    <w:rsid w:val="008219E1"/>
    <w:rsid w:val="00821C24"/>
    <w:rsid w:val="00821C8E"/>
    <w:rsid w:val="00821D0F"/>
    <w:rsid w:val="00821EEF"/>
    <w:rsid w:val="00822054"/>
    <w:rsid w:val="008221AF"/>
    <w:rsid w:val="008224AA"/>
    <w:rsid w:val="008225E3"/>
    <w:rsid w:val="00822648"/>
    <w:rsid w:val="00822697"/>
    <w:rsid w:val="00822748"/>
    <w:rsid w:val="00822883"/>
    <w:rsid w:val="00822E4E"/>
    <w:rsid w:val="00822F02"/>
    <w:rsid w:val="00822F89"/>
    <w:rsid w:val="00822FED"/>
    <w:rsid w:val="0082312E"/>
    <w:rsid w:val="0082335A"/>
    <w:rsid w:val="00823661"/>
    <w:rsid w:val="00823EA2"/>
    <w:rsid w:val="008240D0"/>
    <w:rsid w:val="00824297"/>
    <w:rsid w:val="0082458E"/>
    <w:rsid w:val="00824807"/>
    <w:rsid w:val="00824D4B"/>
    <w:rsid w:val="008250E6"/>
    <w:rsid w:val="00825285"/>
    <w:rsid w:val="008253E6"/>
    <w:rsid w:val="00825860"/>
    <w:rsid w:val="00825865"/>
    <w:rsid w:val="00825B4F"/>
    <w:rsid w:val="00825D08"/>
    <w:rsid w:val="00825D0C"/>
    <w:rsid w:val="00825E5C"/>
    <w:rsid w:val="00825EE7"/>
    <w:rsid w:val="00825FD3"/>
    <w:rsid w:val="00825FD6"/>
    <w:rsid w:val="00826013"/>
    <w:rsid w:val="00826064"/>
    <w:rsid w:val="008260FB"/>
    <w:rsid w:val="0082623D"/>
    <w:rsid w:val="00826451"/>
    <w:rsid w:val="00826AC4"/>
    <w:rsid w:val="00826C23"/>
    <w:rsid w:val="00826C82"/>
    <w:rsid w:val="00826CB0"/>
    <w:rsid w:val="00826D2F"/>
    <w:rsid w:val="008270AB"/>
    <w:rsid w:val="00827260"/>
    <w:rsid w:val="008275FC"/>
    <w:rsid w:val="00827829"/>
    <w:rsid w:val="00827901"/>
    <w:rsid w:val="00827945"/>
    <w:rsid w:val="00827963"/>
    <w:rsid w:val="008279B2"/>
    <w:rsid w:val="00827A31"/>
    <w:rsid w:val="00827C3F"/>
    <w:rsid w:val="00827CD4"/>
    <w:rsid w:val="00827D5A"/>
    <w:rsid w:val="00827F41"/>
    <w:rsid w:val="00827FCA"/>
    <w:rsid w:val="008302E4"/>
    <w:rsid w:val="00830335"/>
    <w:rsid w:val="00830353"/>
    <w:rsid w:val="008304FA"/>
    <w:rsid w:val="008305AD"/>
    <w:rsid w:val="008307C9"/>
    <w:rsid w:val="00830839"/>
    <w:rsid w:val="00830A73"/>
    <w:rsid w:val="00830CFB"/>
    <w:rsid w:val="00830E3D"/>
    <w:rsid w:val="00830F82"/>
    <w:rsid w:val="008311B7"/>
    <w:rsid w:val="00831482"/>
    <w:rsid w:val="008314C1"/>
    <w:rsid w:val="00831552"/>
    <w:rsid w:val="008319FE"/>
    <w:rsid w:val="00831BC7"/>
    <w:rsid w:val="00831C04"/>
    <w:rsid w:val="00831CDA"/>
    <w:rsid w:val="00832162"/>
    <w:rsid w:val="00832312"/>
    <w:rsid w:val="00832587"/>
    <w:rsid w:val="008325C4"/>
    <w:rsid w:val="008326C3"/>
    <w:rsid w:val="00832718"/>
    <w:rsid w:val="00832926"/>
    <w:rsid w:val="00832A3A"/>
    <w:rsid w:val="00832B0C"/>
    <w:rsid w:val="00832B40"/>
    <w:rsid w:val="00832CD7"/>
    <w:rsid w:val="00832D25"/>
    <w:rsid w:val="00833013"/>
    <w:rsid w:val="0083311E"/>
    <w:rsid w:val="008333FF"/>
    <w:rsid w:val="008335C3"/>
    <w:rsid w:val="0083383F"/>
    <w:rsid w:val="00833A60"/>
    <w:rsid w:val="00833ADF"/>
    <w:rsid w:val="00833CE3"/>
    <w:rsid w:val="00833E3D"/>
    <w:rsid w:val="00833E8A"/>
    <w:rsid w:val="00833F3F"/>
    <w:rsid w:val="0083404B"/>
    <w:rsid w:val="0083411C"/>
    <w:rsid w:val="008342E6"/>
    <w:rsid w:val="00834553"/>
    <w:rsid w:val="00834845"/>
    <w:rsid w:val="00834989"/>
    <w:rsid w:val="00834A02"/>
    <w:rsid w:val="00834E5F"/>
    <w:rsid w:val="00834EC4"/>
    <w:rsid w:val="00835292"/>
    <w:rsid w:val="0083549B"/>
    <w:rsid w:val="00835516"/>
    <w:rsid w:val="00835562"/>
    <w:rsid w:val="008358C9"/>
    <w:rsid w:val="008359F5"/>
    <w:rsid w:val="00835B92"/>
    <w:rsid w:val="00835CB5"/>
    <w:rsid w:val="00835D5E"/>
    <w:rsid w:val="00835D91"/>
    <w:rsid w:val="00835E8B"/>
    <w:rsid w:val="00836067"/>
    <w:rsid w:val="00836167"/>
    <w:rsid w:val="0083624E"/>
    <w:rsid w:val="008364BB"/>
    <w:rsid w:val="008364C5"/>
    <w:rsid w:val="00836591"/>
    <w:rsid w:val="0083690C"/>
    <w:rsid w:val="00836A7A"/>
    <w:rsid w:val="00836B5B"/>
    <w:rsid w:val="00836C99"/>
    <w:rsid w:val="00836CA4"/>
    <w:rsid w:val="00836E13"/>
    <w:rsid w:val="00836F7F"/>
    <w:rsid w:val="008374E3"/>
    <w:rsid w:val="00837512"/>
    <w:rsid w:val="00837637"/>
    <w:rsid w:val="0083770D"/>
    <w:rsid w:val="00837D37"/>
    <w:rsid w:val="008401B3"/>
    <w:rsid w:val="0084022D"/>
    <w:rsid w:val="00840232"/>
    <w:rsid w:val="00840667"/>
    <w:rsid w:val="00840698"/>
    <w:rsid w:val="00840A81"/>
    <w:rsid w:val="00840ABB"/>
    <w:rsid w:val="00840C7A"/>
    <w:rsid w:val="00840EA7"/>
    <w:rsid w:val="00840F62"/>
    <w:rsid w:val="00840F72"/>
    <w:rsid w:val="00841062"/>
    <w:rsid w:val="008410B2"/>
    <w:rsid w:val="00841348"/>
    <w:rsid w:val="008414D4"/>
    <w:rsid w:val="00841524"/>
    <w:rsid w:val="008415C9"/>
    <w:rsid w:val="00841787"/>
    <w:rsid w:val="0084188C"/>
    <w:rsid w:val="00841951"/>
    <w:rsid w:val="00841970"/>
    <w:rsid w:val="00841A50"/>
    <w:rsid w:val="00841AE0"/>
    <w:rsid w:val="00841AE4"/>
    <w:rsid w:val="00841B6F"/>
    <w:rsid w:val="00841BB5"/>
    <w:rsid w:val="00842377"/>
    <w:rsid w:val="008426A2"/>
    <w:rsid w:val="008426E4"/>
    <w:rsid w:val="0084271D"/>
    <w:rsid w:val="0084288D"/>
    <w:rsid w:val="008428BE"/>
    <w:rsid w:val="00842AB5"/>
    <w:rsid w:val="00842B32"/>
    <w:rsid w:val="00842C64"/>
    <w:rsid w:val="00842CF4"/>
    <w:rsid w:val="00842EF6"/>
    <w:rsid w:val="00842F57"/>
    <w:rsid w:val="00843023"/>
    <w:rsid w:val="00843296"/>
    <w:rsid w:val="008432C1"/>
    <w:rsid w:val="00843476"/>
    <w:rsid w:val="0084361E"/>
    <w:rsid w:val="00843675"/>
    <w:rsid w:val="008436E1"/>
    <w:rsid w:val="0084372B"/>
    <w:rsid w:val="008438A9"/>
    <w:rsid w:val="00843AC3"/>
    <w:rsid w:val="00843DC0"/>
    <w:rsid w:val="00843F22"/>
    <w:rsid w:val="0084402E"/>
    <w:rsid w:val="00844041"/>
    <w:rsid w:val="008442E0"/>
    <w:rsid w:val="008442FA"/>
    <w:rsid w:val="00844419"/>
    <w:rsid w:val="00844510"/>
    <w:rsid w:val="00844886"/>
    <w:rsid w:val="008448AF"/>
    <w:rsid w:val="008449B5"/>
    <w:rsid w:val="00844F10"/>
    <w:rsid w:val="0084537D"/>
    <w:rsid w:val="00845941"/>
    <w:rsid w:val="00845A4B"/>
    <w:rsid w:val="00845A9E"/>
    <w:rsid w:val="00845B18"/>
    <w:rsid w:val="00845C72"/>
    <w:rsid w:val="00845E17"/>
    <w:rsid w:val="00845E83"/>
    <w:rsid w:val="008460A9"/>
    <w:rsid w:val="008463D9"/>
    <w:rsid w:val="0084644A"/>
    <w:rsid w:val="0084696E"/>
    <w:rsid w:val="00846B53"/>
    <w:rsid w:val="00846C5F"/>
    <w:rsid w:val="00846E3D"/>
    <w:rsid w:val="00846EB3"/>
    <w:rsid w:val="00846F24"/>
    <w:rsid w:val="00846FB0"/>
    <w:rsid w:val="008470C2"/>
    <w:rsid w:val="0084727A"/>
    <w:rsid w:val="008472A9"/>
    <w:rsid w:val="0084730E"/>
    <w:rsid w:val="00847490"/>
    <w:rsid w:val="00847622"/>
    <w:rsid w:val="0084798F"/>
    <w:rsid w:val="008479DF"/>
    <w:rsid w:val="00847A6F"/>
    <w:rsid w:val="00847D3D"/>
    <w:rsid w:val="00847D64"/>
    <w:rsid w:val="00847EC9"/>
    <w:rsid w:val="00847F82"/>
    <w:rsid w:val="00850119"/>
    <w:rsid w:val="0085017A"/>
    <w:rsid w:val="008501DD"/>
    <w:rsid w:val="00850321"/>
    <w:rsid w:val="00850412"/>
    <w:rsid w:val="008504C0"/>
    <w:rsid w:val="0085058D"/>
    <w:rsid w:val="0085077A"/>
    <w:rsid w:val="008507DF"/>
    <w:rsid w:val="0085086A"/>
    <w:rsid w:val="0085094E"/>
    <w:rsid w:val="00850C59"/>
    <w:rsid w:val="00850D2C"/>
    <w:rsid w:val="00850FFF"/>
    <w:rsid w:val="00851031"/>
    <w:rsid w:val="008511A7"/>
    <w:rsid w:val="008512E8"/>
    <w:rsid w:val="008512F4"/>
    <w:rsid w:val="00851495"/>
    <w:rsid w:val="00851855"/>
    <w:rsid w:val="00851920"/>
    <w:rsid w:val="00851A01"/>
    <w:rsid w:val="00851A04"/>
    <w:rsid w:val="00851E6E"/>
    <w:rsid w:val="00852232"/>
    <w:rsid w:val="00852316"/>
    <w:rsid w:val="00852544"/>
    <w:rsid w:val="0085264F"/>
    <w:rsid w:val="00852725"/>
    <w:rsid w:val="008528A8"/>
    <w:rsid w:val="008528DA"/>
    <w:rsid w:val="00852945"/>
    <w:rsid w:val="00852BDE"/>
    <w:rsid w:val="00852D77"/>
    <w:rsid w:val="00852EDB"/>
    <w:rsid w:val="008530D0"/>
    <w:rsid w:val="00853192"/>
    <w:rsid w:val="008531CB"/>
    <w:rsid w:val="00853201"/>
    <w:rsid w:val="00853423"/>
    <w:rsid w:val="008534AE"/>
    <w:rsid w:val="008534CE"/>
    <w:rsid w:val="00853566"/>
    <w:rsid w:val="00853CB3"/>
    <w:rsid w:val="00853D8B"/>
    <w:rsid w:val="00853FDF"/>
    <w:rsid w:val="00854003"/>
    <w:rsid w:val="0085427A"/>
    <w:rsid w:val="008542E1"/>
    <w:rsid w:val="0085447C"/>
    <w:rsid w:val="00854AF0"/>
    <w:rsid w:val="00854BCC"/>
    <w:rsid w:val="00854CD5"/>
    <w:rsid w:val="00854D42"/>
    <w:rsid w:val="00854D6A"/>
    <w:rsid w:val="00854DBD"/>
    <w:rsid w:val="00854ECC"/>
    <w:rsid w:val="00854FDE"/>
    <w:rsid w:val="0085507F"/>
    <w:rsid w:val="008551DD"/>
    <w:rsid w:val="008554D5"/>
    <w:rsid w:val="0085573E"/>
    <w:rsid w:val="00855982"/>
    <w:rsid w:val="00855AC0"/>
    <w:rsid w:val="00855B0F"/>
    <w:rsid w:val="00855D16"/>
    <w:rsid w:val="00855E44"/>
    <w:rsid w:val="00855ED7"/>
    <w:rsid w:val="0085628C"/>
    <w:rsid w:val="0085640E"/>
    <w:rsid w:val="00856428"/>
    <w:rsid w:val="0085643B"/>
    <w:rsid w:val="0085645D"/>
    <w:rsid w:val="00856727"/>
    <w:rsid w:val="008569DA"/>
    <w:rsid w:val="00856EDE"/>
    <w:rsid w:val="00856FD0"/>
    <w:rsid w:val="0085747E"/>
    <w:rsid w:val="0085764A"/>
    <w:rsid w:val="0085798F"/>
    <w:rsid w:val="008579C1"/>
    <w:rsid w:val="00857EB0"/>
    <w:rsid w:val="00860071"/>
    <w:rsid w:val="00860221"/>
    <w:rsid w:val="0086029A"/>
    <w:rsid w:val="008603D3"/>
    <w:rsid w:val="008603F7"/>
    <w:rsid w:val="0086056A"/>
    <w:rsid w:val="0086060D"/>
    <w:rsid w:val="00860663"/>
    <w:rsid w:val="0086079C"/>
    <w:rsid w:val="0086083C"/>
    <w:rsid w:val="008608B7"/>
    <w:rsid w:val="00860BD4"/>
    <w:rsid w:val="00860C99"/>
    <w:rsid w:val="00860F5F"/>
    <w:rsid w:val="008611CD"/>
    <w:rsid w:val="00861205"/>
    <w:rsid w:val="0086171A"/>
    <w:rsid w:val="0086182B"/>
    <w:rsid w:val="00861916"/>
    <w:rsid w:val="00861A49"/>
    <w:rsid w:val="00861AEE"/>
    <w:rsid w:val="00861BFC"/>
    <w:rsid w:val="00861C44"/>
    <w:rsid w:val="00861E25"/>
    <w:rsid w:val="00862006"/>
    <w:rsid w:val="00862098"/>
    <w:rsid w:val="00862730"/>
    <w:rsid w:val="008627A0"/>
    <w:rsid w:val="00862932"/>
    <w:rsid w:val="00862D77"/>
    <w:rsid w:val="00862DB9"/>
    <w:rsid w:val="00862DC0"/>
    <w:rsid w:val="008634D0"/>
    <w:rsid w:val="008634F4"/>
    <w:rsid w:val="00863634"/>
    <w:rsid w:val="0086369A"/>
    <w:rsid w:val="008637FC"/>
    <w:rsid w:val="00863859"/>
    <w:rsid w:val="00863888"/>
    <w:rsid w:val="00863A1C"/>
    <w:rsid w:val="00863D4E"/>
    <w:rsid w:val="00863EA6"/>
    <w:rsid w:val="00863F7F"/>
    <w:rsid w:val="00863F90"/>
    <w:rsid w:val="0086400D"/>
    <w:rsid w:val="008640D7"/>
    <w:rsid w:val="00864101"/>
    <w:rsid w:val="008644AD"/>
    <w:rsid w:val="008646FB"/>
    <w:rsid w:val="00864959"/>
    <w:rsid w:val="00864B61"/>
    <w:rsid w:val="00864D1D"/>
    <w:rsid w:val="00864ECE"/>
    <w:rsid w:val="00865035"/>
    <w:rsid w:val="00865221"/>
    <w:rsid w:val="008652A4"/>
    <w:rsid w:val="00865300"/>
    <w:rsid w:val="00865304"/>
    <w:rsid w:val="00865649"/>
    <w:rsid w:val="008658E4"/>
    <w:rsid w:val="00865A27"/>
    <w:rsid w:val="00865B77"/>
    <w:rsid w:val="00865BFB"/>
    <w:rsid w:val="00865C61"/>
    <w:rsid w:val="00865FFD"/>
    <w:rsid w:val="00866041"/>
    <w:rsid w:val="0086617F"/>
    <w:rsid w:val="00866182"/>
    <w:rsid w:val="008661DA"/>
    <w:rsid w:val="00866388"/>
    <w:rsid w:val="00866493"/>
    <w:rsid w:val="008665B8"/>
    <w:rsid w:val="00866657"/>
    <w:rsid w:val="00866690"/>
    <w:rsid w:val="008668A6"/>
    <w:rsid w:val="00866D4B"/>
    <w:rsid w:val="008672D4"/>
    <w:rsid w:val="00867305"/>
    <w:rsid w:val="00867313"/>
    <w:rsid w:val="0086744F"/>
    <w:rsid w:val="00867543"/>
    <w:rsid w:val="0086763C"/>
    <w:rsid w:val="0086764A"/>
    <w:rsid w:val="008676BC"/>
    <w:rsid w:val="0086784D"/>
    <w:rsid w:val="0086797B"/>
    <w:rsid w:val="00867AFA"/>
    <w:rsid w:val="00867B80"/>
    <w:rsid w:val="00870054"/>
    <w:rsid w:val="008700CA"/>
    <w:rsid w:val="00870219"/>
    <w:rsid w:val="008702D1"/>
    <w:rsid w:val="00870505"/>
    <w:rsid w:val="008705A2"/>
    <w:rsid w:val="00870630"/>
    <w:rsid w:val="00870770"/>
    <w:rsid w:val="00870901"/>
    <w:rsid w:val="00870B24"/>
    <w:rsid w:val="00870D31"/>
    <w:rsid w:val="00870E06"/>
    <w:rsid w:val="00870F24"/>
    <w:rsid w:val="00871083"/>
    <w:rsid w:val="0087140E"/>
    <w:rsid w:val="008715B4"/>
    <w:rsid w:val="0087182E"/>
    <w:rsid w:val="008718CF"/>
    <w:rsid w:val="00871965"/>
    <w:rsid w:val="00871AF9"/>
    <w:rsid w:val="00871CFA"/>
    <w:rsid w:val="00871E57"/>
    <w:rsid w:val="00871E5B"/>
    <w:rsid w:val="008720A0"/>
    <w:rsid w:val="008720CC"/>
    <w:rsid w:val="008720E1"/>
    <w:rsid w:val="0087246B"/>
    <w:rsid w:val="008725EA"/>
    <w:rsid w:val="00872963"/>
    <w:rsid w:val="008729BE"/>
    <w:rsid w:val="00872A84"/>
    <w:rsid w:val="00872AF1"/>
    <w:rsid w:val="00872D73"/>
    <w:rsid w:val="00872F7E"/>
    <w:rsid w:val="00872FCF"/>
    <w:rsid w:val="008730EF"/>
    <w:rsid w:val="00873274"/>
    <w:rsid w:val="008733E5"/>
    <w:rsid w:val="00873758"/>
    <w:rsid w:val="00873873"/>
    <w:rsid w:val="008738EF"/>
    <w:rsid w:val="00873928"/>
    <w:rsid w:val="00873AC4"/>
    <w:rsid w:val="00873BF5"/>
    <w:rsid w:val="00873C8F"/>
    <w:rsid w:val="00873C9A"/>
    <w:rsid w:val="00873D2F"/>
    <w:rsid w:val="00873DF2"/>
    <w:rsid w:val="00873F8B"/>
    <w:rsid w:val="008742E8"/>
    <w:rsid w:val="008742FA"/>
    <w:rsid w:val="008743C8"/>
    <w:rsid w:val="008748B5"/>
    <w:rsid w:val="008748C8"/>
    <w:rsid w:val="00874939"/>
    <w:rsid w:val="00874AEE"/>
    <w:rsid w:val="00874B0E"/>
    <w:rsid w:val="00874BD0"/>
    <w:rsid w:val="00874C8A"/>
    <w:rsid w:val="00874C9C"/>
    <w:rsid w:val="00874F4E"/>
    <w:rsid w:val="00874FB7"/>
    <w:rsid w:val="00875082"/>
    <w:rsid w:val="008750B4"/>
    <w:rsid w:val="0087511E"/>
    <w:rsid w:val="00875252"/>
    <w:rsid w:val="0087538B"/>
    <w:rsid w:val="0087551A"/>
    <w:rsid w:val="00875786"/>
    <w:rsid w:val="00875C28"/>
    <w:rsid w:val="00875C2A"/>
    <w:rsid w:val="00875EC4"/>
    <w:rsid w:val="00875F73"/>
    <w:rsid w:val="00875F76"/>
    <w:rsid w:val="0087618C"/>
    <w:rsid w:val="008764FF"/>
    <w:rsid w:val="008765DE"/>
    <w:rsid w:val="008766EF"/>
    <w:rsid w:val="0087684F"/>
    <w:rsid w:val="00876A87"/>
    <w:rsid w:val="00876AAD"/>
    <w:rsid w:val="00876C43"/>
    <w:rsid w:val="00876F48"/>
    <w:rsid w:val="00876F83"/>
    <w:rsid w:val="00876F9F"/>
    <w:rsid w:val="008771D0"/>
    <w:rsid w:val="008775CB"/>
    <w:rsid w:val="00877626"/>
    <w:rsid w:val="0087769F"/>
    <w:rsid w:val="008777EE"/>
    <w:rsid w:val="00877C00"/>
    <w:rsid w:val="00877C50"/>
    <w:rsid w:val="00877E54"/>
    <w:rsid w:val="00877EA4"/>
    <w:rsid w:val="00877F3D"/>
    <w:rsid w:val="00880196"/>
    <w:rsid w:val="00880280"/>
    <w:rsid w:val="00880371"/>
    <w:rsid w:val="008806CA"/>
    <w:rsid w:val="008806F2"/>
    <w:rsid w:val="0088072D"/>
    <w:rsid w:val="00880A1B"/>
    <w:rsid w:val="00880B31"/>
    <w:rsid w:val="00880CA6"/>
    <w:rsid w:val="00880E62"/>
    <w:rsid w:val="00880ECF"/>
    <w:rsid w:val="00880ED8"/>
    <w:rsid w:val="008810AE"/>
    <w:rsid w:val="00881127"/>
    <w:rsid w:val="008814FB"/>
    <w:rsid w:val="0088155A"/>
    <w:rsid w:val="008815F4"/>
    <w:rsid w:val="00881658"/>
    <w:rsid w:val="008818F9"/>
    <w:rsid w:val="00881B98"/>
    <w:rsid w:val="00881BAB"/>
    <w:rsid w:val="00881C72"/>
    <w:rsid w:val="00881F94"/>
    <w:rsid w:val="0088206B"/>
    <w:rsid w:val="008821AB"/>
    <w:rsid w:val="00882A32"/>
    <w:rsid w:val="00882BBB"/>
    <w:rsid w:val="00882BCA"/>
    <w:rsid w:val="00882D0C"/>
    <w:rsid w:val="00882E56"/>
    <w:rsid w:val="00882EF7"/>
    <w:rsid w:val="00883003"/>
    <w:rsid w:val="00883297"/>
    <w:rsid w:val="008835EA"/>
    <w:rsid w:val="008836ED"/>
    <w:rsid w:val="00883936"/>
    <w:rsid w:val="00883A58"/>
    <w:rsid w:val="00883D93"/>
    <w:rsid w:val="00883DE1"/>
    <w:rsid w:val="00883F62"/>
    <w:rsid w:val="00884104"/>
    <w:rsid w:val="0088427A"/>
    <w:rsid w:val="008847A3"/>
    <w:rsid w:val="008849DA"/>
    <w:rsid w:val="008849F2"/>
    <w:rsid w:val="00884ABD"/>
    <w:rsid w:val="00884BD2"/>
    <w:rsid w:val="00884DD8"/>
    <w:rsid w:val="00884E81"/>
    <w:rsid w:val="00884EA9"/>
    <w:rsid w:val="00884EDA"/>
    <w:rsid w:val="0088520F"/>
    <w:rsid w:val="008853CC"/>
    <w:rsid w:val="008858FF"/>
    <w:rsid w:val="008859C8"/>
    <w:rsid w:val="00885AA7"/>
    <w:rsid w:val="00885B5B"/>
    <w:rsid w:val="00885B82"/>
    <w:rsid w:val="00885D68"/>
    <w:rsid w:val="00885E92"/>
    <w:rsid w:val="00885F17"/>
    <w:rsid w:val="00885FF9"/>
    <w:rsid w:val="00886135"/>
    <w:rsid w:val="00886145"/>
    <w:rsid w:val="00886276"/>
    <w:rsid w:val="008864F0"/>
    <w:rsid w:val="008865B0"/>
    <w:rsid w:val="008865FD"/>
    <w:rsid w:val="0088661A"/>
    <w:rsid w:val="00886644"/>
    <w:rsid w:val="00886691"/>
    <w:rsid w:val="008866B1"/>
    <w:rsid w:val="00886762"/>
    <w:rsid w:val="0088677C"/>
    <w:rsid w:val="0088679F"/>
    <w:rsid w:val="008867BE"/>
    <w:rsid w:val="00886DCA"/>
    <w:rsid w:val="00886E06"/>
    <w:rsid w:val="00886F41"/>
    <w:rsid w:val="00886FF8"/>
    <w:rsid w:val="00887019"/>
    <w:rsid w:val="0088702F"/>
    <w:rsid w:val="00887101"/>
    <w:rsid w:val="008871A0"/>
    <w:rsid w:val="00887263"/>
    <w:rsid w:val="00887299"/>
    <w:rsid w:val="008873CB"/>
    <w:rsid w:val="0088779C"/>
    <w:rsid w:val="008877F4"/>
    <w:rsid w:val="00887817"/>
    <w:rsid w:val="0088786A"/>
    <w:rsid w:val="00887883"/>
    <w:rsid w:val="00887A87"/>
    <w:rsid w:val="00887D5F"/>
    <w:rsid w:val="00887D70"/>
    <w:rsid w:val="00887E59"/>
    <w:rsid w:val="00887E7D"/>
    <w:rsid w:val="0088B25D"/>
    <w:rsid w:val="00890197"/>
    <w:rsid w:val="00890551"/>
    <w:rsid w:val="00890672"/>
    <w:rsid w:val="00890823"/>
    <w:rsid w:val="008908E7"/>
    <w:rsid w:val="0089094B"/>
    <w:rsid w:val="008909F6"/>
    <w:rsid w:val="00890A7B"/>
    <w:rsid w:val="00890C49"/>
    <w:rsid w:val="00890DA6"/>
    <w:rsid w:val="00890DF1"/>
    <w:rsid w:val="00890F3B"/>
    <w:rsid w:val="00890F87"/>
    <w:rsid w:val="0089113A"/>
    <w:rsid w:val="0089122A"/>
    <w:rsid w:val="00891327"/>
    <w:rsid w:val="00891C8C"/>
    <w:rsid w:val="00891E5A"/>
    <w:rsid w:val="00891F35"/>
    <w:rsid w:val="0089202E"/>
    <w:rsid w:val="008921B3"/>
    <w:rsid w:val="0089233E"/>
    <w:rsid w:val="0089239B"/>
    <w:rsid w:val="008928CB"/>
    <w:rsid w:val="00892B7C"/>
    <w:rsid w:val="00892C38"/>
    <w:rsid w:val="00892C70"/>
    <w:rsid w:val="00892C7C"/>
    <w:rsid w:val="00892FF9"/>
    <w:rsid w:val="00892FFF"/>
    <w:rsid w:val="0089347B"/>
    <w:rsid w:val="008934D4"/>
    <w:rsid w:val="00893762"/>
    <w:rsid w:val="00893955"/>
    <w:rsid w:val="008939A9"/>
    <w:rsid w:val="00893AD6"/>
    <w:rsid w:val="00893C33"/>
    <w:rsid w:val="00893C78"/>
    <w:rsid w:val="00893F0B"/>
    <w:rsid w:val="0089414B"/>
    <w:rsid w:val="008941E5"/>
    <w:rsid w:val="00894579"/>
    <w:rsid w:val="008946CE"/>
    <w:rsid w:val="008948D4"/>
    <w:rsid w:val="00894AE4"/>
    <w:rsid w:val="00894AFF"/>
    <w:rsid w:val="00894B67"/>
    <w:rsid w:val="00894B7C"/>
    <w:rsid w:val="00894C26"/>
    <w:rsid w:val="00894DB5"/>
    <w:rsid w:val="008951F3"/>
    <w:rsid w:val="008952E0"/>
    <w:rsid w:val="008955A5"/>
    <w:rsid w:val="00895686"/>
    <w:rsid w:val="0089570C"/>
    <w:rsid w:val="008958A7"/>
    <w:rsid w:val="00895BA4"/>
    <w:rsid w:val="00895E50"/>
    <w:rsid w:val="00895F1A"/>
    <w:rsid w:val="00895F54"/>
    <w:rsid w:val="00896057"/>
    <w:rsid w:val="008960B4"/>
    <w:rsid w:val="008961D9"/>
    <w:rsid w:val="008964B1"/>
    <w:rsid w:val="00896630"/>
    <w:rsid w:val="008966CA"/>
    <w:rsid w:val="0089672D"/>
    <w:rsid w:val="00896ABA"/>
    <w:rsid w:val="00896B25"/>
    <w:rsid w:val="00896B6E"/>
    <w:rsid w:val="00896C79"/>
    <w:rsid w:val="00896E09"/>
    <w:rsid w:val="008973FE"/>
    <w:rsid w:val="0089782E"/>
    <w:rsid w:val="008978C0"/>
    <w:rsid w:val="008979D1"/>
    <w:rsid w:val="00897ABF"/>
    <w:rsid w:val="00897B51"/>
    <w:rsid w:val="00897F3E"/>
    <w:rsid w:val="008A0170"/>
    <w:rsid w:val="008A05E0"/>
    <w:rsid w:val="008A05F9"/>
    <w:rsid w:val="008A0668"/>
    <w:rsid w:val="008A0833"/>
    <w:rsid w:val="008A091D"/>
    <w:rsid w:val="008A0AB3"/>
    <w:rsid w:val="008A0B0E"/>
    <w:rsid w:val="008A0DD1"/>
    <w:rsid w:val="008A0FB6"/>
    <w:rsid w:val="008A0FFD"/>
    <w:rsid w:val="008A1196"/>
    <w:rsid w:val="008A1518"/>
    <w:rsid w:val="008A1588"/>
    <w:rsid w:val="008A1985"/>
    <w:rsid w:val="008A19D4"/>
    <w:rsid w:val="008A1C7E"/>
    <w:rsid w:val="008A1C8F"/>
    <w:rsid w:val="008A1F0D"/>
    <w:rsid w:val="008A22B2"/>
    <w:rsid w:val="008A2375"/>
    <w:rsid w:val="008A23B4"/>
    <w:rsid w:val="008A2421"/>
    <w:rsid w:val="008A2450"/>
    <w:rsid w:val="008A25CE"/>
    <w:rsid w:val="008A25D3"/>
    <w:rsid w:val="008A2799"/>
    <w:rsid w:val="008A29C3"/>
    <w:rsid w:val="008A2AD5"/>
    <w:rsid w:val="008A2E4D"/>
    <w:rsid w:val="008A2E61"/>
    <w:rsid w:val="008A2EA3"/>
    <w:rsid w:val="008A2EED"/>
    <w:rsid w:val="008A310B"/>
    <w:rsid w:val="008A371F"/>
    <w:rsid w:val="008A378F"/>
    <w:rsid w:val="008A3851"/>
    <w:rsid w:val="008A3B02"/>
    <w:rsid w:val="008A3DC6"/>
    <w:rsid w:val="008A436B"/>
    <w:rsid w:val="008A4500"/>
    <w:rsid w:val="008A4589"/>
    <w:rsid w:val="008A4611"/>
    <w:rsid w:val="008A4619"/>
    <w:rsid w:val="008A4686"/>
    <w:rsid w:val="008A488E"/>
    <w:rsid w:val="008A48CE"/>
    <w:rsid w:val="008A49E4"/>
    <w:rsid w:val="008A4B22"/>
    <w:rsid w:val="008A4B6F"/>
    <w:rsid w:val="008A4C4E"/>
    <w:rsid w:val="008A4D19"/>
    <w:rsid w:val="008A4D5C"/>
    <w:rsid w:val="008A5095"/>
    <w:rsid w:val="008A514B"/>
    <w:rsid w:val="008A515E"/>
    <w:rsid w:val="008A5429"/>
    <w:rsid w:val="008A553D"/>
    <w:rsid w:val="008A5635"/>
    <w:rsid w:val="008A5716"/>
    <w:rsid w:val="008A5727"/>
    <w:rsid w:val="008A59B0"/>
    <w:rsid w:val="008A5A5E"/>
    <w:rsid w:val="008A5B1A"/>
    <w:rsid w:val="008A5C75"/>
    <w:rsid w:val="008A5CA4"/>
    <w:rsid w:val="008A5D84"/>
    <w:rsid w:val="008A5E45"/>
    <w:rsid w:val="008A5E5C"/>
    <w:rsid w:val="008A5F56"/>
    <w:rsid w:val="008A605D"/>
    <w:rsid w:val="008A6190"/>
    <w:rsid w:val="008A6196"/>
    <w:rsid w:val="008A6231"/>
    <w:rsid w:val="008A623D"/>
    <w:rsid w:val="008A62AD"/>
    <w:rsid w:val="008A65D8"/>
    <w:rsid w:val="008A65FB"/>
    <w:rsid w:val="008A6685"/>
    <w:rsid w:val="008A6856"/>
    <w:rsid w:val="008A6884"/>
    <w:rsid w:val="008A6885"/>
    <w:rsid w:val="008A6962"/>
    <w:rsid w:val="008A6983"/>
    <w:rsid w:val="008A6B6B"/>
    <w:rsid w:val="008A6BE0"/>
    <w:rsid w:val="008A6C44"/>
    <w:rsid w:val="008A6DFD"/>
    <w:rsid w:val="008A6E66"/>
    <w:rsid w:val="008A7306"/>
    <w:rsid w:val="008A7587"/>
    <w:rsid w:val="008A798A"/>
    <w:rsid w:val="008A7A0E"/>
    <w:rsid w:val="008A7ACC"/>
    <w:rsid w:val="008A7B66"/>
    <w:rsid w:val="008A7C28"/>
    <w:rsid w:val="008A7CF3"/>
    <w:rsid w:val="008A7D39"/>
    <w:rsid w:val="008B00F4"/>
    <w:rsid w:val="008B0211"/>
    <w:rsid w:val="008B03BD"/>
    <w:rsid w:val="008B03D9"/>
    <w:rsid w:val="008B06EC"/>
    <w:rsid w:val="008B07E4"/>
    <w:rsid w:val="008B07FC"/>
    <w:rsid w:val="008B0C67"/>
    <w:rsid w:val="008B0C84"/>
    <w:rsid w:val="008B0D69"/>
    <w:rsid w:val="008B0EB6"/>
    <w:rsid w:val="008B0F9F"/>
    <w:rsid w:val="008B11CB"/>
    <w:rsid w:val="008B1686"/>
    <w:rsid w:val="008B16D8"/>
    <w:rsid w:val="008B177A"/>
    <w:rsid w:val="008B1A90"/>
    <w:rsid w:val="008B1CA3"/>
    <w:rsid w:val="008B1E56"/>
    <w:rsid w:val="008B1FBA"/>
    <w:rsid w:val="008B21F5"/>
    <w:rsid w:val="008B2211"/>
    <w:rsid w:val="008B2415"/>
    <w:rsid w:val="008B24A1"/>
    <w:rsid w:val="008B28A8"/>
    <w:rsid w:val="008B2953"/>
    <w:rsid w:val="008B30F2"/>
    <w:rsid w:val="008B32F3"/>
    <w:rsid w:val="008B35C8"/>
    <w:rsid w:val="008B3B1F"/>
    <w:rsid w:val="008B3B2C"/>
    <w:rsid w:val="008B3B9B"/>
    <w:rsid w:val="008B3BD3"/>
    <w:rsid w:val="008B3CAE"/>
    <w:rsid w:val="008B3D03"/>
    <w:rsid w:val="008B3DEF"/>
    <w:rsid w:val="008B4105"/>
    <w:rsid w:val="008B4203"/>
    <w:rsid w:val="008B437A"/>
    <w:rsid w:val="008B43A6"/>
    <w:rsid w:val="008B4591"/>
    <w:rsid w:val="008B4642"/>
    <w:rsid w:val="008B470B"/>
    <w:rsid w:val="008B4750"/>
    <w:rsid w:val="008B498B"/>
    <w:rsid w:val="008B4B18"/>
    <w:rsid w:val="008B4DC6"/>
    <w:rsid w:val="008B4E5D"/>
    <w:rsid w:val="008B4ECB"/>
    <w:rsid w:val="008B5080"/>
    <w:rsid w:val="008B5204"/>
    <w:rsid w:val="008B5254"/>
    <w:rsid w:val="008B5266"/>
    <w:rsid w:val="008B5284"/>
    <w:rsid w:val="008B5470"/>
    <w:rsid w:val="008B56CC"/>
    <w:rsid w:val="008B587A"/>
    <w:rsid w:val="008B5A75"/>
    <w:rsid w:val="008B5AD6"/>
    <w:rsid w:val="008B5E9F"/>
    <w:rsid w:val="008B5FF7"/>
    <w:rsid w:val="008B6089"/>
    <w:rsid w:val="008B60C4"/>
    <w:rsid w:val="008B6104"/>
    <w:rsid w:val="008B622F"/>
    <w:rsid w:val="008B62D0"/>
    <w:rsid w:val="008B63D3"/>
    <w:rsid w:val="008B6516"/>
    <w:rsid w:val="008B6574"/>
    <w:rsid w:val="008B66A4"/>
    <w:rsid w:val="008B66B2"/>
    <w:rsid w:val="008B66C7"/>
    <w:rsid w:val="008B67AA"/>
    <w:rsid w:val="008B67BB"/>
    <w:rsid w:val="008B6800"/>
    <w:rsid w:val="008B6821"/>
    <w:rsid w:val="008B6AC0"/>
    <w:rsid w:val="008B6AED"/>
    <w:rsid w:val="008B6F1B"/>
    <w:rsid w:val="008B6FDE"/>
    <w:rsid w:val="008B71E6"/>
    <w:rsid w:val="008B71F8"/>
    <w:rsid w:val="008B7245"/>
    <w:rsid w:val="008B72E3"/>
    <w:rsid w:val="008B7315"/>
    <w:rsid w:val="008B7725"/>
    <w:rsid w:val="008B7826"/>
    <w:rsid w:val="008B7898"/>
    <w:rsid w:val="008B78C5"/>
    <w:rsid w:val="008B7DE2"/>
    <w:rsid w:val="008B7EDE"/>
    <w:rsid w:val="008B7F0B"/>
    <w:rsid w:val="008C0249"/>
    <w:rsid w:val="008C0599"/>
    <w:rsid w:val="008C0872"/>
    <w:rsid w:val="008C0A7B"/>
    <w:rsid w:val="008C0CC1"/>
    <w:rsid w:val="008C13EF"/>
    <w:rsid w:val="008C141E"/>
    <w:rsid w:val="008C1428"/>
    <w:rsid w:val="008C156C"/>
    <w:rsid w:val="008C1590"/>
    <w:rsid w:val="008C1599"/>
    <w:rsid w:val="008C159B"/>
    <w:rsid w:val="008C1767"/>
    <w:rsid w:val="008C17A8"/>
    <w:rsid w:val="008C18CA"/>
    <w:rsid w:val="008C1A01"/>
    <w:rsid w:val="008C1A4D"/>
    <w:rsid w:val="008C1B8B"/>
    <w:rsid w:val="008C1B9D"/>
    <w:rsid w:val="008C1BEF"/>
    <w:rsid w:val="008C1CA3"/>
    <w:rsid w:val="008C1D4A"/>
    <w:rsid w:val="008C21D8"/>
    <w:rsid w:val="008C2356"/>
    <w:rsid w:val="008C2822"/>
    <w:rsid w:val="008C2AF7"/>
    <w:rsid w:val="008C2B63"/>
    <w:rsid w:val="008C2C1F"/>
    <w:rsid w:val="008C2C49"/>
    <w:rsid w:val="008C2C6F"/>
    <w:rsid w:val="008C2D03"/>
    <w:rsid w:val="008C2D8C"/>
    <w:rsid w:val="008C2DAA"/>
    <w:rsid w:val="008C2DEC"/>
    <w:rsid w:val="008C2ED1"/>
    <w:rsid w:val="008C2F48"/>
    <w:rsid w:val="008C319D"/>
    <w:rsid w:val="008C319E"/>
    <w:rsid w:val="008C334B"/>
    <w:rsid w:val="008C36C6"/>
    <w:rsid w:val="008C3740"/>
    <w:rsid w:val="008C3B26"/>
    <w:rsid w:val="008C3EC6"/>
    <w:rsid w:val="008C3F8E"/>
    <w:rsid w:val="008C4088"/>
    <w:rsid w:val="008C409D"/>
    <w:rsid w:val="008C4128"/>
    <w:rsid w:val="008C42EA"/>
    <w:rsid w:val="008C4552"/>
    <w:rsid w:val="008C4707"/>
    <w:rsid w:val="008C47DB"/>
    <w:rsid w:val="008C48CE"/>
    <w:rsid w:val="008C493A"/>
    <w:rsid w:val="008C498B"/>
    <w:rsid w:val="008C4AFD"/>
    <w:rsid w:val="008C4BA1"/>
    <w:rsid w:val="008C4DD8"/>
    <w:rsid w:val="008C4E3D"/>
    <w:rsid w:val="008C5194"/>
    <w:rsid w:val="008C54E7"/>
    <w:rsid w:val="008C5633"/>
    <w:rsid w:val="008C570A"/>
    <w:rsid w:val="008C5A8F"/>
    <w:rsid w:val="008C5AC5"/>
    <w:rsid w:val="008C5B39"/>
    <w:rsid w:val="008C5C24"/>
    <w:rsid w:val="008C5D6C"/>
    <w:rsid w:val="008C603C"/>
    <w:rsid w:val="008C60D7"/>
    <w:rsid w:val="008C6476"/>
    <w:rsid w:val="008C648F"/>
    <w:rsid w:val="008C64B9"/>
    <w:rsid w:val="008C6560"/>
    <w:rsid w:val="008C656E"/>
    <w:rsid w:val="008C6614"/>
    <w:rsid w:val="008C6713"/>
    <w:rsid w:val="008C6ACB"/>
    <w:rsid w:val="008C6AD4"/>
    <w:rsid w:val="008C6C55"/>
    <w:rsid w:val="008C6C84"/>
    <w:rsid w:val="008C6E07"/>
    <w:rsid w:val="008C7110"/>
    <w:rsid w:val="008C7271"/>
    <w:rsid w:val="008C737F"/>
    <w:rsid w:val="008C742C"/>
    <w:rsid w:val="008C74FB"/>
    <w:rsid w:val="008C754C"/>
    <w:rsid w:val="008C755E"/>
    <w:rsid w:val="008C7663"/>
    <w:rsid w:val="008C768D"/>
    <w:rsid w:val="008C76D8"/>
    <w:rsid w:val="008C7781"/>
    <w:rsid w:val="008C78D2"/>
    <w:rsid w:val="008C78DD"/>
    <w:rsid w:val="008C7A32"/>
    <w:rsid w:val="008C7B05"/>
    <w:rsid w:val="008C7B98"/>
    <w:rsid w:val="008C7D38"/>
    <w:rsid w:val="008C7DEE"/>
    <w:rsid w:val="008C7F7E"/>
    <w:rsid w:val="008D040B"/>
    <w:rsid w:val="008D05EF"/>
    <w:rsid w:val="008D0773"/>
    <w:rsid w:val="008D07B0"/>
    <w:rsid w:val="008D08DC"/>
    <w:rsid w:val="008D0A54"/>
    <w:rsid w:val="008D0B9B"/>
    <w:rsid w:val="008D0C85"/>
    <w:rsid w:val="008D0DA5"/>
    <w:rsid w:val="008D0DD7"/>
    <w:rsid w:val="008D0EBF"/>
    <w:rsid w:val="008D0ED8"/>
    <w:rsid w:val="008D1151"/>
    <w:rsid w:val="008D124D"/>
    <w:rsid w:val="008D1378"/>
    <w:rsid w:val="008D1414"/>
    <w:rsid w:val="008D1556"/>
    <w:rsid w:val="008D1756"/>
    <w:rsid w:val="008D1A86"/>
    <w:rsid w:val="008D1BE7"/>
    <w:rsid w:val="008D1D84"/>
    <w:rsid w:val="008D1E31"/>
    <w:rsid w:val="008D1FBE"/>
    <w:rsid w:val="008D2131"/>
    <w:rsid w:val="008D22DB"/>
    <w:rsid w:val="008D240F"/>
    <w:rsid w:val="008D262B"/>
    <w:rsid w:val="008D267F"/>
    <w:rsid w:val="008D268F"/>
    <w:rsid w:val="008D2836"/>
    <w:rsid w:val="008D2A1F"/>
    <w:rsid w:val="008D2A48"/>
    <w:rsid w:val="008D2BFC"/>
    <w:rsid w:val="008D2EBA"/>
    <w:rsid w:val="008D2F8D"/>
    <w:rsid w:val="008D3218"/>
    <w:rsid w:val="008D3242"/>
    <w:rsid w:val="008D3267"/>
    <w:rsid w:val="008D334C"/>
    <w:rsid w:val="008D361D"/>
    <w:rsid w:val="008D3633"/>
    <w:rsid w:val="008D36C5"/>
    <w:rsid w:val="008D3AB3"/>
    <w:rsid w:val="008D3CFB"/>
    <w:rsid w:val="008D3F0E"/>
    <w:rsid w:val="008D402E"/>
    <w:rsid w:val="008D45FF"/>
    <w:rsid w:val="008D4613"/>
    <w:rsid w:val="008D472D"/>
    <w:rsid w:val="008D47E3"/>
    <w:rsid w:val="008D488B"/>
    <w:rsid w:val="008D49F6"/>
    <w:rsid w:val="008D4CC5"/>
    <w:rsid w:val="008D4DEC"/>
    <w:rsid w:val="008D4FE0"/>
    <w:rsid w:val="008D5248"/>
    <w:rsid w:val="008D5275"/>
    <w:rsid w:val="008D52FE"/>
    <w:rsid w:val="008D5391"/>
    <w:rsid w:val="008D5510"/>
    <w:rsid w:val="008D55B8"/>
    <w:rsid w:val="008D576B"/>
    <w:rsid w:val="008D5B64"/>
    <w:rsid w:val="008D5BB4"/>
    <w:rsid w:val="008D5CD7"/>
    <w:rsid w:val="008D5D2E"/>
    <w:rsid w:val="008D6005"/>
    <w:rsid w:val="008D6098"/>
    <w:rsid w:val="008D6102"/>
    <w:rsid w:val="008D615A"/>
    <w:rsid w:val="008D6180"/>
    <w:rsid w:val="008D62A9"/>
    <w:rsid w:val="008D6474"/>
    <w:rsid w:val="008D65EE"/>
    <w:rsid w:val="008D66A2"/>
    <w:rsid w:val="008D6853"/>
    <w:rsid w:val="008D6915"/>
    <w:rsid w:val="008D6A20"/>
    <w:rsid w:val="008D6AA0"/>
    <w:rsid w:val="008D6C05"/>
    <w:rsid w:val="008D6C7A"/>
    <w:rsid w:val="008D6DA3"/>
    <w:rsid w:val="008D705A"/>
    <w:rsid w:val="008D709F"/>
    <w:rsid w:val="008D70A4"/>
    <w:rsid w:val="008D70F6"/>
    <w:rsid w:val="008D7178"/>
    <w:rsid w:val="008D717D"/>
    <w:rsid w:val="008D7195"/>
    <w:rsid w:val="008D7309"/>
    <w:rsid w:val="008D73EE"/>
    <w:rsid w:val="008D7679"/>
    <w:rsid w:val="008D76DF"/>
    <w:rsid w:val="008D78F5"/>
    <w:rsid w:val="008D78FC"/>
    <w:rsid w:val="008D7973"/>
    <w:rsid w:val="008D79C2"/>
    <w:rsid w:val="008D79C3"/>
    <w:rsid w:val="008D7C37"/>
    <w:rsid w:val="008D7E08"/>
    <w:rsid w:val="008E008C"/>
    <w:rsid w:val="008E00D4"/>
    <w:rsid w:val="008E02AD"/>
    <w:rsid w:val="008E03C9"/>
    <w:rsid w:val="008E05C9"/>
    <w:rsid w:val="008E07A0"/>
    <w:rsid w:val="008E07C6"/>
    <w:rsid w:val="008E07F5"/>
    <w:rsid w:val="008E094E"/>
    <w:rsid w:val="008E0A20"/>
    <w:rsid w:val="008E0AA8"/>
    <w:rsid w:val="008E0AD5"/>
    <w:rsid w:val="008E12DF"/>
    <w:rsid w:val="008E13CB"/>
    <w:rsid w:val="008E13E3"/>
    <w:rsid w:val="008E160D"/>
    <w:rsid w:val="008E173F"/>
    <w:rsid w:val="008E183D"/>
    <w:rsid w:val="008E1912"/>
    <w:rsid w:val="008E1C5B"/>
    <w:rsid w:val="008E1C74"/>
    <w:rsid w:val="008E22C5"/>
    <w:rsid w:val="008E26DB"/>
    <w:rsid w:val="008E26EA"/>
    <w:rsid w:val="008E27E4"/>
    <w:rsid w:val="008E2AF9"/>
    <w:rsid w:val="008E3028"/>
    <w:rsid w:val="008E30C0"/>
    <w:rsid w:val="008E314D"/>
    <w:rsid w:val="008E3151"/>
    <w:rsid w:val="008E3174"/>
    <w:rsid w:val="008E335C"/>
    <w:rsid w:val="008E36F1"/>
    <w:rsid w:val="008E37A6"/>
    <w:rsid w:val="008E3AC4"/>
    <w:rsid w:val="008E3ADA"/>
    <w:rsid w:val="008E3BDC"/>
    <w:rsid w:val="008E3D17"/>
    <w:rsid w:val="008E3E0F"/>
    <w:rsid w:val="008E3E51"/>
    <w:rsid w:val="008E40FE"/>
    <w:rsid w:val="008E4120"/>
    <w:rsid w:val="008E43AD"/>
    <w:rsid w:val="008E43B8"/>
    <w:rsid w:val="008E46A9"/>
    <w:rsid w:val="008E482E"/>
    <w:rsid w:val="008E4BB5"/>
    <w:rsid w:val="008E4C36"/>
    <w:rsid w:val="008E4F24"/>
    <w:rsid w:val="008E54E2"/>
    <w:rsid w:val="008E564E"/>
    <w:rsid w:val="008E5735"/>
    <w:rsid w:val="008E5856"/>
    <w:rsid w:val="008E5862"/>
    <w:rsid w:val="008E5B4F"/>
    <w:rsid w:val="008E5C85"/>
    <w:rsid w:val="008E5E28"/>
    <w:rsid w:val="008E5FE7"/>
    <w:rsid w:val="008E6051"/>
    <w:rsid w:val="008E6082"/>
    <w:rsid w:val="008E623D"/>
    <w:rsid w:val="008E6328"/>
    <w:rsid w:val="008E646E"/>
    <w:rsid w:val="008E66F9"/>
    <w:rsid w:val="008E6A18"/>
    <w:rsid w:val="008E6BB1"/>
    <w:rsid w:val="008E6BC8"/>
    <w:rsid w:val="008E6E79"/>
    <w:rsid w:val="008E6FB0"/>
    <w:rsid w:val="008E7216"/>
    <w:rsid w:val="008E72B4"/>
    <w:rsid w:val="008E72FB"/>
    <w:rsid w:val="008E73AF"/>
    <w:rsid w:val="008E7473"/>
    <w:rsid w:val="008E7478"/>
    <w:rsid w:val="008E7526"/>
    <w:rsid w:val="008E7846"/>
    <w:rsid w:val="008E7864"/>
    <w:rsid w:val="008E7A3B"/>
    <w:rsid w:val="008E7ADA"/>
    <w:rsid w:val="008F00FE"/>
    <w:rsid w:val="008F0118"/>
    <w:rsid w:val="008F02B4"/>
    <w:rsid w:val="008F057C"/>
    <w:rsid w:val="008F0861"/>
    <w:rsid w:val="008F0C76"/>
    <w:rsid w:val="008F0E02"/>
    <w:rsid w:val="008F0EF5"/>
    <w:rsid w:val="008F124C"/>
    <w:rsid w:val="008F12B4"/>
    <w:rsid w:val="008F14CC"/>
    <w:rsid w:val="008F1856"/>
    <w:rsid w:val="008F1BD9"/>
    <w:rsid w:val="008F1C22"/>
    <w:rsid w:val="008F1D7A"/>
    <w:rsid w:val="008F207F"/>
    <w:rsid w:val="008F2267"/>
    <w:rsid w:val="008F2268"/>
    <w:rsid w:val="008F23A7"/>
    <w:rsid w:val="008F27C7"/>
    <w:rsid w:val="008F2B08"/>
    <w:rsid w:val="008F2D5E"/>
    <w:rsid w:val="008F2ED8"/>
    <w:rsid w:val="008F3179"/>
    <w:rsid w:val="008F32AE"/>
    <w:rsid w:val="008F32DF"/>
    <w:rsid w:val="008F357D"/>
    <w:rsid w:val="008F36D2"/>
    <w:rsid w:val="008F3923"/>
    <w:rsid w:val="008F3B4F"/>
    <w:rsid w:val="008F3B8A"/>
    <w:rsid w:val="008F3BE5"/>
    <w:rsid w:val="008F3D44"/>
    <w:rsid w:val="008F3D89"/>
    <w:rsid w:val="008F3FE0"/>
    <w:rsid w:val="008F4041"/>
    <w:rsid w:val="008F429E"/>
    <w:rsid w:val="008F42BB"/>
    <w:rsid w:val="008F4310"/>
    <w:rsid w:val="008F43A1"/>
    <w:rsid w:val="008F45C4"/>
    <w:rsid w:val="008F466E"/>
    <w:rsid w:val="008F46AF"/>
    <w:rsid w:val="008F46E3"/>
    <w:rsid w:val="008F46F2"/>
    <w:rsid w:val="008F47D6"/>
    <w:rsid w:val="008F4807"/>
    <w:rsid w:val="008F4AC4"/>
    <w:rsid w:val="008F4B01"/>
    <w:rsid w:val="008F50BD"/>
    <w:rsid w:val="008F51CB"/>
    <w:rsid w:val="008F5339"/>
    <w:rsid w:val="008F550E"/>
    <w:rsid w:val="008F5C31"/>
    <w:rsid w:val="008F5C92"/>
    <w:rsid w:val="008F5DD7"/>
    <w:rsid w:val="008F60B2"/>
    <w:rsid w:val="008F63CC"/>
    <w:rsid w:val="008F6423"/>
    <w:rsid w:val="008F690C"/>
    <w:rsid w:val="008F6A0F"/>
    <w:rsid w:val="008F6E06"/>
    <w:rsid w:val="008F6E48"/>
    <w:rsid w:val="008F6FD5"/>
    <w:rsid w:val="008F7080"/>
    <w:rsid w:val="008F72B8"/>
    <w:rsid w:val="008F762F"/>
    <w:rsid w:val="008F7BA7"/>
    <w:rsid w:val="008F7EB3"/>
    <w:rsid w:val="008F7F66"/>
    <w:rsid w:val="008F7F8B"/>
    <w:rsid w:val="009001FC"/>
    <w:rsid w:val="00900331"/>
    <w:rsid w:val="00900391"/>
    <w:rsid w:val="009003B2"/>
    <w:rsid w:val="0090064E"/>
    <w:rsid w:val="009006BD"/>
    <w:rsid w:val="009006BF"/>
    <w:rsid w:val="00900876"/>
    <w:rsid w:val="00900A0E"/>
    <w:rsid w:val="00901109"/>
    <w:rsid w:val="009011F0"/>
    <w:rsid w:val="00901237"/>
    <w:rsid w:val="0090145A"/>
    <w:rsid w:val="00901683"/>
    <w:rsid w:val="00901795"/>
    <w:rsid w:val="00901911"/>
    <w:rsid w:val="009019FE"/>
    <w:rsid w:val="00901B18"/>
    <w:rsid w:val="00901DFD"/>
    <w:rsid w:val="0090232C"/>
    <w:rsid w:val="009025A4"/>
    <w:rsid w:val="009026AD"/>
    <w:rsid w:val="0090278A"/>
    <w:rsid w:val="0090283B"/>
    <w:rsid w:val="009028DD"/>
    <w:rsid w:val="00902BFF"/>
    <w:rsid w:val="00902CFA"/>
    <w:rsid w:val="00902D09"/>
    <w:rsid w:val="00902D0E"/>
    <w:rsid w:val="00902DA5"/>
    <w:rsid w:val="00902E3D"/>
    <w:rsid w:val="00903268"/>
    <w:rsid w:val="0090363C"/>
    <w:rsid w:val="0090379D"/>
    <w:rsid w:val="009037EB"/>
    <w:rsid w:val="00903951"/>
    <w:rsid w:val="0090397B"/>
    <w:rsid w:val="00903B11"/>
    <w:rsid w:val="00903C46"/>
    <w:rsid w:val="00903F58"/>
    <w:rsid w:val="009040A4"/>
    <w:rsid w:val="0090434A"/>
    <w:rsid w:val="009045B8"/>
    <w:rsid w:val="009046DD"/>
    <w:rsid w:val="009046EC"/>
    <w:rsid w:val="0090483A"/>
    <w:rsid w:val="00904B3E"/>
    <w:rsid w:val="00904CEA"/>
    <w:rsid w:val="0090516D"/>
    <w:rsid w:val="0090517F"/>
    <w:rsid w:val="00905299"/>
    <w:rsid w:val="009052A9"/>
    <w:rsid w:val="0090540A"/>
    <w:rsid w:val="009056D4"/>
    <w:rsid w:val="0090574F"/>
    <w:rsid w:val="009059AB"/>
    <w:rsid w:val="00905B0E"/>
    <w:rsid w:val="00905BB5"/>
    <w:rsid w:val="00905BC0"/>
    <w:rsid w:val="00905BD9"/>
    <w:rsid w:val="00905DF4"/>
    <w:rsid w:val="00905E6B"/>
    <w:rsid w:val="00905F08"/>
    <w:rsid w:val="00905FC4"/>
    <w:rsid w:val="0090604D"/>
    <w:rsid w:val="0090617B"/>
    <w:rsid w:val="009061D7"/>
    <w:rsid w:val="009062ED"/>
    <w:rsid w:val="00906388"/>
    <w:rsid w:val="00906621"/>
    <w:rsid w:val="009066E9"/>
    <w:rsid w:val="0090673B"/>
    <w:rsid w:val="009069ED"/>
    <w:rsid w:val="00906AF0"/>
    <w:rsid w:val="00906BF6"/>
    <w:rsid w:val="00906CC2"/>
    <w:rsid w:val="00906EEB"/>
    <w:rsid w:val="009070A1"/>
    <w:rsid w:val="00907272"/>
    <w:rsid w:val="009072A9"/>
    <w:rsid w:val="0090738A"/>
    <w:rsid w:val="00907817"/>
    <w:rsid w:val="00907829"/>
    <w:rsid w:val="00907AEE"/>
    <w:rsid w:val="00907D1E"/>
    <w:rsid w:val="00907F9D"/>
    <w:rsid w:val="00907FA0"/>
    <w:rsid w:val="009100F9"/>
    <w:rsid w:val="00910498"/>
    <w:rsid w:val="00910599"/>
    <w:rsid w:val="00910603"/>
    <w:rsid w:val="00910655"/>
    <w:rsid w:val="009106F5"/>
    <w:rsid w:val="00910B4E"/>
    <w:rsid w:val="00910B71"/>
    <w:rsid w:val="00910C01"/>
    <w:rsid w:val="00910C18"/>
    <w:rsid w:val="00910F99"/>
    <w:rsid w:val="00911011"/>
    <w:rsid w:val="00911175"/>
    <w:rsid w:val="0091119B"/>
    <w:rsid w:val="009113E0"/>
    <w:rsid w:val="00911453"/>
    <w:rsid w:val="00911571"/>
    <w:rsid w:val="00911586"/>
    <w:rsid w:val="00911815"/>
    <w:rsid w:val="009118E8"/>
    <w:rsid w:val="00911A0C"/>
    <w:rsid w:val="00911B14"/>
    <w:rsid w:val="00911D37"/>
    <w:rsid w:val="00911DB0"/>
    <w:rsid w:val="00911DE6"/>
    <w:rsid w:val="00912215"/>
    <w:rsid w:val="00912583"/>
    <w:rsid w:val="009125D0"/>
    <w:rsid w:val="0091276F"/>
    <w:rsid w:val="00912A0D"/>
    <w:rsid w:val="00912C27"/>
    <w:rsid w:val="00912CF3"/>
    <w:rsid w:val="00913037"/>
    <w:rsid w:val="00913145"/>
    <w:rsid w:val="009134A4"/>
    <w:rsid w:val="009135A1"/>
    <w:rsid w:val="00913777"/>
    <w:rsid w:val="00913959"/>
    <w:rsid w:val="009139E8"/>
    <w:rsid w:val="00913AD6"/>
    <w:rsid w:val="00913B27"/>
    <w:rsid w:val="00913E36"/>
    <w:rsid w:val="0091410B"/>
    <w:rsid w:val="0091417F"/>
    <w:rsid w:val="009141C8"/>
    <w:rsid w:val="00914351"/>
    <w:rsid w:val="00914608"/>
    <w:rsid w:val="00914A10"/>
    <w:rsid w:val="00914A69"/>
    <w:rsid w:val="00914C58"/>
    <w:rsid w:val="00914F27"/>
    <w:rsid w:val="009156A8"/>
    <w:rsid w:val="009158B6"/>
    <w:rsid w:val="00915AE3"/>
    <w:rsid w:val="00915C7B"/>
    <w:rsid w:val="00915CCB"/>
    <w:rsid w:val="00915D7F"/>
    <w:rsid w:val="0091619C"/>
    <w:rsid w:val="009161A4"/>
    <w:rsid w:val="00916233"/>
    <w:rsid w:val="009163E0"/>
    <w:rsid w:val="0091659A"/>
    <w:rsid w:val="009166EA"/>
    <w:rsid w:val="009167CB"/>
    <w:rsid w:val="009167E7"/>
    <w:rsid w:val="00916852"/>
    <w:rsid w:val="00916881"/>
    <w:rsid w:val="00916956"/>
    <w:rsid w:val="009169BB"/>
    <w:rsid w:val="009169E3"/>
    <w:rsid w:val="00916A15"/>
    <w:rsid w:val="00916B67"/>
    <w:rsid w:val="00916DD3"/>
    <w:rsid w:val="00916ED5"/>
    <w:rsid w:val="00916F02"/>
    <w:rsid w:val="00916FB3"/>
    <w:rsid w:val="00916FFC"/>
    <w:rsid w:val="009171A8"/>
    <w:rsid w:val="00917597"/>
    <w:rsid w:val="00917861"/>
    <w:rsid w:val="00917BDB"/>
    <w:rsid w:val="00917CF5"/>
    <w:rsid w:val="00917DBC"/>
    <w:rsid w:val="00917F26"/>
    <w:rsid w:val="009200BD"/>
    <w:rsid w:val="009202D9"/>
    <w:rsid w:val="0092040E"/>
    <w:rsid w:val="00920519"/>
    <w:rsid w:val="009205F4"/>
    <w:rsid w:val="00920770"/>
    <w:rsid w:val="00920BA4"/>
    <w:rsid w:val="00920CEC"/>
    <w:rsid w:val="00920D1D"/>
    <w:rsid w:val="009210D1"/>
    <w:rsid w:val="0092122E"/>
    <w:rsid w:val="009218DA"/>
    <w:rsid w:val="0092197E"/>
    <w:rsid w:val="00921A55"/>
    <w:rsid w:val="00921ACA"/>
    <w:rsid w:val="00921AFD"/>
    <w:rsid w:val="00921D04"/>
    <w:rsid w:val="00921D84"/>
    <w:rsid w:val="00921D8E"/>
    <w:rsid w:val="00921E82"/>
    <w:rsid w:val="00922010"/>
    <w:rsid w:val="009225D4"/>
    <w:rsid w:val="009226A2"/>
    <w:rsid w:val="00922B21"/>
    <w:rsid w:val="00922C75"/>
    <w:rsid w:val="00922F7B"/>
    <w:rsid w:val="0092306E"/>
    <w:rsid w:val="009230B6"/>
    <w:rsid w:val="0092314A"/>
    <w:rsid w:val="00923384"/>
    <w:rsid w:val="009234BF"/>
    <w:rsid w:val="0092372C"/>
    <w:rsid w:val="0092381D"/>
    <w:rsid w:val="00923C12"/>
    <w:rsid w:val="00923D02"/>
    <w:rsid w:val="00923E97"/>
    <w:rsid w:val="00924138"/>
    <w:rsid w:val="00924143"/>
    <w:rsid w:val="00924566"/>
    <w:rsid w:val="0092469A"/>
    <w:rsid w:val="0092488E"/>
    <w:rsid w:val="009248F6"/>
    <w:rsid w:val="00924902"/>
    <w:rsid w:val="009249CF"/>
    <w:rsid w:val="009249EE"/>
    <w:rsid w:val="00924B4D"/>
    <w:rsid w:val="0092501B"/>
    <w:rsid w:val="00925463"/>
    <w:rsid w:val="00925624"/>
    <w:rsid w:val="00925696"/>
    <w:rsid w:val="009257C5"/>
    <w:rsid w:val="00925AC7"/>
    <w:rsid w:val="00925EEA"/>
    <w:rsid w:val="00925FB5"/>
    <w:rsid w:val="00926433"/>
    <w:rsid w:val="0092676E"/>
    <w:rsid w:val="009267BA"/>
    <w:rsid w:val="009268A0"/>
    <w:rsid w:val="00926972"/>
    <w:rsid w:val="009269B2"/>
    <w:rsid w:val="00926A47"/>
    <w:rsid w:val="0092707A"/>
    <w:rsid w:val="009271F9"/>
    <w:rsid w:val="00927383"/>
    <w:rsid w:val="00927546"/>
    <w:rsid w:val="009278E6"/>
    <w:rsid w:val="00927916"/>
    <w:rsid w:val="009279BB"/>
    <w:rsid w:val="00927E02"/>
    <w:rsid w:val="00927F26"/>
    <w:rsid w:val="009301E7"/>
    <w:rsid w:val="009306D0"/>
    <w:rsid w:val="00930726"/>
    <w:rsid w:val="00930A28"/>
    <w:rsid w:val="00930C6F"/>
    <w:rsid w:val="00930CD3"/>
    <w:rsid w:val="00930CEC"/>
    <w:rsid w:val="00931014"/>
    <w:rsid w:val="00931301"/>
    <w:rsid w:val="00931429"/>
    <w:rsid w:val="00931469"/>
    <w:rsid w:val="0093170B"/>
    <w:rsid w:val="00931712"/>
    <w:rsid w:val="0093173F"/>
    <w:rsid w:val="00931766"/>
    <w:rsid w:val="009317B6"/>
    <w:rsid w:val="009317F9"/>
    <w:rsid w:val="00931830"/>
    <w:rsid w:val="009318AF"/>
    <w:rsid w:val="00931972"/>
    <w:rsid w:val="00931979"/>
    <w:rsid w:val="00931AF4"/>
    <w:rsid w:val="00931B79"/>
    <w:rsid w:val="00931D84"/>
    <w:rsid w:val="00931EA9"/>
    <w:rsid w:val="00931F42"/>
    <w:rsid w:val="00931F95"/>
    <w:rsid w:val="00931FE2"/>
    <w:rsid w:val="009321CA"/>
    <w:rsid w:val="0093225F"/>
    <w:rsid w:val="009323EC"/>
    <w:rsid w:val="00932539"/>
    <w:rsid w:val="00932ED8"/>
    <w:rsid w:val="00933017"/>
    <w:rsid w:val="0093302E"/>
    <w:rsid w:val="0093307B"/>
    <w:rsid w:val="009330FB"/>
    <w:rsid w:val="00933185"/>
    <w:rsid w:val="00933580"/>
    <w:rsid w:val="009337B8"/>
    <w:rsid w:val="00933874"/>
    <w:rsid w:val="00933901"/>
    <w:rsid w:val="00933988"/>
    <w:rsid w:val="00933A60"/>
    <w:rsid w:val="00933B75"/>
    <w:rsid w:val="00933BC2"/>
    <w:rsid w:val="00933BE4"/>
    <w:rsid w:val="0093409F"/>
    <w:rsid w:val="00934197"/>
    <w:rsid w:val="009343CF"/>
    <w:rsid w:val="00934403"/>
    <w:rsid w:val="0093455A"/>
    <w:rsid w:val="00934578"/>
    <w:rsid w:val="00934701"/>
    <w:rsid w:val="0093476B"/>
    <w:rsid w:val="00934772"/>
    <w:rsid w:val="009349A0"/>
    <w:rsid w:val="00934AC4"/>
    <w:rsid w:val="00934BAC"/>
    <w:rsid w:val="00934D59"/>
    <w:rsid w:val="00934DB5"/>
    <w:rsid w:val="00934FB0"/>
    <w:rsid w:val="00935223"/>
    <w:rsid w:val="00935404"/>
    <w:rsid w:val="0093552A"/>
    <w:rsid w:val="00935731"/>
    <w:rsid w:val="00935AEB"/>
    <w:rsid w:val="00935B10"/>
    <w:rsid w:val="00935B65"/>
    <w:rsid w:val="00935B88"/>
    <w:rsid w:val="00935BC9"/>
    <w:rsid w:val="0093634E"/>
    <w:rsid w:val="009365BD"/>
    <w:rsid w:val="009366E3"/>
    <w:rsid w:val="00936750"/>
    <w:rsid w:val="00936944"/>
    <w:rsid w:val="00936BAC"/>
    <w:rsid w:val="00936EA0"/>
    <w:rsid w:val="009372E4"/>
    <w:rsid w:val="00937321"/>
    <w:rsid w:val="009373A6"/>
    <w:rsid w:val="00937416"/>
    <w:rsid w:val="00937423"/>
    <w:rsid w:val="0093758C"/>
    <w:rsid w:val="00937670"/>
    <w:rsid w:val="0093773F"/>
    <w:rsid w:val="00937799"/>
    <w:rsid w:val="00937AE9"/>
    <w:rsid w:val="00937C14"/>
    <w:rsid w:val="00937E51"/>
    <w:rsid w:val="009405B0"/>
    <w:rsid w:val="00940707"/>
    <w:rsid w:val="00940709"/>
    <w:rsid w:val="00940759"/>
    <w:rsid w:val="00940994"/>
    <w:rsid w:val="00940B6F"/>
    <w:rsid w:val="00940CFB"/>
    <w:rsid w:val="00940D81"/>
    <w:rsid w:val="00940ECB"/>
    <w:rsid w:val="00941221"/>
    <w:rsid w:val="00941246"/>
    <w:rsid w:val="00941274"/>
    <w:rsid w:val="00941289"/>
    <w:rsid w:val="0094156C"/>
    <w:rsid w:val="00941591"/>
    <w:rsid w:val="0094161E"/>
    <w:rsid w:val="00941BF6"/>
    <w:rsid w:val="00941C3B"/>
    <w:rsid w:val="00941C7E"/>
    <w:rsid w:val="00941CD9"/>
    <w:rsid w:val="00941D63"/>
    <w:rsid w:val="00941D6F"/>
    <w:rsid w:val="00941E5A"/>
    <w:rsid w:val="00941E86"/>
    <w:rsid w:val="00941F37"/>
    <w:rsid w:val="00941FC2"/>
    <w:rsid w:val="00942053"/>
    <w:rsid w:val="0094213E"/>
    <w:rsid w:val="0094224D"/>
    <w:rsid w:val="009422AA"/>
    <w:rsid w:val="009422E5"/>
    <w:rsid w:val="00942419"/>
    <w:rsid w:val="0094279A"/>
    <w:rsid w:val="009427C5"/>
    <w:rsid w:val="009428DE"/>
    <w:rsid w:val="0094297A"/>
    <w:rsid w:val="00942BCE"/>
    <w:rsid w:val="00942FB9"/>
    <w:rsid w:val="0094325C"/>
    <w:rsid w:val="00943431"/>
    <w:rsid w:val="009434D6"/>
    <w:rsid w:val="00943524"/>
    <w:rsid w:val="0094360A"/>
    <w:rsid w:val="0094360C"/>
    <w:rsid w:val="009436B6"/>
    <w:rsid w:val="0094380C"/>
    <w:rsid w:val="009438D4"/>
    <w:rsid w:val="00943B0C"/>
    <w:rsid w:val="00943CA8"/>
    <w:rsid w:val="00943D3D"/>
    <w:rsid w:val="00943D89"/>
    <w:rsid w:val="00943FCF"/>
    <w:rsid w:val="0094400C"/>
    <w:rsid w:val="00944194"/>
    <w:rsid w:val="0094425D"/>
    <w:rsid w:val="009442C6"/>
    <w:rsid w:val="009443C1"/>
    <w:rsid w:val="00944672"/>
    <w:rsid w:val="009446F5"/>
    <w:rsid w:val="009447E6"/>
    <w:rsid w:val="00944BD9"/>
    <w:rsid w:val="00944BF0"/>
    <w:rsid w:val="00944C05"/>
    <w:rsid w:val="00944C61"/>
    <w:rsid w:val="00944D9E"/>
    <w:rsid w:val="00944F17"/>
    <w:rsid w:val="009450D8"/>
    <w:rsid w:val="0094518A"/>
    <w:rsid w:val="009451DB"/>
    <w:rsid w:val="00945207"/>
    <w:rsid w:val="00945235"/>
    <w:rsid w:val="009452ED"/>
    <w:rsid w:val="00945300"/>
    <w:rsid w:val="00945641"/>
    <w:rsid w:val="009456D8"/>
    <w:rsid w:val="0094576C"/>
    <w:rsid w:val="00945868"/>
    <w:rsid w:val="00945925"/>
    <w:rsid w:val="00945A00"/>
    <w:rsid w:val="00945BC0"/>
    <w:rsid w:val="00945FFD"/>
    <w:rsid w:val="0094609D"/>
    <w:rsid w:val="0094660D"/>
    <w:rsid w:val="00946862"/>
    <w:rsid w:val="009468C0"/>
    <w:rsid w:val="009468C2"/>
    <w:rsid w:val="0094696B"/>
    <w:rsid w:val="00946A0A"/>
    <w:rsid w:val="00946ADC"/>
    <w:rsid w:val="00946DD3"/>
    <w:rsid w:val="00946E3C"/>
    <w:rsid w:val="00947001"/>
    <w:rsid w:val="0094700E"/>
    <w:rsid w:val="0094716B"/>
    <w:rsid w:val="009476D4"/>
    <w:rsid w:val="0094778A"/>
    <w:rsid w:val="009478E9"/>
    <w:rsid w:val="00947D21"/>
    <w:rsid w:val="00947E32"/>
    <w:rsid w:val="00947EDD"/>
    <w:rsid w:val="00947F78"/>
    <w:rsid w:val="00950068"/>
    <w:rsid w:val="00950148"/>
    <w:rsid w:val="0095016A"/>
    <w:rsid w:val="0095021B"/>
    <w:rsid w:val="00950898"/>
    <w:rsid w:val="00950B33"/>
    <w:rsid w:val="00950BD7"/>
    <w:rsid w:val="00950EB6"/>
    <w:rsid w:val="009513F3"/>
    <w:rsid w:val="00951645"/>
    <w:rsid w:val="0095180F"/>
    <w:rsid w:val="009519E0"/>
    <w:rsid w:val="009519FB"/>
    <w:rsid w:val="00951A65"/>
    <w:rsid w:val="00951BA0"/>
    <w:rsid w:val="00951C3A"/>
    <w:rsid w:val="00951C51"/>
    <w:rsid w:val="00951C91"/>
    <w:rsid w:val="00951D57"/>
    <w:rsid w:val="00951F4B"/>
    <w:rsid w:val="00951F72"/>
    <w:rsid w:val="00952405"/>
    <w:rsid w:val="00952559"/>
    <w:rsid w:val="00952628"/>
    <w:rsid w:val="009527DA"/>
    <w:rsid w:val="00952982"/>
    <w:rsid w:val="009529A9"/>
    <w:rsid w:val="00952B95"/>
    <w:rsid w:val="00952E9C"/>
    <w:rsid w:val="00952EA3"/>
    <w:rsid w:val="00953014"/>
    <w:rsid w:val="009530B0"/>
    <w:rsid w:val="00953330"/>
    <w:rsid w:val="00953338"/>
    <w:rsid w:val="00953678"/>
    <w:rsid w:val="009537B5"/>
    <w:rsid w:val="0095382E"/>
    <w:rsid w:val="009539E9"/>
    <w:rsid w:val="00953C35"/>
    <w:rsid w:val="00953C3F"/>
    <w:rsid w:val="00953EBF"/>
    <w:rsid w:val="009540FF"/>
    <w:rsid w:val="00954247"/>
    <w:rsid w:val="00954294"/>
    <w:rsid w:val="0095453F"/>
    <w:rsid w:val="00954554"/>
    <w:rsid w:val="009545D0"/>
    <w:rsid w:val="00954C13"/>
    <w:rsid w:val="00954D4C"/>
    <w:rsid w:val="00954E0E"/>
    <w:rsid w:val="00954F39"/>
    <w:rsid w:val="00955141"/>
    <w:rsid w:val="009551AA"/>
    <w:rsid w:val="009551BB"/>
    <w:rsid w:val="009552E4"/>
    <w:rsid w:val="00955324"/>
    <w:rsid w:val="009555DB"/>
    <w:rsid w:val="0095564A"/>
    <w:rsid w:val="0095566B"/>
    <w:rsid w:val="009557D7"/>
    <w:rsid w:val="009557F9"/>
    <w:rsid w:val="00955860"/>
    <w:rsid w:val="00955924"/>
    <w:rsid w:val="00955BFF"/>
    <w:rsid w:val="00955E87"/>
    <w:rsid w:val="00956013"/>
    <w:rsid w:val="009560BA"/>
    <w:rsid w:val="00956475"/>
    <w:rsid w:val="0095660F"/>
    <w:rsid w:val="0095672E"/>
    <w:rsid w:val="0095676E"/>
    <w:rsid w:val="009567D7"/>
    <w:rsid w:val="009567F2"/>
    <w:rsid w:val="00956897"/>
    <w:rsid w:val="00956979"/>
    <w:rsid w:val="009569FF"/>
    <w:rsid w:val="00956A13"/>
    <w:rsid w:val="00956E09"/>
    <w:rsid w:val="00956E77"/>
    <w:rsid w:val="00956EBA"/>
    <w:rsid w:val="00956F40"/>
    <w:rsid w:val="0095706E"/>
    <w:rsid w:val="009570B2"/>
    <w:rsid w:val="009570DB"/>
    <w:rsid w:val="009571FA"/>
    <w:rsid w:val="0095720D"/>
    <w:rsid w:val="009572A5"/>
    <w:rsid w:val="009572E5"/>
    <w:rsid w:val="00957408"/>
    <w:rsid w:val="0095749A"/>
    <w:rsid w:val="0095762F"/>
    <w:rsid w:val="00957775"/>
    <w:rsid w:val="0095778E"/>
    <w:rsid w:val="009577F9"/>
    <w:rsid w:val="0095782C"/>
    <w:rsid w:val="00957A6A"/>
    <w:rsid w:val="00957E2C"/>
    <w:rsid w:val="00957F1D"/>
    <w:rsid w:val="00957F72"/>
    <w:rsid w:val="009602A4"/>
    <w:rsid w:val="009602DE"/>
    <w:rsid w:val="009605CD"/>
    <w:rsid w:val="0096061F"/>
    <w:rsid w:val="009609DE"/>
    <w:rsid w:val="00960E1F"/>
    <w:rsid w:val="009610CA"/>
    <w:rsid w:val="009610EA"/>
    <w:rsid w:val="0096135B"/>
    <w:rsid w:val="0096137B"/>
    <w:rsid w:val="00961565"/>
    <w:rsid w:val="009617EF"/>
    <w:rsid w:val="00961961"/>
    <w:rsid w:val="00961D73"/>
    <w:rsid w:val="00961F72"/>
    <w:rsid w:val="00961FE1"/>
    <w:rsid w:val="009621BB"/>
    <w:rsid w:val="009621E4"/>
    <w:rsid w:val="009622CF"/>
    <w:rsid w:val="0096236A"/>
    <w:rsid w:val="009624DE"/>
    <w:rsid w:val="00962894"/>
    <w:rsid w:val="00962B74"/>
    <w:rsid w:val="00962D44"/>
    <w:rsid w:val="00962DA8"/>
    <w:rsid w:val="00962F67"/>
    <w:rsid w:val="00963004"/>
    <w:rsid w:val="00963237"/>
    <w:rsid w:val="00963305"/>
    <w:rsid w:val="00963331"/>
    <w:rsid w:val="0096374B"/>
    <w:rsid w:val="00963865"/>
    <w:rsid w:val="00963ABE"/>
    <w:rsid w:val="00963CD4"/>
    <w:rsid w:val="00963D55"/>
    <w:rsid w:val="00964024"/>
    <w:rsid w:val="0096420A"/>
    <w:rsid w:val="009642FA"/>
    <w:rsid w:val="00964501"/>
    <w:rsid w:val="009645A5"/>
    <w:rsid w:val="00964699"/>
    <w:rsid w:val="009647EE"/>
    <w:rsid w:val="0096494B"/>
    <w:rsid w:val="00964A9C"/>
    <w:rsid w:val="00964DC4"/>
    <w:rsid w:val="00964DE6"/>
    <w:rsid w:val="00964FD6"/>
    <w:rsid w:val="009650E0"/>
    <w:rsid w:val="0096526A"/>
    <w:rsid w:val="00965481"/>
    <w:rsid w:val="009654EB"/>
    <w:rsid w:val="009655A7"/>
    <w:rsid w:val="009656F1"/>
    <w:rsid w:val="009659F5"/>
    <w:rsid w:val="00965A7C"/>
    <w:rsid w:val="00965CF8"/>
    <w:rsid w:val="00966086"/>
    <w:rsid w:val="0096609C"/>
    <w:rsid w:val="009661FC"/>
    <w:rsid w:val="009662D1"/>
    <w:rsid w:val="009663C5"/>
    <w:rsid w:val="00966A00"/>
    <w:rsid w:val="00966B6B"/>
    <w:rsid w:val="00966C9B"/>
    <w:rsid w:val="00966D69"/>
    <w:rsid w:val="00966E04"/>
    <w:rsid w:val="00966ED1"/>
    <w:rsid w:val="009670BA"/>
    <w:rsid w:val="009670BC"/>
    <w:rsid w:val="00967195"/>
    <w:rsid w:val="00967234"/>
    <w:rsid w:val="009675D7"/>
    <w:rsid w:val="0096768E"/>
    <w:rsid w:val="009678F8"/>
    <w:rsid w:val="00967974"/>
    <w:rsid w:val="00967C4F"/>
    <w:rsid w:val="00967C58"/>
    <w:rsid w:val="00967CB3"/>
    <w:rsid w:val="00967CD5"/>
    <w:rsid w:val="00967D9D"/>
    <w:rsid w:val="00967FAE"/>
    <w:rsid w:val="00967FE1"/>
    <w:rsid w:val="009700F6"/>
    <w:rsid w:val="009705A6"/>
    <w:rsid w:val="00970A76"/>
    <w:rsid w:val="00970B7B"/>
    <w:rsid w:val="00970B91"/>
    <w:rsid w:val="00970C46"/>
    <w:rsid w:val="00970ED2"/>
    <w:rsid w:val="00971036"/>
    <w:rsid w:val="00971083"/>
    <w:rsid w:val="009710AC"/>
    <w:rsid w:val="009712D0"/>
    <w:rsid w:val="00971393"/>
    <w:rsid w:val="009717FA"/>
    <w:rsid w:val="0097180C"/>
    <w:rsid w:val="00971943"/>
    <w:rsid w:val="00971982"/>
    <w:rsid w:val="00971B17"/>
    <w:rsid w:val="00971BEA"/>
    <w:rsid w:val="00971C73"/>
    <w:rsid w:val="00971C81"/>
    <w:rsid w:val="00971E66"/>
    <w:rsid w:val="00971ED7"/>
    <w:rsid w:val="00972446"/>
    <w:rsid w:val="0097245A"/>
    <w:rsid w:val="009725F1"/>
    <w:rsid w:val="00972609"/>
    <w:rsid w:val="00972929"/>
    <w:rsid w:val="00972A73"/>
    <w:rsid w:val="00972CEC"/>
    <w:rsid w:val="00972F7D"/>
    <w:rsid w:val="0097325C"/>
    <w:rsid w:val="009735E4"/>
    <w:rsid w:val="009736F6"/>
    <w:rsid w:val="009737E2"/>
    <w:rsid w:val="0097398B"/>
    <w:rsid w:val="00973A51"/>
    <w:rsid w:val="00973C93"/>
    <w:rsid w:val="00973DFC"/>
    <w:rsid w:val="00973FD5"/>
    <w:rsid w:val="009741C8"/>
    <w:rsid w:val="00974477"/>
    <w:rsid w:val="00974B11"/>
    <w:rsid w:val="00974BE9"/>
    <w:rsid w:val="00974C41"/>
    <w:rsid w:val="00974E50"/>
    <w:rsid w:val="0097518E"/>
    <w:rsid w:val="00975200"/>
    <w:rsid w:val="0097529D"/>
    <w:rsid w:val="00975344"/>
    <w:rsid w:val="0097579A"/>
    <w:rsid w:val="009758D7"/>
    <w:rsid w:val="00975B84"/>
    <w:rsid w:val="00976274"/>
    <w:rsid w:val="00976294"/>
    <w:rsid w:val="009764AC"/>
    <w:rsid w:val="00976617"/>
    <w:rsid w:val="00976759"/>
    <w:rsid w:val="00976914"/>
    <w:rsid w:val="0097698C"/>
    <w:rsid w:val="00976C21"/>
    <w:rsid w:val="0097706E"/>
    <w:rsid w:val="009770B2"/>
    <w:rsid w:val="009770DA"/>
    <w:rsid w:val="0097717E"/>
    <w:rsid w:val="009771A7"/>
    <w:rsid w:val="00977503"/>
    <w:rsid w:val="009776D0"/>
    <w:rsid w:val="009778BF"/>
    <w:rsid w:val="00977A55"/>
    <w:rsid w:val="00977E2F"/>
    <w:rsid w:val="00977EC0"/>
    <w:rsid w:val="00980084"/>
    <w:rsid w:val="009802B4"/>
    <w:rsid w:val="009802E9"/>
    <w:rsid w:val="0098054A"/>
    <w:rsid w:val="009805E4"/>
    <w:rsid w:val="009806BD"/>
    <w:rsid w:val="00980A59"/>
    <w:rsid w:val="00980CB0"/>
    <w:rsid w:val="00980DB6"/>
    <w:rsid w:val="00980EB3"/>
    <w:rsid w:val="00981193"/>
    <w:rsid w:val="00981200"/>
    <w:rsid w:val="0098140B"/>
    <w:rsid w:val="00981655"/>
    <w:rsid w:val="009817DA"/>
    <w:rsid w:val="00981AE0"/>
    <w:rsid w:val="00981B79"/>
    <w:rsid w:val="00981ECF"/>
    <w:rsid w:val="0098204F"/>
    <w:rsid w:val="0098269E"/>
    <w:rsid w:val="009829AC"/>
    <w:rsid w:val="00982B39"/>
    <w:rsid w:val="00982B7C"/>
    <w:rsid w:val="00982D38"/>
    <w:rsid w:val="00982D66"/>
    <w:rsid w:val="00983000"/>
    <w:rsid w:val="00983075"/>
    <w:rsid w:val="009835B0"/>
    <w:rsid w:val="00983601"/>
    <w:rsid w:val="00983688"/>
    <w:rsid w:val="009837A3"/>
    <w:rsid w:val="009837FD"/>
    <w:rsid w:val="009838CA"/>
    <w:rsid w:val="00983BAD"/>
    <w:rsid w:val="00983BD3"/>
    <w:rsid w:val="00983D61"/>
    <w:rsid w:val="00984168"/>
    <w:rsid w:val="00984249"/>
    <w:rsid w:val="009842E6"/>
    <w:rsid w:val="009844B3"/>
    <w:rsid w:val="00984752"/>
    <w:rsid w:val="0098482B"/>
    <w:rsid w:val="00984878"/>
    <w:rsid w:val="00984A26"/>
    <w:rsid w:val="00984B41"/>
    <w:rsid w:val="00985031"/>
    <w:rsid w:val="009853C8"/>
    <w:rsid w:val="00985408"/>
    <w:rsid w:val="0098561C"/>
    <w:rsid w:val="00985767"/>
    <w:rsid w:val="00985A34"/>
    <w:rsid w:val="00985AE1"/>
    <w:rsid w:val="00985B99"/>
    <w:rsid w:val="00985BA3"/>
    <w:rsid w:val="00985BB3"/>
    <w:rsid w:val="00986057"/>
    <w:rsid w:val="0098621A"/>
    <w:rsid w:val="009863B1"/>
    <w:rsid w:val="00986681"/>
    <w:rsid w:val="009866B8"/>
    <w:rsid w:val="009866D2"/>
    <w:rsid w:val="00986713"/>
    <w:rsid w:val="0098677F"/>
    <w:rsid w:val="009868BD"/>
    <w:rsid w:val="009869BA"/>
    <w:rsid w:val="009869E8"/>
    <w:rsid w:val="00986B41"/>
    <w:rsid w:val="00986BEB"/>
    <w:rsid w:val="00986C06"/>
    <w:rsid w:val="00986C5C"/>
    <w:rsid w:val="00986CF9"/>
    <w:rsid w:val="00986E35"/>
    <w:rsid w:val="00986F2A"/>
    <w:rsid w:val="00986F61"/>
    <w:rsid w:val="00987120"/>
    <w:rsid w:val="0098730E"/>
    <w:rsid w:val="009879B0"/>
    <w:rsid w:val="00987ADF"/>
    <w:rsid w:val="00987BD7"/>
    <w:rsid w:val="00987D11"/>
    <w:rsid w:val="00987DB0"/>
    <w:rsid w:val="00987E2D"/>
    <w:rsid w:val="00987E5F"/>
    <w:rsid w:val="0099016B"/>
    <w:rsid w:val="00990249"/>
    <w:rsid w:val="0099048E"/>
    <w:rsid w:val="0099062A"/>
    <w:rsid w:val="009906A6"/>
    <w:rsid w:val="00990981"/>
    <w:rsid w:val="00990C3E"/>
    <w:rsid w:val="00990F59"/>
    <w:rsid w:val="009912D3"/>
    <w:rsid w:val="009913B2"/>
    <w:rsid w:val="0099152A"/>
    <w:rsid w:val="009915E0"/>
    <w:rsid w:val="00991886"/>
    <w:rsid w:val="00991963"/>
    <w:rsid w:val="00991BF6"/>
    <w:rsid w:val="00991D20"/>
    <w:rsid w:val="00991D63"/>
    <w:rsid w:val="00991EC8"/>
    <w:rsid w:val="00991FF9"/>
    <w:rsid w:val="00992170"/>
    <w:rsid w:val="00992297"/>
    <w:rsid w:val="009922FE"/>
    <w:rsid w:val="0099236B"/>
    <w:rsid w:val="00992486"/>
    <w:rsid w:val="009925D2"/>
    <w:rsid w:val="0099279F"/>
    <w:rsid w:val="0099285E"/>
    <w:rsid w:val="00992CFA"/>
    <w:rsid w:val="00992D4A"/>
    <w:rsid w:val="00992D4B"/>
    <w:rsid w:val="00992F50"/>
    <w:rsid w:val="00992F90"/>
    <w:rsid w:val="00993102"/>
    <w:rsid w:val="009932BA"/>
    <w:rsid w:val="0099338B"/>
    <w:rsid w:val="00993390"/>
    <w:rsid w:val="0099381F"/>
    <w:rsid w:val="00993955"/>
    <w:rsid w:val="00993B0E"/>
    <w:rsid w:val="00993B90"/>
    <w:rsid w:val="00993C11"/>
    <w:rsid w:val="00993C7E"/>
    <w:rsid w:val="00993C9D"/>
    <w:rsid w:val="00993F36"/>
    <w:rsid w:val="00993F96"/>
    <w:rsid w:val="00994053"/>
    <w:rsid w:val="009943D4"/>
    <w:rsid w:val="0099455F"/>
    <w:rsid w:val="00994675"/>
    <w:rsid w:val="0099469A"/>
    <w:rsid w:val="009948AC"/>
    <w:rsid w:val="00994AF5"/>
    <w:rsid w:val="00994D3A"/>
    <w:rsid w:val="00994F78"/>
    <w:rsid w:val="00994F8D"/>
    <w:rsid w:val="00994FEA"/>
    <w:rsid w:val="00995107"/>
    <w:rsid w:val="0099524D"/>
    <w:rsid w:val="0099528E"/>
    <w:rsid w:val="0099551D"/>
    <w:rsid w:val="0099571F"/>
    <w:rsid w:val="009957C9"/>
    <w:rsid w:val="009958CA"/>
    <w:rsid w:val="009959D5"/>
    <w:rsid w:val="00995CC2"/>
    <w:rsid w:val="00995E59"/>
    <w:rsid w:val="009966AB"/>
    <w:rsid w:val="009967EC"/>
    <w:rsid w:val="009969AF"/>
    <w:rsid w:val="00996D15"/>
    <w:rsid w:val="00996DF8"/>
    <w:rsid w:val="00996FE0"/>
    <w:rsid w:val="009971A6"/>
    <w:rsid w:val="00997267"/>
    <w:rsid w:val="009973DB"/>
    <w:rsid w:val="009974B9"/>
    <w:rsid w:val="00997505"/>
    <w:rsid w:val="00997791"/>
    <w:rsid w:val="00997899"/>
    <w:rsid w:val="0099791A"/>
    <w:rsid w:val="009979E8"/>
    <w:rsid w:val="00997A84"/>
    <w:rsid w:val="00997B71"/>
    <w:rsid w:val="00997F71"/>
    <w:rsid w:val="009A000D"/>
    <w:rsid w:val="009A0147"/>
    <w:rsid w:val="009A0326"/>
    <w:rsid w:val="009A03F0"/>
    <w:rsid w:val="009A0589"/>
    <w:rsid w:val="009A05C5"/>
    <w:rsid w:val="009A05F7"/>
    <w:rsid w:val="009A0603"/>
    <w:rsid w:val="009A06A1"/>
    <w:rsid w:val="009A077C"/>
    <w:rsid w:val="009A091C"/>
    <w:rsid w:val="009A0987"/>
    <w:rsid w:val="009A0AC6"/>
    <w:rsid w:val="009A0E78"/>
    <w:rsid w:val="009A0F8B"/>
    <w:rsid w:val="009A1064"/>
    <w:rsid w:val="009A1122"/>
    <w:rsid w:val="009A12BF"/>
    <w:rsid w:val="009A137E"/>
    <w:rsid w:val="009A1435"/>
    <w:rsid w:val="009A17D2"/>
    <w:rsid w:val="009A1949"/>
    <w:rsid w:val="009A1A64"/>
    <w:rsid w:val="009A1AC2"/>
    <w:rsid w:val="009A1B5B"/>
    <w:rsid w:val="009A1DA0"/>
    <w:rsid w:val="009A20BF"/>
    <w:rsid w:val="009A2233"/>
    <w:rsid w:val="009A27F6"/>
    <w:rsid w:val="009A284D"/>
    <w:rsid w:val="009A2983"/>
    <w:rsid w:val="009A2DBB"/>
    <w:rsid w:val="009A2E3C"/>
    <w:rsid w:val="009A2E56"/>
    <w:rsid w:val="009A2EE8"/>
    <w:rsid w:val="009A306F"/>
    <w:rsid w:val="009A320B"/>
    <w:rsid w:val="009A3221"/>
    <w:rsid w:val="009A3864"/>
    <w:rsid w:val="009A39CF"/>
    <w:rsid w:val="009A39D7"/>
    <w:rsid w:val="009A3AB3"/>
    <w:rsid w:val="009A3C13"/>
    <w:rsid w:val="009A3E8F"/>
    <w:rsid w:val="009A3F95"/>
    <w:rsid w:val="009A4234"/>
    <w:rsid w:val="009A42F3"/>
    <w:rsid w:val="009A43E4"/>
    <w:rsid w:val="009A4521"/>
    <w:rsid w:val="009A456C"/>
    <w:rsid w:val="009A469D"/>
    <w:rsid w:val="009A46BB"/>
    <w:rsid w:val="009A46CA"/>
    <w:rsid w:val="009A47F7"/>
    <w:rsid w:val="009A4A36"/>
    <w:rsid w:val="009A4B44"/>
    <w:rsid w:val="009A4F4B"/>
    <w:rsid w:val="009A4F5E"/>
    <w:rsid w:val="009A4F7C"/>
    <w:rsid w:val="009A4FDD"/>
    <w:rsid w:val="009A518C"/>
    <w:rsid w:val="009A5595"/>
    <w:rsid w:val="009A55C0"/>
    <w:rsid w:val="009A59A6"/>
    <w:rsid w:val="009A5A97"/>
    <w:rsid w:val="009A5AA1"/>
    <w:rsid w:val="009A5B28"/>
    <w:rsid w:val="009A5BEF"/>
    <w:rsid w:val="009A5C15"/>
    <w:rsid w:val="009A5CE8"/>
    <w:rsid w:val="009A6105"/>
    <w:rsid w:val="009A623B"/>
    <w:rsid w:val="009A63F6"/>
    <w:rsid w:val="009A64AD"/>
    <w:rsid w:val="009A661B"/>
    <w:rsid w:val="009A68BF"/>
    <w:rsid w:val="009A68C4"/>
    <w:rsid w:val="009A6982"/>
    <w:rsid w:val="009A7146"/>
    <w:rsid w:val="009A72A4"/>
    <w:rsid w:val="009A7354"/>
    <w:rsid w:val="009A736E"/>
    <w:rsid w:val="009A7891"/>
    <w:rsid w:val="009A7A53"/>
    <w:rsid w:val="009A7B17"/>
    <w:rsid w:val="009A7C2D"/>
    <w:rsid w:val="009B0002"/>
    <w:rsid w:val="009B0059"/>
    <w:rsid w:val="009B0354"/>
    <w:rsid w:val="009B03DB"/>
    <w:rsid w:val="009B051F"/>
    <w:rsid w:val="009B071D"/>
    <w:rsid w:val="009B0846"/>
    <w:rsid w:val="009B09AB"/>
    <w:rsid w:val="009B0DBE"/>
    <w:rsid w:val="009B13C0"/>
    <w:rsid w:val="009B13F9"/>
    <w:rsid w:val="009B1A57"/>
    <w:rsid w:val="009B1B8C"/>
    <w:rsid w:val="009B1BEB"/>
    <w:rsid w:val="009B1C17"/>
    <w:rsid w:val="009B1D2D"/>
    <w:rsid w:val="009B1E1D"/>
    <w:rsid w:val="009B1E3B"/>
    <w:rsid w:val="009B1F75"/>
    <w:rsid w:val="009B1FAA"/>
    <w:rsid w:val="009B22BF"/>
    <w:rsid w:val="009B23F7"/>
    <w:rsid w:val="009B2679"/>
    <w:rsid w:val="009B28FD"/>
    <w:rsid w:val="009B2BE3"/>
    <w:rsid w:val="009B2FD8"/>
    <w:rsid w:val="009B303E"/>
    <w:rsid w:val="009B3346"/>
    <w:rsid w:val="009B339D"/>
    <w:rsid w:val="009B3599"/>
    <w:rsid w:val="009B35F5"/>
    <w:rsid w:val="009B36E2"/>
    <w:rsid w:val="009B374A"/>
    <w:rsid w:val="009B375F"/>
    <w:rsid w:val="009B37DF"/>
    <w:rsid w:val="009B3942"/>
    <w:rsid w:val="009B395F"/>
    <w:rsid w:val="009B3A2A"/>
    <w:rsid w:val="009B3A86"/>
    <w:rsid w:val="009B3CC1"/>
    <w:rsid w:val="009B3D10"/>
    <w:rsid w:val="009B3D7A"/>
    <w:rsid w:val="009B3DD4"/>
    <w:rsid w:val="009B3E23"/>
    <w:rsid w:val="009B3E77"/>
    <w:rsid w:val="009B3FFE"/>
    <w:rsid w:val="009B4028"/>
    <w:rsid w:val="009B40A6"/>
    <w:rsid w:val="009B410E"/>
    <w:rsid w:val="009B4198"/>
    <w:rsid w:val="009B42A1"/>
    <w:rsid w:val="009B462A"/>
    <w:rsid w:val="009B4643"/>
    <w:rsid w:val="009B4756"/>
    <w:rsid w:val="009B4902"/>
    <w:rsid w:val="009B4944"/>
    <w:rsid w:val="009B495D"/>
    <w:rsid w:val="009B4B42"/>
    <w:rsid w:val="009B4E05"/>
    <w:rsid w:val="009B4EDC"/>
    <w:rsid w:val="009B4EDF"/>
    <w:rsid w:val="009B515E"/>
    <w:rsid w:val="009B546D"/>
    <w:rsid w:val="009B55F1"/>
    <w:rsid w:val="009B5615"/>
    <w:rsid w:val="009B56AF"/>
    <w:rsid w:val="009B5911"/>
    <w:rsid w:val="009B59D2"/>
    <w:rsid w:val="009B5B8B"/>
    <w:rsid w:val="009B5D18"/>
    <w:rsid w:val="009B5D46"/>
    <w:rsid w:val="009B5DC6"/>
    <w:rsid w:val="009B5DF3"/>
    <w:rsid w:val="009B60A1"/>
    <w:rsid w:val="009B6152"/>
    <w:rsid w:val="009B61E1"/>
    <w:rsid w:val="009B62BC"/>
    <w:rsid w:val="009B631F"/>
    <w:rsid w:val="009B6398"/>
    <w:rsid w:val="009B67EF"/>
    <w:rsid w:val="009B6919"/>
    <w:rsid w:val="009B6995"/>
    <w:rsid w:val="009B69C2"/>
    <w:rsid w:val="009B69C7"/>
    <w:rsid w:val="009B6F9C"/>
    <w:rsid w:val="009B71BA"/>
    <w:rsid w:val="009B7471"/>
    <w:rsid w:val="009B7614"/>
    <w:rsid w:val="009B7617"/>
    <w:rsid w:val="009B7A84"/>
    <w:rsid w:val="009B7AD1"/>
    <w:rsid w:val="009C00A7"/>
    <w:rsid w:val="009C02E7"/>
    <w:rsid w:val="009C0587"/>
    <w:rsid w:val="009C0704"/>
    <w:rsid w:val="009C08F9"/>
    <w:rsid w:val="009C0907"/>
    <w:rsid w:val="009C0992"/>
    <w:rsid w:val="009C0A41"/>
    <w:rsid w:val="009C0A66"/>
    <w:rsid w:val="009C0C82"/>
    <w:rsid w:val="009C0D42"/>
    <w:rsid w:val="009C0F46"/>
    <w:rsid w:val="009C1088"/>
    <w:rsid w:val="009C1373"/>
    <w:rsid w:val="009C1394"/>
    <w:rsid w:val="009C166A"/>
    <w:rsid w:val="009C18A7"/>
    <w:rsid w:val="009C19C2"/>
    <w:rsid w:val="009C19F0"/>
    <w:rsid w:val="009C1B34"/>
    <w:rsid w:val="009C1EB9"/>
    <w:rsid w:val="009C2008"/>
    <w:rsid w:val="009C2172"/>
    <w:rsid w:val="009C22E1"/>
    <w:rsid w:val="009C234C"/>
    <w:rsid w:val="009C2545"/>
    <w:rsid w:val="009C2573"/>
    <w:rsid w:val="009C2724"/>
    <w:rsid w:val="009C2870"/>
    <w:rsid w:val="009C2A38"/>
    <w:rsid w:val="009C2A4F"/>
    <w:rsid w:val="009C2A61"/>
    <w:rsid w:val="009C2A68"/>
    <w:rsid w:val="009C2E73"/>
    <w:rsid w:val="009C3110"/>
    <w:rsid w:val="009C315C"/>
    <w:rsid w:val="009C3170"/>
    <w:rsid w:val="009C334B"/>
    <w:rsid w:val="009C33FC"/>
    <w:rsid w:val="009C357F"/>
    <w:rsid w:val="009C3769"/>
    <w:rsid w:val="009C38FF"/>
    <w:rsid w:val="009C3967"/>
    <w:rsid w:val="009C3B4A"/>
    <w:rsid w:val="009C3C16"/>
    <w:rsid w:val="009C3C93"/>
    <w:rsid w:val="009C3D00"/>
    <w:rsid w:val="009C3DF6"/>
    <w:rsid w:val="009C4032"/>
    <w:rsid w:val="009C4088"/>
    <w:rsid w:val="009C40F8"/>
    <w:rsid w:val="009C4302"/>
    <w:rsid w:val="009C4550"/>
    <w:rsid w:val="009C49A8"/>
    <w:rsid w:val="009C49C2"/>
    <w:rsid w:val="009C4DBD"/>
    <w:rsid w:val="009C4DEF"/>
    <w:rsid w:val="009C5284"/>
    <w:rsid w:val="009C52A6"/>
    <w:rsid w:val="009C54A8"/>
    <w:rsid w:val="009C55F8"/>
    <w:rsid w:val="009C56A4"/>
    <w:rsid w:val="009C5794"/>
    <w:rsid w:val="009C5893"/>
    <w:rsid w:val="009C5995"/>
    <w:rsid w:val="009C5A3F"/>
    <w:rsid w:val="009C5DD6"/>
    <w:rsid w:val="009C5EFE"/>
    <w:rsid w:val="009C60D3"/>
    <w:rsid w:val="009C64C4"/>
    <w:rsid w:val="009C696F"/>
    <w:rsid w:val="009C699F"/>
    <w:rsid w:val="009C6B26"/>
    <w:rsid w:val="009C6BB0"/>
    <w:rsid w:val="009C6BB8"/>
    <w:rsid w:val="009C6DC1"/>
    <w:rsid w:val="009C6E10"/>
    <w:rsid w:val="009C7120"/>
    <w:rsid w:val="009C74C9"/>
    <w:rsid w:val="009C7502"/>
    <w:rsid w:val="009C75AA"/>
    <w:rsid w:val="009C76DE"/>
    <w:rsid w:val="009C779A"/>
    <w:rsid w:val="009C7AE1"/>
    <w:rsid w:val="009C7B18"/>
    <w:rsid w:val="009C7B39"/>
    <w:rsid w:val="009C7C72"/>
    <w:rsid w:val="009C7E40"/>
    <w:rsid w:val="009C7EB5"/>
    <w:rsid w:val="009D0058"/>
    <w:rsid w:val="009D04C8"/>
    <w:rsid w:val="009D0554"/>
    <w:rsid w:val="009D075A"/>
    <w:rsid w:val="009D0B0B"/>
    <w:rsid w:val="009D0B4F"/>
    <w:rsid w:val="009D0C0E"/>
    <w:rsid w:val="009D0C89"/>
    <w:rsid w:val="009D1397"/>
    <w:rsid w:val="009D141F"/>
    <w:rsid w:val="009D15AF"/>
    <w:rsid w:val="009D1798"/>
    <w:rsid w:val="009D1906"/>
    <w:rsid w:val="009D1B31"/>
    <w:rsid w:val="009D1D37"/>
    <w:rsid w:val="009D1DD6"/>
    <w:rsid w:val="009D1E67"/>
    <w:rsid w:val="009D1FDB"/>
    <w:rsid w:val="009D214C"/>
    <w:rsid w:val="009D2277"/>
    <w:rsid w:val="009D2332"/>
    <w:rsid w:val="009D2370"/>
    <w:rsid w:val="009D23E9"/>
    <w:rsid w:val="009D26BA"/>
    <w:rsid w:val="009D2A70"/>
    <w:rsid w:val="009D2B03"/>
    <w:rsid w:val="009D2DBC"/>
    <w:rsid w:val="009D2DEF"/>
    <w:rsid w:val="009D31B5"/>
    <w:rsid w:val="009D320C"/>
    <w:rsid w:val="009D32CF"/>
    <w:rsid w:val="009D34FD"/>
    <w:rsid w:val="009D3569"/>
    <w:rsid w:val="009D38F8"/>
    <w:rsid w:val="009D3A5A"/>
    <w:rsid w:val="009D3BF3"/>
    <w:rsid w:val="009D3E70"/>
    <w:rsid w:val="009D3EFF"/>
    <w:rsid w:val="009D3F6D"/>
    <w:rsid w:val="009D406A"/>
    <w:rsid w:val="009D4501"/>
    <w:rsid w:val="009D45AA"/>
    <w:rsid w:val="009D4711"/>
    <w:rsid w:val="009D4A61"/>
    <w:rsid w:val="009D4E8C"/>
    <w:rsid w:val="009D4F3C"/>
    <w:rsid w:val="009D4F3E"/>
    <w:rsid w:val="009D4FB1"/>
    <w:rsid w:val="009D506A"/>
    <w:rsid w:val="009D526E"/>
    <w:rsid w:val="009D53E2"/>
    <w:rsid w:val="009D5564"/>
    <w:rsid w:val="009D5A4F"/>
    <w:rsid w:val="009D5D7B"/>
    <w:rsid w:val="009D5DF5"/>
    <w:rsid w:val="009D5E84"/>
    <w:rsid w:val="009D5EC7"/>
    <w:rsid w:val="009D5FB3"/>
    <w:rsid w:val="009D6099"/>
    <w:rsid w:val="009D61C1"/>
    <w:rsid w:val="009D623C"/>
    <w:rsid w:val="009D644F"/>
    <w:rsid w:val="009D64B2"/>
    <w:rsid w:val="009D64BD"/>
    <w:rsid w:val="009D6536"/>
    <w:rsid w:val="009D65B2"/>
    <w:rsid w:val="009D6749"/>
    <w:rsid w:val="009D68A3"/>
    <w:rsid w:val="009D6AC3"/>
    <w:rsid w:val="009D6CD2"/>
    <w:rsid w:val="009D6D0B"/>
    <w:rsid w:val="009D6DBF"/>
    <w:rsid w:val="009D71FE"/>
    <w:rsid w:val="009D72E0"/>
    <w:rsid w:val="009D74D3"/>
    <w:rsid w:val="009D7521"/>
    <w:rsid w:val="009D76A7"/>
    <w:rsid w:val="009D7705"/>
    <w:rsid w:val="009D79C1"/>
    <w:rsid w:val="009D7CAA"/>
    <w:rsid w:val="009D7D8C"/>
    <w:rsid w:val="009D7E4A"/>
    <w:rsid w:val="009D7E8E"/>
    <w:rsid w:val="009D7F38"/>
    <w:rsid w:val="009E013D"/>
    <w:rsid w:val="009E0529"/>
    <w:rsid w:val="009E0602"/>
    <w:rsid w:val="009E065D"/>
    <w:rsid w:val="009E0B6F"/>
    <w:rsid w:val="009E0C7F"/>
    <w:rsid w:val="009E0D61"/>
    <w:rsid w:val="009E0F3C"/>
    <w:rsid w:val="009E0FAD"/>
    <w:rsid w:val="009E10BC"/>
    <w:rsid w:val="009E116F"/>
    <w:rsid w:val="009E11A0"/>
    <w:rsid w:val="009E11E7"/>
    <w:rsid w:val="009E1200"/>
    <w:rsid w:val="009E1270"/>
    <w:rsid w:val="009E1310"/>
    <w:rsid w:val="009E1512"/>
    <w:rsid w:val="009E1569"/>
    <w:rsid w:val="009E159D"/>
    <w:rsid w:val="009E17E7"/>
    <w:rsid w:val="009E1832"/>
    <w:rsid w:val="009E19BA"/>
    <w:rsid w:val="009E1A8C"/>
    <w:rsid w:val="009E1B9B"/>
    <w:rsid w:val="009E1D06"/>
    <w:rsid w:val="009E206A"/>
    <w:rsid w:val="009E2203"/>
    <w:rsid w:val="009E23E8"/>
    <w:rsid w:val="009E2534"/>
    <w:rsid w:val="009E27B3"/>
    <w:rsid w:val="009E2C6C"/>
    <w:rsid w:val="009E2C95"/>
    <w:rsid w:val="009E2E27"/>
    <w:rsid w:val="009E30AD"/>
    <w:rsid w:val="009E314B"/>
    <w:rsid w:val="009E31ED"/>
    <w:rsid w:val="009E34B4"/>
    <w:rsid w:val="009E35D3"/>
    <w:rsid w:val="009E37AF"/>
    <w:rsid w:val="009E398C"/>
    <w:rsid w:val="009E39D5"/>
    <w:rsid w:val="009E3B35"/>
    <w:rsid w:val="009E3BEC"/>
    <w:rsid w:val="009E3CC5"/>
    <w:rsid w:val="009E3D4C"/>
    <w:rsid w:val="009E3DB1"/>
    <w:rsid w:val="009E3EA9"/>
    <w:rsid w:val="009E4191"/>
    <w:rsid w:val="009E4526"/>
    <w:rsid w:val="009E4CF6"/>
    <w:rsid w:val="009E4CF7"/>
    <w:rsid w:val="009E4FD2"/>
    <w:rsid w:val="009E5040"/>
    <w:rsid w:val="009E5066"/>
    <w:rsid w:val="009E50EB"/>
    <w:rsid w:val="009E5373"/>
    <w:rsid w:val="009E578A"/>
    <w:rsid w:val="009E5977"/>
    <w:rsid w:val="009E5CB2"/>
    <w:rsid w:val="009E5E2B"/>
    <w:rsid w:val="009E5EA5"/>
    <w:rsid w:val="009E5EE1"/>
    <w:rsid w:val="009E5F51"/>
    <w:rsid w:val="009E606E"/>
    <w:rsid w:val="009E6280"/>
    <w:rsid w:val="009E641C"/>
    <w:rsid w:val="009E66CC"/>
    <w:rsid w:val="009E6712"/>
    <w:rsid w:val="009E6859"/>
    <w:rsid w:val="009E6C87"/>
    <w:rsid w:val="009E6D2A"/>
    <w:rsid w:val="009E6DCF"/>
    <w:rsid w:val="009E6EF0"/>
    <w:rsid w:val="009E7048"/>
    <w:rsid w:val="009E7143"/>
    <w:rsid w:val="009E724C"/>
    <w:rsid w:val="009E75A0"/>
    <w:rsid w:val="009E7731"/>
    <w:rsid w:val="009E7C4B"/>
    <w:rsid w:val="009E7D74"/>
    <w:rsid w:val="009E7E49"/>
    <w:rsid w:val="009E7E4E"/>
    <w:rsid w:val="009E7F6F"/>
    <w:rsid w:val="009ECC2C"/>
    <w:rsid w:val="009F018A"/>
    <w:rsid w:val="009F0502"/>
    <w:rsid w:val="009F05D3"/>
    <w:rsid w:val="009F05EC"/>
    <w:rsid w:val="009F0774"/>
    <w:rsid w:val="009F0891"/>
    <w:rsid w:val="009F0978"/>
    <w:rsid w:val="009F0A54"/>
    <w:rsid w:val="009F0D72"/>
    <w:rsid w:val="009F0E16"/>
    <w:rsid w:val="009F0EF7"/>
    <w:rsid w:val="009F131F"/>
    <w:rsid w:val="009F1329"/>
    <w:rsid w:val="009F1495"/>
    <w:rsid w:val="009F1500"/>
    <w:rsid w:val="009F1A6D"/>
    <w:rsid w:val="009F1D56"/>
    <w:rsid w:val="009F1E74"/>
    <w:rsid w:val="009F1FF1"/>
    <w:rsid w:val="009F235D"/>
    <w:rsid w:val="009F2469"/>
    <w:rsid w:val="009F24B9"/>
    <w:rsid w:val="009F2561"/>
    <w:rsid w:val="009F2608"/>
    <w:rsid w:val="009F2653"/>
    <w:rsid w:val="009F2654"/>
    <w:rsid w:val="009F268C"/>
    <w:rsid w:val="009F28EF"/>
    <w:rsid w:val="009F29BF"/>
    <w:rsid w:val="009F2ABA"/>
    <w:rsid w:val="009F2BD6"/>
    <w:rsid w:val="009F2BEC"/>
    <w:rsid w:val="009F2CF5"/>
    <w:rsid w:val="009F2F3D"/>
    <w:rsid w:val="009F3397"/>
    <w:rsid w:val="009F3427"/>
    <w:rsid w:val="009F378D"/>
    <w:rsid w:val="009F3945"/>
    <w:rsid w:val="009F3A6C"/>
    <w:rsid w:val="009F3B27"/>
    <w:rsid w:val="009F3BEF"/>
    <w:rsid w:val="009F3C70"/>
    <w:rsid w:val="009F3C9E"/>
    <w:rsid w:val="009F4021"/>
    <w:rsid w:val="009F4026"/>
    <w:rsid w:val="009F40E1"/>
    <w:rsid w:val="009F44A6"/>
    <w:rsid w:val="009F456C"/>
    <w:rsid w:val="009F465A"/>
    <w:rsid w:val="009F473A"/>
    <w:rsid w:val="009F4793"/>
    <w:rsid w:val="009F4814"/>
    <w:rsid w:val="009F4A4E"/>
    <w:rsid w:val="009F4C03"/>
    <w:rsid w:val="009F4C87"/>
    <w:rsid w:val="009F4DC2"/>
    <w:rsid w:val="009F5222"/>
    <w:rsid w:val="009F5375"/>
    <w:rsid w:val="009F5419"/>
    <w:rsid w:val="009F5450"/>
    <w:rsid w:val="009F5892"/>
    <w:rsid w:val="009F5BC2"/>
    <w:rsid w:val="009F5D15"/>
    <w:rsid w:val="009F5D75"/>
    <w:rsid w:val="009F5D97"/>
    <w:rsid w:val="009F6344"/>
    <w:rsid w:val="009F66D6"/>
    <w:rsid w:val="009F66F5"/>
    <w:rsid w:val="009F6783"/>
    <w:rsid w:val="009F68C1"/>
    <w:rsid w:val="009F68E4"/>
    <w:rsid w:val="009F6924"/>
    <w:rsid w:val="009F6A73"/>
    <w:rsid w:val="009F6BD8"/>
    <w:rsid w:val="009F6C27"/>
    <w:rsid w:val="009F6E6B"/>
    <w:rsid w:val="009F6F21"/>
    <w:rsid w:val="009F6FF0"/>
    <w:rsid w:val="009F724F"/>
    <w:rsid w:val="009F776D"/>
    <w:rsid w:val="009F781D"/>
    <w:rsid w:val="009F782D"/>
    <w:rsid w:val="009F793E"/>
    <w:rsid w:val="009F794E"/>
    <w:rsid w:val="009F7965"/>
    <w:rsid w:val="009F7E4E"/>
    <w:rsid w:val="009F7FCF"/>
    <w:rsid w:val="00A0005B"/>
    <w:rsid w:val="00A000CA"/>
    <w:rsid w:val="00A00142"/>
    <w:rsid w:val="00A0032F"/>
    <w:rsid w:val="00A00358"/>
    <w:rsid w:val="00A0041C"/>
    <w:rsid w:val="00A005F8"/>
    <w:rsid w:val="00A00614"/>
    <w:rsid w:val="00A0071B"/>
    <w:rsid w:val="00A0073B"/>
    <w:rsid w:val="00A0074F"/>
    <w:rsid w:val="00A008CA"/>
    <w:rsid w:val="00A00AC4"/>
    <w:rsid w:val="00A00B10"/>
    <w:rsid w:val="00A00B26"/>
    <w:rsid w:val="00A00ED0"/>
    <w:rsid w:val="00A00FD2"/>
    <w:rsid w:val="00A0110F"/>
    <w:rsid w:val="00A01243"/>
    <w:rsid w:val="00A0149E"/>
    <w:rsid w:val="00A014C6"/>
    <w:rsid w:val="00A01665"/>
    <w:rsid w:val="00A016D3"/>
    <w:rsid w:val="00A016E0"/>
    <w:rsid w:val="00A016F7"/>
    <w:rsid w:val="00A01923"/>
    <w:rsid w:val="00A019DA"/>
    <w:rsid w:val="00A01D22"/>
    <w:rsid w:val="00A020BB"/>
    <w:rsid w:val="00A0214D"/>
    <w:rsid w:val="00A021C9"/>
    <w:rsid w:val="00A0221B"/>
    <w:rsid w:val="00A0222C"/>
    <w:rsid w:val="00A023DC"/>
    <w:rsid w:val="00A023E5"/>
    <w:rsid w:val="00A023F5"/>
    <w:rsid w:val="00A0279F"/>
    <w:rsid w:val="00A0282C"/>
    <w:rsid w:val="00A0286C"/>
    <w:rsid w:val="00A028B4"/>
    <w:rsid w:val="00A028E4"/>
    <w:rsid w:val="00A02DAB"/>
    <w:rsid w:val="00A02DF4"/>
    <w:rsid w:val="00A02E1B"/>
    <w:rsid w:val="00A02E41"/>
    <w:rsid w:val="00A02ECF"/>
    <w:rsid w:val="00A02EE5"/>
    <w:rsid w:val="00A02F47"/>
    <w:rsid w:val="00A02FF4"/>
    <w:rsid w:val="00A03017"/>
    <w:rsid w:val="00A03158"/>
    <w:rsid w:val="00A032A8"/>
    <w:rsid w:val="00A0343E"/>
    <w:rsid w:val="00A0375C"/>
    <w:rsid w:val="00A037CE"/>
    <w:rsid w:val="00A038DB"/>
    <w:rsid w:val="00A038FE"/>
    <w:rsid w:val="00A03BB3"/>
    <w:rsid w:val="00A03F30"/>
    <w:rsid w:val="00A0414A"/>
    <w:rsid w:val="00A041F7"/>
    <w:rsid w:val="00A04234"/>
    <w:rsid w:val="00A0426A"/>
    <w:rsid w:val="00A0426C"/>
    <w:rsid w:val="00A043C6"/>
    <w:rsid w:val="00A04434"/>
    <w:rsid w:val="00A0453A"/>
    <w:rsid w:val="00A04552"/>
    <w:rsid w:val="00A048A1"/>
    <w:rsid w:val="00A04AE1"/>
    <w:rsid w:val="00A04B34"/>
    <w:rsid w:val="00A04CB0"/>
    <w:rsid w:val="00A05381"/>
    <w:rsid w:val="00A0561D"/>
    <w:rsid w:val="00A0574D"/>
    <w:rsid w:val="00A05865"/>
    <w:rsid w:val="00A059EA"/>
    <w:rsid w:val="00A05A83"/>
    <w:rsid w:val="00A05A8B"/>
    <w:rsid w:val="00A05B5A"/>
    <w:rsid w:val="00A05B5E"/>
    <w:rsid w:val="00A05C3F"/>
    <w:rsid w:val="00A05CF3"/>
    <w:rsid w:val="00A060D8"/>
    <w:rsid w:val="00A0613C"/>
    <w:rsid w:val="00A0632E"/>
    <w:rsid w:val="00A063F5"/>
    <w:rsid w:val="00A0669A"/>
    <w:rsid w:val="00A06968"/>
    <w:rsid w:val="00A06983"/>
    <w:rsid w:val="00A06D3D"/>
    <w:rsid w:val="00A06DFB"/>
    <w:rsid w:val="00A06F1E"/>
    <w:rsid w:val="00A07089"/>
    <w:rsid w:val="00A07172"/>
    <w:rsid w:val="00A0729F"/>
    <w:rsid w:val="00A07370"/>
    <w:rsid w:val="00A075C0"/>
    <w:rsid w:val="00A07794"/>
    <w:rsid w:val="00A07843"/>
    <w:rsid w:val="00A0798C"/>
    <w:rsid w:val="00A07FEE"/>
    <w:rsid w:val="00A10075"/>
    <w:rsid w:val="00A10089"/>
    <w:rsid w:val="00A10346"/>
    <w:rsid w:val="00A103F0"/>
    <w:rsid w:val="00A1044B"/>
    <w:rsid w:val="00A10615"/>
    <w:rsid w:val="00A1072D"/>
    <w:rsid w:val="00A107B9"/>
    <w:rsid w:val="00A107BB"/>
    <w:rsid w:val="00A10866"/>
    <w:rsid w:val="00A1088A"/>
    <w:rsid w:val="00A10BFD"/>
    <w:rsid w:val="00A10D69"/>
    <w:rsid w:val="00A10DB8"/>
    <w:rsid w:val="00A110E9"/>
    <w:rsid w:val="00A1135B"/>
    <w:rsid w:val="00A11632"/>
    <w:rsid w:val="00A11701"/>
    <w:rsid w:val="00A1183E"/>
    <w:rsid w:val="00A1190B"/>
    <w:rsid w:val="00A11F37"/>
    <w:rsid w:val="00A11F45"/>
    <w:rsid w:val="00A11F9A"/>
    <w:rsid w:val="00A11FE9"/>
    <w:rsid w:val="00A12002"/>
    <w:rsid w:val="00A12036"/>
    <w:rsid w:val="00A1213D"/>
    <w:rsid w:val="00A1235F"/>
    <w:rsid w:val="00A1237E"/>
    <w:rsid w:val="00A123FF"/>
    <w:rsid w:val="00A12415"/>
    <w:rsid w:val="00A125B0"/>
    <w:rsid w:val="00A125E8"/>
    <w:rsid w:val="00A126B5"/>
    <w:rsid w:val="00A127CC"/>
    <w:rsid w:val="00A12B06"/>
    <w:rsid w:val="00A12DB9"/>
    <w:rsid w:val="00A12E54"/>
    <w:rsid w:val="00A130F6"/>
    <w:rsid w:val="00A130FF"/>
    <w:rsid w:val="00A13204"/>
    <w:rsid w:val="00A1325C"/>
    <w:rsid w:val="00A13292"/>
    <w:rsid w:val="00A134DB"/>
    <w:rsid w:val="00A13505"/>
    <w:rsid w:val="00A1362F"/>
    <w:rsid w:val="00A137C5"/>
    <w:rsid w:val="00A13CC8"/>
    <w:rsid w:val="00A13F8B"/>
    <w:rsid w:val="00A140D5"/>
    <w:rsid w:val="00A142C3"/>
    <w:rsid w:val="00A14373"/>
    <w:rsid w:val="00A143E8"/>
    <w:rsid w:val="00A14408"/>
    <w:rsid w:val="00A14529"/>
    <w:rsid w:val="00A14592"/>
    <w:rsid w:val="00A14809"/>
    <w:rsid w:val="00A14CB6"/>
    <w:rsid w:val="00A14CB9"/>
    <w:rsid w:val="00A14E5A"/>
    <w:rsid w:val="00A1502D"/>
    <w:rsid w:val="00A1521C"/>
    <w:rsid w:val="00A153AD"/>
    <w:rsid w:val="00A1548F"/>
    <w:rsid w:val="00A154D6"/>
    <w:rsid w:val="00A154FF"/>
    <w:rsid w:val="00A155A9"/>
    <w:rsid w:val="00A15892"/>
    <w:rsid w:val="00A15931"/>
    <w:rsid w:val="00A16121"/>
    <w:rsid w:val="00A1613B"/>
    <w:rsid w:val="00A16154"/>
    <w:rsid w:val="00A1634E"/>
    <w:rsid w:val="00A16541"/>
    <w:rsid w:val="00A1662C"/>
    <w:rsid w:val="00A16864"/>
    <w:rsid w:val="00A168F8"/>
    <w:rsid w:val="00A169F8"/>
    <w:rsid w:val="00A16B02"/>
    <w:rsid w:val="00A16CB4"/>
    <w:rsid w:val="00A16D50"/>
    <w:rsid w:val="00A1701B"/>
    <w:rsid w:val="00A17097"/>
    <w:rsid w:val="00A17304"/>
    <w:rsid w:val="00A17357"/>
    <w:rsid w:val="00A176C6"/>
    <w:rsid w:val="00A177F3"/>
    <w:rsid w:val="00A1788F"/>
    <w:rsid w:val="00A17934"/>
    <w:rsid w:val="00A17C02"/>
    <w:rsid w:val="00A17DD2"/>
    <w:rsid w:val="00A17DF8"/>
    <w:rsid w:val="00A17DFD"/>
    <w:rsid w:val="00A17F60"/>
    <w:rsid w:val="00A2015F"/>
    <w:rsid w:val="00A202B9"/>
    <w:rsid w:val="00A2031C"/>
    <w:rsid w:val="00A20325"/>
    <w:rsid w:val="00A2041B"/>
    <w:rsid w:val="00A204D1"/>
    <w:rsid w:val="00A2058A"/>
    <w:rsid w:val="00A2081F"/>
    <w:rsid w:val="00A20924"/>
    <w:rsid w:val="00A20AAF"/>
    <w:rsid w:val="00A20F27"/>
    <w:rsid w:val="00A21170"/>
    <w:rsid w:val="00A211EE"/>
    <w:rsid w:val="00A2123F"/>
    <w:rsid w:val="00A216C5"/>
    <w:rsid w:val="00A21708"/>
    <w:rsid w:val="00A218AE"/>
    <w:rsid w:val="00A2191E"/>
    <w:rsid w:val="00A21AE4"/>
    <w:rsid w:val="00A21B8E"/>
    <w:rsid w:val="00A21DEC"/>
    <w:rsid w:val="00A21F0A"/>
    <w:rsid w:val="00A22074"/>
    <w:rsid w:val="00A22276"/>
    <w:rsid w:val="00A222B4"/>
    <w:rsid w:val="00A2230D"/>
    <w:rsid w:val="00A2267B"/>
    <w:rsid w:val="00A226A1"/>
    <w:rsid w:val="00A227D6"/>
    <w:rsid w:val="00A22856"/>
    <w:rsid w:val="00A22894"/>
    <w:rsid w:val="00A228CB"/>
    <w:rsid w:val="00A2298C"/>
    <w:rsid w:val="00A22A2B"/>
    <w:rsid w:val="00A22B1A"/>
    <w:rsid w:val="00A22B70"/>
    <w:rsid w:val="00A22E00"/>
    <w:rsid w:val="00A2301E"/>
    <w:rsid w:val="00A23259"/>
    <w:rsid w:val="00A23305"/>
    <w:rsid w:val="00A235F0"/>
    <w:rsid w:val="00A236C4"/>
    <w:rsid w:val="00A23722"/>
    <w:rsid w:val="00A23808"/>
    <w:rsid w:val="00A2395E"/>
    <w:rsid w:val="00A23964"/>
    <w:rsid w:val="00A23B6D"/>
    <w:rsid w:val="00A23C55"/>
    <w:rsid w:val="00A23D94"/>
    <w:rsid w:val="00A23DD1"/>
    <w:rsid w:val="00A23E81"/>
    <w:rsid w:val="00A24169"/>
    <w:rsid w:val="00A2418E"/>
    <w:rsid w:val="00A24224"/>
    <w:rsid w:val="00A242CC"/>
    <w:rsid w:val="00A24455"/>
    <w:rsid w:val="00A24986"/>
    <w:rsid w:val="00A24B62"/>
    <w:rsid w:val="00A24B74"/>
    <w:rsid w:val="00A24BFB"/>
    <w:rsid w:val="00A24FA8"/>
    <w:rsid w:val="00A24FCB"/>
    <w:rsid w:val="00A25130"/>
    <w:rsid w:val="00A25188"/>
    <w:rsid w:val="00A2532D"/>
    <w:rsid w:val="00A254C7"/>
    <w:rsid w:val="00A25992"/>
    <w:rsid w:val="00A259A6"/>
    <w:rsid w:val="00A25A11"/>
    <w:rsid w:val="00A25D37"/>
    <w:rsid w:val="00A25F35"/>
    <w:rsid w:val="00A264FD"/>
    <w:rsid w:val="00A2662D"/>
    <w:rsid w:val="00A26706"/>
    <w:rsid w:val="00A26918"/>
    <w:rsid w:val="00A26BA9"/>
    <w:rsid w:val="00A26BF5"/>
    <w:rsid w:val="00A27150"/>
    <w:rsid w:val="00A27203"/>
    <w:rsid w:val="00A2729D"/>
    <w:rsid w:val="00A27489"/>
    <w:rsid w:val="00A2761E"/>
    <w:rsid w:val="00A27812"/>
    <w:rsid w:val="00A278FD"/>
    <w:rsid w:val="00A27D6D"/>
    <w:rsid w:val="00A27DB2"/>
    <w:rsid w:val="00A27DF9"/>
    <w:rsid w:val="00A27EE7"/>
    <w:rsid w:val="00A3023E"/>
    <w:rsid w:val="00A3026E"/>
    <w:rsid w:val="00A307B6"/>
    <w:rsid w:val="00A30816"/>
    <w:rsid w:val="00A30823"/>
    <w:rsid w:val="00A30C9F"/>
    <w:rsid w:val="00A30E01"/>
    <w:rsid w:val="00A3111C"/>
    <w:rsid w:val="00A3115B"/>
    <w:rsid w:val="00A3128C"/>
    <w:rsid w:val="00A31296"/>
    <w:rsid w:val="00A314C6"/>
    <w:rsid w:val="00A3162C"/>
    <w:rsid w:val="00A3193A"/>
    <w:rsid w:val="00A319A4"/>
    <w:rsid w:val="00A31A39"/>
    <w:rsid w:val="00A31ABD"/>
    <w:rsid w:val="00A31B36"/>
    <w:rsid w:val="00A31BCD"/>
    <w:rsid w:val="00A31DBC"/>
    <w:rsid w:val="00A321CC"/>
    <w:rsid w:val="00A3226A"/>
    <w:rsid w:val="00A3229C"/>
    <w:rsid w:val="00A32372"/>
    <w:rsid w:val="00A323A8"/>
    <w:rsid w:val="00A3274F"/>
    <w:rsid w:val="00A327E0"/>
    <w:rsid w:val="00A3286D"/>
    <w:rsid w:val="00A32CAC"/>
    <w:rsid w:val="00A32CE3"/>
    <w:rsid w:val="00A32D68"/>
    <w:rsid w:val="00A32FA6"/>
    <w:rsid w:val="00A3313C"/>
    <w:rsid w:val="00A33A04"/>
    <w:rsid w:val="00A33B78"/>
    <w:rsid w:val="00A33F7F"/>
    <w:rsid w:val="00A33FF9"/>
    <w:rsid w:val="00A3402E"/>
    <w:rsid w:val="00A3415D"/>
    <w:rsid w:val="00A343EB"/>
    <w:rsid w:val="00A349B1"/>
    <w:rsid w:val="00A34A19"/>
    <w:rsid w:val="00A34DF4"/>
    <w:rsid w:val="00A34E75"/>
    <w:rsid w:val="00A35062"/>
    <w:rsid w:val="00A350D8"/>
    <w:rsid w:val="00A3531F"/>
    <w:rsid w:val="00A3539F"/>
    <w:rsid w:val="00A3591A"/>
    <w:rsid w:val="00A35B5D"/>
    <w:rsid w:val="00A35D89"/>
    <w:rsid w:val="00A3641A"/>
    <w:rsid w:val="00A364AA"/>
    <w:rsid w:val="00A36554"/>
    <w:rsid w:val="00A3655D"/>
    <w:rsid w:val="00A36574"/>
    <w:rsid w:val="00A36687"/>
    <w:rsid w:val="00A366CB"/>
    <w:rsid w:val="00A3687A"/>
    <w:rsid w:val="00A36BF1"/>
    <w:rsid w:val="00A36E12"/>
    <w:rsid w:val="00A36E2F"/>
    <w:rsid w:val="00A36F77"/>
    <w:rsid w:val="00A3714D"/>
    <w:rsid w:val="00A376B9"/>
    <w:rsid w:val="00A37716"/>
    <w:rsid w:val="00A3782A"/>
    <w:rsid w:val="00A37893"/>
    <w:rsid w:val="00A379EF"/>
    <w:rsid w:val="00A37C7E"/>
    <w:rsid w:val="00A37CB3"/>
    <w:rsid w:val="00A37D3E"/>
    <w:rsid w:val="00A37E44"/>
    <w:rsid w:val="00A37FC1"/>
    <w:rsid w:val="00A400DB"/>
    <w:rsid w:val="00A4010F"/>
    <w:rsid w:val="00A401D8"/>
    <w:rsid w:val="00A403F7"/>
    <w:rsid w:val="00A40482"/>
    <w:rsid w:val="00A4057E"/>
    <w:rsid w:val="00A405D6"/>
    <w:rsid w:val="00A4075D"/>
    <w:rsid w:val="00A40797"/>
    <w:rsid w:val="00A407D8"/>
    <w:rsid w:val="00A409EC"/>
    <w:rsid w:val="00A40B73"/>
    <w:rsid w:val="00A40D66"/>
    <w:rsid w:val="00A40F57"/>
    <w:rsid w:val="00A410DF"/>
    <w:rsid w:val="00A412C0"/>
    <w:rsid w:val="00A41DCA"/>
    <w:rsid w:val="00A42103"/>
    <w:rsid w:val="00A421A5"/>
    <w:rsid w:val="00A42233"/>
    <w:rsid w:val="00A42341"/>
    <w:rsid w:val="00A42402"/>
    <w:rsid w:val="00A42597"/>
    <w:rsid w:val="00A427ED"/>
    <w:rsid w:val="00A429C5"/>
    <w:rsid w:val="00A429D5"/>
    <w:rsid w:val="00A42B1B"/>
    <w:rsid w:val="00A42CC9"/>
    <w:rsid w:val="00A42DAD"/>
    <w:rsid w:val="00A42EC8"/>
    <w:rsid w:val="00A42EF2"/>
    <w:rsid w:val="00A430D0"/>
    <w:rsid w:val="00A43293"/>
    <w:rsid w:val="00A432DA"/>
    <w:rsid w:val="00A432E4"/>
    <w:rsid w:val="00A43514"/>
    <w:rsid w:val="00A437DD"/>
    <w:rsid w:val="00A43C72"/>
    <w:rsid w:val="00A43E1D"/>
    <w:rsid w:val="00A44010"/>
    <w:rsid w:val="00A44153"/>
    <w:rsid w:val="00A44219"/>
    <w:rsid w:val="00A443AD"/>
    <w:rsid w:val="00A443CE"/>
    <w:rsid w:val="00A443E5"/>
    <w:rsid w:val="00A4444E"/>
    <w:rsid w:val="00A44526"/>
    <w:rsid w:val="00A44690"/>
    <w:rsid w:val="00A4470B"/>
    <w:rsid w:val="00A4491E"/>
    <w:rsid w:val="00A44968"/>
    <w:rsid w:val="00A44974"/>
    <w:rsid w:val="00A44B82"/>
    <w:rsid w:val="00A44C37"/>
    <w:rsid w:val="00A44C84"/>
    <w:rsid w:val="00A44CD3"/>
    <w:rsid w:val="00A45021"/>
    <w:rsid w:val="00A45115"/>
    <w:rsid w:val="00A45585"/>
    <w:rsid w:val="00A455B1"/>
    <w:rsid w:val="00A456F0"/>
    <w:rsid w:val="00A45764"/>
    <w:rsid w:val="00A45925"/>
    <w:rsid w:val="00A45AC1"/>
    <w:rsid w:val="00A45E11"/>
    <w:rsid w:val="00A45F1E"/>
    <w:rsid w:val="00A46182"/>
    <w:rsid w:val="00A46771"/>
    <w:rsid w:val="00A46F87"/>
    <w:rsid w:val="00A4722D"/>
    <w:rsid w:val="00A47296"/>
    <w:rsid w:val="00A4759E"/>
    <w:rsid w:val="00A47678"/>
    <w:rsid w:val="00A47BB2"/>
    <w:rsid w:val="00A47C2A"/>
    <w:rsid w:val="00A47D0F"/>
    <w:rsid w:val="00A50269"/>
    <w:rsid w:val="00A5040D"/>
    <w:rsid w:val="00A507BC"/>
    <w:rsid w:val="00A50B9B"/>
    <w:rsid w:val="00A50B9E"/>
    <w:rsid w:val="00A50BB6"/>
    <w:rsid w:val="00A50BDF"/>
    <w:rsid w:val="00A50F3D"/>
    <w:rsid w:val="00A510A0"/>
    <w:rsid w:val="00A510D5"/>
    <w:rsid w:val="00A51231"/>
    <w:rsid w:val="00A5123A"/>
    <w:rsid w:val="00A512C2"/>
    <w:rsid w:val="00A512D4"/>
    <w:rsid w:val="00A5138D"/>
    <w:rsid w:val="00A513D2"/>
    <w:rsid w:val="00A515D0"/>
    <w:rsid w:val="00A515D5"/>
    <w:rsid w:val="00A515DB"/>
    <w:rsid w:val="00A51669"/>
    <w:rsid w:val="00A518E6"/>
    <w:rsid w:val="00A519F2"/>
    <w:rsid w:val="00A51CC6"/>
    <w:rsid w:val="00A51D07"/>
    <w:rsid w:val="00A51D6D"/>
    <w:rsid w:val="00A51D9F"/>
    <w:rsid w:val="00A51DAA"/>
    <w:rsid w:val="00A51EA1"/>
    <w:rsid w:val="00A52264"/>
    <w:rsid w:val="00A525BA"/>
    <w:rsid w:val="00A528C1"/>
    <w:rsid w:val="00A52AFE"/>
    <w:rsid w:val="00A52CD1"/>
    <w:rsid w:val="00A52CD9"/>
    <w:rsid w:val="00A52D33"/>
    <w:rsid w:val="00A52F0A"/>
    <w:rsid w:val="00A53095"/>
    <w:rsid w:val="00A5324F"/>
    <w:rsid w:val="00A5354F"/>
    <w:rsid w:val="00A535CD"/>
    <w:rsid w:val="00A53697"/>
    <w:rsid w:val="00A53707"/>
    <w:rsid w:val="00A53763"/>
    <w:rsid w:val="00A53BB9"/>
    <w:rsid w:val="00A53BF2"/>
    <w:rsid w:val="00A53C4B"/>
    <w:rsid w:val="00A53D4B"/>
    <w:rsid w:val="00A53DFE"/>
    <w:rsid w:val="00A53E6D"/>
    <w:rsid w:val="00A540A6"/>
    <w:rsid w:val="00A540FB"/>
    <w:rsid w:val="00A5421E"/>
    <w:rsid w:val="00A54310"/>
    <w:rsid w:val="00A54357"/>
    <w:rsid w:val="00A54410"/>
    <w:rsid w:val="00A5454E"/>
    <w:rsid w:val="00A54636"/>
    <w:rsid w:val="00A54669"/>
    <w:rsid w:val="00A5491D"/>
    <w:rsid w:val="00A54D89"/>
    <w:rsid w:val="00A54F5E"/>
    <w:rsid w:val="00A54FA3"/>
    <w:rsid w:val="00A5516E"/>
    <w:rsid w:val="00A553E9"/>
    <w:rsid w:val="00A5547E"/>
    <w:rsid w:val="00A5570D"/>
    <w:rsid w:val="00A557A2"/>
    <w:rsid w:val="00A557B6"/>
    <w:rsid w:val="00A5580B"/>
    <w:rsid w:val="00A55857"/>
    <w:rsid w:val="00A55B12"/>
    <w:rsid w:val="00A55C1D"/>
    <w:rsid w:val="00A55DCF"/>
    <w:rsid w:val="00A55E0A"/>
    <w:rsid w:val="00A55E50"/>
    <w:rsid w:val="00A55E72"/>
    <w:rsid w:val="00A56069"/>
    <w:rsid w:val="00A5632E"/>
    <w:rsid w:val="00A565EC"/>
    <w:rsid w:val="00A56888"/>
    <w:rsid w:val="00A56A6E"/>
    <w:rsid w:val="00A56B68"/>
    <w:rsid w:val="00A56C7E"/>
    <w:rsid w:val="00A56CAF"/>
    <w:rsid w:val="00A56DAD"/>
    <w:rsid w:val="00A56FF0"/>
    <w:rsid w:val="00A57259"/>
    <w:rsid w:val="00A57494"/>
    <w:rsid w:val="00A574F6"/>
    <w:rsid w:val="00A57587"/>
    <w:rsid w:val="00A57A0F"/>
    <w:rsid w:val="00A57D41"/>
    <w:rsid w:val="00A57E3F"/>
    <w:rsid w:val="00A57E7E"/>
    <w:rsid w:val="00A600D9"/>
    <w:rsid w:val="00A60330"/>
    <w:rsid w:val="00A604EA"/>
    <w:rsid w:val="00A60697"/>
    <w:rsid w:val="00A606B1"/>
    <w:rsid w:val="00A60AA7"/>
    <w:rsid w:val="00A60AC7"/>
    <w:rsid w:val="00A60B46"/>
    <w:rsid w:val="00A60E5A"/>
    <w:rsid w:val="00A60E67"/>
    <w:rsid w:val="00A60EE7"/>
    <w:rsid w:val="00A6109D"/>
    <w:rsid w:val="00A610FA"/>
    <w:rsid w:val="00A610FE"/>
    <w:rsid w:val="00A61209"/>
    <w:rsid w:val="00A612C8"/>
    <w:rsid w:val="00A614A4"/>
    <w:rsid w:val="00A6167F"/>
    <w:rsid w:val="00A618D7"/>
    <w:rsid w:val="00A6191B"/>
    <w:rsid w:val="00A61968"/>
    <w:rsid w:val="00A61B36"/>
    <w:rsid w:val="00A61BA5"/>
    <w:rsid w:val="00A61DA7"/>
    <w:rsid w:val="00A622E1"/>
    <w:rsid w:val="00A623E1"/>
    <w:rsid w:val="00A62479"/>
    <w:rsid w:val="00A62774"/>
    <w:rsid w:val="00A62ACF"/>
    <w:rsid w:val="00A62C37"/>
    <w:rsid w:val="00A62DFD"/>
    <w:rsid w:val="00A62DFE"/>
    <w:rsid w:val="00A63098"/>
    <w:rsid w:val="00A637EE"/>
    <w:rsid w:val="00A63869"/>
    <w:rsid w:val="00A6387E"/>
    <w:rsid w:val="00A63B9A"/>
    <w:rsid w:val="00A63C97"/>
    <w:rsid w:val="00A64031"/>
    <w:rsid w:val="00A640C2"/>
    <w:rsid w:val="00A642B3"/>
    <w:rsid w:val="00A644FA"/>
    <w:rsid w:val="00A64812"/>
    <w:rsid w:val="00A64FAF"/>
    <w:rsid w:val="00A6500D"/>
    <w:rsid w:val="00A65093"/>
    <w:rsid w:val="00A650AC"/>
    <w:rsid w:val="00A65416"/>
    <w:rsid w:val="00A65499"/>
    <w:rsid w:val="00A656C8"/>
    <w:rsid w:val="00A65747"/>
    <w:rsid w:val="00A65A9C"/>
    <w:rsid w:val="00A65B49"/>
    <w:rsid w:val="00A65CA2"/>
    <w:rsid w:val="00A65F73"/>
    <w:rsid w:val="00A65FED"/>
    <w:rsid w:val="00A66322"/>
    <w:rsid w:val="00A6656C"/>
    <w:rsid w:val="00A6668F"/>
    <w:rsid w:val="00A667F8"/>
    <w:rsid w:val="00A6681D"/>
    <w:rsid w:val="00A669F1"/>
    <w:rsid w:val="00A66A28"/>
    <w:rsid w:val="00A66A40"/>
    <w:rsid w:val="00A66AEE"/>
    <w:rsid w:val="00A66C80"/>
    <w:rsid w:val="00A67017"/>
    <w:rsid w:val="00A672ED"/>
    <w:rsid w:val="00A678A1"/>
    <w:rsid w:val="00A679D0"/>
    <w:rsid w:val="00A67C17"/>
    <w:rsid w:val="00A67C7F"/>
    <w:rsid w:val="00A67CC8"/>
    <w:rsid w:val="00A67D60"/>
    <w:rsid w:val="00A67D6A"/>
    <w:rsid w:val="00A67D9F"/>
    <w:rsid w:val="00A67E18"/>
    <w:rsid w:val="00A67E38"/>
    <w:rsid w:val="00A67F8D"/>
    <w:rsid w:val="00A70002"/>
    <w:rsid w:val="00A700B8"/>
    <w:rsid w:val="00A70132"/>
    <w:rsid w:val="00A701CA"/>
    <w:rsid w:val="00A7047D"/>
    <w:rsid w:val="00A706CE"/>
    <w:rsid w:val="00A70874"/>
    <w:rsid w:val="00A70946"/>
    <w:rsid w:val="00A70C9B"/>
    <w:rsid w:val="00A70E49"/>
    <w:rsid w:val="00A70FD4"/>
    <w:rsid w:val="00A71003"/>
    <w:rsid w:val="00A71235"/>
    <w:rsid w:val="00A71979"/>
    <w:rsid w:val="00A71B08"/>
    <w:rsid w:val="00A7201C"/>
    <w:rsid w:val="00A724F8"/>
    <w:rsid w:val="00A725DE"/>
    <w:rsid w:val="00A72BBB"/>
    <w:rsid w:val="00A72C7D"/>
    <w:rsid w:val="00A72DFE"/>
    <w:rsid w:val="00A72FCD"/>
    <w:rsid w:val="00A73070"/>
    <w:rsid w:val="00A730A0"/>
    <w:rsid w:val="00A736C2"/>
    <w:rsid w:val="00A73786"/>
    <w:rsid w:val="00A738FC"/>
    <w:rsid w:val="00A73C59"/>
    <w:rsid w:val="00A73E64"/>
    <w:rsid w:val="00A73F77"/>
    <w:rsid w:val="00A73FF9"/>
    <w:rsid w:val="00A74031"/>
    <w:rsid w:val="00A74275"/>
    <w:rsid w:val="00A7445A"/>
    <w:rsid w:val="00A744DF"/>
    <w:rsid w:val="00A745B7"/>
    <w:rsid w:val="00A747ED"/>
    <w:rsid w:val="00A7487D"/>
    <w:rsid w:val="00A74948"/>
    <w:rsid w:val="00A74BB5"/>
    <w:rsid w:val="00A74E8E"/>
    <w:rsid w:val="00A74F51"/>
    <w:rsid w:val="00A751E6"/>
    <w:rsid w:val="00A7531D"/>
    <w:rsid w:val="00A75372"/>
    <w:rsid w:val="00A7555C"/>
    <w:rsid w:val="00A755A5"/>
    <w:rsid w:val="00A756F5"/>
    <w:rsid w:val="00A75957"/>
    <w:rsid w:val="00A7596A"/>
    <w:rsid w:val="00A75B11"/>
    <w:rsid w:val="00A75BAE"/>
    <w:rsid w:val="00A75D38"/>
    <w:rsid w:val="00A75E1E"/>
    <w:rsid w:val="00A75FCA"/>
    <w:rsid w:val="00A76402"/>
    <w:rsid w:val="00A76459"/>
    <w:rsid w:val="00A7649C"/>
    <w:rsid w:val="00A764BF"/>
    <w:rsid w:val="00A7663D"/>
    <w:rsid w:val="00A76F0F"/>
    <w:rsid w:val="00A7718B"/>
    <w:rsid w:val="00A774F4"/>
    <w:rsid w:val="00A774F9"/>
    <w:rsid w:val="00A77523"/>
    <w:rsid w:val="00A7775B"/>
    <w:rsid w:val="00A77761"/>
    <w:rsid w:val="00A777AE"/>
    <w:rsid w:val="00A7788E"/>
    <w:rsid w:val="00A779FD"/>
    <w:rsid w:val="00A77B2B"/>
    <w:rsid w:val="00A77BC6"/>
    <w:rsid w:val="00A803ED"/>
    <w:rsid w:val="00A8060F"/>
    <w:rsid w:val="00A80636"/>
    <w:rsid w:val="00A80860"/>
    <w:rsid w:val="00A809B2"/>
    <w:rsid w:val="00A80A09"/>
    <w:rsid w:val="00A80B72"/>
    <w:rsid w:val="00A80C5A"/>
    <w:rsid w:val="00A80C97"/>
    <w:rsid w:val="00A80CD5"/>
    <w:rsid w:val="00A80F2E"/>
    <w:rsid w:val="00A80F98"/>
    <w:rsid w:val="00A80FE5"/>
    <w:rsid w:val="00A80FF1"/>
    <w:rsid w:val="00A81043"/>
    <w:rsid w:val="00A8122D"/>
    <w:rsid w:val="00A814CA"/>
    <w:rsid w:val="00A815C8"/>
    <w:rsid w:val="00A8170B"/>
    <w:rsid w:val="00A81726"/>
    <w:rsid w:val="00A81824"/>
    <w:rsid w:val="00A8189C"/>
    <w:rsid w:val="00A819F1"/>
    <w:rsid w:val="00A81A72"/>
    <w:rsid w:val="00A81D80"/>
    <w:rsid w:val="00A81DA3"/>
    <w:rsid w:val="00A8202B"/>
    <w:rsid w:val="00A821E0"/>
    <w:rsid w:val="00A825BC"/>
    <w:rsid w:val="00A82815"/>
    <w:rsid w:val="00A82821"/>
    <w:rsid w:val="00A8291D"/>
    <w:rsid w:val="00A82D45"/>
    <w:rsid w:val="00A82DC1"/>
    <w:rsid w:val="00A8321A"/>
    <w:rsid w:val="00A83312"/>
    <w:rsid w:val="00A833A1"/>
    <w:rsid w:val="00A83559"/>
    <w:rsid w:val="00A838E2"/>
    <w:rsid w:val="00A83ACD"/>
    <w:rsid w:val="00A83D48"/>
    <w:rsid w:val="00A83E63"/>
    <w:rsid w:val="00A8415F"/>
    <w:rsid w:val="00A843F7"/>
    <w:rsid w:val="00A846A2"/>
    <w:rsid w:val="00A8478A"/>
    <w:rsid w:val="00A848C1"/>
    <w:rsid w:val="00A84A45"/>
    <w:rsid w:val="00A84A98"/>
    <w:rsid w:val="00A84B0F"/>
    <w:rsid w:val="00A84EE1"/>
    <w:rsid w:val="00A85045"/>
    <w:rsid w:val="00A85202"/>
    <w:rsid w:val="00A85304"/>
    <w:rsid w:val="00A8594B"/>
    <w:rsid w:val="00A85C82"/>
    <w:rsid w:val="00A85E51"/>
    <w:rsid w:val="00A85E9C"/>
    <w:rsid w:val="00A860C8"/>
    <w:rsid w:val="00A861F5"/>
    <w:rsid w:val="00A86206"/>
    <w:rsid w:val="00A86314"/>
    <w:rsid w:val="00A863A5"/>
    <w:rsid w:val="00A86542"/>
    <w:rsid w:val="00A866A7"/>
    <w:rsid w:val="00A866FD"/>
    <w:rsid w:val="00A868C4"/>
    <w:rsid w:val="00A868E7"/>
    <w:rsid w:val="00A86BA5"/>
    <w:rsid w:val="00A86BBA"/>
    <w:rsid w:val="00A86BFF"/>
    <w:rsid w:val="00A86F31"/>
    <w:rsid w:val="00A8725F"/>
    <w:rsid w:val="00A87309"/>
    <w:rsid w:val="00A87436"/>
    <w:rsid w:val="00A874B8"/>
    <w:rsid w:val="00A87505"/>
    <w:rsid w:val="00A8750F"/>
    <w:rsid w:val="00A877B5"/>
    <w:rsid w:val="00A87942"/>
    <w:rsid w:val="00A87BAE"/>
    <w:rsid w:val="00A87D21"/>
    <w:rsid w:val="00A87DE5"/>
    <w:rsid w:val="00A87DE9"/>
    <w:rsid w:val="00A87E94"/>
    <w:rsid w:val="00A9046C"/>
    <w:rsid w:val="00A9051D"/>
    <w:rsid w:val="00A906B7"/>
    <w:rsid w:val="00A9085D"/>
    <w:rsid w:val="00A90B45"/>
    <w:rsid w:val="00A90BF2"/>
    <w:rsid w:val="00A90C41"/>
    <w:rsid w:val="00A90D0C"/>
    <w:rsid w:val="00A90E5C"/>
    <w:rsid w:val="00A90F50"/>
    <w:rsid w:val="00A910A0"/>
    <w:rsid w:val="00A9116F"/>
    <w:rsid w:val="00A91317"/>
    <w:rsid w:val="00A91570"/>
    <w:rsid w:val="00A91907"/>
    <w:rsid w:val="00A91984"/>
    <w:rsid w:val="00A91FDA"/>
    <w:rsid w:val="00A9219C"/>
    <w:rsid w:val="00A9299A"/>
    <w:rsid w:val="00A929F4"/>
    <w:rsid w:val="00A92F9D"/>
    <w:rsid w:val="00A92FC8"/>
    <w:rsid w:val="00A93130"/>
    <w:rsid w:val="00A93172"/>
    <w:rsid w:val="00A9318E"/>
    <w:rsid w:val="00A931E9"/>
    <w:rsid w:val="00A93345"/>
    <w:rsid w:val="00A933B1"/>
    <w:rsid w:val="00A9380C"/>
    <w:rsid w:val="00A93A32"/>
    <w:rsid w:val="00A93A50"/>
    <w:rsid w:val="00A93C59"/>
    <w:rsid w:val="00A93C9F"/>
    <w:rsid w:val="00A93EB7"/>
    <w:rsid w:val="00A93F93"/>
    <w:rsid w:val="00A942D3"/>
    <w:rsid w:val="00A94341"/>
    <w:rsid w:val="00A94386"/>
    <w:rsid w:val="00A9452B"/>
    <w:rsid w:val="00A94791"/>
    <w:rsid w:val="00A949D5"/>
    <w:rsid w:val="00A94B75"/>
    <w:rsid w:val="00A94CE7"/>
    <w:rsid w:val="00A9509A"/>
    <w:rsid w:val="00A9510D"/>
    <w:rsid w:val="00A95185"/>
    <w:rsid w:val="00A95401"/>
    <w:rsid w:val="00A95563"/>
    <w:rsid w:val="00A95642"/>
    <w:rsid w:val="00A95715"/>
    <w:rsid w:val="00A95A55"/>
    <w:rsid w:val="00A95BAB"/>
    <w:rsid w:val="00A95D4E"/>
    <w:rsid w:val="00A95DFB"/>
    <w:rsid w:val="00A95E8E"/>
    <w:rsid w:val="00A95F74"/>
    <w:rsid w:val="00A95FC9"/>
    <w:rsid w:val="00A960A7"/>
    <w:rsid w:val="00A963E6"/>
    <w:rsid w:val="00A96532"/>
    <w:rsid w:val="00A96695"/>
    <w:rsid w:val="00A96763"/>
    <w:rsid w:val="00A9692D"/>
    <w:rsid w:val="00A969DA"/>
    <w:rsid w:val="00A96B3D"/>
    <w:rsid w:val="00A96E69"/>
    <w:rsid w:val="00A96EF8"/>
    <w:rsid w:val="00A970D4"/>
    <w:rsid w:val="00A97166"/>
    <w:rsid w:val="00A97455"/>
    <w:rsid w:val="00A977DD"/>
    <w:rsid w:val="00A97860"/>
    <w:rsid w:val="00A97A95"/>
    <w:rsid w:val="00AA014E"/>
    <w:rsid w:val="00AA0486"/>
    <w:rsid w:val="00AA050E"/>
    <w:rsid w:val="00AA051C"/>
    <w:rsid w:val="00AA0528"/>
    <w:rsid w:val="00AA058F"/>
    <w:rsid w:val="00AA072B"/>
    <w:rsid w:val="00AA0A12"/>
    <w:rsid w:val="00AA0A42"/>
    <w:rsid w:val="00AA0BC5"/>
    <w:rsid w:val="00AA0C37"/>
    <w:rsid w:val="00AA0DDA"/>
    <w:rsid w:val="00AA0EE9"/>
    <w:rsid w:val="00AA0F44"/>
    <w:rsid w:val="00AA102A"/>
    <w:rsid w:val="00AA12F7"/>
    <w:rsid w:val="00AA1442"/>
    <w:rsid w:val="00AA14F7"/>
    <w:rsid w:val="00AA169B"/>
    <w:rsid w:val="00AA17B9"/>
    <w:rsid w:val="00AA1910"/>
    <w:rsid w:val="00AA1CFF"/>
    <w:rsid w:val="00AA1F61"/>
    <w:rsid w:val="00AA2047"/>
    <w:rsid w:val="00AA20C7"/>
    <w:rsid w:val="00AA20FB"/>
    <w:rsid w:val="00AA22A4"/>
    <w:rsid w:val="00AA2372"/>
    <w:rsid w:val="00AA277C"/>
    <w:rsid w:val="00AA2B2D"/>
    <w:rsid w:val="00AA2E9C"/>
    <w:rsid w:val="00AA2EDB"/>
    <w:rsid w:val="00AA2F58"/>
    <w:rsid w:val="00AA2FAB"/>
    <w:rsid w:val="00AA30BC"/>
    <w:rsid w:val="00AA3277"/>
    <w:rsid w:val="00AA3309"/>
    <w:rsid w:val="00AA35D3"/>
    <w:rsid w:val="00AA3796"/>
    <w:rsid w:val="00AA3832"/>
    <w:rsid w:val="00AA393C"/>
    <w:rsid w:val="00AA3A77"/>
    <w:rsid w:val="00AA3A7D"/>
    <w:rsid w:val="00AA3BB9"/>
    <w:rsid w:val="00AA3CEE"/>
    <w:rsid w:val="00AA3D71"/>
    <w:rsid w:val="00AA3EB3"/>
    <w:rsid w:val="00AA456D"/>
    <w:rsid w:val="00AA45AB"/>
    <w:rsid w:val="00AA45B9"/>
    <w:rsid w:val="00AA463E"/>
    <w:rsid w:val="00AA4998"/>
    <w:rsid w:val="00AA4A90"/>
    <w:rsid w:val="00AA4CA8"/>
    <w:rsid w:val="00AA4D56"/>
    <w:rsid w:val="00AA4D64"/>
    <w:rsid w:val="00AA4DA8"/>
    <w:rsid w:val="00AA4EAB"/>
    <w:rsid w:val="00AA5243"/>
    <w:rsid w:val="00AA538A"/>
    <w:rsid w:val="00AA53BC"/>
    <w:rsid w:val="00AA554A"/>
    <w:rsid w:val="00AA580C"/>
    <w:rsid w:val="00AA5977"/>
    <w:rsid w:val="00AA5B65"/>
    <w:rsid w:val="00AA5C74"/>
    <w:rsid w:val="00AA606E"/>
    <w:rsid w:val="00AA6321"/>
    <w:rsid w:val="00AA63C7"/>
    <w:rsid w:val="00AA6607"/>
    <w:rsid w:val="00AA68B0"/>
    <w:rsid w:val="00AA6F0A"/>
    <w:rsid w:val="00AA71C1"/>
    <w:rsid w:val="00AA71ED"/>
    <w:rsid w:val="00AA7281"/>
    <w:rsid w:val="00AA735D"/>
    <w:rsid w:val="00AA73D3"/>
    <w:rsid w:val="00AA7495"/>
    <w:rsid w:val="00AA7672"/>
    <w:rsid w:val="00AA792A"/>
    <w:rsid w:val="00AA7946"/>
    <w:rsid w:val="00AA7A42"/>
    <w:rsid w:val="00AA7ACA"/>
    <w:rsid w:val="00AA7D59"/>
    <w:rsid w:val="00AA7DBB"/>
    <w:rsid w:val="00AA7F3C"/>
    <w:rsid w:val="00AA7F73"/>
    <w:rsid w:val="00AB0024"/>
    <w:rsid w:val="00AB08AC"/>
    <w:rsid w:val="00AB08C3"/>
    <w:rsid w:val="00AB0A0A"/>
    <w:rsid w:val="00AB0A76"/>
    <w:rsid w:val="00AB0AD9"/>
    <w:rsid w:val="00AB0BB6"/>
    <w:rsid w:val="00AB0C34"/>
    <w:rsid w:val="00AB0E42"/>
    <w:rsid w:val="00AB0F3B"/>
    <w:rsid w:val="00AB0F77"/>
    <w:rsid w:val="00AB114C"/>
    <w:rsid w:val="00AB13E4"/>
    <w:rsid w:val="00AB14FB"/>
    <w:rsid w:val="00AB1874"/>
    <w:rsid w:val="00AB1B3B"/>
    <w:rsid w:val="00AB1C72"/>
    <w:rsid w:val="00AB1DB8"/>
    <w:rsid w:val="00AB1E58"/>
    <w:rsid w:val="00AB20AF"/>
    <w:rsid w:val="00AB2258"/>
    <w:rsid w:val="00AB264B"/>
    <w:rsid w:val="00AB2656"/>
    <w:rsid w:val="00AB297C"/>
    <w:rsid w:val="00AB2B39"/>
    <w:rsid w:val="00AB2B72"/>
    <w:rsid w:val="00AB2C9E"/>
    <w:rsid w:val="00AB2CBB"/>
    <w:rsid w:val="00AB33A4"/>
    <w:rsid w:val="00AB33B0"/>
    <w:rsid w:val="00AB345A"/>
    <w:rsid w:val="00AB34E3"/>
    <w:rsid w:val="00AB361D"/>
    <w:rsid w:val="00AB3623"/>
    <w:rsid w:val="00AB368B"/>
    <w:rsid w:val="00AB37A3"/>
    <w:rsid w:val="00AB3AAD"/>
    <w:rsid w:val="00AB3BDB"/>
    <w:rsid w:val="00AB3D7B"/>
    <w:rsid w:val="00AB3E28"/>
    <w:rsid w:val="00AB4295"/>
    <w:rsid w:val="00AB46CF"/>
    <w:rsid w:val="00AB47E0"/>
    <w:rsid w:val="00AB49A2"/>
    <w:rsid w:val="00AB49B4"/>
    <w:rsid w:val="00AB4A0F"/>
    <w:rsid w:val="00AB4AC2"/>
    <w:rsid w:val="00AB4B01"/>
    <w:rsid w:val="00AB4B31"/>
    <w:rsid w:val="00AB4D2E"/>
    <w:rsid w:val="00AB4F6A"/>
    <w:rsid w:val="00AB51A5"/>
    <w:rsid w:val="00AB5219"/>
    <w:rsid w:val="00AB5297"/>
    <w:rsid w:val="00AB557B"/>
    <w:rsid w:val="00AB579E"/>
    <w:rsid w:val="00AB57BA"/>
    <w:rsid w:val="00AB594C"/>
    <w:rsid w:val="00AB5A9D"/>
    <w:rsid w:val="00AB5FC6"/>
    <w:rsid w:val="00AB64AA"/>
    <w:rsid w:val="00AB654B"/>
    <w:rsid w:val="00AB6714"/>
    <w:rsid w:val="00AB6752"/>
    <w:rsid w:val="00AB68D6"/>
    <w:rsid w:val="00AB69C1"/>
    <w:rsid w:val="00AB6CED"/>
    <w:rsid w:val="00AB6DB8"/>
    <w:rsid w:val="00AB6DFD"/>
    <w:rsid w:val="00AB700D"/>
    <w:rsid w:val="00AB709B"/>
    <w:rsid w:val="00AB782A"/>
    <w:rsid w:val="00AB7845"/>
    <w:rsid w:val="00AB79DD"/>
    <w:rsid w:val="00AB7EA1"/>
    <w:rsid w:val="00AC013E"/>
    <w:rsid w:val="00AC0305"/>
    <w:rsid w:val="00AC05A8"/>
    <w:rsid w:val="00AC0951"/>
    <w:rsid w:val="00AC0A3E"/>
    <w:rsid w:val="00AC0C6F"/>
    <w:rsid w:val="00AC0F80"/>
    <w:rsid w:val="00AC0FD7"/>
    <w:rsid w:val="00AC107E"/>
    <w:rsid w:val="00AC12E9"/>
    <w:rsid w:val="00AC13FA"/>
    <w:rsid w:val="00AC1630"/>
    <w:rsid w:val="00AC1956"/>
    <w:rsid w:val="00AC1A5F"/>
    <w:rsid w:val="00AC1AE4"/>
    <w:rsid w:val="00AC1E09"/>
    <w:rsid w:val="00AC1F9D"/>
    <w:rsid w:val="00AC2089"/>
    <w:rsid w:val="00AC20BA"/>
    <w:rsid w:val="00AC23FF"/>
    <w:rsid w:val="00AC255D"/>
    <w:rsid w:val="00AC2631"/>
    <w:rsid w:val="00AC2697"/>
    <w:rsid w:val="00AC27F3"/>
    <w:rsid w:val="00AC2849"/>
    <w:rsid w:val="00AC2944"/>
    <w:rsid w:val="00AC2B5B"/>
    <w:rsid w:val="00AC2ECA"/>
    <w:rsid w:val="00AC2ECF"/>
    <w:rsid w:val="00AC3047"/>
    <w:rsid w:val="00AC32B0"/>
    <w:rsid w:val="00AC3363"/>
    <w:rsid w:val="00AC340B"/>
    <w:rsid w:val="00AC353D"/>
    <w:rsid w:val="00AC386A"/>
    <w:rsid w:val="00AC3A54"/>
    <w:rsid w:val="00AC3BD4"/>
    <w:rsid w:val="00AC3C71"/>
    <w:rsid w:val="00AC3C7B"/>
    <w:rsid w:val="00AC3EC9"/>
    <w:rsid w:val="00AC4134"/>
    <w:rsid w:val="00AC4420"/>
    <w:rsid w:val="00AC45A5"/>
    <w:rsid w:val="00AC4625"/>
    <w:rsid w:val="00AC474E"/>
    <w:rsid w:val="00AC48A2"/>
    <w:rsid w:val="00AC4A7A"/>
    <w:rsid w:val="00AC4CE2"/>
    <w:rsid w:val="00AC4EE5"/>
    <w:rsid w:val="00AC4F33"/>
    <w:rsid w:val="00AC4FDC"/>
    <w:rsid w:val="00AC5473"/>
    <w:rsid w:val="00AC56B6"/>
    <w:rsid w:val="00AC5740"/>
    <w:rsid w:val="00AC581D"/>
    <w:rsid w:val="00AC5920"/>
    <w:rsid w:val="00AC59B4"/>
    <w:rsid w:val="00AC5AB7"/>
    <w:rsid w:val="00AC5B09"/>
    <w:rsid w:val="00AC5B17"/>
    <w:rsid w:val="00AC5BA7"/>
    <w:rsid w:val="00AC5E19"/>
    <w:rsid w:val="00AC5EE3"/>
    <w:rsid w:val="00AC678B"/>
    <w:rsid w:val="00AC6B56"/>
    <w:rsid w:val="00AC6E55"/>
    <w:rsid w:val="00AC6EB9"/>
    <w:rsid w:val="00AC6F08"/>
    <w:rsid w:val="00AC6FB4"/>
    <w:rsid w:val="00AC7324"/>
    <w:rsid w:val="00AC7339"/>
    <w:rsid w:val="00AC7395"/>
    <w:rsid w:val="00AC7407"/>
    <w:rsid w:val="00AC75E2"/>
    <w:rsid w:val="00AC780F"/>
    <w:rsid w:val="00AC798C"/>
    <w:rsid w:val="00AC7DA2"/>
    <w:rsid w:val="00AD02D4"/>
    <w:rsid w:val="00AD0424"/>
    <w:rsid w:val="00AD05F4"/>
    <w:rsid w:val="00AD06C9"/>
    <w:rsid w:val="00AD0B48"/>
    <w:rsid w:val="00AD0C33"/>
    <w:rsid w:val="00AD0DF7"/>
    <w:rsid w:val="00AD113A"/>
    <w:rsid w:val="00AD190F"/>
    <w:rsid w:val="00AD1BCD"/>
    <w:rsid w:val="00AD1C01"/>
    <w:rsid w:val="00AD1F04"/>
    <w:rsid w:val="00AD20CD"/>
    <w:rsid w:val="00AD20D0"/>
    <w:rsid w:val="00AD2143"/>
    <w:rsid w:val="00AD228D"/>
    <w:rsid w:val="00AD22A8"/>
    <w:rsid w:val="00AD23DF"/>
    <w:rsid w:val="00AD24C7"/>
    <w:rsid w:val="00AD26D9"/>
    <w:rsid w:val="00AD26F0"/>
    <w:rsid w:val="00AD2795"/>
    <w:rsid w:val="00AD29CD"/>
    <w:rsid w:val="00AD2A3F"/>
    <w:rsid w:val="00AD2D4E"/>
    <w:rsid w:val="00AD3291"/>
    <w:rsid w:val="00AD3418"/>
    <w:rsid w:val="00AD3579"/>
    <w:rsid w:val="00AD358F"/>
    <w:rsid w:val="00AD35E2"/>
    <w:rsid w:val="00AD3783"/>
    <w:rsid w:val="00AD3887"/>
    <w:rsid w:val="00AD39C0"/>
    <w:rsid w:val="00AD3BAD"/>
    <w:rsid w:val="00AD3C7C"/>
    <w:rsid w:val="00AD3F87"/>
    <w:rsid w:val="00AD3F94"/>
    <w:rsid w:val="00AD40C4"/>
    <w:rsid w:val="00AD40CD"/>
    <w:rsid w:val="00AD4169"/>
    <w:rsid w:val="00AD41FF"/>
    <w:rsid w:val="00AD4293"/>
    <w:rsid w:val="00AD439A"/>
    <w:rsid w:val="00AD4439"/>
    <w:rsid w:val="00AD45D0"/>
    <w:rsid w:val="00AD4744"/>
    <w:rsid w:val="00AD4771"/>
    <w:rsid w:val="00AD47C6"/>
    <w:rsid w:val="00AD48E2"/>
    <w:rsid w:val="00AD4AFD"/>
    <w:rsid w:val="00AD4C0C"/>
    <w:rsid w:val="00AD4C10"/>
    <w:rsid w:val="00AD4C7E"/>
    <w:rsid w:val="00AD4CAF"/>
    <w:rsid w:val="00AD4CDB"/>
    <w:rsid w:val="00AD50E1"/>
    <w:rsid w:val="00AD50EF"/>
    <w:rsid w:val="00AD544E"/>
    <w:rsid w:val="00AD549C"/>
    <w:rsid w:val="00AD55DC"/>
    <w:rsid w:val="00AD5983"/>
    <w:rsid w:val="00AD5A71"/>
    <w:rsid w:val="00AD5C8B"/>
    <w:rsid w:val="00AD5CC1"/>
    <w:rsid w:val="00AD5EB1"/>
    <w:rsid w:val="00AD5FF4"/>
    <w:rsid w:val="00AD60D5"/>
    <w:rsid w:val="00AD6147"/>
    <w:rsid w:val="00AD6171"/>
    <w:rsid w:val="00AD61C4"/>
    <w:rsid w:val="00AD6329"/>
    <w:rsid w:val="00AD6454"/>
    <w:rsid w:val="00AD652A"/>
    <w:rsid w:val="00AD657A"/>
    <w:rsid w:val="00AD6636"/>
    <w:rsid w:val="00AD6681"/>
    <w:rsid w:val="00AD6B39"/>
    <w:rsid w:val="00AD6BB1"/>
    <w:rsid w:val="00AD6FC3"/>
    <w:rsid w:val="00AD73FD"/>
    <w:rsid w:val="00AD74DE"/>
    <w:rsid w:val="00AD76E5"/>
    <w:rsid w:val="00AD778D"/>
    <w:rsid w:val="00AD77FB"/>
    <w:rsid w:val="00AD7AAD"/>
    <w:rsid w:val="00AD7ED2"/>
    <w:rsid w:val="00AE0081"/>
    <w:rsid w:val="00AE01B9"/>
    <w:rsid w:val="00AE0280"/>
    <w:rsid w:val="00AE0283"/>
    <w:rsid w:val="00AE035C"/>
    <w:rsid w:val="00AE0706"/>
    <w:rsid w:val="00AE0817"/>
    <w:rsid w:val="00AE08D0"/>
    <w:rsid w:val="00AE0958"/>
    <w:rsid w:val="00AE09DA"/>
    <w:rsid w:val="00AE0A38"/>
    <w:rsid w:val="00AE0B94"/>
    <w:rsid w:val="00AE0C0F"/>
    <w:rsid w:val="00AE0CE2"/>
    <w:rsid w:val="00AE0DAF"/>
    <w:rsid w:val="00AE0E2A"/>
    <w:rsid w:val="00AE11AD"/>
    <w:rsid w:val="00AE11D0"/>
    <w:rsid w:val="00AE12A0"/>
    <w:rsid w:val="00AE1474"/>
    <w:rsid w:val="00AE155F"/>
    <w:rsid w:val="00AE15A5"/>
    <w:rsid w:val="00AE15E6"/>
    <w:rsid w:val="00AE17CC"/>
    <w:rsid w:val="00AE1829"/>
    <w:rsid w:val="00AE199B"/>
    <w:rsid w:val="00AE19F6"/>
    <w:rsid w:val="00AE1C56"/>
    <w:rsid w:val="00AE1D17"/>
    <w:rsid w:val="00AE1DCD"/>
    <w:rsid w:val="00AE1E06"/>
    <w:rsid w:val="00AE1E55"/>
    <w:rsid w:val="00AE1F48"/>
    <w:rsid w:val="00AE23AD"/>
    <w:rsid w:val="00AE27E1"/>
    <w:rsid w:val="00AE28D8"/>
    <w:rsid w:val="00AE2B57"/>
    <w:rsid w:val="00AE2C4D"/>
    <w:rsid w:val="00AE3129"/>
    <w:rsid w:val="00AE3307"/>
    <w:rsid w:val="00AE3313"/>
    <w:rsid w:val="00AE3559"/>
    <w:rsid w:val="00AE35CC"/>
    <w:rsid w:val="00AE3628"/>
    <w:rsid w:val="00AE3657"/>
    <w:rsid w:val="00AE3795"/>
    <w:rsid w:val="00AE3852"/>
    <w:rsid w:val="00AE3980"/>
    <w:rsid w:val="00AE3B4D"/>
    <w:rsid w:val="00AE3BB2"/>
    <w:rsid w:val="00AE3FDE"/>
    <w:rsid w:val="00AE40BA"/>
    <w:rsid w:val="00AE4122"/>
    <w:rsid w:val="00AE4379"/>
    <w:rsid w:val="00AE45FE"/>
    <w:rsid w:val="00AE467F"/>
    <w:rsid w:val="00AE480E"/>
    <w:rsid w:val="00AE4CD9"/>
    <w:rsid w:val="00AE4E18"/>
    <w:rsid w:val="00AE4F1B"/>
    <w:rsid w:val="00AE5025"/>
    <w:rsid w:val="00AE52F6"/>
    <w:rsid w:val="00AE5331"/>
    <w:rsid w:val="00AE5348"/>
    <w:rsid w:val="00AE5401"/>
    <w:rsid w:val="00AE54F0"/>
    <w:rsid w:val="00AE54FB"/>
    <w:rsid w:val="00AE56BF"/>
    <w:rsid w:val="00AE56C1"/>
    <w:rsid w:val="00AE59CF"/>
    <w:rsid w:val="00AE5A32"/>
    <w:rsid w:val="00AE5A43"/>
    <w:rsid w:val="00AE5B35"/>
    <w:rsid w:val="00AE5C17"/>
    <w:rsid w:val="00AE606B"/>
    <w:rsid w:val="00AE6286"/>
    <w:rsid w:val="00AE62A7"/>
    <w:rsid w:val="00AE632C"/>
    <w:rsid w:val="00AE6398"/>
    <w:rsid w:val="00AE65F9"/>
    <w:rsid w:val="00AE6643"/>
    <w:rsid w:val="00AE6807"/>
    <w:rsid w:val="00AE687D"/>
    <w:rsid w:val="00AE6B19"/>
    <w:rsid w:val="00AE6BAB"/>
    <w:rsid w:val="00AE70B8"/>
    <w:rsid w:val="00AE7124"/>
    <w:rsid w:val="00AE713A"/>
    <w:rsid w:val="00AE727F"/>
    <w:rsid w:val="00AE731B"/>
    <w:rsid w:val="00AE74D2"/>
    <w:rsid w:val="00AE7536"/>
    <w:rsid w:val="00AE766D"/>
    <w:rsid w:val="00AE770A"/>
    <w:rsid w:val="00AE7969"/>
    <w:rsid w:val="00AE7EDA"/>
    <w:rsid w:val="00AE7FA4"/>
    <w:rsid w:val="00AF0052"/>
    <w:rsid w:val="00AF007B"/>
    <w:rsid w:val="00AF018F"/>
    <w:rsid w:val="00AF025E"/>
    <w:rsid w:val="00AF0308"/>
    <w:rsid w:val="00AF0320"/>
    <w:rsid w:val="00AF039E"/>
    <w:rsid w:val="00AF05EA"/>
    <w:rsid w:val="00AF0684"/>
    <w:rsid w:val="00AF06B2"/>
    <w:rsid w:val="00AF0779"/>
    <w:rsid w:val="00AF0819"/>
    <w:rsid w:val="00AF0A6C"/>
    <w:rsid w:val="00AF0F2C"/>
    <w:rsid w:val="00AF1178"/>
    <w:rsid w:val="00AF11BC"/>
    <w:rsid w:val="00AF143D"/>
    <w:rsid w:val="00AF1A47"/>
    <w:rsid w:val="00AF1B84"/>
    <w:rsid w:val="00AF1BAE"/>
    <w:rsid w:val="00AF1BEE"/>
    <w:rsid w:val="00AF1BF8"/>
    <w:rsid w:val="00AF1C7F"/>
    <w:rsid w:val="00AF1F53"/>
    <w:rsid w:val="00AF2098"/>
    <w:rsid w:val="00AF21DF"/>
    <w:rsid w:val="00AF2284"/>
    <w:rsid w:val="00AF22BC"/>
    <w:rsid w:val="00AF23F8"/>
    <w:rsid w:val="00AF2420"/>
    <w:rsid w:val="00AF2866"/>
    <w:rsid w:val="00AF2A32"/>
    <w:rsid w:val="00AF2E5F"/>
    <w:rsid w:val="00AF2E7A"/>
    <w:rsid w:val="00AF3097"/>
    <w:rsid w:val="00AF31E3"/>
    <w:rsid w:val="00AF32F6"/>
    <w:rsid w:val="00AF3348"/>
    <w:rsid w:val="00AF3383"/>
    <w:rsid w:val="00AF36C6"/>
    <w:rsid w:val="00AF3968"/>
    <w:rsid w:val="00AF3D75"/>
    <w:rsid w:val="00AF3FD5"/>
    <w:rsid w:val="00AF3FE6"/>
    <w:rsid w:val="00AF400A"/>
    <w:rsid w:val="00AF404D"/>
    <w:rsid w:val="00AF422B"/>
    <w:rsid w:val="00AF4247"/>
    <w:rsid w:val="00AF4264"/>
    <w:rsid w:val="00AF427F"/>
    <w:rsid w:val="00AF4319"/>
    <w:rsid w:val="00AF43E1"/>
    <w:rsid w:val="00AF44F5"/>
    <w:rsid w:val="00AF45C7"/>
    <w:rsid w:val="00AF4605"/>
    <w:rsid w:val="00AF481E"/>
    <w:rsid w:val="00AF4919"/>
    <w:rsid w:val="00AF498E"/>
    <w:rsid w:val="00AF4AC1"/>
    <w:rsid w:val="00AF4ACE"/>
    <w:rsid w:val="00AF4C2E"/>
    <w:rsid w:val="00AF4E46"/>
    <w:rsid w:val="00AF4F7B"/>
    <w:rsid w:val="00AF5097"/>
    <w:rsid w:val="00AF52EE"/>
    <w:rsid w:val="00AF53BA"/>
    <w:rsid w:val="00AF5748"/>
    <w:rsid w:val="00AF5803"/>
    <w:rsid w:val="00AF58D2"/>
    <w:rsid w:val="00AF58EF"/>
    <w:rsid w:val="00AF5E87"/>
    <w:rsid w:val="00AF5FBD"/>
    <w:rsid w:val="00AF6229"/>
    <w:rsid w:val="00AF65DA"/>
    <w:rsid w:val="00AF685D"/>
    <w:rsid w:val="00AF68BC"/>
    <w:rsid w:val="00AF6988"/>
    <w:rsid w:val="00AF69E3"/>
    <w:rsid w:val="00AF6AE1"/>
    <w:rsid w:val="00AF6B78"/>
    <w:rsid w:val="00AF6BAE"/>
    <w:rsid w:val="00AF6E24"/>
    <w:rsid w:val="00AF6F30"/>
    <w:rsid w:val="00AF6FA6"/>
    <w:rsid w:val="00AF7085"/>
    <w:rsid w:val="00AF70A7"/>
    <w:rsid w:val="00AF71F2"/>
    <w:rsid w:val="00AF7212"/>
    <w:rsid w:val="00AF7263"/>
    <w:rsid w:val="00AF73ED"/>
    <w:rsid w:val="00AF755F"/>
    <w:rsid w:val="00AF79F0"/>
    <w:rsid w:val="00AF7B77"/>
    <w:rsid w:val="00AF7C39"/>
    <w:rsid w:val="00AF7CD1"/>
    <w:rsid w:val="00AF7E28"/>
    <w:rsid w:val="00AF7F32"/>
    <w:rsid w:val="00AF7F56"/>
    <w:rsid w:val="00B00246"/>
    <w:rsid w:val="00B00268"/>
    <w:rsid w:val="00B003B5"/>
    <w:rsid w:val="00B00405"/>
    <w:rsid w:val="00B009F0"/>
    <w:rsid w:val="00B00A96"/>
    <w:rsid w:val="00B00CE9"/>
    <w:rsid w:val="00B00DB9"/>
    <w:rsid w:val="00B00EB2"/>
    <w:rsid w:val="00B00FD4"/>
    <w:rsid w:val="00B00FD9"/>
    <w:rsid w:val="00B01069"/>
    <w:rsid w:val="00B0126E"/>
    <w:rsid w:val="00B01295"/>
    <w:rsid w:val="00B01541"/>
    <w:rsid w:val="00B016D5"/>
    <w:rsid w:val="00B0186C"/>
    <w:rsid w:val="00B018FA"/>
    <w:rsid w:val="00B01C4A"/>
    <w:rsid w:val="00B01D44"/>
    <w:rsid w:val="00B02204"/>
    <w:rsid w:val="00B025B0"/>
    <w:rsid w:val="00B026EC"/>
    <w:rsid w:val="00B02B00"/>
    <w:rsid w:val="00B02D02"/>
    <w:rsid w:val="00B02D88"/>
    <w:rsid w:val="00B02F19"/>
    <w:rsid w:val="00B03139"/>
    <w:rsid w:val="00B03376"/>
    <w:rsid w:val="00B033EB"/>
    <w:rsid w:val="00B03435"/>
    <w:rsid w:val="00B0343D"/>
    <w:rsid w:val="00B035C5"/>
    <w:rsid w:val="00B037AB"/>
    <w:rsid w:val="00B038AB"/>
    <w:rsid w:val="00B03A1B"/>
    <w:rsid w:val="00B03A6A"/>
    <w:rsid w:val="00B03CA7"/>
    <w:rsid w:val="00B03D20"/>
    <w:rsid w:val="00B046CD"/>
    <w:rsid w:val="00B047C0"/>
    <w:rsid w:val="00B048BD"/>
    <w:rsid w:val="00B04AB4"/>
    <w:rsid w:val="00B04F63"/>
    <w:rsid w:val="00B04F6F"/>
    <w:rsid w:val="00B05281"/>
    <w:rsid w:val="00B05322"/>
    <w:rsid w:val="00B05336"/>
    <w:rsid w:val="00B053C7"/>
    <w:rsid w:val="00B054A1"/>
    <w:rsid w:val="00B0555B"/>
    <w:rsid w:val="00B058A8"/>
    <w:rsid w:val="00B05BF9"/>
    <w:rsid w:val="00B05D67"/>
    <w:rsid w:val="00B060B4"/>
    <w:rsid w:val="00B06100"/>
    <w:rsid w:val="00B061EC"/>
    <w:rsid w:val="00B061EE"/>
    <w:rsid w:val="00B0629B"/>
    <w:rsid w:val="00B063E7"/>
    <w:rsid w:val="00B06453"/>
    <w:rsid w:val="00B06457"/>
    <w:rsid w:val="00B06546"/>
    <w:rsid w:val="00B06642"/>
    <w:rsid w:val="00B0684F"/>
    <w:rsid w:val="00B06982"/>
    <w:rsid w:val="00B06AD0"/>
    <w:rsid w:val="00B06B19"/>
    <w:rsid w:val="00B06BCC"/>
    <w:rsid w:val="00B06DCF"/>
    <w:rsid w:val="00B06F77"/>
    <w:rsid w:val="00B06FA1"/>
    <w:rsid w:val="00B06FAA"/>
    <w:rsid w:val="00B0719D"/>
    <w:rsid w:val="00B0728A"/>
    <w:rsid w:val="00B073BA"/>
    <w:rsid w:val="00B0769D"/>
    <w:rsid w:val="00B076E8"/>
    <w:rsid w:val="00B07794"/>
    <w:rsid w:val="00B07AB4"/>
    <w:rsid w:val="00B07CF7"/>
    <w:rsid w:val="00B07DC8"/>
    <w:rsid w:val="00B07DDB"/>
    <w:rsid w:val="00B07E99"/>
    <w:rsid w:val="00B0FF64"/>
    <w:rsid w:val="00B102F2"/>
    <w:rsid w:val="00B10438"/>
    <w:rsid w:val="00B10552"/>
    <w:rsid w:val="00B106CD"/>
    <w:rsid w:val="00B10827"/>
    <w:rsid w:val="00B109FD"/>
    <w:rsid w:val="00B10B1A"/>
    <w:rsid w:val="00B10E5A"/>
    <w:rsid w:val="00B10EA6"/>
    <w:rsid w:val="00B10F3E"/>
    <w:rsid w:val="00B10FB2"/>
    <w:rsid w:val="00B11250"/>
    <w:rsid w:val="00B11378"/>
    <w:rsid w:val="00B114DF"/>
    <w:rsid w:val="00B11547"/>
    <w:rsid w:val="00B119F1"/>
    <w:rsid w:val="00B11A76"/>
    <w:rsid w:val="00B11C8E"/>
    <w:rsid w:val="00B11C9F"/>
    <w:rsid w:val="00B11CB2"/>
    <w:rsid w:val="00B11CC3"/>
    <w:rsid w:val="00B11E25"/>
    <w:rsid w:val="00B11E31"/>
    <w:rsid w:val="00B11FEC"/>
    <w:rsid w:val="00B12009"/>
    <w:rsid w:val="00B123B4"/>
    <w:rsid w:val="00B126EB"/>
    <w:rsid w:val="00B12752"/>
    <w:rsid w:val="00B12C8A"/>
    <w:rsid w:val="00B12DE5"/>
    <w:rsid w:val="00B13096"/>
    <w:rsid w:val="00B13390"/>
    <w:rsid w:val="00B13698"/>
    <w:rsid w:val="00B137BE"/>
    <w:rsid w:val="00B139D1"/>
    <w:rsid w:val="00B13FDE"/>
    <w:rsid w:val="00B1410A"/>
    <w:rsid w:val="00B14167"/>
    <w:rsid w:val="00B141ED"/>
    <w:rsid w:val="00B14480"/>
    <w:rsid w:val="00B147E7"/>
    <w:rsid w:val="00B14E9D"/>
    <w:rsid w:val="00B14ECB"/>
    <w:rsid w:val="00B14EE5"/>
    <w:rsid w:val="00B1500A"/>
    <w:rsid w:val="00B151C0"/>
    <w:rsid w:val="00B151E0"/>
    <w:rsid w:val="00B152B8"/>
    <w:rsid w:val="00B1546F"/>
    <w:rsid w:val="00B15624"/>
    <w:rsid w:val="00B157F9"/>
    <w:rsid w:val="00B158D5"/>
    <w:rsid w:val="00B1598C"/>
    <w:rsid w:val="00B15ECC"/>
    <w:rsid w:val="00B16621"/>
    <w:rsid w:val="00B1664A"/>
    <w:rsid w:val="00B167E3"/>
    <w:rsid w:val="00B167FE"/>
    <w:rsid w:val="00B16C3A"/>
    <w:rsid w:val="00B16CFC"/>
    <w:rsid w:val="00B16D11"/>
    <w:rsid w:val="00B16D85"/>
    <w:rsid w:val="00B16FFC"/>
    <w:rsid w:val="00B171EE"/>
    <w:rsid w:val="00B172D1"/>
    <w:rsid w:val="00B173FC"/>
    <w:rsid w:val="00B175AE"/>
    <w:rsid w:val="00B177EB"/>
    <w:rsid w:val="00B179A8"/>
    <w:rsid w:val="00B17B33"/>
    <w:rsid w:val="00B17B4C"/>
    <w:rsid w:val="00B17B7B"/>
    <w:rsid w:val="00B17ED1"/>
    <w:rsid w:val="00B17F99"/>
    <w:rsid w:val="00B2012E"/>
    <w:rsid w:val="00B20834"/>
    <w:rsid w:val="00B20850"/>
    <w:rsid w:val="00B208EE"/>
    <w:rsid w:val="00B20A64"/>
    <w:rsid w:val="00B20ED1"/>
    <w:rsid w:val="00B20F74"/>
    <w:rsid w:val="00B21392"/>
    <w:rsid w:val="00B21610"/>
    <w:rsid w:val="00B21975"/>
    <w:rsid w:val="00B21BE9"/>
    <w:rsid w:val="00B21C67"/>
    <w:rsid w:val="00B21D0F"/>
    <w:rsid w:val="00B21D78"/>
    <w:rsid w:val="00B21FAB"/>
    <w:rsid w:val="00B22579"/>
    <w:rsid w:val="00B22621"/>
    <w:rsid w:val="00B226B1"/>
    <w:rsid w:val="00B22A4A"/>
    <w:rsid w:val="00B22AA4"/>
    <w:rsid w:val="00B22DDA"/>
    <w:rsid w:val="00B22F45"/>
    <w:rsid w:val="00B22FC3"/>
    <w:rsid w:val="00B230BC"/>
    <w:rsid w:val="00B230C2"/>
    <w:rsid w:val="00B23319"/>
    <w:rsid w:val="00B233FD"/>
    <w:rsid w:val="00B23607"/>
    <w:rsid w:val="00B237AB"/>
    <w:rsid w:val="00B23A07"/>
    <w:rsid w:val="00B23A7F"/>
    <w:rsid w:val="00B23C6E"/>
    <w:rsid w:val="00B23FD4"/>
    <w:rsid w:val="00B24223"/>
    <w:rsid w:val="00B24425"/>
    <w:rsid w:val="00B246CE"/>
    <w:rsid w:val="00B24721"/>
    <w:rsid w:val="00B24842"/>
    <w:rsid w:val="00B24935"/>
    <w:rsid w:val="00B24B4A"/>
    <w:rsid w:val="00B24C43"/>
    <w:rsid w:val="00B24CB0"/>
    <w:rsid w:val="00B24FE4"/>
    <w:rsid w:val="00B2520A"/>
    <w:rsid w:val="00B25211"/>
    <w:rsid w:val="00B25240"/>
    <w:rsid w:val="00B2532E"/>
    <w:rsid w:val="00B25529"/>
    <w:rsid w:val="00B2552A"/>
    <w:rsid w:val="00B25805"/>
    <w:rsid w:val="00B259E1"/>
    <w:rsid w:val="00B25E97"/>
    <w:rsid w:val="00B26088"/>
    <w:rsid w:val="00B262D3"/>
    <w:rsid w:val="00B26369"/>
    <w:rsid w:val="00B26388"/>
    <w:rsid w:val="00B26390"/>
    <w:rsid w:val="00B263FD"/>
    <w:rsid w:val="00B26699"/>
    <w:rsid w:val="00B269BE"/>
    <w:rsid w:val="00B26B17"/>
    <w:rsid w:val="00B26B57"/>
    <w:rsid w:val="00B26BE1"/>
    <w:rsid w:val="00B26D28"/>
    <w:rsid w:val="00B26F0A"/>
    <w:rsid w:val="00B27058"/>
    <w:rsid w:val="00B27179"/>
    <w:rsid w:val="00B2727F"/>
    <w:rsid w:val="00B27338"/>
    <w:rsid w:val="00B273E7"/>
    <w:rsid w:val="00B274D9"/>
    <w:rsid w:val="00B27812"/>
    <w:rsid w:val="00B278AE"/>
    <w:rsid w:val="00B2795E"/>
    <w:rsid w:val="00B27B12"/>
    <w:rsid w:val="00B27BE9"/>
    <w:rsid w:val="00B27C4E"/>
    <w:rsid w:val="00B27F2E"/>
    <w:rsid w:val="00B27F6C"/>
    <w:rsid w:val="00B27F6E"/>
    <w:rsid w:val="00B27FD0"/>
    <w:rsid w:val="00B300B5"/>
    <w:rsid w:val="00B301B9"/>
    <w:rsid w:val="00B3022A"/>
    <w:rsid w:val="00B30614"/>
    <w:rsid w:val="00B30651"/>
    <w:rsid w:val="00B30699"/>
    <w:rsid w:val="00B3070F"/>
    <w:rsid w:val="00B30716"/>
    <w:rsid w:val="00B30838"/>
    <w:rsid w:val="00B30842"/>
    <w:rsid w:val="00B30A55"/>
    <w:rsid w:val="00B30AAB"/>
    <w:rsid w:val="00B30C52"/>
    <w:rsid w:val="00B30D5B"/>
    <w:rsid w:val="00B3101E"/>
    <w:rsid w:val="00B311D5"/>
    <w:rsid w:val="00B31355"/>
    <w:rsid w:val="00B31533"/>
    <w:rsid w:val="00B3158F"/>
    <w:rsid w:val="00B31597"/>
    <w:rsid w:val="00B315F0"/>
    <w:rsid w:val="00B31AA1"/>
    <w:rsid w:val="00B31AA7"/>
    <w:rsid w:val="00B31C0A"/>
    <w:rsid w:val="00B31D81"/>
    <w:rsid w:val="00B31EE5"/>
    <w:rsid w:val="00B3219C"/>
    <w:rsid w:val="00B321E2"/>
    <w:rsid w:val="00B321F3"/>
    <w:rsid w:val="00B3228B"/>
    <w:rsid w:val="00B32514"/>
    <w:rsid w:val="00B3253A"/>
    <w:rsid w:val="00B3265A"/>
    <w:rsid w:val="00B32714"/>
    <w:rsid w:val="00B32850"/>
    <w:rsid w:val="00B32A2D"/>
    <w:rsid w:val="00B32AAD"/>
    <w:rsid w:val="00B32AB5"/>
    <w:rsid w:val="00B32C36"/>
    <w:rsid w:val="00B32D56"/>
    <w:rsid w:val="00B32D90"/>
    <w:rsid w:val="00B33152"/>
    <w:rsid w:val="00B3382B"/>
    <w:rsid w:val="00B33ADE"/>
    <w:rsid w:val="00B33B56"/>
    <w:rsid w:val="00B33BF1"/>
    <w:rsid w:val="00B33C6B"/>
    <w:rsid w:val="00B33FC6"/>
    <w:rsid w:val="00B34387"/>
    <w:rsid w:val="00B34636"/>
    <w:rsid w:val="00B34667"/>
    <w:rsid w:val="00B34844"/>
    <w:rsid w:val="00B348DC"/>
    <w:rsid w:val="00B349E9"/>
    <w:rsid w:val="00B349F2"/>
    <w:rsid w:val="00B34C6B"/>
    <w:rsid w:val="00B34C77"/>
    <w:rsid w:val="00B34D91"/>
    <w:rsid w:val="00B34E51"/>
    <w:rsid w:val="00B352B1"/>
    <w:rsid w:val="00B35349"/>
    <w:rsid w:val="00B3541F"/>
    <w:rsid w:val="00B355C9"/>
    <w:rsid w:val="00B356E8"/>
    <w:rsid w:val="00B3574F"/>
    <w:rsid w:val="00B35756"/>
    <w:rsid w:val="00B35A53"/>
    <w:rsid w:val="00B35A79"/>
    <w:rsid w:val="00B35DB6"/>
    <w:rsid w:val="00B360A3"/>
    <w:rsid w:val="00B360D6"/>
    <w:rsid w:val="00B36108"/>
    <w:rsid w:val="00B36226"/>
    <w:rsid w:val="00B362DD"/>
    <w:rsid w:val="00B36396"/>
    <w:rsid w:val="00B364D7"/>
    <w:rsid w:val="00B3679E"/>
    <w:rsid w:val="00B369C0"/>
    <w:rsid w:val="00B36E7A"/>
    <w:rsid w:val="00B37084"/>
    <w:rsid w:val="00B370D8"/>
    <w:rsid w:val="00B370E6"/>
    <w:rsid w:val="00B370F7"/>
    <w:rsid w:val="00B37163"/>
    <w:rsid w:val="00B3721D"/>
    <w:rsid w:val="00B372F3"/>
    <w:rsid w:val="00B373A3"/>
    <w:rsid w:val="00B373D6"/>
    <w:rsid w:val="00B37438"/>
    <w:rsid w:val="00B374B6"/>
    <w:rsid w:val="00B3765B"/>
    <w:rsid w:val="00B377A7"/>
    <w:rsid w:val="00B3792C"/>
    <w:rsid w:val="00B37964"/>
    <w:rsid w:val="00B379A8"/>
    <w:rsid w:val="00B379CF"/>
    <w:rsid w:val="00B37A08"/>
    <w:rsid w:val="00B37A25"/>
    <w:rsid w:val="00B37B52"/>
    <w:rsid w:val="00B37B90"/>
    <w:rsid w:val="00B37D53"/>
    <w:rsid w:val="00B37EC2"/>
    <w:rsid w:val="00B40275"/>
    <w:rsid w:val="00B406E0"/>
    <w:rsid w:val="00B406F7"/>
    <w:rsid w:val="00B4092D"/>
    <w:rsid w:val="00B40CF0"/>
    <w:rsid w:val="00B40D3B"/>
    <w:rsid w:val="00B41152"/>
    <w:rsid w:val="00B41312"/>
    <w:rsid w:val="00B4151F"/>
    <w:rsid w:val="00B41647"/>
    <w:rsid w:val="00B417D6"/>
    <w:rsid w:val="00B41825"/>
    <w:rsid w:val="00B419A4"/>
    <w:rsid w:val="00B41A0F"/>
    <w:rsid w:val="00B41B84"/>
    <w:rsid w:val="00B41CBF"/>
    <w:rsid w:val="00B41CE3"/>
    <w:rsid w:val="00B41E3A"/>
    <w:rsid w:val="00B41E5D"/>
    <w:rsid w:val="00B41E9B"/>
    <w:rsid w:val="00B41EB7"/>
    <w:rsid w:val="00B41FF6"/>
    <w:rsid w:val="00B42402"/>
    <w:rsid w:val="00B4292B"/>
    <w:rsid w:val="00B42A25"/>
    <w:rsid w:val="00B42BE3"/>
    <w:rsid w:val="00B42C15"/>
    <w:rsid w:val="00B42FFC"/>
    <w:rsid w:val="00B430E4"/>
    <w:rsid w:val="00B43103"/>
    <w:rsid w:val="00B433F0"/>
    <w:rsid w:val="00B434B8"/>
    <w:rsid w:val="00B43721"/>
    <w:rsid w:val="00B439E0"/>
    <w:rsid w:val="00B43D0F"/>
    <w:rsid w:val="00B44006"/>
    <w:rsid w:val="00B44294"/>
    <w:rsid w:val="00B444D7"/>
    <w:rsid w:val="00B4458C"/>
    <w:rsid w:val="00B44769"/>
    <w:rsid w:val="00B44953"/>
    <w:rsid w:val="00B44E21"/>
    <w:rsid w:val="00B44F22"/>
    <w:rsid w:val="00B44F9B"/>
    <w:rsid w:val="00B450DB"/>
    <w:rsid w:val="00B455BC"/>
    <w:rsid w:val="00B456D1"/>
    <w:rsid w:val="00B45738"/>
    <w:rsid w:val="00B45822"/>
    <w:rsid w:val="00B45892"/>
    <w:rsid w:val="00B45896"/>
    <w:rsid w:val="00B4591B"/>
    <w:rsid w:val="00B45938"/>
    <w:rsid w:val="00B45A6C"/>
    <w:rsid w:val="00B45B22"/>
    <w:rsid w:val="00B45D0C"/>
    <w:rsid w:val="00B45E48"/>
    <w:rsid w:val="00B464AF"/>
    <w:rsid w:val="00B464CF"/>
    <w:rsid w:val="00B46631"/>
    <w:rsid w:val="00B4675D"/>
    <w:rsid w:val="00B46820"/>
    <w:rsid w:val="00B46848"/>
    <w:rsid w:val="00B468E0"/>
    <w:rsid w:val="00B46914"/>
    <w:rsid w:val="00B46996"/>
    <w:rsid w:val="00B469CF"/>
    <w:rsid w:val="00B469EB"/>
    <w:rsid w:val="00B46C76"/>
    <w:rsid w:val="00B470A9"/>
    <w:rsid w:val="00B471D8"/>
    <w:rsid w:val="00B472F0"/>
    <w:rsid w:val="00B474F3"/>
    <w:rsid w:val="00B475B7"/>
    <w:rsid w:val="00B475CA"/>
    <w:rsid w:val="00B47683"/>
    <w:rsid w:val="00B477E4"/>
    <w:rsid w:val="00B47B43"/>
    <w:rsid w:val="00B47B69"/>
    <w:rsid w:val="00B47BA2"/>
    <w:rsid w:val="00B47C79"/>
    <w:rsid w:val="00B47CAA"/>
    <w:rsid w:val="00B47CF8"/>
    <w:rsid w:val="00B47DBC"/>
    <w:rsid w:val="00B47DD9"/>
    <w:rsid w:val="00B47E23"/>
    <w:rsid w:val="00B47E3F"/>
    <w:rsid w:val="00B50102"/>
    <w:rsid w:val="00B5042D"/>
    <w:rsid w:val="00B50724"/>
    <w:rsid w:val="00B507B6"/>
    <w:rsid w:val="00B50A9C"/>
    <w:rsid w:val="00B50B84"/>
    <w:rsid w:val="00B50CF1"/>
    <w:rsid w:val="00B50F06"/>
    <w:rsid w:val="00B50F98"/>
    <w:rsid w:val="00B50FFD"/>
    <w:rsid w:val="00B5118D"/>
    <w:rsid w:val="00B511B1"/>
    <w:rsid w:val="00B512C0"/>
    <w:rsid w:val="00B513C1"/>
    <w:rsid w:val="00B51514"/>
    <w:rsid w:val="00B517CD"/>
    <w:rsid w:val="00B5194A"/>
    <w:rsid w:val="00B51A00"/>
    <w:rsid w:val="00B51A01"/>
    <w:rsid w:val="00B51AF9"/>
    <w:rsid w:val="00B51C19"/>
    <w:rsid w:val="00B51D93"/>
    <w:rsid w:val="00B51DCF"/>
    <w:rsid w:val="00B51FE0"/>
    <w:rsid w:val="00B52504"/>
    <w:rsid w:val="00B52627"/>
    <w:rsid w:val="00B5279D"/>
    <w:rsid w:val="00B5279F"/>
    <w:rsid w:val="00B527CE"/>
    <w:rsid w:val="00B528C7"/>
    <w:rsid w:val="00B529EF"/>
    <w:rsid w:val="00B52D82"/>
    <w:rsid w:val="00B52E2B"/>
    <w:rsid w:val="00B52EC6"/>
    <w:rsid w:val="00B53215"/>
    <w:rsid w:val="00B5322A"/>
    <w:rsid w:val="00B5328D"/>
    <w:rsid w:val="00B53334"/>
    <w:rsid w:val="00B538C9"/>
    <w:rsid w:val="00B53D54"/>
    <w:rsid w:val="00B53F1B"/>
    <w:rsid w:val="00B54567"/>
    <w:rsid w:val="00B54784"/>
    <w:rsid w:val="00B547D5"/>
    <w:rsid w:val="00B54880"/>
    <w:rsid w:val="00B548A9"/>
    <w:rsid w:val="00B54967"/>
    <w:rsid w:val="00B55085"/>
    <w:rsid w:val="00B553D2"/>
    <w:rsid w:val="00B55478"/>
    <w:rsid w:val="00B555F8"/>
    <w:rsid w:val="00B5562A"/>
    <w:rsid w:val="00B5562C"/>
    <w:rsid w:val="00B558E3"/>
    <w:rsid w:val="00B55A00"/>
    <w:rsid w:val="00B55A0B"/>
    <w:rsid w:val="00B55AE1"/>
    <w:rsid w:val="00B55F6C"/>
    <w:rsid w:val="00B56015"/>
    <w:rsid w:val="00B560CF"/>
    <w:rsid w:val="00B561CA"/>
    <w:rsid w:val="00B562A3"/>
    <w:rsid w:val="00B56444"/>
    <w:rsid w:val="00B565C1"/>
    <w:rsid w:val="00B56726"/>
    <w:rsid w:val="00B56733"/>
    <w:rsid w:val="00B56785"/>
    <w:rsid w:val="00B56B16"/>
    <w:rsid w:val="00B56BD3"/>
    <w:rsid w:val="00B56D08"/>
    <w:rsid w:val="00B5709E"/>
    <w:rsid w:val="00B57609"/>
    <w:rsid w:val="00B5766F"/>
    <w:rsid w:val="00B57702"/>
    <w:rsid w:val="00B578DC"/>
    <w:rsid w:val="00B57DBB"/>
    <w:rsid w:val="00B601F5"/>
    <w:rsid w:val="00B6029E"/>
    <w:rsid w:val="00B607BD"/>
    <w:rsid w:val="00B609BD"/>
    <w:rsid w:val="00B609E7"/>
    <w:rsid w:val="00B60B72"/>
    <w:rsid w:val="00B60E86"/>
    <w:rsid w:val="00B60EDB"/>
    <w:rsid w:val="00B61197"/>
    <w:rsid w:val="00B6163F"/>
    <w:rsid w:val="00B6179E"/>
    <w:rsid w:val="00B617AB"/>
    <w:rsid w:val="00B6181E"/>
    <w:rsid w:val="00B618A0"/>
    <w:rsid w:val="00B619A4"/>
    <w:rsid w:val="00B61D86"/>
    <w:rsid w:val="00B61EDB"/>
    <w:rsid w:val="00B6213E"/>
    <w:rsid w:val="00B6223E"/>
    <w:rsid w:val="00B624FB"/>
    <w:rsid w:val="00B62504"/>
    <w:rsid w:val="00B62725"/>
    <w:rsid w:val="00B62823"/>
    <w:rsid w:val="00B62836"/>
    <w:rsid w:val="00B628AC"/>
    <w:rsid w:val="00B628AE"/>
    <w:rsid w:val="00B62A85"/>
    <w:rsid w:val="00B62C74"/>
    <w:rsid w:val="00B62D8D"/>
    <w:rsid w:val="00B62F41"/>
    <w:rsid w:val="00B62F87"/>
    <w:rsid w:val="00B6308F"/>
    <w:rsid w:val="00B632CC"/>
    <w:rsid w:val="00B632E4"/>
    <w:rsid w:val="00B633D2"/>
    <w:rsid w:val="00B636D2"/>
    <w:rsid w:val="00B63734"/>
    <w:rsid w:val="00B6382C"/>
    <w:rsid w:val="00B63940"/>
    <w:rsid w:val="00B639B5"/>
    <w:rsid w:val="00B63AC5"/>
    <w:rsid w:val="00B63CC7"/>
    <w:rsid w:val="00B63E8A"/>
    <w:rsid w:val="00B63FC3"/>
    <w:rsid w:val="00B641AD"/>
    <w:rsid w:val="00B642D6"/>
    <w:rsid w:val="00B64470"/>
    <w:rsid w:val="00B64471"/>
    <w:rsid w:val="00B646F1"/>
    <w:rsid w:val="00B647E8"/>
    <w:rsid w:val="00B64A6C"/>
    <w:rsid w:val="00B64C25"/>
    <w:rsid w:val="00B64FB4"/>
    <w:rsid w:val="00B650EC"/>
    <w:rsid w:val="00B6519F"/>
    <w:rsid w:val="00B6540D"/>
    <w:rsid w:val="00B65456"/>
    <w:rsid w:val="00B65629"/>
    <w:rsid w:val="00B65888"/>
    <w:rsid w:val="00B65A21"/>
    <w:rsid w:val="00B65C78"/>
    <w:rsid w:val="00B65CF3"/>
    <w:rsid w:val="00B65D5D"/>
    <w:rsid w:val="00B65DBB"/>
    <w:rsid w:val="00B65E29"/>
    <w:rsid w:val="00B65ED7"/>
    <w:rsid w:val="00B66012"/>
    <w:rsid w:val="00B660A8"/>
    <w:rsid w:val="00B666AE"/>
    <w:rsid w:val="00B66827"/>
    <w:rsid w:val="00B66917"/>
    <w:rsid w:val="00B66B87"/>
    <w:rsid w:val="00B66F35"/>
    <w:rsid w:val="00B66F8A"/>
    <w:rsid w:val="00B66F9E"/>
    <w:rsid w:val="00B673EC"/>
    <w:rsid w:val="00B6777E"/>
    <w:rsid w:val="00B677E4"/>
    <w:rsid w:val="00B679E8"/>
    <w:rsid w:val="00B67EA7"/>
    <w:rsid w:val="00B70115"/>
    <w:rsid w:val="00B701F3"/>
    <w:rsid w:val="00B7046D"/>
    <w:rsid w:val="00B704BA"/>
    <w:rsid w:val="00B70576"/>
    <w:rsid w:val="00B7068A"/>
    <w:rsid w:val="00B70926"/>
    <w:rsid w:val="00B70B16"/>
    <w:rsid w:val="00B70D47"/>
    <w:rsid w:val="00B712C5"/>
    <w:rsid w:val="00B714A1"/>
    <w:rsid w:val="00B71517"/>
    <w:rsid w:val="00B71550"/>
    <w:rsid w:val="00B71634"/>
    <w:rsid w:val="00B71B14"/>
    <w:rsid w:val="00B71D53"/>
    <w:rsid w:val="00B71DBB"/>
    <w:rsid w:val="00B71F97"/>
    <w:rsid w:val="00B71F9F"/>
    <w:rsid w:val="00B72229"/>
    <w:rsid w:val="00B722F8"/>
    <w:rsid w:val="00B72349"/>
    <w:rsid w:val="00B7237F"/>
    <w:rsid w:val="00B7253C"/>
    <w:rsid w:val="00B729F2"/>
    <w:rsid w:val="00B72A56"/>
    <w:rsid w:val="00B72B16"/>
    <w:rsid w:val="00B72C59"/>
    <w:rsid w:val="00B72D05"/>
    <w:rsid w:val="00B72E76"/>
    <w:rsid w:val="00B72EEE"/>
    <w:rsid w:val="00B72F8F"/>
    <w:rsid w:val="00B7316E"/>
    <w:rsid w:val="00B73205"/>
    <w:rsid w:val="00B737BB"/>
    <w:rsid w:val="00B739D0"/>
    <w:rsid w:val="00B73A92"/>
    <w:rsid w:val="00B73E9E"/>
    <w:rsid w:val="00B74121"/>
    <w:rsid w:val="00B742A4"/>
    <w:rsid w:val="00B74447"/>
    <w:rsid w:val="00B744E8"/>
    <w:rsid w:val="00B745BA"/>
    <w:rsid w:val="00B747C8"/>
    <w:rsid w:val="00B747E0"/>
    <w:rsid w:val="00B7487D"/>
    <w:rsid w:val="00B7496C"/>
    <w:rsid w:val="00B74A23"/>
    <w:rsid w:val="00B74B20"/>
    <w:rsid w:val="00B74F93"/>
    <w:rsid w:val="00B7500F"/>
    <w:rsid w:val="00B75038"/>
    <w:rsid w:val="00B75044"/>
    <w:rsid w:val="00B75271"/>
    <w:rsid w:val="00B75359"/>
    <w:rsid w:val="00B75361"/>
    <w:rsid w:val="00B75588"/>
    <w:rsid w:val="00B755B3"/>
    <w:rsid w:val="00B756CA"/>
    <w:rsid w:val="00B7570A"/>
    <w:rsid w:val="00B758AC"/>
    <w:rsid w:val="00B75B6D"/>
    <w:rsid w:val="00B75C71"/>
    <w:rsid w:val="00B75DB6"/>
    <w:rsid w:val="00B75E9D"/>
    <w:rsid w:val="00B75EF1"/>
    <w:rsid w:val="00B76051"/>
    <w:rsid w:val="00B760D8"/>
    <w:rsid w:val="00B762FD"/>
    <w:rsid w:val="00B76427"/>
    <w:rsid w:val="00B76746"/>
    <w:rsid w:val="00B76756"/>
    <w:rsid w:val="00B7675E"/>
    <w:rsid w:val="00B7676C"/>
    <w:rsid w:val="00B76A92"/>
    <w:rsid w:val="00B76F32"/>
    <w:rsid w:val="00B770A3"/>
    <w:rsid w:val="00B7722D"/>
    <w:rsid w:val="00B77237"/>
    <w:rsid w:val="00B774F8"/>
    <w:rsid w:val="00B77653"/>
    <w:rsid w:val="00B77702"/>
    <w:rsid w:val="00B77A99"/>
    <w:rsid w:val="00B77AF5"/>
    <w:rsid w:val="00B77B6B"/>
    <w:rsid w:val="00B77F2F"/>
    <w:rsid w:val="00B80114"/>
    <w:rsid w:val="00B80259"/>
    <w:rsid w:val="00B80354"/>
    <w:rsid w:val="00B8036B"/>
    <w:rsid w:val="00B803D4"/>
    <w:rsid w:val="00B805E3"/>
    <w:rsid w:val="00B8071F"/>
    <w:rsid w:val="00B80769"/>
    <w:rsid w:val="00B809F9"/>
    <w:rsid w:val="00B80A64"/>
    <w:rsid w:val="00B80DB5"/>
    <w:rsid w:val="00B811E3"/>
    <w:rsid w:val="00B81527"/>
    <w:rsid w:val="00B81666"/>
    <w:rsid w:val="00B81760"/>
    <w:rsid w:val="00B81917"/>
    <w:rsid w:val="00B819EA"/>
    <w:rsid w:val="00B81A38"/>
    <w:rsid w:val="00B81AAE"/>
    <w:rsid w:val="00B81D78"/>
    <w:rsid w:val="00B822E9"/>
    <w:rsid w:val="00B8230D"/>
    <w:rsid w:val="00B82414"/>
    <w:rsid w:val="00B82431"/>
    <w:rsid w:val="00B8259E"/>
    <w:rsid w:val="00B827DE"/>
    <w:rsid w:val="00B82849"/>
    <w:rsid w:val="00B829C6"/>
    <w:rsid w:val="00B829DA"/>
    <w:rsid w:val="00B82A67"/>
    <w:rsid w:val="00B82D09"/>
    <w:rsid w:val="00B82D4A"/>
    <w:rsid w:val="00B82E39"/>
    <w:rsid w:val="00B82F23"/>
    <w:rsid w:val="00B830A8"/>
    <w:rsid w:val="00B8327B"/>
    <w:rsid w:val="00B8346F"/>
    <w:rsid w:val="00B837DF"/>
    <w:rsid w:val="00B8389D"/>
    <w:rsid w:val="00B838E1"/>
    <w:rsid w:val="00B83986"/>
    <w:rsid w:val="00B83A79"/>
    <w:rsid w:val="00B83C18"/>
    <w:rsid w:val="00B83E20"/>
    <w:rsid w:val="00B83E9D"/>
    <w:rsid w:val="00B84042"/>
    <w:rsid w:val="00B841E3"/>
    <w:rsid w:val="00B84202"/>
    <w:rsid w:val="00B84220"/>
    <w:rsid w:val="00B8452B"/>
    <w:rsid w:val="00B845AF"/>
    <w:rsid w:val="00B845B6"/>
    <w:rsid w:val="00B84785"/>
    <w:rsid w:val="00B847A2"/>
    <w:rsid w:val="00B847F4"/>
    <w:rsid w:val="00B84A99"/>
    <w:rsid w:val="00B84BE1"/>
    <w:rsid w:val="00B84F06"/>
    <w:rsid w:val="00B85168"/>
    <w:rsid w:val="00B8541E"/>
    <w:rsid w:val="00B85478"/>
    <w:rsid w:val="00B854E3"/>
    <w:rsid w:val="00B855BF"/>
    <w:rsid w:val="00B855FE"/>
    <w:rsid w:val="00B85639"/>
    <w:rsid w:val="00B856EF"/>
    <w:rsid w:val="00B85769"/>
    <w:rsid w:val="00B857D2"/>
    <w:rsid w:val="00B8589A"/>
    <w:rsid w:val="00B85AB2"/>
    <w:rsid w:val="00B85DBD"/>
    <w:rsid w:val="00B85DEB"/>
    <w:rsid w:val="00B85E2D"/>
    <w:rsid w:val="00B85E4D"/>
    <w:rsid w:val="00B860D0"/>
    <w:rsid w:val="00B86296"/>
    <w:rsid w:val="00B86427"/>
    <w:rsid w:val="00B86A28"/>
    <w:rsid w:val="00B86A9F"/>
    <w:rsid w:val="00B86B2E"/>
    <w:rsid w:val="00B86C60"/>
    <w:rsid w:val="00B86DA3"/>
    <w:rsid w:val="00B86E08"/>
    <w:rsid w:val="00B86E4B"/>
    <w:rsid w:val="00B8710A"/>
    <w:rsid w:val="00B8725B"/>
    <w:rsid w:val="00B8744E"/>
    <w:rsid w:val="00B8749B"/>
    <w:rsid w:val="00B87509"/>
    <w:rsid w:val="00B87605"/>
    <w:rsid w:val="00B8771B"/>
    <w:rsid w:val="00B8783F"/>
    <w:rsid w:val="00B87866"/>
    <w:rsid w:val="00B87C93"/>
    <w:rsid w:val="00B87F6B"/>
    <w:rsid w:val="00B87FA9"/>
    <w:rsid w:val="00B87FFC"/>
    <w:rsid w:val="00B90120"/>
    <w:rsid w:val="00B901BF"/>
    <w:rsid w:val="00B90279"/>
    <w:rsid w:val="00B902D3"/>
    <w:rsid w:val="00B902F9"/>
    <w:rsid w:val="00B90719"/>
    <w:rsid w:val="00B9085F"/>
    <w:rsid w:val="00B90941"/>
    <w:rsid w:val="00B90D08"/>
    <w:rsid w:val="00B90D88"/>
    <w:rsid w:val="00B90EFE"/>
    <w:rsid w:val="00B90F21"/>
    <w:rsid w:val="00B90F63"/>
    <w:rsid w:val="00B90FC6"/>
    <w:rsid w:val="00B911FF"/>
    <w:rsid w:val="00B91493"/>
    <w:rsid w:val="00B918CD"/>
    <w:rsid w:val="00B91983"/>
    <w:rsid w:val="00B919CB"/>
    <w:rsid w:val="00B91F6A"/>
    <w:rsid w:val="00B92034"/>
    <w:rsid w:val="00B9216A"/>
    <w:rsid w:val="00B92287"/>
    <w:rsid w:val="00B92413"/>
    <w:rsid w:val="00B924F0"/>
    <w:rsid w:val="00B92530"/>
    <w:rsid w:val="00B9269C"/>
    <w:rsid w:val="00B92BDF"/>
    <w:rsid w:val="00B93089"/>
    <w:rsid w:val="00B93273"/>
    <w:rsid w:val="00B938D2"/>
    <w:rsid w:val="00B93BF6"/>
    <w:rsid w:val="00B94175"/>
    <w:rsid w:val="00B942D0"/>
    <w:rsid w:val="00B9461E"/>
    <w:rsid w:val="00B94756"/>
    <w:rsid w:val="00B94870"/>
    <w:rsid w:val="00B94A6F"/>
    <w:rsid w:val="00B94B00"/>
    <w:rsid w:val="00B94C00"/>
    <w:rsid w:val="00B94CAE"/>
    <w:rsid w:val="00B94CDD"/>
    <w:rsid w:val="00B94EF6"/>
    <w:rsid w:val="00B94F21"/>
    <w:rsid w:val="00B9502B"/>
    <w:rsid w:val="00B95038"/>
    <w:rsid w:val="00B950A3"/>
    <w:rsid w:val="00B953DF"/>
    <w:rsid w:val="00B954F0"/>
    <w:rsid w:val="00B95570"/>
    <w:rsid w:val="00B95637"/>
    <w:rsid w:val="00B9579C"/>
    <w:rsid w:val="00B95A0E"/>
    <w:rsid w:val="00B95ADB"/>
    <w:rsid w:val="00B95BD1"/>
    <w:rsid w:val="00B95E18"/>
    <w:rsid w:val="00B95EBF"/>
    <w:rsid w:val="00B95FAA"/>
    <w:rsid w:val="00B9611B"/>
    <w:rsid w:val="00B96176"/>
    <w:rsid w:val="00B96183"/>
    <w:rsid w:val="00B96657"/>
    <w:rsid w:val="00B9668D"/>
    <w:rsid w:val="00B9669F"/>
    <w:rsid w:val="00B966EF"/>
    <w:rsid w:val="00B96752"/>
    <w:rsid w:val="00B96AA2"/>
    <w:rsid w:val="00B96B18"/>
    <w:rsid w:val="00B96BC8"/>
    <w:rsid w:val="00B96CD3"/>
    <w:rsid w:val="00B970C1"/>
    <w:rsid w:val="00B97207"/>
    <w:rsid w:val="00B97237"/>
    <w:rsid w:val="00B97246"/>
    <w:rsid w:val="00B9753F"/>
    <w:rsid w:val="00B9767E"/>
    <w:rsid w:val="00B976B8"/>
    <w:rsid w:val="00B976DC"/>
    <w:rsid w:val="00B97742"/>
    <w:rsid w:val="00B97753"/>
    <w:rsid w:val="00B97870"/>
    <w:rsid w:val="00B979A4"/>
    <w:rsid w:val="00B97FB4"/>
    <w:rsid w:val="00BA0064"/>
    <w:rsid w:val="00BA046E"/>
    <w:rsid w:val="00BA0777"/>
    <w:rsid w:val="00BA0864"/>
    <w:rsid w:val="00BA09E6"/>
    <w:rsid w:val="00BA10D8"/>
    <w:rsid w:val="00BA1136"/>
    <w:rsid w:val="00BA1424"/>
    <w:rsid w:val="00BA182F"/>
    <w:rsid w:val="00BA191D"/>
    <w:rsid w:val="00BA1C91"/>
    <w:rsid w:val="00BA1CA4"/>
    <w:rsid w:val="00BA1E60"/>
    <w:rsid w:val="00BA1E99"/>
    <w:rsid w:val="00BA1F1F"/>
    <w:rsid w:val="00BA1F2D"/>
    <w:rsid w:val="00BA1FA6"/>
    <w:rsid w:val="00BA20D9"/>
    <w:rsid w:val="00BA213A"/>
    <w:rsid w:val="00BA2341"/>
    <w:rsid w:val="00BA24DF"/>
    <w:rsid w:val="00BA26FF"/>
    <w:rsid w:val="00BA2710"/>
    <w:rsid w:val="00BA27BA"/>
    <w:rsid w:val="00BA27CD"/>
    <w:rsid w:val="00BA2924"/>
    <w:rsid w:val="00BA2A66"/>
    <w:rsid w:val="00BA2A96"/>
    <w:rsid w:val="00BA2C74"/>
    <w:rsid w:val="00BA2D05"/>
    <w:rsid w:val="00BA2E7A"/>
    <w:rsid w:val="00BA2FB8"/>
    <w:rsid w:val="00BA3458"/>
    <w:rsid w:val="00BA359A"/>
    <w:rsid w:val="00BA3B99"/>
    <w:rsid w:val="00BA3E5B"/>
    <w:rsid w:val="00BA3F6C"/>
    <w:rsid w:val="00BA4020"/>
    <w:rsid w:val="00BA4609"/>
    <w:rsid w:val="00BA4A10"/>
    <w:rsid w:val="00BA4B78"/>
    <w:rsid w:val="00BA4EAB"/>
    <w:rsid w:val="00BA5077"/>
    <w:rsid w:val="00BA50AB"/>
    <w:rsid w:val="00BA52AF"/>
    <w:rsid w:val="00BA53D6"/>
    <w:rsid w:val="00BA5445"/>
    <w:rsid w:val="00BA548C"/>
    <w:rsid w:val="00BA5529"/>
    <w:rsid w:val="00BA567D"/>
    <w:rsid w:val="00BA5877"/>
    <w:rsid w:val="00BA5BAE"/>
    <w:rsid w:val="00BA5BD3"/>
    <w:rsid w:val="00BA5DEB"/>
    <w:rsid w:val="00BA5FD3"/>
    <w:rsid w:val="00BA60ED"/>
    <w:rsid w:val="00BA61BA"/>
    <w:rsid w:val="00BA664D"/>
    <w:rsid w:val="00BA6712"/>
    <w:rsid w:val="00BA691D"/>
    <w:rsid w:val="00BA69CD"/>
    <w:rsid w:val="00BA6A34"/>
    <w:rsid w:val="00BA701F"/>
    <w:rsid w:val="00BA7118"/>
    <w:rsid w:val="00BA722A"/>
    <w:rsid w:val="00BA7259"/>
    <w:rsid w:val="00BA7269"/>
    <w:rsid w:val="00BA745B"/>
    <w:rsid w:val="00BA75D4"/>
    <w:rsid w:val="00BA7787"/>
    <w:rsid w:val="00BA779B"/>
    <w:rsid w:val="00BA77E3"/>
    <w:rsid w:val="00BA7907"/>
    <w:rsid w:val="00BA7C7A"/>
    <w:rsid w:val="00BA7E93"/>
    <w:rsid w:val="00BA7E9B"/>
    <w:rsid w:val="00BA7F1A"/>
    <w:rsid w:val="00BA7F6E"/>
    <w:rsid w:val="00BA7FBE"/>
    <w:rsid w:val="00BA7FEE"/>
    <w:rsid w:val="00BA8E51"/>
    <w:rsid w:val="00BAB652"/>
    <w:rsid w:val="00BAF463"/>
    <w:rsid w:val="00BB0282"/>
    <w:rsid w:val="00BB0339"/>
    <w:rsid w:val="00BB03CA"/>
    <w:rsid w:val="00BB04EE"/>
    <w:rsid w:val="00BB0591"/>
    <w:rsid w:val="00BB061F"/>
    <w:rsid w:val="00BB08FE"/>
    <w:rsid w:val="00BB0979"/>
    <w:rsid w:val="00BB0AD4"/>
    <w:rsid w:val="00BB0AEE"/>
    <w:rsid w:val="00BB0C48"/>
    <w:rsid w:val="00BB0C55"/>
    <w:rsid w:val="00BB0CC3"/>
    <w:rsid w:val="00BB10AC"/>
    <w:rsid w:val="00BB12ED"/>
    <w:rsid w:val="00BB130F"/>
    <w:rsid w:val="00BB13DC"/>
    <w:rsid w:val="00BB1421"/>
    <w:rsid w:val="00BB1547"/>
    <w:rsid w:val="00BB17EC"/>
    <w:rsid w:val="00BB183D"/>
    <w:rsid w:val="00BB19AE"/>
    <w:rsid w:val="00BB1A80"/>
    <w:rsid w:val="00BB1E56"/>
    <w:rsid w:val="00BB1E68"/>
    <w:rsid w:val="00BB1F39"/>
    <w:rsid w:val="00BB1FB7"/>
    <w:rsid w:val="00BB20D4"/>
    <w:rsid w:val="00BB23D3"/>
    <w:rsid w:val="00BB2539"/>
    <w:rsid w:val="00BB261B"/>
    <w:rsid w:val="00BB2754"/>
    <w:rsid w:val="00BB2902"/>
    <w:rsid w:val="00BB2A13"/>
    <w:rsid w:val="00BB2A6D"/>
    <w:rsid w:val="00BB2D44"/>
    <w:rsid w:val="00BB303A"/>
    <w:rsid w:val="00BB309F"/>
    <w:rsid w:val="00BB3410"/>
    <w:rsid w:val="00BB349A"/>
    <w:rsid w:val="00BB35E0"/>
    <w:rsid w:val="00BB35F7"/>
    <w:rsid w:val="00BB3790"/>
    <w:rsid w:val="00BB38FE"/>
    <w:rsid w:val="00BB3A16"/>
    <w:rsid w:val="00BB3B27"/>
    <w:rsid w:val="00BB3BA9"/>
    <w:rsid w:val="00BB3DE8"/>
    <w:rsid w:val="00BB3E1A"/>
    <w:rsid w:val="00BB41FD"/>
    <w:rsid w:val="00BB4254"/>
    <w:rsid w:val="00BB42C7"/>
    <w:rsid w:val="00BB476D"/>
    <w:rsid w:val="00BB4799"/>
    <w:rsid w:val="00BB4AA9"/>
    <w:rsid w:val="00BB4DE1"/>
    <w:rsid w:val="00BB51F7"/>
    <w:rsid w:val="00BB5911"/>
    <w:rsid w:val="00BB5BE9"/>
    <w:rsid w:val="00BB5D4B"/>
    <w:rsid w:val="00BB5E1F"/>
    <w:rsid w:val="00BB5E8D"/>
    <w:rsid w:val="00BB5EE7"/>
    <w:rsid w:val="00BB5F00"/>
    <w:rsid w:val="00BB5F04"/>
    <w:rsid w:val="00BB60DE"/>
    <w:rsid w:val="00BB61D8"/>
    <w:rsid w:val="00BB6315"/>
    <w:rsid w:val="00BB6322"/>
    <w:rsid w:val="00BB6675"/>
    <w:rsid w:val="00BB68FE"/>
    <w:rsid w:val="00BB697A"/>
    <w:rsid w:val="00BB6B2C"/>
    <w:rsid w:val="00BB6B79"/>
    <w:rsid w:val="00BB6BC1"/>
    <w:rsid w:val="00BB6D32"/>
    <w:rsid w:val="00BB6F6F"/>
    <w:rsid w:val="00BB6F99"/>
    <w:rsid w:val="00BB709A"/>
    <w:rsid w:val="00BB7180"/>
    <w:rsid w:val="00BB72FD"/>
    <w:rsid w:val="00BB75CA"/>
    <w:rsid w:val="00BB7624"/>
    <w:rsid w:val="00BB769B"/>
    <w:rsid w:val="00BB7703"/>
    <w:rsid w:val="00BB776A"/>
    <w:rsid w:val="00BB7CDB"/>
    <w:rsid w:val="00BB7ED7"/>
    <w:rsid w:val="00BB7F7D"/>
    <w:rsid w:val="00BC026A"/>
    <w:rsid w:val="00BC0443"/>
    <w:rsid w:val="00BC0593"/>
    <w:rsid w:val="00BC05EB"/>
    <w:rsid w:val="00BC061B"/>
    <w:rsid w:val="00BC06FC"/>
    <w:rsid w:val="00BC074D"/>
    <w:rsid w:val="00BC0773"/>
    <w:rsid w:val="00BC0A9F"/>
    <w:rsid w:val="00BC0CFB"/>
    <w:rsid w:val="00BC0D51"/>
    <w:rsid w:val="00BC0DA2"/>
    <w:rsid w:val="00BC0F36"/>
    <w:rsid w:val="00BC1079"/>
    <w:rsid w:val="00BC1306"/>
    <w:rsid w:val="00BC13AB"/>
    <w:rsid w:val="00BC18AD"/>
    <w:rsid w:val="00BC19C3"/>
    <w:rsid w:val="00BC19F9"/>
    <w:rsid w:val="00BC1DB1"/>
    <w:rsid w:val="00BC1ECE"/>
    <w:rsid w:val="00BC1F74"/>
    <w:rsid w:val="00BC1FA7"/>
    <w:rsid w:val="00BC209F"/>
    <w:rsid w:val="00BC21C1"/>
    <w:rsid w:val="00BC22A5"/>
    <w:rsid w:val="00BC22E0"/>
    <w:rsid w:val="00BC2317"/>
    <w:rsid w:val="00BC2474"/>
    <w:rsid w:val="00BC249A"/>
    <w:rsid w:val="00BC2533"/>
    <w:rsid w:val="00BC2820"/>
    <w:rsid w:val="00BC2905"/>
    <w:rsid w:val="00BC2932"/>
    <w:rsid w:val="00BC2E4A"/>
    <w:rsid w:val="00BC3244"/>
    <w:rsid w:val="00BC32E9"/>
    <w:rsid w:val="00BC331E"/>
    <w:rsid w:val="00BC34C1"/>
    <w:rsid w:val="00BC34E0"/>
    <w:rsid w:val="00BC350B"/>
    <w:rsid w:val="00BC35C9"/>
    <w:rsid w:val="00BC37CF"/>
    <w:rsid w:val="00BC3B81"/>
    <w:rsid w:val="00BC3DE4"/>
    <w:rsid w:val="00BC3DFA"/>
    <w:rsid w:val="00BC3E20"/>
    <w:rsid w:val="00BC3F77"/>
    <w:rsid w:val="00BC40F0"/>
    <w:rsid w:val="00BC4303"/>
    <w:rsid w:val="00BC45F5"/>
    <w:rsid w:val="00BC4613"/>
    <w:rsid w:val="00BC4685"/>
    <w:rsid w:val="00BC4943"/>
    <w:rsid w:val="00BC4ECA"/>
    <w:rsid w:val="00BC4EED"/>
    <w:rsid w:val="00BC4F41"/>
    <w:rsid w:val="00BC4FFC"/>
    <w:rsid w:val="00BC5235"/>
    <w:rsid w:val="00BC5331"/>
    <w:rsid w:val="00BC5560"/>
    <w:rsid w:val="00BC55EE"/>
    <w:rsid w:val="00BC5981"/>
    <w:rsid w:val="00BC5A05"/>
    <w:rsid w:val="00BC5AE0"/>
    <w:rsid w:val="00BC5CBB"/>
    <w:rsid w:val="00BC5EBD"/>
    <w:rsid w:val="00BC6009"/>
    <w:rsid w:val="00BC60C7"/>
    <w:rsid w:val="00BC648F"/>
    <w:rsid w:val="00BC64C4"/>
    <w:rsid w:val="00BC6722"/>
    <w:rsid w:val="00BC69C3"/>
    <w:rsid w:val="00BC6C22"/>
    <w:rsid w:val="00BC6FDB"/>
    <w:rsid w:val="00BC7275"/>
    <w:rsid w:val="00BC74AB"/>
    <w:rsid w:val="00BC7554"/>
    <w:rsid w:val="00BC7662"/>
    <w:rsid w:val="00BC78A1"/>
    <w:rsid w:val="00BC7E64"/>
    <w:rsid w:val="00BC7F30"/>
    <w:rsid w:val="00BCA269"/>
    <w:rsid w:val="00BD0033"/>
    <w:rsid w:val="00BD0050"/>
    <w:rsid w:val="00BD00E1"/>
    <w:rsid w:val="00BD01E0"/>
    <w:rsid w:val="00BD0438"/>
    <w:rsid w:val="00BD047D"/>
    <w:rsid w:val="00BD049B"/>
    <w:rsid w:val="00BD05F6"/>
    <w:rsid w:val="00BD070C"/>
    <w:rsid w:val="00BD0A11"/>
    <w:rsid w:val="00BD0B1A"/>
    <w:rsid w:val="00BD0B49"/>
    <w:rsid w:val="00BD0C34"/>
    <w:rsid w:val="00BD0DEF"/>
    <w:rsid w:val="00BD0F41"/>
    <w:rsid w:val="00BD120E"/>
    <w:rsid w:val="00BD14D4"/>
    <w:rsid w:val="00BD156A"/>
    <w:rsid w:val="00BD16BF"/>
    <w:rsid w:val="00BD17F1"/>
    <w:rsid w:val="00BD1961"/>
    <w:rsid w:val="00BD1976"/>
    <w:rsid w:val="00BD197E"/>
    <w:rsid w:val="00BD1E25"/>
    <w:rsid w:val="00BD1E5E"/>
    <w:rsid w:val="00BD1E8D"/>
    <w:rsid w:val="00BD20D8"/>
    <w:rsid w:val="00BD2183"/>
    <w:rsid w:val="00BD21CD"/>
    <w:rsid w:val="00BD235B"/>
    <w:rsid w:val="00BD2749"/>
    <w:rsid w:val="00BD2796"/>
    <w:rsid w:val="00BD27D6"/>
    <w:rsid w:val="00BD27F3"/>
    <w:rsid w:val="00BD2881"/>
    <w:rsid w:val="00BD2A7D"/>
    <w:rsid w:val="00BD2B0E"/>
    <w:rsid w:val="00BD2BE7"/>
    <w:rsid w:val="00BD304D"/>
    <w:rsid w:val="00BD3130"/>
    <w:rsid w:val="00BD3148"/>
    <w:rsid w:val="00BD34DC"/>
    <w:rsid w:val="00BD3620"/>
    <w:rsid w:val="00BD36B8"/>
    <w:rsid w:val="00BD394D"/>
    <w:rsid w:val="00BD3ADA"/>
    <w:rsid w:val="00BD3C1D"/>
    <w:rsid w:val="00BD3DCD"/>
    <w:rsid w:val="00BD3DE9"/>
    <w:rsid w:val="00BD3EEB"/>
    <w:rsid w:val="00BD3F32"/>
    <w:rsid w:val="00BD4096"/>
    <w:rsid w:val="00BD4118"/>
    <w:rsid w:val="00BD41FB"/>
    <w:rsid w:val="00BD43B8"/>
    <w:rsid w:val="00BD45FB"/>
    <w:rsid w:val="00BD46D9"/>
    <w:rsid w:val="00BD472B"/>
    <w:rsid w:val="00BD4FDC"/>
    <w:rsid w:val="00BD51B3"/>
    <w:rsid w:val="00BD51BE"/>
    <w:rsid w:val="00BD5394"/>
    <w:rsid w:val="00BD5435"/>
    <w:rsid w:val="00BD55B8"/>
    <w:rsid w:val="00BD56FF"/>
    <w:rsid w:val="00BD595C"/>
    <w:rsid w:val="00BD5964"/>
    <w:rsid w:val="00BD5A19"/>
    <w:rsid w:val="00BD5FB8"/>
    <w:rsid w:val="00BD60FB"/>
    <w:rsid w:val="00BD6508"/>
    <w:rsid w:val="00BD6875"/>
    <w:rsid w:val="00BD6884"/>
    <w:rsid w:val="00BD6E82"/>
    <w:rsid w:val="00BD7041"/>
    <w:rsid w:val="00BD704E"/>
    <w:rsid w:val="00BD709E"/>
    <w:rsid w:val="00BD70CA"/>
    <w:rsid w:val="00BD737B"/>
    <w:rsid w:val="00BD7393"/>
    <w:rsid w:val="00BD743E"/>
    <w:rsid w:val="00BD7539"/>
    <w:rsid w:val="00BD75EB"/>
    <w:rsid w:val="00BD7774"/>
    <w:rsid w:val="00BD79FA"/>
    <w:rsid w:val="00BD7BDE"/>
    <w:rsid w:val="00BD7DA4"/>
    <w:rsid w:val="00BD7F06"/>
    <w:rsid w:val="00BDE5C3"/>
    <w:rsid w:val="00BE00FC"/>
    <w:rsid w:val="00BE024E"/>
    <w:rsid w:val="00BE0259"/>
    <w:rsid w:val="00BE0607"/>
    <w:rsid w:val="00BE0652"/>
    <w:rsid w:val="00BE0A40"/>
    <w:rsid w:val="00BE0B19"/>
    <w:rsid w:val="00BE0C9C"/>
    <w:rsid w:val="00BE0FEC"/>
    <w:rsid w:val="00BE1118"/>
    <w:rsid w:val="00BE16F9"/>
    <w:rsid w:val="00BE17F6"/>
    <w:rsid w:val="00BE198E"/>
    <w:rsid w:val="00BE1ACA"/>
    <w:rsid w:val="00BE1C57"/>
    <w:rsid w:val="00BE1EB0"/>
    <w:rsid w:val="00BE1F2D"/>
    <w:rsid w:val="00BE1F3A"/>
    <w:rsid w:val="00BE1F55"/>
    <w:rsid w:val="00BE2344"/>
    <w:rsid w:val="00BE2534"/>
    <w:rsid w:val="00BE2543"/>
    <w:rsid w:val="00BE25A7"/>
    <w:rsid w:val="00BE28DC"/>
    <w:rsid w:val="00BE2B69"/>
    <w:rsid w:val="00BE2FF1"/>
    <w:rsid w:val="00BE30D6"/>
    <w:rsid w:val="00BE318B"/>
    <w:rsid w:val="00BE3493"/>
    <w:rsid w:val="00BE3AD3"/>
    <w:rsid w:val="00BE3B42"/>
    <w:rsid w:val="00BE3B94"/>
    <w:rsid w:val="00BE3C09"/>
    <w:rsid w:val="00BE3D14"/>
    <w:rsid w:val="00BE3D83"/>
    <w:rsid w:val="00BE3E0F"/>
    <w:rsid w:val="00BE3E32"/>
    <w:rsid w:val="00BE3E59"/>
    <w:rsid w:val="00BE4132"/>
    <w:rsid w:val="00BE44C5"/>
    <w:rsid w:val="00BE4664"/>
    <w:rsid w:val="00BE4D59"/>
    <w:rsid w:val="00BE4E78"/>
    <w:rsid w:val="00BE4F96"/>
    <w:rsid w:val="00BE5132"/>
    <w:rsid w:val="00BE530E"/>
    <w:rsid w:val="00BE53B7"/>
    <w:rsid w:val="00BE53C4"/>
    <w:rsid w:val="00BE55C6"/>
    <w:rsid w:val="00BE56DE"/>
    <w:rsid w:val="00BE56FD"/>
    <w:rsid w:val="00BE5705"/>
    <w:rsid w:val="00BE5E7B"/>
    <w:rsid w:val="00BE5EBA"/>
    <w:rsid w:val="00BE5F13"/>
    <w:rsid w:val="00BE62FA"/>
    <w:rsid w:val="00BE63AB"/>
    <w:rsid w:val="00BE6519"/>
    <w:rsid w:val="00BE66D6"/>
    <w:rsid w:val="00BE67A1"/>
    <w:rsid w:val="00BE67FC"/>
    <w:rsid w:val="00BE6A4E"/>
    <w:rsid w:val="00BE6B00"/>
    <w:rsid w:val="00BE6B5F"/>
    <w:rsid w:val="00BE6D52"/>
    <w:rsid w:val="00BE6E27"/>
    <w:rsid w:val="00BE6FE7"/>
    <w:rsid w:val="00BE7164"/>
    <w:rsid w:val="00BE71A5"/>
    <w:rsid w:val="00BE7273"/>
    <w:rsid w:val="00BE7380"/>
    <w:rsid w:val="00BE742A"/>
    <w:rsid w:val="00BE768E"/>
    <w:rsid w:val="00BE76FD"/>
    <w:rsid w:val="00BE78BB"/>
    <w:rsid w:val="00BE798E"/>
    <w:rsid w:val="00BE7A77"/>
    <w:rsid w:val="00BE7BC7"/>
    <w:rsid w:val="00BE7C5C"/>
    <w:rsid w:val="00BE7F24"/>
    <w:rsid w:val="00BF0663"/>
    <w:rsid w:val="00BF0829"/>
    <w:rsid w:val="00BF0AB0"/>
    <w:rsid w:val="00BF0ABE"/>
    <w:rsid w:val="00BF0CAE"/>
    <w:rsid w:val="00BF0D78"/>
    <w:rsid w:val="00BF0DC8"/>
    <w:rsid w:val="00BF1011"/>
    <w:rsid w:val="00BF106B"/>
    <w:rsid w:val="00BF1127"/>
    <w:rsid w:val="00BF125C"/>
    <w:rsid w:val="00BF1378"/>
    <w:rsid w:val="00BF1391"/>
    <w:rsid w:val="00BF14BE"/>
    <w:rsid w:val="00BF17DF"/>
    <w:rsid w:val="00BF1806"/>
    <w:rsid w:val="00BF19E9"/>
    <w:rsid w:val="00BF1CA7"/>
    <w:rsid w:val="00BF1EE4"/>
    <w:rsid w:val="00BF1FFD"/>
    <w:rsid w:val="00BF2291"/>
    <w:rsid w:val="00BF231F"/>
    <w:rsid w:val="00BF2708"/>
    <w:rsid w:val="00BF286D"/>
    <w:rsid w:val="00BF2C24"/>
    <w:rsid w:val="00BF2D61"/>
    <w:rsid w:val="00BF2E4C"/>
    <w:rsid w:val="00BF2F73"/>
    <w:rsid w:val="00BF2FB8"/>
    <w:rsid w:val="00BF3269"/>
    <w:rsid w:val="00BF330F"/>
    <w:rsid w:val="00BF33A4"/>
    <w:rsid w:val="00BF33AA"/>
    <w:rsid w:val="00BF3504"/>
    <w:rsid w:val="00BF352F"/>
    <w:rsid w:val="00BF37E0"/>
    <w:rsid w:val="00BF397A"/>
    <w:rsid w:val="00BF3A83"/>
    <w:rsid w:val="00BF3AFC"/>
    <w:rsid w:val="00BF3B35"/>
    <w:rsid w:val="00BF3B93"/>
    <w:rsid w:val="00BF3BE7"/>
    <w:rsid w:val="00BF4681"/>
    <w:rsid w:val="00BF46A8"/>
    <w:rsid w:val="00BF492F"/>
    <w:rsid w:val="00BF4C55"/>
    <w:rsid w:val="00BF4DCF"/>
    <w:rsid w:val="00BF4E52"/>
    <w:rsid w:val="00BF506C"/>
    <w:rsid w:val="00BF52CD"/>
    <w:rsid w:val="00BF541B"/>
    <w:rsid w:val="00BF555C"/>
    <w:rsid w:val="00BF55AE"/>
    <w:rsid w:val="00BF5629"/>
    <w:rsid w:val="00BF56F6"/>
    <w:rsid w:val="00BF575E"/>
    <w:rsid w:val="00BF5874"/>
    <w:rsid w:val="00BF5946"/>
    <w:rsid w:val="00BF5A5F"/>
    <w:rsid w:val="00BF5A65"/>
    <w:rsid w:val="00BF5D3B"/>
    <w:rsid w:val="00BF5D9D"/>
    <w:rsid w:val="00BF5DD8"/>
    <w:rsid w:val="00BF5EEC"/>
    <w:rsid w:val="00BF603B"/>
    <w:rsid w:val="00BF6070"/>
    <w:rsid w:val="00BF6236"/>
    <w:rsid w:val="00BF64BC"/>
    <w:rsid w:val="00BF66B4"/>
    <w:rsid w:val="00BF6D18"/>
    <w:rsid w:val="00BF6E7E"/>
    <w:rsid w:val="00BF6F7D"/>
    <w:rsid w:val="00BF7189"/>
    <w:rsid w:val="00BF72CB"/>
    <w:rsid w:val="00BF75EC"/>
    <w:rsid w:val="00BF78C0"/>
    <w:rsid w:val="00BF78DE"/>
    <w:rsid w:val="00BF7A04"/>
    <w:rsid w:val="00BF7A59"/>
    <w:rsid w:val="00BF7CC0"/>
    <w:rsid w:val="00C0009C"/>
    <w:rsid w:val="00C000C7"/>
    <w:rsid w:val="00C00171"/>
    <w:rsid w:val="00C0063C"/>
    <w:rsid w:val="00C007BD"/>
    <w:rsid w:val="00C00A4D"/>
    <w:rsid w:val="00C00B08"/>
    <w:rsid w:val="00C00B83"/>
    <w:rsid w:val="00C00CEC"/>
    <w:rsid w:val="00C01113"/>
    <w:rsid w:val="00C0121B"/>
    <w:rsid w:val="00C01406"/>
    <w:rsid w:val="00C0174F"/>
    <w:rsid w:val="00C017FF"/>
    <w:rsid w:val="00C018E8"/>
    <w:rsid w:val="00C0209C"/>
    <w:rsid w:val="00C021EF"/>
    <w:rsid w:val="00C023CD"/>
    <w:rsid w:val="00C025DC"/>
    <w:rsid w:val="00C027C7"/>
    <w:rsid w:val="00C02CB9"/>
    <w:rsid w:val="00C02F0C"/>
    <w:rsid w:val="00C0316E"/>
    <w:rsid w:val="00C03254"/>
    <w:rsid w:val="00C0338B"/>
    <w:rsid w:val="00C033C7"/>
    <w:rsid w:val="00C03455"/>
    <w:rsid w:val="00C037CB"/>
    <w:rsid w:val="00C03867"/>
    <w:rsid w:val="00C0398C"/>
    <w:rsid w:val="00C03AD5"/>
    <w:rsid w:val="00C03B8F"/>
    <w:rsid w:val="00C03CD6"/>
    <w:rsid w:val="00C03EAD"/>
    <w:rsid w:val="00C03ED6"/>
    <w:rsid w:val="00C03F46"/>
    <w:rsid w:val="00C03F98"/>
    <w:rsid w:val="00C040A6"/>
    <w:rsid w:val="00C04159"/>
    <w:rsid w:val="00C04283"/>
    <w:rsid w:val="00C042D8"/>
    <w:rsid w:val="00C0435B"/>
    <w:rsid w:val="00C043E5"/>
    <w:rsid w:val="00C04505"/>
    <w:rsid w:val="00C04531"/>
    <w:rsid w:val="00C04901"/>
    <w:rsid w:val="00C04A75"/>
    <w:rsid w:val="00C04A80"/>
    <w:rsid w:val="00C04B4D"/>
    <w:rsid w:val="00C04CA6"/>
    <w:rsid w:val="00C05059"/>
    <w:rsid w:val="00C050F1"/>
    <w:rsid w:val="00C052C3"/>
    <w:rsid w:val="00C0555D"/>
    <w:rsid w:val="00C05673"/>
    <w:rsid w:val="00C0575E"/>
    <w:rsid w:val="00C05AFE"/>
    <w:rsid w:val="00C05CAD"/>
    <w:rsid w:val="00C061F2"/>
    <w:rsid w:val="00C0623B"/>
    <w:rsid w:val="00C0654C"/>
    <w:rsid w:val="00C06786"/>
    <w:rsid w:val="00C07182"/>
    <w:rsid w:val="00C073DA"/>
    <w:rsid w:val="00C0747F"/>
    <w:rsid w:val="00C074F0"/>
    <w:rsid w:val="00C0755D"/>
    <w:rsid w:val="00C075C0"/>
    <w:rsid w:val="00C0766E"/>
    <w:rsid w:val="00C077E8"/>
    <w:rsid w:val="00C077FB"/>
    <w:rsid w:val="00C0787E"/>
    <w:rsid w:val="00C07925"/>
    <w:rsid w:val="00C079DD"/>
    <w:rsid w:val="00C07A6E"/>
    <w:rsid w:val="00C07AFE"/>
    <w:rsid w:val="00C07B5B"/>
    <w:rsid w:val="00C07B76"/>
    <w:rsid w:val="00C07DEF"/>
    <w:rsid w:val="00C07FDE"/>
    <w:rsid w:val="00C10024"/>
    <w:rsid w:val="00C100CB"/>
    <w:rsid w:val="00C10152"/>
    <w:rsid w:val="00C102CC"/>
    <w:rsid w:val="00C10467"/>
    <w:rsid w:val="00C10502"/>
    <w:rsid w:val="00C10600"/>
    <w:rsid w:val="00C1066A"/>
    <w:rsid w:val="00C10708"/>
    <w:rsid w:val="00C10742"/>
    <w:rsid w:val="00C107BA"/>
    <w:rsid w:val="00C1084C"/>
    <w:rsid w:val="00C10B4D"/>
    <w:rsid w:val="00C10B57"/>
    <w:rsid w:val="00C10BEB"/>
    <w:rsid w:val="00C10C4D"/>
    <w:rsid w:val="00C10D1E"/>
    <w:rsid w:val="00C1124C"/>
    <w:rsid w:val="00C11381"/>
    <w:rsid w:val="00C11383"/>
    <w:rsid w:val="00C113EC"/>
    <w:rsid w:val="00C114A6"/>
    <w:rsid w:val="00C11A35"/>
    <w:rsid w:val="00C11A91"/>
    <w:rsid w:val="00C11B41"/>
    <w:rsid w:val="00C11BDE"/>
    <w:rsid w:val="00C11C3A"/>
    <w:rsid w:val="00C11DE0"/>
    <w:rsid w:val="00C121E5"/>
    <w:rsid w:val="00C12256"/>
    <w:rsid w:val="00C1238A"/>
    <w:rsid w:val="00C1252D"/>
    <w:rsid w:val="00C125C1"/>
    <w:rsid w:val="00C1261D"/>
    <w:rsid w:val="00C126F0"/>
    <w:rsid w:val="00C12712"/>
    <w:rsid w:val="00C12824"/>
    <w:rsid w:val="00C12874"/>
    <w:rsid w:val="00C1295E"/>
    <w:rsid w:val="00C12ACF"/>
    <w:rsid w:val="00C12DF3"/>
    <w:rsid w:val="00C12FC9"/>
    <w:rsid w:val="00C1340F"/>
    <w:rsid w:val="00C13832"/>
    <w:rsid w:val="00C13940"/>
    <w:rsid w:val="00C139BE"/>
    <w:rsid w:val="00C13AAA"/>
    <w:rsid w:val="00C14022"/>
    <w:rsid w:val="00C142A1"/>
    <w:rsid w:val="00C143A4"/>
    <w:rsid w:val="00C145FE"/>
    <w:rsid w:val="00C147DF"/>
    <w:rsid w:val="00C1490D"/>
    <w:rsid w:val="00C1492D"/>
    <w:rsid w:val="00C14A40"/>
    <w:rsid w:val="00C14B4D"/>
    <w:rsid w:val="00C14C87"/>
    <w:rsid w:val="00C14EE9"/>
    <w:rsid w:val="00C1508D"/>
    <w:rsid w:val="00C152C4"/>
    <w:rsid w:val="00C15579"/>
    <w:rsid w:val="00C1577A"/>
    <w:rsid w:val="00C15A71"/>
    <w:rsid w:val="00C15BCB"/>
    <w:rsid w:val="00C15BD8"/>
    <w:rsid w:val="00C15BEA"/>
    <w:rsid w:val="00C15D2F"/>
    <w:rsid w:val="00C160F1"/>
    <w:rsid w:val="00C16172"/>
    <w:rsid w:val="00C165B3"/>
    <w:rsid w:val="00C165CD"/>
    <w:rsid w:val="00C1671D"/>
    <w:rsid w:val="00C16729"/>
    <w:rsid w:val="00C1673A"/>
    <w:rsid w:val="00C167A4"/>
    <w:rsid w:val="00C169F0"/>
    <w:rsid w:val="00C169FC"/>
    <w:rsid w:val="00C16A61"/>
    <w:rsid w:val="00C16F34"/>
    <w:rsid w:val="00C16FB4"/>
    <w:rsid w:val="00C171A4"/>
    <w:rsid w:val="00C17811"/>
    <w:rsid w:val="00C1784B"/>
    <w:rsid w:val="00C1787A"/>
    <w:rsid w:val="00C17979"/>
    <w:rsid w:val="00C17B4C"/>
    <w:rsid w:val="00C17D00"/>
    <w:rsid w:val="00C17E5E"/>
    <w:rsid w:val="00C17EBF"/>
    <w:rsid w:val="00C17FAC"/>
    <w:rsid w:val="00C17FD9"/>
    <w:rsid w:val="00C200A3"/>
    <w:rsid w:val="00C200B9"/>
    <w:rsid w:val="00C201C0"/>
    <w:rsid w:val="00C203A1"/>
    <w:rsid w:val="00C2065A"/>
    <w:rsid w:val="00C208D4"/>
    <w:rsid w:val="00C20CB0"/>
    <w:rsid w:val="00C20E72"/>
    <w:rsid w:val="00C20F3B"/>
    <w:rsid w:val="00C20FB9"/>
    <w:rsid w:val="00C211A5"/>
    <w:rsid w:val="00C213C5"/>
    <w:rsid w:val="00C215BC"/>
    <w:rsid w:val="00C21735"/>
    <w:rsid w:val="00C21864"/>
    <w:rsid w:val="00C21965"/>
    <w:rsid w:val="00C2196D"/>
    <w:rsid w:val="00C21CAE"/>
    <w:rsid w:val="00C21CEA"/>
    <w:rsid w:val="00C21DA2"/>
    <w:rsid w:val="00C220BA"/>
    <w:rsid w:val="00C22191"/>
    <w:rsid w:val="00C2222B"/>
    <w:rsid w:val="00C22257"/>
    <w:rsid w:val="00C225F4"/>
    <w:rsid w:val="00C229AF"/>
    <w:rsid w:val="00C22A36"/>
    <w:rsid w:val="00C22A46"/>
    <w:rsid w:val="00C22BDD"/>
    <w:rsid w:val="00C22C72"/>
    <w:rsid w:val="00C22CAC"/>
    <w:rsid w:val="00C22D46"/>
    <w:rsid w:val="00C22DB9"/>
    <w:rsid w:val="00C22DC2"/>
    <w:rsid w:val="00C22F0C"/>
    <w:rsid w:val="00C230BE"/>
    <w:rsid w:val="00C2323A"/>
    <w:rsid w:val="00C232B9"/>
    <w:rsid w:val="00C2341E"/>
    <w:rsid w:val="00C2345E"/>
    <w:rsid w:val="00C23491"/>
    <w:rsid w:val="00C235C9"/>
    <w:rsid w:val="00C23721"/>
    <w:rsid w:val="00C23995"/>
    <w:rsid w:val="00C23B92"/>
    <w:rsid w:val="00C23BEA"/>
    <w:rsid w:val="00C23C8A"/>
    <w:rsid w:val="00C23CD2"/>
    <w:rsid w:val="00C24702"/>
    <w:rsid w:val="00C24920"/>
    <w:rsid w:val="00C24947"/>
    <w:rsid w:val="00C249DA"/>
    <w:rsid w:val="00C24E25"/>
    <w:rsid w:val="00C24EC1"/>
    <w:rsid w:val="00C25081"/>
    <w:rsid w:val="00C250C5"/>
    <w:rsid w:val="00C25688"/>
    <w:rsid w:val="00C257C8"/>
    <w:rsid w:val="00C2588A"/>
    <w:rsid w:val="00C259A7"/>
    <w:rsid w:val="00C25B8F"/>
    <w:rsid w:val="00C25D54"/>
    <w:rsid w:val="00C25EAA"/>
    <w:rsid w:val="00C26238"/>
    <w:rsid w:val="00C26383"/>
    <w:rsid w:val="00C264FE"/>
    <w:rsid w:val="00C265C5"/>
    <w:rsid w:val="00C266FD"/>
    <w:rsid w:val="00C268A4"/>
    <w:rsid w:val="00C268FD"/>
    <w:rsid w:val="00C26960"/>
    <w:rsid w:val="00C26AC7"/>
    <w:rsid w:val="00C26C95"/>
    <w:rsid w:val="00C26CA9"/>
    <w:rsid w:val="00C26D82"/>
    <w:rsid w:val="00C27459"/>
    <w:rsid w:val="00C27725"/>
    <w:rsid w:val="00C278BC"/>
    <w:rsid w:val="00C278EF"/>
    <w:rsid w:val="00C279CB"/>
    <w:rsid w:val="00C27ADB"/>
    <w:rsid w:val="00C27BAB"/>
    <w:rsid w:val="00C27E02"/>
    <w:rsid w:val="00C27E27"/>
    <w:rsid w:val="00C27E38"/>
    <w:rsid w:val="00C27F1C"/>
    <w:rsid w:val="00C27FF8"/>
    <w:rsid w:val="00C30077"/>
    <w:rsid w:val="00C30164"/>
    <w:rsid w:val="00C3023A"/>
    <w:rsid w:val="00C30765"/>
    <w:rsid w:val="00C308C8"/>
    <w:rsid w:val="00C3093A"/>
    <w:rsid w:val="00C30B5B"/>
    <w:rsid w:val="00C30C43"/>
    <w:rsid w:val="00C30D59"/>
    <w:rsid w:val="00C30DA2"/>
    <w:rsid w:val="00C31010"/>
    <w:rsid w:val="00C31125"/>
    <w:rsid w:val="00C3121F"/>
    <w:rsid w:val="00C31267"/>
    <w:rsid w:val="00C31272"/>
    <w:rsid w:val="00C31798"/>
    <w:rsid w:val="00C3188D"/>
    <w:rsid w:val="00C319C7"/>
    <w:rsid w:val="00C321F5"/>
    <w:rsid w:val="00C323EB"/>
    <w:rsid w:val="00C3268B"/>
    <w:rsid w:val="00C329EA"/>
    <w:rsid w:val="00C32CC1"/>
    <w:rsid w:val="00C32F4C"/>
    <w:rsid w:val="00C32F9D"/>
    <w:rsid w:val="00C32FEB"/>
    <w:rsid w:val="00C3316A"/>
    <w:rsid w:val="00C33245"/>
    <w:rsid w:val="00C335F0"/>
    <w:rsid w:val="00C338EC"/>
    <w:rsid w:val="00C33976"/>
    <w:rsid w:val="00C3397B"/>
    <w:rsid w:val="00C33A19"/>
    <w:rsid w:val="00C33B7E"/>
    <w:rsid w:val="00C33BD7"/>
    <w:rsid w:val="00C33C55"/>
    <w:rsid w:val="00C33F19"/>
    <w:rsid w:val="00C33FE5"/>
    <w:rsid w:val="00C34106"/>
    <w:rsid w:val="00C34223"/>
    <w:rsid w:val="00C3426F"/>
    <w:rsid w:val="00C34349"/>
    <w:rsid w:val="00C3457F"/>
    <w:rsid w:val="00C34670"/>
    <w:rsid w:val="00C34A02"/>
    <w:rsid w:val="00C34A06"/>
    <w:rsid w:val="00C34B19"/>
    <w:rsid w:val="00C35021"/>
    <w:rsid w:val="00C35138"/>
    <w:rsid w:val="00C351C9"/>
    <w:rsid w:val="00C3530A"/>
    <w:rsid w:val="00C354BD"/>
    <w:rsid w:val="00C3556D"/>
    <w:rsid w:val="00C355E1"/>
    <w:rsid w:val="00C355E6"/>
    <w:rsid w:val="00C355EF"/>
    <w:rsid w:val="00C356B5"/>
    <w:rsid w:val="00C35771"/>
    <w:rsid w:val="00C358E2"/>
    <w:rsid w:val="00C35A2B"/>
    <w:rsid w:val="00C35E23"/>
    <w:rsid w:val="00C36082"/>
    <w:rsid w:val="00C364DF"/>
    <w:rsid w:val="00C367A9"/>
    <w:rsid w:val="00C36810"/>
    <w:rsid w:val="00C36BAA"/>
    <w:rsid w:val="00C36C73"/>
    <w:rsid w:val="00C36D76"/>
    <w:rsid w:val="00C36D83"/>
    <w:rsid w:val="00C36E72"/>
    <w:rsid w:val="00C37033"/>
    <w:rsid w:val="00C37089"/>
    <w:rsid w:val="00C370A2"/>
    <w:rsid w:val="00C3781A"/>
    <w:rsid w:val="00C37868"/>
    <w:rsid w:val="00C3790E"/>
    <w:rsid w:val="00C37997"/>
    <w:rsid w:val="00C3799B"/>
    <w:rsid w:val="00C379B6"/>
    <w:rsid w:val="00C37A93"/>
    <w:rsid w:val="00C37B4C"/>
    <w:rsid w:val="00C37D83"/>
    <w:rsid w:val="00C37E31"/>
    <w:rsid w:val="00C37F46"/>
    <w:rsid w:val="00C37FC7"/>
    <w:rsid w:val="00C4025B"/>
    <w:rsid w:val="00C40336"/>
    <w:rsid w:val="00C40373"/>
    <w:rsid w:val="00C4045B"/>
    <w:rsid w:val="00C404EC"/>
    <w:rsid w:val="00C4061E"/>
    <w:rsid w:val="00C4068D"/>
    <w:rsid w:val="00C40841"/>
    <w:rsid w:val="00C4090A"/>
    <w:rsid w:val="00C40A81"/>
    <w:rsid w:val="00C40BB9"/>
    <w:rsid w:val="00C40C94"/>
    <w:rsid w:val="00C40D63"/>
    <w:rsid w:val="00C40EE5"/>
    <w:rsid w:val="00C40FAD"/>
    <w:rsid w:val="00C412C4"/>
    <w:rsid w:val="00C41513"/>
    <w:rsid w:val="00C41566"/>
    <w:rsid w:val="00C415C5"/>
    <w:rsid w:val="00C41870"/>
    <w:rsid w:val="00C418F9"/>
    <w:rsid w:val="00C41951"/>
    <w:rsid w:val="00C41B9B"/>
    <w:rsid w:val="00C41D9B"/>
    <w:rsid w:val="00C41E63"/>
    <w:rsid w:val="00C41FCD"/>
    <w:rsid w:val="00C4213A"/>
    <w:rsid w:val="00C422C9"/>
    <w:rsid w:val="00C4237A"/>
    <w:rsid w:val="00C425DF"/>
    <w:rsid w:val="00C427B7"/>
    <w:rsid w:val="00C42B04"/>
    <w:rsid w:val="00C42CA3"/>
    <w:rsid w:val="00C431F5"/>
    <w:rsid w:val="00C43519"/>
    <w:rsid w:val="00C43584"/>
    <w:rsid w:val="00C4359A"/>
    <w:rsid w:val="00C43791"/>
    <w:rsid w:val="00C43799"/>
    <w:rsid w:val="00C43858"/>
    <w:rsid w:val="00C4385F"/>
    <w:rsid w:val="00C439CA"/>
    <w:rsid w:val="00C43AA8"/>
    <w:rsid w:val="00C43BA4"/>
    <w:rsid w:val="00C4415D"/>
    <w:rsid w:val="00C445B0"/>
    <w:rsid w:val="00C445CF"/>
    <w:rsid w:val="00C446E2"/>
    <w:rsid w:val="00C4484F"/>
    <w:rsid w:val="00C4485D"/>
    <w:rsid w:val="00C44891"/>
    <w:rsid w:val="00C44954"/>
    <w:rsid w:val="00C44A0D"/>
    <w:rsid w:val="00C44BD6"/>
    <w:rsid w:val="00C44D45"/>
    <w:rsid w:val="00C44D7F"/>
    <w:rsid w:val="00C44F89"/>
    <w:rsid w:val="00C44FDF"/>
    <w:rsid w:val="00C452EE"/>
    <w:rsid w:val="00C45440"/>
    <w:rsid w:val="00C4563B"/>
    <w:rsid w:val="00C457C8"/>
    <w:rsid w:val="00C45A64"/>
    <w:rsid w:val="00C45A90"/>
    <w:rsid w:val="00C45AD9"/>
    <w:rsid w:val="00C45B6E"/>
    <w:rsid w:val="00C45E16"/>
    <w:rsid w:val="00C45F99"/>
    <w:rsid w:val="00C4606A"/>
    <w:rsid w:val="00C46137"/>
    <w:rsid w:val="00C461F1"/>
    <w:rsid w:val="00C462F5"/>
    <w:rsid w:val="00C4647C"/>
    <w:rsid w:val="00C464C7"/>
    <w:rsid w:val="00C464E0"/>
    <w:rsid w:val="00C465E7"/>
    <w:rsid w:val="00C46761"/>
    <w:rsid w:val="00C46974"/>
    <w:rsid w:val="00C4698E"/>
    <w:rsid w:val="00C46CD2"/>
    <w:rsid w:val="00C46D32"/>
    <w:rsid w:val="00C470EE"/>
    <w:rsid w:val="00C471C0"/>
    <w:rsid w:val="00C47376"/>
    <w:rsid w:val="00C47469"/>
    <w:rsid w:val="00C47739"/>
    <w:rsid w:val="00C47A98"/>
    <w:rsid w:val="00C47D57"/>
    <w:rsid w:val="00C47E8F"/>
    <w:rsid w:val="00C47EE4"/>
    <w:rsid w:val="00C47F03"/>
    <w:rsid w:val="00C47FC7"/>
    <w:rsid w:val="00C501A2"/>
    <w:rsid w:val="00C50323"/>
    <w:rsid w:val="00C50583"/>
    <w:rsid w:val="00C50884"/>
    <w:rsid w:val="00C508A4"/>
    <w:rsid w:val="00C5098B"/>
    <w:rsid w:val="00C50DFE"/>
    <w:rsid w:val="00C50EB3"/>
    <w:rsid w:val="00C51005"/>
    <w:rsid w:val="00C5108D"/>
    <w:rsid w:val="00C51278"/>
    <w:rsid w:val="00C512F7"/>
    <w:rsid w:val="00C514D3"/>
    <w:rsid w:val="00C517F2"/>
    <w:rsid w:val="00C51972"/>
    <w:rsid w:val="00C519C9"/>
    <w:rsid w:val="00C51C4F"/>
    <w:rsid w:val="00C51CC5"/>
    <w:rsid w:val="00C51D0B"/>
    <w:rsid w:val="00C51EB8"/>
    <w:rsid w:val="00C51EC3"/>
    <w:rsid w:val="00C52011"/>
    <w:rsid w:val="00C522BF"/>
    <w:rsid w:val="00C52411"/>
    <w:rsid w:val="00C524D0"/>
    <w:rsid w:val="00C52627"/>
    <w:rsid w:val="00C52628"/>
    <w:rsid w:val="00C526A0"/>
    <w:rsid w:val="00C5273E"/>
    <w:rsid w:val="00C527BD"/>
    <w:rsid w:val="00C52894"/>
    <w:rsid w:val="00C528B2"/>
    <w:rsid w:val="00C52958"/>
    <w:rsid w:val="00C529DD"/>
    <w:rsid w:val="00C52AC2"/>
    <w:rsid w:val="00C52B9A"/>
    <w:rsid w:val="00C52C65"/>
    <w:rsid w:val="00C533CC"/>
    <w:rsid w:val="00C533D4"/>
    <w:rsid w:val="00C53442"/>
    <w:rsid w:val="00C53453"/>
    <w:rsid w:val="00C5349C"/>
    <w:rsid w:val="00C537F5"/>
    <w:rsid w:val="00C539D0"/>
    <w:rsid w:val="00C53A2C"/>
    <w:rsid w:val="00C53B90"/>
    <w:rsid w:val="00C53C04"/>
    <w:rsid w:val="00C53E75"/>
    <w:rsid w:val="00C53ED0"/>
    <w:rsid w:val="00C5442E"/>
    <w:rsid w:val="00C54440"/>
    <w:rsid w:val="00C54471"/>
    <w:rsid w:val="00C546B6"/>
    <w:rsid w:val="00C54717"/>
    <w:rsid w:val="00C5485C"/>
    <w:rsid w:val="00C54C22"/>
    <w:rsid w:val="00C54C95"/>
    <w:rsid w:val="00C54DAA"/>
    <w:rsid w:val="00C54E53"/>
    <w:rsid w:val="00C54E74"/>
    <w:rsid w:val="00C54E8F"/>
    <w:rsid w:val="00C54EEA"/>
    <w:rsid w:val="00C54FAD"/>
    <w:rsid w:val="00C55005"/>
    <w:rsid w:val="00C55032"/>
    <w:rsid w:val="00C5510B"/>
    <w:rsid w:val="00C5524C"/>
    <w:rsid w:val="00C5562A"/>
    <w:rsid w:val="00C5564B"/>
    <w:rsid w:val="00C5570C"/>
    <w:rsid w:val="00C55847"/>
    <w:rsid w:val="00C55888"/>
    <w:rsid w:val="00C55903"/>
    <w:rsid w:val="00C55ADC"/>
    <w:rsid w:val="00C55BA8"/>
    <w:rsid w:val="00C55C38"/>
    <w:rsid w:val="00C55D13"/>
    <w:rsid w:val="00C55E0E"/>
    <w:rsid w:val="00C5613E"/>
    <w:rsid w:val="00C565AA"/>
    <w:rsid w:val="00C565C2"/>
    <w:rsid w:val="00C568AC"/>
    <w:rsid w:val="00C569AB"/>
    <w:rsid w:val="00C569E8"/>
    <w:rsid w:val="00C56F14"/>
    <w:rsid w:val="00C56FC8"/>
    <w:rsid w:val="00C56FF7"/>
    <w:rsid w:val="00C574A6"/>
    <w:rsid w:val="00C5752C"/>
    <w:rsid w:val="00C575CF"/>
    <w:rsid w:val="00C575FE"/>
    <w:rsid w:val="00C577AD"/>
    <w:rsid w:val="00C57C55"/>
    <w:rsid w:val="00C57EAB"/>
    <w:rsid w:val="00C600B4"/>
    <w:rsid w:val="00C6010C"/>
    <w:rsid w:val="00C601E9"/>
    <w:rsid w:val="00C601ED"/>
    <w:rsid w:val="00C6020F"/>
    <w:rsid w:val="00C60361"/>
    <w:rsid w:val="00C604A3"/>
    <w:rsid w:val="00C6053D"/>
    <w:rsid w:val="00C60557"/>
    <w:rsid w:val="00C6061D"/>
    <w:rsid w:val="00C60999"/>
    <w:rsid w:val="00C60C14"/>
    <w:rsid w:val="00C60D5D"/>
    <w:rsid w:val="00C60FA7"/>
    <w:rsid w:val="00C6101B"/>
    <w:rsid w:val="00C61134"/>
    <w:rsid w:val="00C611D6"/>
    <w:rsid w:val="00C61446"/>
    <w:rsid w:val="00C61577"/>
    <w:rsid w:val="00C61621"/>
    <w:rsid w:val="00C6163A"/>
    <w:rsid w:val="00C61651"/>
    <w:rsid w:val="00C616B7"/>
    <w:rsid w:val="00C616B8"/>
    <w:rsid w:val="00C617B6"/>
    <w:rsid w:val="00C61B07"/>
    <w:rsid w:val="00C61DC6"/>
    <w:rsid w:val="00C61EB1"/>
    <w:rsid w:val="00C6212F"/>
    <w:rsid w:val="00C62271"/>
    <w:rsid w:val="00C624A7"/>
    <w:rsid w:val="00C62551"/>
    <w:rsid w:val="00C62555"/>
    <w:rsid w:val="00C6276D"/>
    <w:rsid w:val="00C628BF"/>
    <w:rsid w:val="00C629B0"/>
    <w:rsid w:val="00C629EC"/>
    <w:rsid w:val="00C62A04"/>
    <w:rsid w:val="00C62B3E"/>
    <w:rsid w:val="00C62C33"/>
    <w:rsid w:val="00C62C97"/>
    <w:rsid w:val="00C62D6F"/>
    <w:rsid w:val="00C62F16"/>
    <w:rsid w:val="00C6321D"/>
    <w:rsid w:val="00C6328F"/>
    <w:rsid w:val="00C632C0"/>
    <w:rsid w:val="00C6337F"/>
    <w:rsid w:val="00C634FB"/>
    <w:rsid w:val="00C6354F"/>
    <w:rsid w:val="00C6366F"/>
    <w:rsid w:val="00C636C8"/>
    <w:rsid w:val="00C6373D"/>
    <w:rsid w:val="00C6375F"/>
    <w:rsid w:val="00C63A85"/>
    <w:rsid w:val="00C63B05"/>
    <w:rsid w:val="00C63B7C"/>
    <w:rsid w:val="00C63D7E"/>
    <w:rsid w:val="00C63EA4"/>
    <w:rsid w:val="00C63F63"/>
    <w:rsid w:val="00C6413D"/>
    <w:rsid w:val="00C64310"/>
    <w:rsid w:val="00C64320"/>
    <w:rsid w:val="00C643B0"/>
    <w:rsid w:val="00C644EF"/>
    <w:rsid w:val="00C64536"/>
    <w:rsid w:val="00C64663"/>
    <w:rsid w:val="00C646CA"/>
    <w:rsid w:val="00C6470E"/>
    <w:rsid w:val="00C647DD"/>
    <w:rsid w:val="00C64827"/>
    <w:rsid w:val="00C649E2"/>
    <w:rsid w:val="00C64B4E"/>
    <w:rsid w:val="00C64BA7"/>
    <w:rsid w:val="00C64E14"/>
    <w:rsid w:val="00C650A7"/>
    <w:rsid w:val="00C65127"/>
    <w:rsid w:val="00C653F2"/>
    <w:rsid w:val="00C6566C"/>
    <w:rsid w:val="00C656E4"/>
    <w:rsid w:val="00C65821"/>
    <w:rsid w:val="00C659F1"/>
    <w:rsid w:val="00C65B5A"/>
    <w:rsid w:val="00C65BB9"/>
    <w:rsid w:val="00C65CCD"/>
    <w:rsid w:val="00C65D1D"/>
    <w:rsid w:val="00C65D7C"/>
    <w:rsid w:val="00C65FDB"/>
    <w:rsid w:val="00C6604A"/>
    <w:rsid w:val="00C661F3"/>
    <w:rsid w:val="00C66311"/>
    <w:rsid w:val="00C66433"/>
    <w:rsid w:val="00C66816"/>
    <w:rsid w:val="00C66B41"/>
    <w:rsid w:val="00C66B8C"/>
    <w:rsid w:val="00C66B9B"/>
    <w:rsid w:val="00C66F76"/>
    <w:rsid w:val="00C67130"/>
    <w:rsid w:val="00C6722B"/>
    <w:rsid w:val="00C6731A"/>
    <w:rsid w:val="00C6736F"/>
    <w:rsid w:val="00C673D0"/>
    <w:rsid w:val="00C675B9"/>
    <w:rsid w:val="00C676FB"/>
    <w:rsid w:val="00C67852"/>
    <w:rsid w:val="00C678DD"/>
    <w:rsid w:val="00C67A67"/>
    <w:rsid w:val="00C67B03"/>
    <w:rsid w:val="00C67B1F"/>
    <w:rsid w:val="00C700F3"/>
    <w:rsid w:val="00C700F9"/>
    <w:rsid w:val="00C70102"/>
    <w:rsid w:val="00C70141"/>
    <w:rsid w:val="00C7015F"/>
    <w:rsid w:val="00C701DC"/>
    <w:rsid w:val="00C7026D"/>
    <w:rsid w:val="00C70642"/>
    <w:rsid w:val="00C708B0"/>
    <w:rsid w:val="00C709B2"/>
    <w:rsid w:val="00C709E9"/>
    <w:rsid w:val="00C70AA9"/>
    <w:rsid w:val="00C70AEC"/>
    <w:rsid w:val="00C70C4C"/>
    <w:rsid w:val="00C70E36"/>
    <w:rsid w:val="00C70EA8"/>
    <w:rsid w:val="00C7117A"/>
    <w:rsid w:val="00C71543"/>
    <w:rsid w:val="00C71586"/>
    <w:rsid w:val="00C7163D"/>
    <w:rsid w:val="00C71698"/>
    <w:rsid w:val="00C719DA"/>
    <w:rsid w:val="00C71B3B"/>
    <w:rsid w:val="00C71BFC"/>
    <w:rsid w:val="00C71DE1"/>
    <w:rsid w:val="00C71E3F"/>
    <w:rsid w:val="00C71E9E"/>
    <w:rsid w:val="00C72199"/>
    <w:rsid w:val="00C7227B"/>
    <w:rsid w:val="00C723EA"/>
    <w:rsid w:val="00C72593"/>
    <w:rsid w:val="00C728B4"/>
    <w:rsid w:val="00C72A64"/>
    <w:rsid w:val="00C72C22"/>
    <w:rsid w:val="00C72DFA"/>
    <w:rsid w:val="00C72EE7"/>
    <w:rsid w:val="00C73025"/>
    <w:rsid w:val="00C7304E"/>
    <w:rsid w:val="00C730BB"/>
    <w:rsid w:val="00C733BA"/>
    <w:rsid w:val="00C73746"/>
    <w:rsid w:val="00C73777"/>
    <w:rsid w:val="00C737AB"/>
    <w:rsid w:val="00C73C1A"/>
    <w:rsid w:val="00C73D83"/>
    <w:rsid w:val="00C73E23"/>
    <w:rsid w:val="00C73ED9"/>
    <w:rsid w:val="00C73F60"/>
    <w:rsid w:val="00C73F78"/>
    <w:rsid w:val="00C74591"/>
    <w:rsid w:val="00C74768"/>
    <w:rsid w:val="00C748F0"/>
    <w:rsid w:val="00C74A8A"/>
    <w:rsid w:val="00C74A98"/>
    <w:rsid w:val="00C74A9D"/>
    <w:rsid w:val="00C74B22"/>
    <w:rsid w:val="00C74B6B"/>
    <w:rsid w:val="00C74F2E"/>
    <w:rsid w:val="00C75287"/>
    <w:rsid w:val="00C75300"/>
    <w:rsid w:val="00C75373"/>
    <w:rsid w:val="00C75942"/>
    <w:rsid w:val="00C75B0A"/>
    <w:rsid w:val="00C75D5B"/>
    <w:rsid w:val="00C75D7C"/>
    <w:rsid w:val="00C75DB3"/>
    <w:rsid w:val="00C75F14"/>
    <w:rsid w:val="00C75F5E"/>
    <w:rsid w:val="00C75F68"/>
    <w:rsid w:val="00C75FD4"/>
    <w:rsid w:val="00C7602B"/>
    <w:rsid w:val="00C76117"/>
    <w:rsid w:val="00C763B5"/>
    <w:rsid w:val="00C764E7"/>
    <w:rsid w:val="00C766EE"/>
    <w:rsid w:val="00C766F4"/>
    <w:rsid w:val="00C76CB5"/>
    <w:rsid w:val="00C770A7"/>
    <w:rsid w:val="00C771A7"/>
    <w:rsid w:val="00C77384"/>
    <w:rsid w:val="00C77906"/>
    <w:rsid w:val="00C77939"/>
    <w:rsid w:val="00C7798F"/>
    <w:rsid w:val="00C779F5"/>
    <w:rsid w:val="00C77A2D"/>
    <w:rsid w:val="00C77A48"/>
    <w:rsid w:val="00C77D9F"/>
    <w:rsid w:val="00C77FC6"/>
    <w:rsid w:val="00C800F1"/>
    <w:rsid w:val="00C802D4"/>
    <w:rsid w:val="00C80540"/>
    <w:rsid w:val="00C80910"/>
    <w:rsid w:val="00C80A4E"/>
    <w:rsid w:val="00C80B91"/>
    <w:rsid w:val="00C80CAB"/>
    <w:rsid w:val="00C80D9E"/>
    <w:rsid w:val="00C8120C"/>
    <w:rsid w:val="00C81508"/>
    <w:rsid w:val="00C81593"/>
    <w:rsid w:val="00C81726"/>
    <w:rsid w:val="00C81A4F"/>
    <w:rsid w:val="00C81C12"/>
    <w:rsid w:val="00C81E2A"/>
    <w:rsid w:val="00C81EA6"/>
    <w:rsid w:val="00C81F8D"/>
    <w:rsid w:val="00C8200B"/>
    <w:rsid w:val="00C8209F"/>
    <w:rsid w:val="00C821FA"/>
    <w:rsid w:val="00C82372"/>
    <w:rsid w:val="00C82437"/>
    <w:rsid w:val="00C824D9"/>
    <w:rsid w:val="00C8252A"/>
    <w:rsid w:val="00C8259B"/>
    <w:rsid w:val="00C825D3"/>
    <w:rsid w:val="00C826D7"/>
    <w:rsid w:val="00C82886"/>
    <w:rsid w:val="00C82BE1"/>
    <w:rsid w:val="00C82BE4"/>
    <w:rsid w:val="00C82C5C"/>
    <w:rsid w:val="00C82E25"/>
    <w:rsid w:val="00C832A6"/>
    <w:rsid w:val="00C834FB"/>
    <w:rsid w:val="00C8352C"/>
    <w:rsid w:val="00C83544"/>
    <w:rsid w:val="00C83590"/>
    <w:rsid w:val="00C835B3"/>
    <w:rsid w:val="00C835CE"/>
    <w:rsid w:val="00C83928"/>
    <w:rsid w:val="00C8398D"/>
    <w:rsid w:val="00C83998"/>
    <w:rsid w:val="00C83D18"/>
    <w:rsid w:val="00C83E89"/>
    <w:rsid w:val="00C840C6"/>
    <w:rsid w:val="00C8444D"/>
    <w:rsid w:val="00C848FB"/>
    <w:rsid w:val="00C84993"/>
    <w:rsid w:val="00C84B78"/>
    <w:rsid w:val="00C84D71"/>
    <w:rsid w:val="00C84E6E"/>
    <w:rsid w:val="00C84F94"/>
    <w:rsid w:val="00C85036"/>
    <w:rsid w:val="00C85208"/>
    <w:rsid w:val="00C85470"/>
    <w:rsid w:val="00C85566"/>
    <w:rsid w:val="00C855BF"/>
    <w:rsid w:val="00C85619"/>
    <w:rsid w:val="00C85793"/>
    <w:rsid w:val="00C857FA"/>
    <w:rsid w:val="00C8592C"/>
    <w:rsid w:val="00C85B6C"/>
    <w:rsid w:val="00C85CD0"/>
    <w:rsid w:val="00C85E8F"/>
    <w:rsid w:val="00C86047"/>
    <w:rsid w:val="00C863EF"/>
    <w:rsid w:val="00C86637"/>
    <w:rsid w:val="00C867B5"/>
    <w:rsid w:val="00C8682C"/>
    <w:rsid w:val="00C8697E"/>
    <w:rsid w:val="00C86AF8"/>
    <w:rsid w:val="00C86BC6"/>
    <w:rsid w:val="00C86C07"/>
    <w:rsid w:val="00C86CFC"/>
    <w:rsid w:val="00C86DAF"/>
    <w:rsid w:val="00C86E9C"/>
    <w:rsid w:val="00C86F8B"/>
    <w:rsid w:val="00C870C4"/>
    <w:rsid w:val="00C87206"/>
    <w:rsid w:val="00C87259"/>
    <w:rsid w:val="00C8736F"/>
    <w:rsid w:val="00C873DF"/>
    <w:rsid w:val="00C8760E"/>
    <w:rsid w:val="00C87619"/>
    <w:rsid w:val="00C87847"/>
    <w:rsid w:val="00C87A1C"/>
    <w:rsid w:val="00C87A5A"/>
    <w:rsid w:val="00C900DC"/>
    <w:rsid w:val="00C9033E"/>
    <w:rsid w:val="00C906D3"/>
    <w:rsid w:val="00C9086D"/>
    <w:rsid w:val="00C908E1"/>
    <w:rsid w:val="00C909CE"/>
    <w:rsid w:val="00C909DE"/>
    <w:rsid w:val="00C90A5B"/>
    <w:rsid w:val="00C90CFA"/>
    <w:rsid w:val="00C90D63"/>
    <w:rsid w:val="00C90FB5"/>
    <w:rsid w:val="00C910BB"/>
    <w:rsid w:val="00C91260"/>
    <w:rsid w:val="00C91389"/>
    <w:rsid w:val="00C9164F"/>
    <w:rsid w:val="00C91726"/>
    <w:rsid w:val="00C91985"/>
    <w:rsid w:val="00C91C63"/>
    <w:rsid w:val="00C91E7B"/>
    <w:rsid w:val="00C9217C"/>
    <w:rsid w:val="00C923A1"/>
    <w:rsid w:val="00C923A7"/>
    <w:rsid w:val="00C92502"/>
    <w:rsid w:val="00C926F7"/>
    <w:rsid w:val="00C927AE"/>
    <w:rsid w:val="00C92CAD"/>
    <w:rsid w:val="00C92F80"/>
    <w:rsid w:val="00C92FE5"/>
    <w:rsid w:val="00C93239"/>
    <w:rsid w:val="00C93635"/>
    <w:rsid w:val="00C93641"/>
    <w:rsid w:val="00C936C0"/>
    <w:rsid w:val="00C93954"/>
    <w:rsid w:val="00C93970"/>
    <w:rsid w:val="00C93A83"/>
    <w:rsid w:val="00C93B46"/>
    <w:rsid w:val="00C93C00"/>
    <w:rsid w:val="00C93ED8"/>
    <w:rsid w:val="00C94197"/>
    <w:rsid w:val="00C94BEA"/>
    <w:rsid w:val="00C94DC1"/>
    <w:rsid w:val="00C94E12"/>
    <w:rsid w:val="00C94E36"/>
    <w:rsid w:val="00C94F92"/>
    <w:rsid w:val="00C951E3"/>
    <w:rsid w:val="00C95557"/>
    <w:rsid w:val="00C9557B"/>
    <w:rsid w:val="00C9561C"/>
    <w:rsid w:val="00C9571F"/>
    <w:rsid w:val="00C95B3B"/>
    <w:rsid w:val="00C95CB9"/>
    <w:rsid w:val="00C95DB4"/>
    <w:rsid w:val="00C95DD4"/>
    <w:rsid w:val="00C95F57"/>
    <w:rsid w:val="00C96086"/>
    <w:rsid w:val="00C963A3"/>
    <w:rsid w:val="00C9659C"/>
    <w:rsid w:val="00C9694E"/>
    <w:rsid w:val="00C96A19"/>
    <w:rsid w:val="00C96A38"/>
    <w:rsid w:val="00C96A86"/>
    <w:rsid w:val="00C96AD3"/>
    <w:rsid w:val="00C96C0F"/>
    <w:rsid w:val="00C96D19"/>
    <w:rsid w:val="00C96E5A"/>
    <w:rsid w:val="00C96E6B"/>
    <w:rsid w:val="00C96F78"/>
    <w:rsid w:val="00C9702D"/>
    <w:rsid w:val="00C97250"/>
    <w:rsid w:val="00C97252"/>
    <w:rsid w:val="00C972C2"/>
    <w:rsid w:val="00C972D4"/>
    <w:rsid w:val="00C97422"/>
    <w:rsid w:val="00C9744D"/>
    <w:rsid w:val="00C9748D"/>
    <w:rsid w:val="00C976B6"/>
    <w:rsid w:val="00C979C6"/>
    <w:rsid w:val="00C97AC2"/>
    <w:rsid w:val="00C97D4E"/>
    <w:rsid w:val="00C97ED6"/>
    <w:rsid w:val="00C97F7F"/>
    <w:rsid w:val="00C97FAD"/>
    <w:rsid w:val="00CA0220"/>
    <w:rsid w:val="00CA02B9"/>
    <w:rsid w:val="00CA0302"/>
    <w:rsid w:val="00CA0514"/>
    <w:rsid w:val="00CA0816"/>
    <w:rsid w:val="00CA0856"/>
    <w:rsid w:val="00CA09E4"/>
    <w:rsid w:val="00CA0AAC"/>
    <w:rsid w:val="00CA0AFB"/>
    <w:rsid w:val="00CA0BA6"/>
    <w:rsid w:val="00CA0BD6"/>
    <w:rsid w:val="00CA0BE2"/>
    <w:rsid w:val="00CA0CCE"/>
    <w:rsid w:val="00CA0E4B"/>
    <w:rsid w:val="00CA11BE"/>
    <w:rsid w:val="00CA1203"/>
    <w:rsid w:val="00CA15EE"/>
    <w:rsid w:val="00CA1650"/>
    <w:rsid w:val="00CA1738"/>
    <w:rsid w:val="00CA188E"/>
    <w:rsid w:val="00CA1BA1"/>
    <w:rsid w:val="00CA1D3B"/>
    <w:rsid w:val="00CA2448"/>
    <w:rsid w:val="00CA2454"/>
    <w:rsid w:val="00CA25A3"/>
    <w:rsid w:val="00CA266A"/>
    <w:rsid w:val="00CA2A29"/>
    <w:rsid w:val="00CA2AD4"/>
    <w:rsid w:val="00CA2B3F"/>
    <w:rsid w:val="00CA2D37"/>
    <w:rsid w:val="00CA2E09"/>
    <w:rsid w:val="00CA2E74"/>
    <w:rsid w:val="00CA30E0"/>
    <w:rsid w:val="00CA30EE"/>
    <w:rsid w:val="00CA3139"/>
    <w:rsid w:val="00CA3248"/>
    <w:rsid w:val="00CA32EA"/>
    <w:rsid w:val="00CA355B"/>
    <w:rsid w:val="00CA375F"/>
    <w:rsid w:val="00CA38E4"/>
    <w:rsid w:val="00CA39AD"/>
    <w:rsid w:val="00CA3A29"/>
    <w:rsid w:val="00CA3BF0"/>
    <w:rsid w:val="00CA3C03"/>
    <w:rsid w:val="00CA3C26"/>
    <w:rsid w:val="00CA3D77"/>
    <w:rsid w:val="00CA3FB4"/>
    <w:rsid w:val="00CA3FBD"/>
    <w:rsid w:val="00CA3FFD"/>
    <w:rsid w:val="00CA40A5"/>
    <w:rsid w:val="00CA41CB"/>
    <w:rsid w:val="00CA4215"/>
    <w:rsid w:val="00CA4370"/>
    <w:rsid w:val="00CA43A1"/>
    <w:rsid w:val="00CA4719"/>
    <w:rsid w:val="00CA4933"/>
    <w:rsid w:val="00CA4A4D"/>
    <w:rsid w:val="00CA4AA9"/>
    <w:rsid w:val="00CA4EF5"/>
    <w:rsid w:val="00CA4FB8"/>
    <w:rsid w:val="00CA57D2"/>
    <w:rsid w:val="00CA5DF2"/>
    <w:rsid w:val="00CA5E83"/>
    <w:rsid w:val="00CA5EF0"/>
    <w:rsid w:val="00CA608B"/>
    <w:rsid w:val="00CA61CE"/>
    <w:rsid w:val="00CA6AF4"/>
    <w:rsid w:val="00CA7057"/>
    <w:rsid w:val="00CA70DC"/>
    <w:rsid w:val="00CA76DC"/>
    <w:rsid w:val="00CA79D7"/>
    <w:rsid w:val="00CA7A04"/>
    <w:rsid w:val="00CA7AA6"/>
    <w:rsid w:val="00CA7DDA"/>
    <w:rsid w:val="00CA7F06"/>
    <w:rsid w:val="00CB007C"/>
    <w:rsid w:val="00CB035B"/>
    <w:rsid w:val="00CB03E1"/>
    <w:rsid w:val="00CB0607"/>
    <w:rsid w:val="00CB07CA"/>
    <w:rsid w:val="00CB0823"/>
    <w:rsid w:val="00CB0A09"/>
    <w:rsid w:val="00CB0A4E"/>
    <w:rsid w:val="00CB0A53"/>
    <w:rsid w:val="00CB0C86"/>
    <w:rsid w:val="00CB10AA"/>
    <w:rsid w:val="00CB10C1"/>
    <w:rsid w:val="00CB1142"/>
    <w:rsid w:val="00CB13BF"/>
    <w:rsid w:val="00CB13E5"/>
    <w:rsid w:val="00CB1478"/>
    <w:rsid w:val="00CB16C3"/>
    <w:rsid w:val="00CB1A91"/>
    <w:rsid w:val="00CB1C5D"/>
    <w:rsid w:val="00CB1D8B"/>
    <w:rsid w:val="00CB1D95"/>
    <w:rsid w:val="00CB2432"/>
    <w:rsid w:val="00CB2521"/>
    <w:rsid w:val="00CB25A7"/>
    <w:rsid w:val="00CB268A"/>
    <w:rsid w:val="00CB26E0"/>
    <w:rsid w:val="00CB2950"/>
    <w:rsid w:val="00CB2981"/>
    <w:rsid w:val="00CB2B31"/>
    <w:rsid w:val="00CB2C3B"/>
    <w:rsid w:val="00CB2D04"/>
    <w:rsid w:val="00CB2DD5"/>
    <w:rsid w:val="00CB2E2F"/>
    <w:rsid w:val="00CB2FE9"/>
    <w:rsid w:val="00CB3071"/>
    <w:rsid w:val="00CB326D"/>
    <w:rsid w:val="00CB33F5"/>
    <w:rsid w:val="00CB3709"/>
    <w:rsid w:val="00CB370D"/>
    <w:rsid w:val="00CB384A"/>
    <w:rsid w:val="00CB38C3"/>
    <w:rsid w:val="00CB38C5"/>
    <w:rsid w:val="00CB3C34"/>
    <w:rsid w:val="00CB3D04"/>
    <w:rsid w:val="00CB3D84"/>
    <w:rsid w:val="00CB428B"/>
    <w:rsid w:val="00CB466D"/>
    <w:rsid w:val="00CB4737"/>
    <w:rsid w:val="00CB4966"/>
    <w:rsid w:val="00CB4D7D"/>
    <w:rsid w:val="00CB4E72"/>
    <w:rsid w:val="00CB4E9D"/>
    <w:rsid w:val="00CB4EE9"/>
    <w:rsid w:val="00CB51AD"/>
    <w:rsid w:val="00CB5222"/>
    <w:rsid w:val="00CB53AF"/>
    <w:rsid w:val="00CB53CF"/>
    <w:rsid w:val="00CB53D5"/>
    <w:rsid w:val="00CB53F6"/>
    <w:rsid w:val="00CB564A"/>
    <w:rsid w:val="00CB5674"/>
    <w:rsid w:val="00CB572F"/>
    <w:rsid w:val="00CB57B3"/>
    <w:rsid w:val="00CB5A4E"/>
    <w:rsid w:val="00CB5B14"/>
    <w:rsid w:val="00CB5B4D"/>
    <w:rsid w:val="00CB5B72"/>
    <w:rsid w:val="00CB5C2B"/>
    <w:rsid w:val="00CB5DD8"/>
    <w:rsid w:val="00CB605E"/>
    <w:rsid w:val="00CB60D2"/>
    <w:rsid w:val="00CB616B"/>
    <w:rsid w:val="00CB6252"/>
    <w:rsid w:val="00CB63DB"/>
    <w:rsid w:val="00CB63FA"/>
    <w:rsid w:val="00CB6476"/>
    <w:rsid w:val="00CB64C7"/>
    <w:rsid w:val="00CB64E6"/>
    <w:rsid w:val="00CB65DD"/>
    <w:rsid w:val="00CB65E4"/>
    <w:rsid w:val="00CB660C"/>
    <w:rsid w:val="00CB6619"/>
    <w:rsid w:val="00CB6640"/>
    <w:rsid w:val="00CB66B0"/>
    <w:rsid w:val="00CB6707"/>
    <w:rsid w:val="00CB67B9"/>
    <w:rsid w:val="00CB6831"/>
    <w:rsid w:val="00CB6A0B"/>
    <w:rsid w:val="00CB6CA0"/>
    <w:rsid w:val="00CB6CA5"/>
    <w:rsid w:val="00CB6D45"/>
    <w:rsid w:val="00CB6E16"/>
    <w:rsid w:val="00CB73F2"/>
    <w:rsid w:val="00CB73F5"/>
    <w:rsid w:val="00CB7980"/>
    <w:rsid w:val="00CB7989"/>
    <w:rsid w:val="00CB79C0"/>
    <w:rsid w:val="00CB7C48"/>
    <w:rsid w:val="00CB7C56"/>
    <w:rsid w:val="00CB7F1C"/>
    <w:rsid w:val="00CC020F"/>
    <w:rsid w:val="00CC0241"/>
    <w:rsid w:val="00CC05EE"/>
    <w:rsid w:val="00CC0620"/>
    <w:rsid w:val="00CC0ADC"/>
    <w:rsid w:val="00CC0AE4"/>
    <w:rsid w:val="00CC0B0C"/>
    <w:rsid w:val="00CC0C84"/>
    <w:rsid w:val="00CC0D1F"/>
    <w:rsid w:val="00CC0EA5"/>
    <w:rsid w:val="00CC0F1F"/>
    <w:rsid w:val="00CC116A"/>
    <w:rsid w:val="00CC1243"/>
    <w:rsid w:val="00CC17B8"/>
    <w:rsid w:val="00CC182C"/>
    <w:rsid w:val="00CC1A15"/>
    <w:rsid w:val="00CC1C47"/>
    <w:rsid w:val="00CC1D06"/>
    <w:rsid w:val="00CC1F05"/>
    <w:rsid w:val="00CC1F1A"/>
    <w:rsid w:val="00CC1F61"/>
    <w:rsid w:val="00CC1F65"/>
    <w:rsid w:val="00CC20BE"/>
    <w:rsid w:val="00CC2112"/>
    <w:rsid w:val="00CC216B"/>
    <w:rsid w:val="00CC22ED"/>
    <w:rsid w:val="00CC240B"/>
    <w:rsid w:val="00CC240E"/>
    <w:rsid w:val="00CC2444"/>
    <w:rsid w:val="00CC24D0"/>
    <w:rsid w:val="00CC2528"/>
    <w:rsid w:val="00CC2761"/>
    <w:rsid w:val="00CC2C54"/>
    <w:rsid w:val="00CC2D11"/>
    <w:rsid w:val="00CC2DD6"/>
    <w:rsid w:val="00CC3013"/>
    <w:rsid w:val="00CC30C4"/>
    <w:rsid w:val="00CC325E"/>
    <w:rsid w:val="00CC32C6"/>
    <w:rsid w:val="00CC32D0"/>
    <w:rsid w:val="00CC32ED"/>
    <w:rsid w:val="00CC365E"/>
    <w:rsid w:val="00CC3845"/>
    <w:rsid w:val="00CC3A42"/>
    <w:rsid w:val="00CC3A59"/>
    <w:rsid w:val="00CC3A98"/>
    <w:rsid w:val="00CC3BF0"/>
    <w:rsid w:val="00CC3C35"/>
    <w:rsid w:val="00CC3E81"/>
    <w:rsid w:val="00CC3F44"/>
    <w:rsid w:val="00CC4005"/>
    <w:rsid w:val="00CC409B"/>
    <w:rsid w:val="00CC411D"/>
    <w:rsid w:val="00CC41A9"/>
    <w:rsid w:val="00CC4203"/>
    <w:rsid w:val="00CC4708"/>
    <w:rsid w:val="00CC4B09"/>
    <w:rsid w:val="00CC4C27"/>
    <w:rsid w:val="00CC4C53"/>
    <w:rsid w:val="00CC4DF1"/>
    <w:rsid w:val="00CC4E2F"/>
    <w:rsid w:val="00CC4F4C"/>
    <w:rsid w:val="00CC50FA"/>
    <w:rsid w:val="00CC5131"/>
    <w:rsid w:val="00CC534A"/>
    <w:rsid w:val="00CC5551"/>
    <w:rsid w:val="00CC595D"/>
    <w:rsid w:val="00CC59C0"/>
    <w:rsid w:val="00CC59CF"/>
    <w:rsid w:val="00CC5C41"/>
    <w:rsid w:val="00CC5CAD"/>
    <w:rsid w:val="00CC5E6F"/>
    <w:rsid w:val="00CC5F5A"/>
    <w:rsid w:val="00CC6616"/>
    <w:rsid w:val="00CC680B"/>
    <w:rsid w:val="00CC69AD"/>
    <w:rsid w:val="00CC6A98"/>
    <w:rsid w:val="00CC6E96"/>
    <w:rsid w:val="00CC71FE"/>
    <w:rsid w:val="00CC73C0"/>
    <w:rsid w:val="00CC741F"/>
    <w:rsid w:val="00CC764B"/>
    <w:rsid w:val="00CC7786"/>
    <w:rsid w:val="00CC7985"/>
    <w:rsid w:val="00CC7B1E"/>
    <w:rsid w:val="00CC7B2F"/>
    <w:rsid w:val="00CC7C02"/>
    <w:rsid w:val="00CC7EBB"/>
    <w:rsid w:val="00CC7F28"/>
    <w:rsid w:val="00CC7F79"/>
    <w:rsid w:val="00CD01EF"/>
    <w:rsid w:val="00CD02BC"/>
    <w:rsid w:val="00CD02E0"/>
    <w:rsid w:val="00CD0574"/>
    <w:rsid w:val="00CD06DE"/>
    <w:rsid w:val="00CD078D"/>
    <w:rsid w:val="00CD086A"/>
    <w:rsid w:val="00CD09C7"/>
    <w:rsid w:val="00CD0DC3"/>
    <w:rsid w:val="00CD0DD0"/>
    <w:rsid w:val="00CD0FDB"/>
    <w:rsid w:val="00CD106D"/>
    <w:rsid w:val="00CD124A"/>
    <w:rsid w:val="00CD13E9"/>
    <w:rsid w:val="00CD177C"/>
    <w:rsid w:val="00CD178F"/>
    <w:rsid w:val="00CD17CF"/>
    <w:rsid w:val="00CD183B"/>
    <w:rsid w:val="00CD1939"/>
    <w:rsid w:val="00CD1A26"/>
    <w:rsid w:val="00CD1A4A"/>
    <w:rsid w:val="00CD1AEB"/>
    <w:rsid w:val="00CD1C19"/>
    <w:rsid w:val="00CD1F03"/>
    <w:rsid w:val="00CD2005"/>
    <w:rsid w:val="00CD2054"/>
    <w:rsid w:val="00CD2318"/>
    <w:rsid w:val="00CD24A7"/>
    <w:rsid w:val="00CD24C6"/>
    <w:rsid w:val="00CD259B"/>
    <w:rsid w:val="00CD2660"/>
    <w:rsid w:val="00CD271E"/>
    <w:rsid w:val="00CD2B20"/>
    <w:rsid w:val="00CD2C82"/>
    <w:rsid w:val="00CD2E43"/>
    <w:rsid w:val="00CD2F22"/>
    <w:rsid w:val="00CD306B"/>
    <w:rsid w:val="00CD30FC"/>
    <w:rsid w:val="00CD31E2"/>
    <w:rsid w:val="00CD3394"/>
    <w:rsid w:val="00CD33B5"/>
    <w:rsid w:val="00CD33FC"/>
    <w:rsid w:val="00CD3425"/>
    <w:rsid w:val="00CD347E"/>
    <w:rsid w:val="00CD36DB"/>
    <w:rsid w:val="00CD38A9"/>
    <w:rsid w:val="00CD3A5E"/>
    <w:rsid w:val="00CD3AE0"/>
    <w:rsid w:val="00CD402B"/>
    <w:rsid w:val="00CD40B0"/>
    <w:rsid w:val="00CD417C"/>
    <w:rsid w:val="00CD4322"/>
    <w:rsid w:val="00CD45A7"/>
    <w:rsid w:val="00CD45F5"/>
    <w:rsid w:val="00CD4638"/>
    <w:rsid w:val="00CD48EA"/>
    <w:rsid w:val="00CD490D"/>
    <w:rsid w:val="00CD4ABF"/>
    <w:rsid w:val="00CD4C35"/>
    <w:rsid w:val="00CD4E14"/>
    <w:rsid w:val="00CD4E20"/>
    <w:rsid w:val="00CD4E55"/>
    <w:rsid w:val="00CD4EA2"/>
    <w:rsid w:val="00CD4EAA"/>
    <w:rsid w:val="00CD4F9C"/>
    <w:rsid w:val="00CD5074"/>
    <w:rsid w:val="00CD516F"/>
    <w:rsid w:val="00CD5233"/>
    <w:rsid w:val="00CD52A8"/>
    <w:rsid w:val="00CD54A6"/>
    <w:rsid w:val="00CD5710"/>
    <w:rsid w:val="00CD5794"/>
    <w:rsid w:val="00CD5B1C"/>
    <w:rsid w:val="00CD5ED8"/>
    <w:rsid w:val="00CD5ED9"/>
    <w:rsid w:val="00CD6043"/>
    <w:rsid w:val="00CD61CE"/>
    <w:rsid w:val="00CD6270"/>
    <w:rsid w:val="00CD6568"/>
    <w:rsid w:val="00CD67B0"/>
    <w:rsid w:val="00CD6B78"/>
    <w:rsid w:val="00CD6CB2"/>
    <w:rsid w:val="00CD6D71"/>
    <w:rsid w:val="00CD6FAF"/>
    <w:rsid w:val="00CD6FEE"/>
    <w:rsid w:val="00CD716B"/>
    <w:rsid w:val="00CD7200"/>
    <w:rsid w:val="00CD7273"/>
    <w:rsid w:val="00CD7355"/>
    <w:rsid w:val="00CD768D"/>
    <w:rsid w:val="00CD76C9"/>
    <w:rsid w:val="00CD7725"/>
    <w:rsid w:val="00CD77E9"/>
    <w:rsid w:val="00CD77F5"/>
    <w:rsid w:val="00CD7898"/>
    <w:rsid w:val="00CD7BC1"/>
    <w:rsid w:val="00CD7D47"/>
    <w:rsid w:val="00CD7E9F"/>
    <w:rsid w:val="00CD7F68"/>
    <w:rsid w:val="00CE00AC"/>
    <w:rsid w:val="00CE0581"/>
    <w:rsid w:val="00CE06A6"/>
    <w:rsid w:val="00CE084B"/>
    <w:rsid w:val="00CE0924"/>
    <w:rsid w:val="00CE0B36"/>
    <w:rsid w:val="00CE0D95"/>
    <w:rsid w:val="00CE0E17"/>
    <w:rsid w:val="00CE0FF0"/>
    <w:rsid w:val="00CE10C5"/>
    <w:rsid w:val="00CE12D5"/>
    <w:rsid w:val="00CE1393"/>
    <w:rsid w:val="00CE13A3"/>
    <w:rsid w:val="00CE16E1"/>
    <w:rsid w:val="00CE1792"/>
    <w:rsid w:val="00CE1840"/>
    <w:rsid w:val="00CE189C"/>
    <w:rsid w:val="00CE1D9C"/>
    <w:rsid w:val="00CE1EC0"/>
    <w:rsid w:val="00CE1ECE"/>
    <w:rsid w:val="00CE1F9B"/>
    <w:rsid w:val="00CE229F"/>
    <w:rsid w:val="00CE26D8"/>
    <w:rsid w:val="00CE2724"/>
    <w:rsid w:val="00CE284D"/>
    <w:rsid w:val="00CE2910"/>
    <w:rsid w:val="00CE2A45"/>
    <w:rsid w:val="00CE2AD0"/>
    <w:rsid w:val="00CE2FF4"/>
    <w:rsid w:val="00CE301E"/>
    <w:rsid w:val="00CE33EF"/>
    <w:rsid w:val="00CE3402"/>
    <w:rsid w:val="00CE3419"/>
    <w:rsid w:val="00CE343B"/>
    <w:rsid w:val="00CE3702"/>
    <w:rsid w:val="00CE376F"/>
    <w:rsid w:val="00CE3A0C"/>
    <w:rsid w:val="00CE3AA8"/>
    <w:rsid w:val="00CE3BD8"/>
    <w:rsid w:val="00CE3C92"/>
    <w:rsid w:val="00CE3D35"/>
    <w:rsid w:val="00CE3F29"/>
    <w:rsid w:val="00CE42FD"/>
    <w:rsid w:val="00CE4340"/>
    <w:rsid w:val="00CE447C"/>
    <w:rsid w:val="00CE4506"/>
    <w:rsid w:val="00CE45A2"/>
    <w:rsid w:val="00CE462B"/>
    <w:rsid w:val="00CE478A"/>
    <w:rsid w:val="00CE4874"/>
    <w:rsid w:val="00CE4D1C"/>
    <w:rsid w:val="00CE4D6A"/>
    <w:rsid w:val="00CE4E61"/>
    <w:rsid w:val="00CE4F47"/>
    <w:rsid w:val="00CE4FD2"/>
    <w:rsid w:val="00CE5005"/>
    <w:rsid w:val="00CE5326"/>
    <w:rsid w:val="00CE58CA"/>
    <w:rsid w:val="00CE59E0"/>
    <w:rsid w:val="00CE5BBE"/>
    <w:rsid w:val="00CE5D8C"/>
    <w:rsid w:val="00CE6020"/>
    <w:rsid w:val="00CE6178"/>
    <w:rsid w:val="00CE62DF"/>
    <w:rsid w:val="00CE6616"/>
    <w:rsid w:val="00CE66C9"/>
    <w:rsid w:val="00CE677A"/>
    <w:rsid w:val="00CE67E9"/>
    <w:rsid w:val="00CE68B2"/>
    <w:rsid w:val="00CE6A1F"/>
    <w:rsid w:val="00CE6B13"/>
    <w:rsid w:val="00CE6B35"/>
    <w:rsid w:val="00CE6B5E"/>
    <w:rsid w:val="00CE708D"/>
    <w:rsid w:val="00CE70A1"/>
    <w:rsid w:val="00CE7395"/>
    <w:rsid w:val="00CE7466"/>
    <w:rsid w:val="00CE752C"/>
    <w:rsid w:val="00CE78A9"/>
    <w:rsid w:val="00CE7925"/>
    <w:rsid w:val="00CE7C06"/>
    <w:rsid w:val="00CE7EFD"/>
    <w:rsid w:val="00CED590"/>
    <w:rsid w:val="00CF018B"/>
    <w:rsid w:val="00CF0814"/>
    <w:rsid w:val="00CF084B"/>
    <w:rsid w:val="00CF0859"/>
    <w:rsid w:val="00CF0A93"/>
    <w:rsid w:val="00CF0B8D"/>
    <w:rsid w:val="00CF0D25"/>
    <w:rsid w:val="00CF0E31"/>
    <w:rsid w:val="00CF0EE8"/>
    <w:rsid w:val="00CF0FAF"/>
    <w:rsid w:val="00CF1058"/>
    <w:rsid w:val="00CF1489"/>
    <w:rsid w:val="00CF14B5"/>
    <w:rsid w:val="00CF170E"/>
    <w:rsid w:val="00CF1902"/>
    <w:rsid w:val="00CF1A74"/>
    <w:rsid w:val="00CF1ABC"/>
    <w:rsid w:val="00CF1B5B"/>
    <w:rsid w:val="00CF1B77"/>
    <w:rsid w:val="00CF1D7A"/>
    <w:rsid w:val="00CF1E07"/>
    <w:rsid w:val="00CF1FBC"/>
    <w:rsid w:val="00CF200F"/>
    <w:rsid w:val="00CF203D"/>
    <w:rsid w:val="00CF227A"/>
    <w:rsid w:val="00CF2417"/>
    <w:rsid w:val="00CF2581"/>
    <w:rsid w:val="00CF25E9"/>
    <w:rsid w:val="00CF2629"/>
    <w:rsid w:val="00CF26D4"/>
    <w:rsid w:val="00CF2800"/>
    <w:rsid w:val="00CF28FF"/>
    <w:rsid w:val="00CF2992"/>
    <w:rsid w:val="00CF2AC3"/>
    <w:rsid w:val="00CF2D1A"/>
    <w:rsid w:val="00CF3015"/>
    <w:rsid w:val="00CF323C"/>
    <w:rsid w:val="00CF33C9"/>
    <w:rsid w:val="00CF35A1"/>
    <w:rsid w:val="00CF3791"/>
    <w:rsid w:val="00CF3F6D"/>
    <w:rsid w:val="00CF406F"/>
    <w:rsid w:val="00CF4724"/>
    <w:rsid w:val="00CF48D1"/>
    <w:rsid w:val="00CF4B10"/>
    <w:rsid w:val="00CF4C2C"/>
    <w:rsid w:val="00CF4E2F"/>
    <w:rsid w:val="00CF4F71"/>
    <w:rsid w:val="00CF540B"/>
    <w:rsid w:val="00CF59D6"/>
    <w:rsid w:val="00CF5C57"/>
    <w:rsid w:val="00CF5D37"/>
    <w:rsid w:val="00CF5DA0"/>
    <w:rsid w:val="00CF5E3C"/>
    <w:rsid w:val="00CF5F93"/>
    <w:rsid w:val="00CF6057"/>
    <w:rsid w:val="00CF60F5"/>
    <w:rsid w:val="00CF6626"/>
    <w:rsid w:val="00CF6767"/>
    <w:rsid w:val="00CF6B46"/>
    <w:rsid w:val="00CF6DBB"/>
    <w:rsid w:val="00CF6DD4"/>
    <w:rsid w:val="00CF6F5F"/>
    <w:rsid w:val="00CF70A0"/>
    <w:rsid w:val="00CF70DF"/>
    <w:rsid w:val="00CF71C5"/>
    <w:rsid w:val="00CF7914"/>
    <w:rsid w:val="00CF7A4E"/>
    <w:rsid w:val="00CF7CB5"/>
    <w:rsid w:val="00CF7E4B"/>
    <w:rsid w:val="00CF7F49"/>
    <w:rsid w:val="00D001C9"/>
    <w:rsid w:val="00D00B98"/>
    <w:rsid w:val="00D00E54"/>
    <w:rsid w:val="00D00FE0"/>
    <w:rsid w:val="00D010A7"/>
    <w:rsid w:val="00D01181"/>
    <w:rsid w:val="00D011F0"/>
    <w:rsid w:val="00D011F3"/>
    <w:rsid w:val="00D0136D"/>
    <w:rsid w:val="00D01462"/>
    <w:rsid w:val="00D014D1"/>
    <w:rsid w:val="00D01743"/>
    <w:rsid w:val="00D01797"/>
    <w:rsid w:val="00D01AB9"/>
    <w:rsid w:val="00D01AC6"/>
    <w:rsid w:val="00D01CCE"/>
    <w:rsid w:val="00D01CFE"/>
    <w:rsid w:val="00D01DF7"/>
    <w:rsid w:val="00D01ECE"/>
    <w:rsid w:val="00D02038"/>
    <w:rsid w:val="00D02108"/>
    <w:rsid w:val="00D02170"/>
    <w:rsid w:val="00D023EB"/>
    <w:rsid w:val="00D0259B"/>
    <w:rsid w:val="00D0275B"/>
    <w:rsid w:val="00D027BB"/>
    <w:rsid w:val="00D02851"/>
    <w:rsid w:val="00D029B5"/>
    <w:rsid w:val="00D029C8"/>
    <w:rsid w:val="00D02A24"/>
    <w:rsid w:val="00D02A31"/>
    <w:rsid w:val="00D02A4D"/>
    <w:rsid w:val="00D02BCA"/>
    <w:rsid w:val="00D02CA0"/>
    <w:rsid w:val="00D02CA3"/>
    <w:rsid w:val="00D02DC5"/>
    <w:rsid w:val="00D02EF6"/>
    <w:rsid w:val="00D03001"/>
    <w:rsid w:val="00D031D8"/>
    <w:rsid w:val="00D0325A"/>
    <w:rsid w:val="00D0326F"/>
    <w:rsid w:val="00D033D0"/>
    <w:rsid w:val="00D03725"/>
    <w:rsid w:val="00D037C3"/>
    <w:rsid w:val="00D03928"/>
    <w:rsid w:val="00D03A8C"/>
    <w:rsid w:val="00D03A8E"/>
    <w:rsid w:val="00D03AD2"/>
    <w:rsid w:val="00D03CA3"/>
    <w:rsid w:val="00D0405B"/>
    <w:rsid w:val="00D04148"/>
    <w:rsid w:val="00D0421E"/>
    <w:rsid w:val="00D04740"/>
    <w:rsid w:val="00D04B41"/>
    <w:rsid w:val="00D04E5D"/>
    <w:rsid w:val="00D052F3"/>
    <w:rsid w:val="00D053A5"/>
    <w:rsid w:val="00D0547E"/>
    <w:rsid w:val="00D056A6"/>
    <w:rsid w:val="00D0570A"/>
    <w:rsid w:val="00D057C5"/>
    <w:rsid w:val="00D05806"/>
    <w:rsid w:val="00D05807"/>
    <w:rsid w:val="00D05825"/>
    <w:rsid w:val="00D05858"/>
    <w:rsid w:val="00D05978"/>
    <w:rsid w:val="00D05A50"/>
    <w:rsid w:val="00D05A95"/>
    <w:rsid w:val="00D05E02"/>
    <w:rsid w:val="00D05E07"/>
    <w:rsid w:val="00D05ECC"/>
    <w:rsid w:val="00D05ED8"/>
    <w:rsid w:val="00D05FE1"/>
    <w:rsid w:val="00D05FF6"/>
    <w:rsid w:val="00D0608A"/>
    <w:rsid w:val="00D06229"/>
    <w:rsid w:val="00D0642D"/>
    <w:rsid w:val="00D06446"/>
    <w:rsid w:val="00D06494"/>
    <w:rsid w:val="00D06581"/>
    <w:rsid w:val="00D06771"/>
    <w:rsid w:val="00D06C9F"/>
    <w:rsid w:val="00D06DBB"/>
    <w:rsid w:val="00D06E5E"/>
    <w:rsid w:val="00D06EF9"/>
    <w:rsid w:val="00D06FD3"/>
    <w:rsid w:val="00D0722E"/>
    <w:rsid w:val="00D0725D"/>
    <w:rsid w:val="00D072EE"/>
    <w:rsid w:val="00D07317"/>
    <w:rsid w:val="00D074B5"/>
    <w:rsid w:val="00D0783C"/>
    <w:rsid w:val="00D07A26"/>
    <w:rsid w:val="00D07BF5"/>
    <w:rsid w:val="00D07CA3"/>
    <w:rsid w:val="00D07CC6"/>
    <w:rsid w:val="00D07D61"/>
    <w:rsid w:val="00D07D63"/>
    <w:rsid w:val="00D07ED5"/>
    <w:rsid w:val="00D1004C"/>
    <w:rsid w:val="00D10098"/>
    <w:rsid w:val="00D1016F"/>
    <w:rsid w:val="00D1025C"/>
    <w:rsid w:val="00D102C0"/>
    <w:rsid w:val="00D10571"/>
    <w:rsid w:val="00D105EF"/>
    <w:rsid w:val="00D10727"/>
    <w:rsid w:val="00D10B07"/>
    <w:rsid w:val="00D10BD0"/>
    <w:rsid w:val="00D10C09"/>
    <w:rsid w:val="00D10C27"/>
    <w:rsid w:val="00D10C32"/>
    <w:rsid w:val="00D10F0C"/>
    <w:rsid w:val="00D11235"/>
    <w:rsid w:val="00D11264"/>
    <w:rsid w:val="00D11316"/>
    <w:rsid w:val="00D11363"/>
    <w:rsid w:val="00D11814"/>
    <w:rsid w:val="00D11BA2"/>
    <w:rsid w:val="00D11BAC"/>
    <w:rsid w:val="00D11BAE"/>
    <w:rsid w:val="00D11C2F"/>
    <w:rsid w:val="00D11D49"/>
    <w:rsid w:val="00D11EE2"/>
    <w:rsid w:val="00D120FE"/>
    <w:rsid w:val="00D12168"/>
    <w:rsid w:val="00D1232F"/>
    <w:rsid w:val="00D123B9"/>
    <w:rsid w:val="00D1244B"/>
    <w:rsid w:val="00D12656"/>
    <w:rsid w:val="00D127FB"/>
    <w:rsid w:val="00D128BA"/>
    <w:rsid w:val="00D12E23"/>
    <w:rsid w:val="00D12E54"/>
    <w:rsid w:val="00D12E60"/>
    <w:rsid w:val="00D12F37"/>
    <w:rsid w:val="00D12FCA"/>
    <w:rsid w:val="00D1306D"/>
    <w:rsid w:val="00D1319B"/>
    <w:rsid w:val="00D135BE"/>
    <w:rsid w:val="00D136FE"/>
    <w:rsid w:val="00D137EB"/>
    <w:rsid w:val="00D13812"/>
    <w:rsid w:val="00D13895"/>
    <w:rsid w:val="00D13A45"/>
    <w:rsid w:val="00D13ADC"/>
    <w:rsid w:val="00D13AE2"/>
    <w:rsid w:val="00D13DC3"/>
    <w:rsid w:val="00D13DC5"/>
    <w:rsid w:val="00D13E3B"/>
    <w:rsid w:val="00D14011"/>
    <w:rsid w:val="00D14173"/>
    <w:rsid w:val="00D1417E"/>
    <w:rsid w:val="00D14271"/>
    <w:rsid w:val="00D1431B"/>
    <w:rsid w:val="00D1441D"/>
    <w:rsid w:val="00D14591"/>
    <w:rsid w:val="00D145BA"/>
    <w:rsid w:val="00D14741"/>
    <w:rsid w:val="00D14A76"/>
    <w:rsid w:val="00D14BE1"/>
    <w:rsid w:val="00D14C63"/>
    <w:rsid w:val="00D14E17"/>
    <w:rsid w:val="00D15209"/>
    <w:rsid w:val="00D152E1"/>
    <w:rsid w:val="00D15931"/>
    <w:rsid w:val="00D159CF"/>
    <w:rsid w:val="00D16178"/>
    <w:rsid w:val="00D161D3"/>
    <w:rsid w:val="00D1636D"/>
    <w:rsid w:val="00D163AE"/>
    <w:rsid w:val="00D164DB"/>
    <w:rsid w:val="00D16565"/>
    <w:rsid w:val="00D16588"/>
    <w:rsid w:val="00D1698C"/>
    <w:rsid w:val="00D16A59"/>
    <w:rsid w:val="00D16A5C"/>
    <w:rsid w:val="00D16CBB"/>
    <w:rsid w:val="00D16DEE"/>
    <w:rsid w:val="00D17376"/>
    <w:rsid w:val="00D17398"/>
    <w:rsid w:val="00D1785C"/>
    <w:rsid w:val="00D17897"/>
    <w:rsid w:val="00D178E0"/>
    <w:rsid w:val="00D17C66"/>
    <w:rsid w:val="00D17CBE"/>
    <w:rsid w:val="00D17D65"/>
    <w:rsid w:val="00D17E58"/>
    <w:rsid w:val="00D20147"/>
    <w:rsid w:val="00D202BE"/>
    <w:rsid w:val="00D202EF"/>
    <w:rsid w:val="00D20530"/>
    <w:rsid w:val="00D209E3"/>
    <w:rsid w:val="00D20B61"/>
    <w:rsid w:val="00D20B6A"/>
    <w:rsid w:val="00D20BFC"/>
    <w:rsid w:val="00D20D0A"/>
    <w:rsid w:val="00D20EC6"/>
    <w:rsid w:val="00D20FFF"/>
    <w:rsid w:val="00D21026"/>
    <w:rsid w:val="00D2106F"/>
    <w:rsid w:val="00D2109E"/>
    <w:rsid w:val="00D210B1"/>
    <w:rsid w:val="00D21179"/>
    <w:rsid w:val="00D2125F"/>
    <w:rsid w:val="00D21297"/>
    <w:rsid w:val="00D2132B"/>
    <w:rsid w:val="00D21747"/>
    <w:rsid w:val="00D21A86"/>
    <w:rsid w:val="00D21B89"/>
    <w:rsid w:val="00D21BCE"/>
    <w:rsid w:val="00D21D1C"/>
    <w:rsid w:val="00D21EB0"/>
    <w:rsid w:val="00D22114"/>
    <w:rsid w:val="00D221C9"/>
    <w:rsid w:val="00D2221E"/>
    <w:rsid w:val="00D22445"/>
    <w:rsid w:val="00D22582"/>
    <w:rsid w:val="00D2274D"/>
    <w:rsid w:val="00D227A3"/>
    <w:rsid w:val="00D2287C"/>
    <w:rsid w:val="00D22A0F"/>
    <w:rsid w:val="00D22AD6"/>
    <w:rsid w:val="00D22CCE"/>
    <w:rsid w:val="00D22F6B"/>
    <w:rsid w:val="00D2308D"/>
    <w:rsid w:val="00D230C3"/>
    <w:rsid w:val="00D230CA"/>
    <w:rsid w:val="00D2327C"/>
    <w:rsid w:val="00D232AE"/>
    <w:rsid w:val="00D23377"/>
    <w:rsid w:val="00D23387"/>
    <w:rsid w:val="00D23542"/>
    <w:rsid w:val="00D235A2"/>
    <w:rsid w:val="00D23663"/>
    <w:rsid w:val="00D23798"/>
    <w:rsid w:val="00D23B20"/>
    <w:rsid w:val="00D23BFA"/>
    <w:rsid w:val="00D23E2B"/>
    <w:rsid w:val="00D2452E"/>
    <w:rsid w:val="00D24553"/>
    <w:rsid w:val="00D2458A"/>
    <w:rsid w:val="00D24764"/>
    <w:rsid w:val="00D24B41"/>
    <w:rsid w:val="00D24F32"/>
    <w:rsid w:val="00D250DB"/>
    <w:rsid w:val="00D252FA"/>
    <w:rsid w:val="00D25484"/>
    <w:rsid w:val="00D25517"/>
    <w:rsid w:val="00D25520"/>
    <w:rsid w:val="00D255B6"/>
    <w:rsid w:val="00D256CD"/>
    <w:rsid w:val="00D2575C"/>
    <w:rsid w:val="00D2576E"/>
    <w:rsid w:val="00D25773"/>
    <w:rsid w:val="00D25A8A"/>
    <w:rsid w:val="00D25F22"/>
    <w:rsid w:val="00D25FCC"/>
    <w:rsid w:val="00D263F3"/>
    <w:rsid w:val="00D26415"/>
    <w:rsid w:val="00D26510"/>
    <w:rsid w:val="00D26789"/>
    <w:rsid w:val="00D26A71"/>
    <w:rsid w:val="00D26AA2"/>
    <w:rsid w:val="00D26B44"/>
    <w:rsid w:val="00D26CB6"/>
    <w:rsid w:val="00D26DB9"/>
    <w:rsid w:val="00D26E25"/>
    <w:rsid w:val="00D26F10"/>
    <w:rsid w:val="00D26F13"/>
    <w:rsid w:val="00D271EB"/>
    <w:rsid w:val="00D272A7"/>
    <w:rsid w:val="00D27A49"/>
    <w:rsid w:val="00D27AD8"/>
    <w:rsid w:val="00D27BAB"/>
    <w:rsid w:val="00D27BD1"/>
    <w:rsid w:val="00D27D04"/>
    <w:rsid w:val="00D27DF7"/>
    <w:rsid w:val="00D27FF2"/>
    <w:rsid w:val="00D300FF"/>
    <w:rsid w:val="00D3025F"/>
    <w:rsid w:val="00D302CF"/>
    <w:rsid w:val="00D30311"/>
    <w:rsid w:val="00D3045C"/>
    <w:rsid w:val="00D3062F"/>
    <w:rsid w:val="00D306AC"/>
    <w:rsid w:val="00D306C6"/>
    <w:rsid w:val="00D306EE"/>
    <w:rsid w:val="00D30713"/>
    <w:rsid w:val="00D30798"/>
    <w:rsid w:val="00D308B2"/>
    <w:rsid w:val="00D309BA"/>
    <w:rsid w:val="00D30A74"/>
    <w:rsid w:val="00D30C4D"/>
    <w:rsid w:val="00D30C60"/>
    <w:rsid w:val="00D30F7E"/>
    <w:rsid w:val="00D31307"/>
    <w:rsid w:val="00D3132C"/>
    <w:rsid w:val="00D313B1"/>
    <w:rsid w:val="00D313C5"/>
    <w:rsid w:val="00D31537"/>
    <w:rsid w:val="00D3160A"/>
    <w:rsid w:val="00D3180B"/>
    <w:rsid w:val="00D3183C"/>
    <w:rsid w:val="00D31AB7"/>
    <w:rsid w:val="00D31ACC"/>
    <w:rsid w:val="00D31CF0"/>
    <w:rsid w:val="00D31E3B"/>
    <w:rsid w:val="00D320E5"/>
    <w:rsid w:val="00D3226C"/>
    <w:rsid w:val="00D326BD"/>
    <w:rsid w:val="00D327FC"/>
    <w:rsid w:val="00D328D1"/>
    <w:rsid w:val="00D32949"/>
    <w:rsid w:val="00D32980"/>
    <w:rsid w:val="00D32B8A"/>
    <w:rsid w:val="00D32B8C"/>
    <w:rsid w:val="00D32C48"/>
    <w:rsid w:val="00D32CE6"/>
    <w:rsid w:val="00D32D46"/>
    <w:rsid w:val="00D33058"/>
    <w:rsid w:val="00D33075"/>
    <w:rsid w:val="00D33328"/>
    <w:rsid w:val="00D3333A"/>
    <w:rsid w:val="00D33612"/>
    <w:rsid w:val="00D33746"/>
    <w:rsid w:val="00D337A6"/>
    <w:rsid w:val="00D337BF"/>
    <w:rsid w:val="00D33869"/>
    <w:rsid w:val="00D3387E"/>
    <w:rsid w:val="00D338C5"/>
    <w:rsid w:val="00D33A95"/>
    <w:rsid w:val="00D33ACF"/>
    <w:rsid w:val="00D33BE1"/>
    <w:rsid w:val="00D33C3E"/>
    <w:rsid w:val="00D33CEB"/>
    <w:rsid w:val="00D33E1D"/>
    <w:rsid w:val="00D34379"/>
    <w:rsid w:val="00D343CB"/>
    <w:rsid w:val="00D34413"/>
    <w:rsid w:val="00D344A4"/>
    <w:rsid w:val="00D344AB"/>
    <w:rsid w:val="00D344E1"/>
    <w:rsid w:val="00D345B8"/>
    <w:rsid w:val="00D348B7"/>
    <w:rsid w:val="00D349D5"/>
    <w:rsid w:val="00D34C91"/>
    <w:rsid w:val="00D34F98"/>
    <w:rsid w:val="00D35007"/>
    <w:rsid w:val="00D351C1"/>
    <w:rsid w:val="00D354AC"/>
    <w:rsid w:val="00D35648"/>
    <w:rsid w:val="00D356DF"/>
    <w:rsid w:val="00D35737"/>
    <w:rsid w:val="00D357CD"/>
    <w:rsid w:val="00D35969"/>
    <w:rsid w:val="00D35AF4"/>
    <w:rsid w:val="00D36044"/>
    <w:rsid w:val="00D360C2"/>
    <w:rsid w:val="00D36255"/>
    <w:rsid w:val="00D36682"/>
    <w:rsid w:val="00D366F9"/>
    <w:rsid w:val="00D36916"/>
    <w:rsid w:val="00D3692B"/>
    <w:rsid w:val="00D369CA"/>
    <w:rsid w:val="00D36EF0"/>
    <w:rsid w:val="00D36F92"/>
    <w:rsid w:val="00D3711F"/>
    <w:rsid w:val="00D37126"/>
    <w:rsid w:val="00D3715F"/>
    <w:rsid w:val="00D372F3"/>
    <w:rsid w:val="00D3736D"/>
    <w:rsid w:val="00D37877"/>
    <w:rsid w:val="00D37B66"/>
    <w:rsid w:val="00D37D55"/>
    <w:rsid w:val="00D37E77"/>
    <w:rsid w:val="00D37F09"/>
    <w:rsid w:val="00D40035"/>
    <w:rsid w:val="00D40061"/>
    <w:rsid w:val="00D400FD"/>
    <w:rsid w:val="00D4012E"/>
    <w:rsid w:val="00D401B0"/>
    <w:rsid w:val="00D405A2"/>
    <w:rsid w:val="00D40653"/>
    <w:rsid w:val="00D407E2"/>
    <w:rsid w:val="00D40845"/>
    <w:rsid w:val="00D40874"/>
    <w:rsid w:val="00D408E8"/>
    <w:rsid w:val="00D40EBE"/>
    <w:rsid w:val="00D40F17"/>
    <w:rsid w:val="00D40FEF"/>
    <w:rsid w:val="00D4126A"/>
    <w:rsid w:val="00D4139A"/>
    <w:rsid w:val="00D41654"/>
    <w:rsid w:val="00D41B4B"/>
    <w:rsid w:val="00D41B60"/>
    <w:rsid w:val="00D41D07"/>
    <w:rsid w:val="00D41DA9"/>
    <w:rsid w:val="00D41FCE"/>
    <w:rsid w:val="00D4214C"/>
    <w:rsid w:val="00D421AF"/>
    <w:rsid w:val="00D422D6"/>
    <w:rsid w:val="00D4284C"/>
    <w:rsid w:val="00D42931"/>
    <w:rsid w:val="00D42DBE"/>
    <w:rsid w:val="00D42F0A"/>
    <w:rsid w:val="00D42FE5"/>
    <w:rsid w:val="00D430B0"/>
    <w:rsid w:val="00D430D3"/>
    <w:rsid w:val="00D43123"/>
    <w:rsid w:val="00D4315A"/>
    <w:rsid w:val="00D4323B"/>
    <w:rsid w:val="00D4335E"/>
    <w:rsid w:val="00D43361"/>
    <w:rsid w:val="00D43535"/>
    <w:rsid w:val="00D43624"/>
    <w:rsid w:val="00D43641"/>
    <w:rsid w:val="00D43674"/>
    <w:rsid w:val="00D437D9"/>
    <w:rsid w:val="00D43827"/>
    <w:rsid w:val="00D43868"/>
    <w:rsid w:val="00D439D3"/>
    <w:rsid w:val="00D43CAC"/>
    <w:rsid w:val="00D43CC8"/>
    <w:rsid w:val="00D442FD"/>
    <w:rsid w:val="00D44314"/>
    <w:rsid w:val="00D4440A"/>
    <w:rsid w:val="00D4446F"/>
    <w:rsid w:val="00D4452C"/>
    <w:rsid w:val="00D447CD"/>
    <w:rsid w:val="00D44A89"/>
    <w:rsid w:val="00D44E21"/>
    <w:rsid w:val="00D45127"/>
    <w:rsid w:val="00D45143"/>
    <w:rsid w:val="00D45163"/>
    <w:rsid w:val="00D45193"/>
    <w:rsid w:val="00D45539"/>
    <w:rsid w:val="00D45588"/>
    <w:rsid w:val="00D4559C"/>
    <w:rsid w:val="00D455E7"/>
    <w:rsid w:val="00D45737"/>
    <w:rsid w:val="00D457C1"/>
    <w:rsid w:val="00D45860"/>
    <w:rsid w:val="00D45B27"/>
    <w:rsid w:val="00D45BAD"/>
    <w:rsid w:val="00D45BB3"/>
    <w:rsid w:val="00D45C4D"/>
    <w:rsid w:val="00D45D22"/>
    <w:rsid w:val="00D45D9D"/>
    <w:rsid w:val="00D45DAD"/>
    <w:rsid w:val="00D46069"/>
    <w:rsid w:val="00D4637E"/>
    <w:rsid w:val="00D464D1"/>
    <w:rsid w:val="00D464F0"/>
    <w:rsid w:val="00D468C8"/>
    <w:rsid w:val="00D46943"/>
    <w:rsid w:val="00D46A92"/>
    <w:rsid w:val="00D46B39"/>
    <w:rsid w:val="00D4700D"/>
    <w:rsid w:val="00D4712D"/>
    <w:rsid w:val="00D4745E"/>
    <w:rsid w:val="00D474B9"/>
    <w:rsid w:val="00D47557"/>
    <w:rsid w:val="00D478B7"/>
    <w:rsid w:val="00D4794D"/>
    <w:rsid w:val="00D47A97"/>
    <w:rsid w:val="00D47B88"/>
    <w:rsid w:val="00D47EBB"/>
    <w:rsid w:val="00D500F2"/>
    <w:rsid w:val="00D50423"/>
    <w:rsid w:val="00D5053A"/>
    <w:rsid w:val="00D505D3"/>
    <w:rsid w:val="00D507C6"/>
    <w:rsid w:val="00D5085A"/>
    <w:rsid w:val="00D50AA1"/>
    <w:rsid w:val="00D50C7D"/>
    <w:rsid w:val="00D50CBF"/>
    <w:rsid w:val="00D50D58"/>
    <w:rsid w:val="00D50E6B"/>
    <w:rsid w:val="00D50F74"/>
    <w:rsid w:val="00D50FC9"/>
    <w:rsid w:val="00D50FEA"/>
    <w:rsid w:val="00D510B8"/>
    <w:rsid w:val="00D511D4"/>
    <w:rsid w:val="00D51264"/>
    <w:rsid w:val="00D5130D"/>
    <w:rsid w:val="00D51454"/>
    <w:rsid w:val="00D51474"/>
    <w:rsid w:val="00D5164E"/>
    <w:rsid w:val="00D517B9"/>
    <w:rsid w:val="00D517FE"/>
    <w:rsid w:val="00D51E13"/>
    <w:rsid w:val="00D51EA1"/>
    <w:rsid w:val="00D51ED7"/>
    <w:rsid w:val="00D51FE3"/>
    <w:rsid w:val="00D5200B"/>
    <w:rsid w:val="00D520A3"/>
    <w:rsid w:val="00D52198"/>
    <w:rsid w:val="00D52427"/>
    <w:rsid w:val="00D525CC"/>
    <w:rsid w:val="00D525ED"/>
    <w:rsid w:val="00D5292D"/>
    <w:rsid w:val="00D52958"/>
    <w:rsid w:val="00D52A60"/>
    <w:rsid w:val="00D52C6E"/>
    <w:rsid w:val="00D52C7B"/>
    <w:rsid w:val="00D52D75"/>
    <w:rsid w:val="00D52FBA"/>
    <w:rsid w:val="00D5329E"/>
    <w:rsid w:val="00D5332A"/>
    <w:rsid w:val="00D53355"/>
    <w:rsid w:val="00D533DB"/>
    <w:rsid w:val="00D53542"/>
    <w:rsid w:val="00D53812"/>
    <w:rsid w:val="00D53A1B"/>
    <w:rsid w:val="00D53A1E"/>
    <w:rsid w:val="00D53A64"/>
    <w:rsid w:val="00D53DD1"/>
    <w:rsid w:val="00D53FA0"/>
    <w:rsid w:val="00D540E1"/>
    <w:rsid w:val="00D54194"/>
    <w:rsid w:val="00D541AE"/>
    <w:rsid w:val="00D541BD"/>
    <w:rsid w:val="00D544D7"/>
    <w:rsid w:val="00D544DA"/>
    <w:rsid w:val="00D5459F"/>
    <w:rsid w:val="00D546CA"/>
    <w:rsid w:val="00D5480E"/>
    <w:rsid w:val="00D54875"/>
    <w:rsid w:val="00D549BC"/>
    <w:rsid w:val="00D54A10"/>
    <w:rsid w:val="00D54A2B"/>
    <w:rsid w:val="00D54B43"/>
    <w:rsid w:val="00D54B7D"/>
    <w:rsid w:val="00D54CCA"/>
    <w:rsid w:val="00D54CE6"/>
    <w:rsid w:val="00D54DDB"/>
    <w:rsid w:val="00D54FF0"/>
    <w:rsid w:val="00D5503E"/>
    <w:rsid w:val="00D550DB"/>
    <w:rsid w:val="00D55378"/>
    <w:rsid w:val="00D55437"/>
    <w:rsid w:val="00D555D6"/>
    <w:rsid w:val="00D5592F"/>
    <w:rsid w:val="00D55959"/>
    <w:rsid w:val="00D55CBD"/>
    <w:rsid w:val="00D56213"/>
    <w:rsid w:val="00D562E4"/>
    <w:rsid w:val="00D563CD"/>
    <w:rsid w:val="00D5653D"/>
    <w:rsid w:val="00D565EF"/>
    <w:rsid w:val="00D5678B"/>
    <w:rsid w:val="00D567E1"/>
    <w:rsid w:val="00D569C9"/>
    <w:rsid w:val="00D56C6C"/>
    <w:rsid w:val="00D56F33"/>
    <w:rsid w:val="00D56F57"/>
    <w:rsid w:val="00D570F6"/>
    <w:rsid w:val="00D571FE"/>
    <w:rsid w:val="00D57216"/>
    <w:rsid w:val="00D57262"/>
    <w:rsid w:val="00D572BC"/>
    <w:rsid w:val="00D575C4"/>
    <w:rsid w:val="00D576B3"/>
    <w:rsid w:val="00D5774B"/>
    <w:rsid w:val="00D57A24"/>
    <w:rsid w:val="00D57BB6"/>
    <w:rsid w:val="00D57D9C"/>
    <w:rsid w:val="00D600C6"/>
    <w:rsid w:val="00D60278"/>
    <w:rsid w:val="00D60439"/>
    <w:rsid w:val="00D604A7"/>
    <w:rsid w:val="00D60516"/>
    <w:rsid w:val="00D608AE"/>
    <w:rsid w:val="00D608C5"/>
    <w:rsid w:val="00D60ACF"/>
    <w:rsid w:val="00D60C1E"/>
    <w:rsid w:val="00D60D26"/>
    <w:rsid w:val="00D60E58"/>
    <w:rsid w:val="00D60E75"/>
    <w:rsid w:val="00D60F09"/>
    <w:rsid w:val="00D60F51"/>
    <w:rsid w:val="00D6106E"/>
    <w:rsid w:val="00D610A8"/>
    <w:rsid w:val="00D613DE"/>
    <w:rsid w:val="00D617EB"/>
    <w:rsid w:val="00D6180E"/>
    <w:rsid w:val="00D6191E"/>
    <w:rsid w:val="00D61B41"/>
    <w:rsid w:val="00D62041"/>
    <w:rsid w:val="00D620BC"/>
    <w:rsid w:val="00D62229"/>
    <w:rsid w:val="00D6241C"/>
    <w:rsid w:val="00D62783"/>
    <w:rsid w:val="00D62CEC"/>
    <w:rsid w:val="00D62E61"/>
    <w:rsid w:val="00D63062"/>
    <w:rsid w:val="00D63233"/>
    <w:rsid w:val="00D63307"/>
    <w:rsid w:val="00D63542"/>
    <w:rsid w:val="00D63736"/>
    <w:rsid w:val="00D63832"/>
    <w:rsid w:val="00D63963"/>
    <w:rsid w:val="00D639F5"/>
    <w:rsid w:val="00D63C67"/>
    <w:rsid w:val="00D63D91"/>
    <w:rsid w:val="00D64001"/>
    <w:rsid w:val="00D6419C"/>
    <w:rsid w:val="00D643B0"/>
    <w:rsid w:val="00D64500"/>
    <w:rsid w:val="00D64690"/>
    <w:rsid w:val="00D6485D"/>
    <w:rsid w:val="00D648A5"/>
    <w:rsid w:val="00D649A7"/>
    <w:rsid w:val="00D64D3F"/>
    <w:rsid w:val="00D64D5F"/>
    <w:rsid w:val="00D64DB3"/>
    <w:rsid w:val="00D64E22"/>
    <w:rsid w:val="00D64F3A"/>
    <w:rsid w:val="00D64FD9"/>
    <w:rsid w:val="00D650BE"/>
    <w:rsid w:val="00D65438"/>
    <w:rsid w:val="00D656A9"/>
    <w:rsid w:val="00D657E7"/>
    <w:rsid w:val="00D658B4"/>
    <w:rsid w:val="00D659A5"/>
    <w:rsid w:val="00D65A64"/>
    <w:rsid w:val="00D65C8A"/>
    <w:rsid w:val="00D65F07"/>
    <w:rsid w:val="00D66024"/>
    <w:rsid w:val="00D660CE"/>
    <w:rsid w:val="00D66331"/>
    <w:rsid w:val="00D66479"/>
    <w:rsid w:val="00D66933"/>
    <w:rsid w:val="00D66A30"/>
    <w:rsid w:val="00D66A7B"/>
    <w:rsid w:val="00D66D36"/>
    <w:rsid w:val="00D66E3E"/>
    <w:rsid w:val="00D66EF2"/>
    <w:rsid w:val="00D66F3A"/>
    <w:rsid w:val="00D67013"/>
    <w:rsid w:val="00D67198"/>
    <w:rsid w:val="00D671E5"/>
    <w:rsid w:val="00D67217"/>
    <w:rsid w:val="00D67649"/>
    <w:rsid w:val="00D67676"/>
    <w:rsid w:val="00D67779"/>
    <w:rsid w:val="00D6790B"/>
    <w:rsid w:val="00D6794D"/>
    <w:rsid w:val="00D67A53"/>
    <w:rsid w:val="00D67AD2"/>
    <w:rsid w:val="00D67D80"/>
    <w:rsid w:val="00D67FD3"/>
    <w:rsid w:val="00D701E9"/>
    <w:rsid w:val="00D704DD"/>
    <w:rsid w:val="00D70585"/>
    <w:rsid w:val="00D70671"/>
    <w:rsid w:val="00D7074A"/>
    <w:rsid w:val="00D70768"/>
    <w:rsid w:val="00D7078F"/>
    <w:rsid w:val="00D7084D"/>
    <w:rsid w:val="00D70915"/>
    <w:rsid w:val="00D70AE1"/>
    <w:rsid w:val="00D70BE1"/>
    <w:rsid w:val="00D712B3"/>
    <w:rsid w:val="00D7134E"/>
    <w:rsid w:val="00D7148A"/>
    <w:rsid w:val="00D71843"/>
    <w:rsid w:val="00D718BC"/>
    <w:rsid w:val="00D71A46"/>
    <w:rsid w:val="00D71A84"/>
    <w:rsid w:val="00D71C59"/>
    <w:rsid w:val="00D71C5A"/>
    <w:rsid w:val="00D71D8E"/>
    <w:rsid w:val="00D71DC4"/>
    <w:rsid w:val="00D71F56"/>
    <w:rsid w:val="00D71F6C"/>
    <w:rsid w:val="00D71FA2"/>
    <w:rsid w:val="00D71FE0"/>
    <w:rsid w:val="00D72098"/>
    <w:rsid w:val="00D720AB"/>
    <w:rsid w:val="00D7211B"/>
    <w:rsid w:val="00D72190"/>
    <w:rsid w:val="00D72486"/>
    <w:rsid w:val="00D726CF"/>
    <w:rsid w:val="00D72706"/>
    <w:rsid w:val="00D72748"/>
    <w:rsid w:val="00D72896"/>
    <w:rsid w:val="00D72996"/>
    <w:rsid w:val="00D729B5"/>
    <w:rsid w:val="00D72A33"/>
    <w:rsid w:val="00D72A36"/>
    <w:rsid w:val="00D72AB9"/>
    <w:rsid w:val="00D72B16"/>
    <w:rsid w:val="00D72C6A"/>
    <w:rsid w:val="00D72C7A"/>
    <w:rsid w:val="00D72DB6"/>
    <w:rsid w:val="00D72DBD"/>
    <w:rsid w:val="00D72EAE"/>
    <w:rsid w:val="00D7309A"/>
    <w:rsid w:val="00D73114"/>
    <w:rsid w:val="00D73146"/>
    <w:rsid w:val="00D732E3"/>
    <w:rsid w:val="00D73501"/>
    <w:rsid w:val="00D7350C"/>
    <w:rsid w:val="00D735FF"/>
    <w:rsid w:val="00D7367B"/>
    <w:rsid w:val="00D737BA"/>
    <w:rsid w:val="00D738DC"/>
    <w:rsid w:val="00D73994"/>
    <w:rsid w:val="00D73C07"/>
    <w:rsid w:val="00D73C31"/>
    <w:rsid w:val="00D73CBA"/>
    <w:rsid w:val="00D73CFE"/>
    <w:rsid w:val="00D740FC"/>
    <w:rsid w:val="00D74233"/>
    <w:rsid w:val="00D742A8"/>
    <w:rsid w:val="00D743BD"/>
    <w:rsid w:val="00D744B8"/>
    <w:rsid w:val="00D746CA"/>
    <w:rsid w:val="00D74A0C"/>
    <w:rsid w:val="00D74C0D"/>
    <w:rsid w:val="00D74C9A"/>
    <w:rsid w:val="00D74CC9"/>
    <w:rsid w:val="00D74F44"/>
    <w:rsid w:val="00D74F90"/>
    <w:rsid w:val="00D74FEF"/>
    <w:rsid w:val="00D751BE"/>
    <w:rsid w:val="00D75211"/>
    <w:rsid w:val="00D7521B"/>
    <w:rsid w:val="00D75539"/>
    <w:rsid w:val="00D756C2"/>
    <w:rsid w:val="00D7573F"/>
    <w:rsid w:val="00D757C1"/>
    <w:rsid w:val="00D757F6"/>
    <w:rsid w:val="00D75955"/>
    <w:rsid w:val="00D759CA"/>
    <w:rsid w:val="00D75BE3"/>
    <w:rsid w:val="00D75E73"/>
    <w:rsid w:val="00D760EF"/>
    <w:rsid w:val="00D762E8"/>
    <w:rsid w:val="00D76526"/>
    <w:rsid w:val="00D76622"/>
    <w:rsid w:val="00D76718"/>
    <w:rsid w:val="00D76767"/>
    <w:rsid w:val="00D767D5"/>
    <w:rsid w:val="00D7680C"/>
    <w:rsid w:val="00D76CC2"/>
    <w:rsid w:val="00D76DEE"/>
    <w:rsid w:val="00D76F60"/>
    <w:rsid w:val="00D77209"/>
    <w:rsid w:val="00D77399"/>
    <w:rsid w:val="00D775ED"/>
    <w:rsid w:val="00D77777"/>
    <w:rsid w:val="00D777D3"/>
    <w:rsid w:val="00D77B00"/>
    <w:rsid w:val="00D77B06"/>
    <w:rsid w:val="00D77BA5"/>
    <w:rsid w:val="00D77D48"/>
    <w:rsid w:val="00D77EEE"/>
    <w:rsid w:val="00D77F27"/>
    <w:rsid w:val="00D77F91"/>
    <w:rsid w:val="00D77FAC"/>
    <w:rsid w:val="00D8016F"/>
    <w:rsid w:val="00D80527"/>
    <w:rsid w:val="00D8063D"/>
    <w:rsid w:val="00D808F0"/>
    <w:rsid w:val="00D80FBF"/>
    <w:rsid w:val="00D812BF"/>
    <w:rsid w:val="00D8139C"/>
    <w:rsid w:val="00D8139E"/>
    <w:rsid w:val="00D813EA"/>
    <w:rsid w:val="00D81515"/>
    <w:rsid w:val="00D815ED"/>
    <w:rsid w:val="00D815F6"/>
    <w:rsid w:val="00D81604"/>
    <w:rsid w:val="00D8170B"/>
    <w:rsid w:val="00D819FD"/>
    <w:rsid w:val="00D81CBB"/>
    <w:rsid w:val="00D81E3E"/>
    <w:rsid w:val="00D81EA1"/>
    <w:rsid w:val="00D82030"/>
    <w:rsid w:val="00D821E6"/>
    <w:rsid w:val="00D82213"/>
    <w:rsid w:val="00D822A9"/>
    <w:rsid w:val="00D827CF"/>
    <w:rsid w:val="00D827E3"/>
    <w:rsid w:val="00D828A6"/>
    <w:rsid w:val="00D8293F"/>
    <w:rsid w:val="00D82AA2"/>
    <w:rsid w:val="00D82B1E"/>
    <w:rsid w:val="00D82DC4"/>
    <w:rsid w:val="00D83110"/>
    <w:rsid w:val="00D8311C"/>
    <w:rsid w:val="00D831C9"/>
    <w:rsid w:val="00D832FD"/>
    <w:rsid w:val="00D8346A"/>
    <w:rsid w:val="00D83530"/>
    <w:rsid w:val="00D83763"/>
    <w:rsid w:val="00D8396F"/>
    <w:rsid w:val="00D83A04"/>
    <w:rsid w:val="00D83A62"/>
    <w:rsid w:val="00D83C19"/>
    <w:rsid w:val="00D83CA9"/>
    <w:rsid w:val="00D83FB6"/>
    <w:rsid w:val="00D83FE8"/>
    <w:rsid w:val="00D84070"/>
    <w:rsid w:val="00D84293"/>
    <w:rsid w:val="00D84342"/>
    <w:rsid w:val="00D84386"/>
    <w:rsid w:val="00D8438F"/>
    <w:rsid w:val="00D843D6"/>
    <w:rsid w:val="00D8475A"/>
    <w:rsid w:val="00D84912"/>
    <w:rsid w:val="00D8498E"/>
    <w:rsid w:val="00D84A4E"/>
    <w:rsid w:val="00D84A63"/>
    <w:rsid w:val="00D84A97"/>
    <w:rsid w:val="00D84B5F"/>
    <w:rsid w:val="00D84C82"/>
    <w:rsid w:val="00D84CF0"/>
    <w:rsid w:val="00D84E41"/>
    <w:rsid w:val="00D84ECE"/>
    <w:rsid w:val="00D84F04"/>
    <w:rsid w:val="00D84F5D"/>
    <w:rsid w:val="00D84FC6"/>
    <w:rsid w:val="00D85196"/>
    <w:rsid w:val="00D851D6"/>
    <w:rsid w:val="00D85227"/>
    <w:rsid w:val="00D854C9"/>
    <w:rsid w:val="00D85593"/>
    <w:rsid w:val="00D855BA"/>
    <w:rsid w:val="00D856E9"/>
    <w:rsid w:val="00D858F8"/>
    <w:rsid w:val="00D85AB7"/>
    <w:rsid w:val="00D85AE2"/>
    <w:rsid w:val="00D85B2A"/>
    <w:rsid w:val="00D85BF3"/>
    <w:rsid w:val="00D85F28"/>
    <w:rsid w:val="00D85F75"/>
    <w:rsid w:val="00D86061"/>
    <w:rsid w:val="00D861BE"/>
    <w:rsid w:val="00D86200"/>
    <w:rsid w:val="00D86514"/>
    <w:rsid w:val="00D867D7"/>
    <w:rsid w:val="00D86AD4"/>
    <w:rsid w:val="00D86C39"/>
    <w:rsid w:val="00D86C69"/>
    <w:rsid w:val="00D86DCB"/>
    <w:rsid w:val="00D86F71"/>
    <w:rsid w:val="00D870E0"/>
    <w:rsid w:val="00D8715A"/>
    <w:rsid w:val="00D87414"/>
    <w:rsid w:val="00D874FB"/>
    <w:rsid w:val="00D8768D"/>
    <w:rsid w:val="00D87769"/>
    <w:rsid w:val="00D878F9"/>
    <w:rsid w:val="00D87B55"/>
    <w:rsid w:val="00D87DB5"/>
    <w:rsid w:val="00D87E3D"/>
    <w:rsid w:val="00D87EE5"/>
    <w:rsid w:val="00D87EE8"/>
    <w:rsid w:val="00D87F61"/>
    <w:rsid w:val="00D9002D"/>
    <w:rsid w:val="00D90175"/>
    <w:rsid w:val="00D901A9"/>
    <w:rsid w:val="00D90309"/>
    <w:rsid w:val="00D90593"/>
    <w:rsid w:val="00D908AE"/>
    <w:rsid w:val="00D908E4"/>
    <w:rsid w:val="00D90A07"/>
    <w:rsid w:val="00D90E48"/>
    <w:rsid w:val="00D91040"/>
    <w:rsid w:val="00D91104"/>
    <w:rsid w:val="00D912D4"/>
    <w:rsid w:val="00D91411"/>
    <w:rsid w:val="00D91711"/>
    <w:rsid w:val="00D91B2D"/>
    <w:rsid w:val="00D91BB7"/>
    <w:rsid w:val="00D91CF2"/>
    <w:rsid w:val="00D91D07"/>
    <w:rsid w:val="00D92074"/>
    <w:rsid w:val="00D920D6"/>
    <w:rsid w:val="00D922E1"/>
    <w:rsid w:val="00D9243A"/>
    <w:rsid w:val="00D92714"/>
    <w:rsid w:val="00D9271A"/>
    <w:rsid w:val="00D92720"/>
    <w:rsid w:val="00D927A4"/>
    <w:rsid w:val="00D927F9"/>
    <w:rsid w:val="00D92808"/>
    <w:rsid w:val="00D9280D"/>
    <w:rsid w:val="00D92824"/>
    <w:rsid w:val="00D92A18"/>
    <w:rsid w:val="00D92DB2"/>
    <w:rsid w:val="00D92DC0"/>
    <w:rsid w:val="00D934CF"/>
    <w:rsid w:val="00D93593"/>
    <w:rsid w:val="00D935BE"/>
    <w:rsid w:val="00D93689"/>
    <w:rsid w:val="00D93976"/>
    <w:rsid w:val="00D93A42"/>
    <w:rsid w:val="00D93B74"/>
    <w:rsid w:val="00D93C12"/>
    <w:rsid w:val="00D93C95"/>
    <w:rsid w:val="00D93ECA"/>
    <w:rsid w:val="00D94099"/>
    <w:rsid w:val="00D94278"/>
    <w:rsid w:val="00D94387"/>
    <w:rsid w:val="00D945B2"/>
    <w:rsid w:val="00D946AB"/>
    <w:rsid w:val="00D94A79"/>
    <w:rsid w:val="00D94AB2"/>
    <w:rsid w:val="00D94E2A"/>
    <w:rsid w:val="00D9504B"/>
    <w:rsid w:val="00D954BE"/>
    <w:rsid w:val="00D9563F"/>
    <w:rsid w:val="00D959B0"/>
    <w:rsid w:val="00D95BB4"/>
    <w:rsid w:val="00D95C37"/>
    <w:rsid w:val="00D95F0F"/>
    <w:rsid w:val="00D960DE"/>
    <w:rsid w:val="00D9614B"/>
    <w:rsid w:val="00D96163"/>
    <w:rsid w:val="00D962F3"/>
    <w:rsid w:val="00D9637D"/>
    <w:rsid w:val="00D963E0"/>
    <w:rsid w:val="00D96479"/>
    <w:rsid w:val="00D96578"/>
    <w:rsid w:val="00D9678A"/>
    <w:rsid w:val="00D96893"/>
    <w:rsid w:val="00D96981"/>
    <w:rsid w:val="00D96C4F"/>
    <w:rsid w:val="00D96D60"/>
    <w:rsid w:val="00D96DD7"/>
    <w:rsid w:val="00D96E23"/>
    <w:rsid w:val="00D96F1E"/>
    <w:rsid w:val="00D970DA"/>
    <w:rsid w:val="00D972D6"/>
    <w:rsid w:val="00D97645"/>
    <w:rsid w:val="00D9766D"/>
    <w:rsid w:val="00D97917"/>
    <w:rsid w:val="00D97920"/>
    <w:rsid w:val="00D97A53"/>
    <w:rsid w:val="00D97B22"/>
    <w:rsid w:val="00D97C9C"/>
    <w:rsid w:val="00D97E7A"/>
    <w:rsid w:val="00DA02E3"/>
    <w:rsid w:val="00DA0442"/>
    <w:rsid w:val="00DA047E"/>
    <w:rsid w:val="00DA074F"/>
    <w:rsid w:val="00DA0957"/>
    <w:rsid w:val="00DA0A09"/>
    <w:rsid w:val="00DA0EC8"/>
    <w:rsid w:val="00DA1106"/>
    <w:rsid w:val="00DA1135"/>
    <w:rsid w:val="00DA1279"/>
    <w:rsid w:val="00DA1293"/>
    <w:rsid w:val="00DA1375"/>
    <w:rsid w:val="00DA14E3"/>
    <w:rsid w:val="00DA1B8E"/>
    <w:rsid w:val="00DA1B94"/>
    <w:rsid w:val="00DA1C54"/>
    <w:rsid w:val="00DA2378"/>
    <w:rsid w:val="00DA24CF"/>
    <w:rsid w:val="00DA2528"/>
    <w:rsid w:val="00DA27EC"/>
    <w:rsid w:val="00DA2E0C"/>
    <w:rsid w:val="00DA2E9E"/>
    <w:rsid w:val="00DA3045"/>
    <w:rsid w:val="00DA308E"/>
    <w:rsid w:val="00DA33F8"/>
    <w:rsid w:val="00DA38E1"/>
    <w:rsid w:val="00DA3A99"/>
    <w:rsid w:val="00DA3B0E"/>
    <w:rsid w:val="00DA3D48"/>
    <w:rsid w:val="00DA3E58"/>
    <w:rsid w:val="00DA4173"/>
    <w:rsid w:val="00DA433D"/>
    <w:rsid w:val="00DA451C"/>
    <w:rsid w:val="00DA47CB"/>
    <w:rsid w:val="00DA4805"/>
    <w:rsid w:val="00DA4C33"/>
    <w:rsid w:val="00DA5056"/>
    <w:rsid w:val="00DA50A1"/>
    <w:rsid w:val="00DA50B4"/>
    <w:rsid w:val="00DA510F"/>
    <w:rsid w:val="00DA52AB"/>
    <w:rsid w:val="00DA53D5"/>
    <w:rsid w:val="00DA57DD"/>
    <w:rsid w:val="00DA5930"/>
    <w:rsid w:val="00DA5A97"/>
    <w:rsid w:val="00DA5AA2"/>
    <w:rsid w:val="00DA5B25"/>
    <w:rsid w:val="00DA5FBC"/>
    <w:rsid w:val="00DA60E4"/>
    <w:rsid w:val="00DA62EE"/>
    <w:rsid w:val="00DA64E4"/>
    <w:rsid w:val="00DA671A"/>
    <w:rsid w:val="00DA691D"/>
    <w:rsid w:val="00DA692A"/>
    <w:rsid w:val="00DA6982"/>
    <w:rsid w:val="00DA6BC7"/>
    <w:rsid w:val="00DA6C44"/>
    <w:rsid w:val="00DA6D06"/>
    <w:rsid w:val="00DA6E38"/>
    <w:rsid w:val="00DA6EB6"/>
    <w:rsid w:val="00DA6F83"/>
    <w:rsid w:val="00DA733A"/>
    <w:rsid w:val="00DA74CD"/>
    <w:rsid w:val="00DA751F"/>
    <w:rsid w:val="00DA7643"/>
    <w:rsid w:val="00DA76E9"/>
    <w:rsid w:val="00DA7E3E"/>
    <w:rsid w:val="00DB0134"/>
    <w:rsid w:val="00DB0332"/>
    <w:rsid w:val="00DB052D"/>
    <w:rsid w:val="00DB0574"/>
    <w:rsid w:val="00DB05D1"/>
    <w:rsid w:val="00DB089F"/>
    <w:rsid w:val="00DB0AC2"/>
    <w:rsid w:val="00DB0BBF"/>
    <w:rsid w:val="00DB0D02"/>
    <w:rsid w:val="00DB11B8"/>
    <w:rsid w:val="00DB1268"/>
    <w:rsid w:val="00DB12BE"/>
    <w:rsid w:val="00DB1570"/>
    <w:rsid w:val="00DB15FD"/>
    <w:rsid w:val="00DB199B"/>
    <w:rsid w:val="00DB1B7C"/>
    <w:rsid w:val="00DB1BD5"/>
    <w:rsid w:val="00DB1CB2"/>
    <w:rsid w:val="00DB1D1E"/>
    <w:rsid w:val="00DB1DE7"/>
    <w:rsid w:val="00DB20C9"/>
    <w:rsid w:val="00DB214D"/>
    <w:rsid w:val="00DB21C6"/>
    <w:rsid w:val="00DB2221"/>
    <w:rsid w:val="00DB22CA"/>
    <w:rsid w:val="00DB24EA"/>
    <w:rsid w:val="00DB26DC"/>
    <w:rsid w:val="00DB2831"/>
    <w:rsid w:val="00DB2D90"/>
    <w:rsid w:val="00DB325B"/>
    <w:rsid w:val="00DB32C7"/>
    <w:rsid w:val="00DB3503"/>
    <w:rsid w:val="00DB354A"/>
    <w:rsid w:val="00DB3720"/>
    <w:rsid w:val="00DB3726"/>
    <w:rsid w:val="00DB3733"/>
    <w:rsid w:val="00DB3794"/>
    <w:rsid w:val="00DB3B8C"/>
    <w:rsid w:val="00DB3C4B"/>
    <w:rsid w:val="00DB3ED5"/>
    <w:rsid w:val="00DB3FBA"/>
    <w:rsid w:val="00DB43BC"/>
    <w:rsid w:val="00DB44B0"/>
    <w:rsid w:val="00DB44D1"/>
    <w:rsid w:val="00DB4538"/>
    <w:rsid w:val="00DB4547"/>
    <w:rsid w:val="00DB4838"/>
    <w:rsid w:val="00DB4843"/>
    <w:rsid w:val="00DB4E61"/>
    <w:rsid w:val="00DB5013"/>
    <w:rsid w:val="00DB504D"/>
    <w:rsid w:val="00DB50E3"/>
    <w:rsid w:val="00DB5141"/>
    <w:rsid w:val="00DB51A8"/>
    <w:rsid w:val="00DB5329"/>
    <w:rsid w:val="00DB542B"/>
    <w:rsid w:val="00DB58E8"/>
    <w:rsid w:val="00DB594C"/>
    <w:rsid w:val="00DB59E1"/>
    <w:rsid w:val="00DB5A39"/>
    <w:rsid w:val="00DB5A67"/>
    <w:rsid w:val="00DB5F81"/>
    <w:rsid w:val="00DB6066"/>
    <w:rsid w:val="00DB607E"/>
    <w:rsid w:val="00DB61AE"/>
    <w:rsid w:val="00DB621A"/>
    <w:rsid w:val="00DB648E"/>
    <w:rsid w:val="00DB6578"/>
    <w:rsid w:val="00DB6585"/>
    <w:rsid w:val="00DB67ED"/>
    <w:rsid w:val="00DB6AEF"/>
    <w:rsid w:val="00DB6CAD"/>
    <w:rsid w:val="00DB6D0D"/>
    <w:rsid w:val="00DB6D46"/>
    <w:rsid w:val="00DB6EF9"/>
    <w:rsid w:val="00DB6F4D"/>
    <w:rsid w:val="00DB71DE"/>
    <w:rsid w:val="00DB73D9"/>
    <w:rsid w:val="00DB7452"/>
    <w:rsid w:val="00DB7528"/>
    <w:rsid w:val="00DB7670"/>
    <w:rsid w:val="00DB78D0"/>
    <w:rsid w:val="00DB7A1B"/>
    <w:rsid w:val="00DB7ADA"/>
    <w:rsid w:val="00DB7C6F"/>
    <w:rsid w:val="00DB7D21"/>
    <w:rsid w:val="00DB7D29"/>
    <w:rsid w:val="00DB7F17"/>
    <w:rsid w:val="00DB7F1C"/>
    <w:rsid w:val="00DB7FE4"/>
    <w:rsid w:val="00DC00C8"/>
    <w:rsid w:val="00DC01B6"/>
    <w:rsid w:val="00DC02CD"/>
    <w:rsid w:val="00DC02DE"/>
    <w:rsid w:val="00DC05DC"/>
    <w:rsid w:val="00DC06F5"/>
    <w:rsid w:val="00DC07B2"/>
    <w:rsid w:val="00DC0A00"/>
    <w:rsid w:val="00DC0BAC"/>
    <w:rsid w:val="00DC0C24"/>
    <w:rsid w:val="00DC0D56"/>
    <w:rsid w:val="00DC0D6B"/>
    <w:rsid w:val="00DC0E7B"/>
    <w:rsid w:val="00DC0E88"/>
    <w:rsid w:val="00DC0EDA"/>
    <w:rsid w:val="00DC111F"/>
    <w:rsid w:val="00DC113B"/>
    <w:rsid w:val="00DC12B8"/>
    <w:rsid w:val="00DC170B"/>
    <w:rsid w:val="00DC1773"/>
    <w:rsid w:val="00DC1A6F"/>
    <w:rsid w:val="00DC1C19"/>
    <w:rsid w:val="00DC1D22"/>
    <w:rsid w:val="00DC20B7"/>
    <w:rsid w:val="00DC20B9"/>
    <w:rsid w:val="00DC237B"/>
    <w:rsid w:val="00DC24FF"/>
    <w:rsid w:val="00DC2541"/>
    <w:rsid w:val="00DC25C7"/>
    <w:rsid w:val="00DC2766"/>
    <w:rsid w:val="00DC28A9"/>
    <w:rsid w:val="00DC29A3"/>
    <w:rsid w:val="00DC2A20"/>
    <w:rsid w:val="00DC2B3D"/>
    <w:rsid w:val="00DC2B54"/>
    <w:rsid w:val="00DC2CDC"/>
    <w:rsid w:val="00DC2DAD"/>
    <w:rsid w:val="00DC2E5B"/>
    <w:rsid w:val="00DC2F33"/>
    <w:rsid w:val="00DC2FD4"/>
    <w:rsid w:val="00DC3405"/>
    <w:rsid w:val="00DC35A6"/>
    <w:rsid w:val="00DC3649"/>
    <w:rsid w:val="00DC37D0"/>
    <w:rsid w:val="00DC399E"/>
    <w:rsid w:val="00DC3AEC"/>
    <w:rsid w:val="00DC3CD5"/>
    <w:rsid w:val="00DC3E43"/>
    <w:rsid w:val="00DC3ED1"/>
    <w:rsid w:val="00DC4064"/>
    <w:rsid w:val="00DC427A"/>
    <w:rsid w:val="00DC4285"/>
    <w:rsid w:val="00DC42E0"/>
    <w:rsid w:val="00DC44FA"/>
    <w:rsid w:val="00DC46C1"/>
    <w:rsid w:val="00DC46EE"/>
    <w:rsid w:val="00DC4A2E"/>
    <w:rsid w:val="00DC4B6F"/>
    <w:rsid w:val="00DC4B77"/>
    <w:rsid w:val="00DC4C22"/>
    <w:rsid w:val="00DC4EEC"/>
    <w:rsid w:val="00DC52E7"/>
    <w:rsid w:val="00DC54C2"/>
    <w:rsid w:val="00DC55D8"/>
    <w:rsid w:val="00DC566C"/>
    <w:rsid w:val="00DC5B98"/>
    <w:rsid w:val="00DC5D15"/>
    <w:rsid w:val="00DC5D69"/>
    <w:rsid w:val="00DC5DEF"/>
    <w:rsid w:val="00DC5E2E"/>
    <w:rsid w:val="00DC5F32"/>
    <w:rsid w:val="00DC6278"/>
    <w:rsid w:val="00DC6288"/>
    <w:rsid w:val="00DC639E"/>
    <w:rsid w:val="00DC64AE"/>
    <w:rsid w:val="00DC6503"/>
    <w:rsid w:val="00DC650D"/>
    <w:rsid w:val="00DC6584"/>
    <w:rsid w:val="00DC684F"/>
    <w:rsid w:val="00DC6891"/>
    <w:rsid w:val="00DC692B"/>
    <w:rsid w:val="00DC6959"/>
    <w:rsid w:val="00DC698B"/>
    <w:rsid w:val="00DC6BC0"/>
    <w:rsid w:val="00DC6CD3"/>
    <w:rsid w:val="00DC6D12"/>
    <w:rsid w:val="00DC6E39"/>
    <w:rsid w:val="00DC70EC"/>
    <w:rsid w:val="00DC73E4"/>
    <w:rsid w:val="00DC744A"/>
    <w:rsid w:val="00DC766E"/>
    <w:rsid w:val="00DC779D"/>
    <w:rsid w:val="00DC7B0D"/>
    <w:rsid w:val="00DC7C18"/>
    <w:rsid w:val="00DC7C75"/>
    <w:rsid w:val="00DC7D60"/>
    <w:rsid w:val="00DC7DA0"/>
    <w:rsid w:val="00DC7ED7"/>
    <w:rsid w:val="00DC7F4A"/>
    <w:rsid w:val="00DD000A"/>
    <w:rsid w:val="00DD0016"/>
    <w:rsid w:val="00DD00A7"/>
    <w:rsid w:val="00DD00DF"/>
    <w:rsid w:val="00DD0174"/>
    <w:rsid w:val="00DD0273"/>
    <w:rsid w:val="00DD0384"/>
    <w:rsid w:val="00DD09CF"/>
    <w:rsid w:val="00DD0A20"/>
    <w:rsid w:val="00DD0B7C"/>
    <w:rsid w:val="00DD0C0C"/>
    <w:rsid w:val="00DD0CB8"/>
    <w:rsid w:val="00DD0CF9"/>
    <w:rsid w:val="00DD0D96"/>
    <w:rsid w:val="00DD0DD4"/>
    <w:rsid w:val="00DD0E28"/>
    <w:rsid w:val="00DD0E53"/>
    <w:rsid w:val="00DD125F"/>
    <w:rsid w:val="00DD18A9"/>
    <w:rsid w:val="00DD1963"/>
    <w:rsid w:val="00DD1A52"/>
    <w:rsid w:val="00DD1BCF"/>
    <w:rsid w:val="00DD1CE8"/>
    <w:rsid w:val="00DD1D49"/>
    <w:rsid w:val="00DD1EAF"/>
    <w:rsid w:val="00DD1EB2"/>
    <w:rsid w:val="00DD21A6"/>
    <w:rsid w:val="00DD22DF"/>
    <w:rsid w:val="00DD23A6"/>
    <w:rsid w:val="00DD24EA"/>
    <w:rsid w:val="00DD2782"/>
    <w:rsid w:val="00DD281E"/>
    <w:rsid w:val="00DD285E"/>
    <w:rsid w:val="00DD28E7"/>
    <w:rsid w:val="00DD2A74"/>
    <w:rsid w:val="00DD2D7F"/>
    <w:rsid w:val="00DD2E24"/>
    <w:rsid w:val="00DD3010"/>
    <w:rsid w:val="00DD30A6"/>
    <w:rsid w:val="00DD30DE"/>
    <w:rsid w:val="00DD31E7"/>
    <w:rsid w:val="00DD327D"/>
    <w:rsid w:val="00DD3318"/>
    <w:rsid w:val="00DD34C8"/>
    <w:rsid w:val="00DD3595"/>
    <w:rsid w:val="00DD3BF0"/>
    <w:rsid w:val="00DD3C0D"/>
    <w:rsid w:val="00DD3D23"/>
    <w:rsid w:val="00DD3DC9"/>
    <w:rsid w:val="00DD3E66"/>
    <w:rsid w:val="00DD40C8"/>
    <w:rsid w:val="00DD4155"/>
    <w:rsid w:val="00DD4273"/>
    <w:rsid w:val="00DD4665"/>
    <w:rsid w:val="00DD4766"/>
    <w:rsid w:val="00DD47D6"/>
    <w:rsid w:val="00DD48DB"/>
    <w:rsid w:val="00DD491A"/>
    <w:rsid w:val="00DD4923"/>
    <w:rsid w:val="00DD49E7"/>
    <w:rsid w:val="00DD4B3F"/>
    <w:rsid w:val="00DD4D49"/>
    <w:rsid w:val="00DD4DA0"/>
    <w:rsid w:val="00DD4E32"/>
    <w:rsid w:val="00DD5115"/>
    <w:rsid w:val="00DD522A"/>
    <w:rsid w:val="00DD535F"/>
    <w:rsid w:val="00DD569C"/>
    <w:rsid w:val="00DD5700"/>
    <w:rsid w:val="00DD5973"/>
    <w:rsid w:val="00DD5999"/>
    <w:rsid w:val="00DD59AE"/>
    <w:rsid w:val="00DD5E11"/>
    <w:rsid w:val="00DD5EE6"/>
    <w:rsid w:val="00DD62DA"/>
    <w:rsid w:val="00DD62ED"/>
    <w:rsid w:val="00DD6324"/>
    <w:rsid w:val="00DD6591"/>
    <w:rsid w:val="00DD65AB"/>
    <w:rsid w:val="00DD679C"/>
    <w:rsid w:val="00DD67D7"/>
    <w:rsid w:val="00DD695C"/>
    <w:rsid w:val="00DD6ACD"/>
    <w:rsid w:val="00DD6ED1"/>
    <w:rsid w:val="00DD6F86"/>
    <w:rsid w:val="00DD7058"/>
    <w:rsid w:val="00DD716A"/>
    <w:rsid w:val="00DD72B6"/>
    <w:rsid w:val="00DD72D2"/>
    <w:rsid w:val="00DD72EA"/>
    <w:rsid w:val="00DD737D"/>
    <w:rsid w:val="00DD7669"/>
    <w:rsid w:val="00DD76B5"/>
    <w:rsid w:val="00DD79AA"/>
    <w:rsid w:val="00DD7A93"/>
    <w:rsid w:val="00DD7DDC"/>
    <w:rsid w:val="00DD7F5F"/>
    <w:rsid w:val="00DD7FD5"/>
    <w:rsid w:val="00DE0049"/>
    <w:rsid w:val="00DE015E"/>
    <w:rsid w:val="00DE016F"/>
    <w:rsid w:val="00DE046D"/>
    <w:rsid w:val="00DE084F"/>
    <w:rsid w:val="00DE08B9"/>
    <w:rsid w:val="00DE08E1"/>
    <w:rsid w:val="00DE0972"/>
    <w:rsid w:val="00DE0A46"/>
    <w:rsid w:val="00DE0D63"/>
    <w:rsid w:val="00DE0D87"/>
    <w:rsid w:val="00DE0EC3"/>
    <w:rsid w:val="00DE1063"/>
    <w:rsid w:val="00DE1118"/>
    <w:rsid w:val="00DE1453"/>
    <w:rsid w:val="00DE1481"/>
    <w:rsid w:val="00DE1B50"/>
    <w:rsid w:val="00DE1BB2"/>
    <w:rsid w:val="00DE1F14"/>
    <w:rsid w:val="00DE1FFC"/>
    <w:rsid w:val="00DE20DF"/>
    <w:rsid w:val="00DE2509"/>
    <w:rsid w:val="00DE257C"/>
    <w:rsid w:val="00DE27DD"/>
    <w:rsid w:val="00DE2EFC"/>
    <w:rsid w:val="00DE30AF"/>
    <w:rsid w:val="00DE30F9"/>
    <w:rsid w:val="00DE3415"/>
    <w:rsid w:val="00DE34BA"/>
    <w:rsid w:val="00DE37C2"/>
    <w:rsid w:val="00DE3801"/>
    <w:rsid w:val="00DE39B6"/>
    <w:rsid w:val="00DE39ED"/>
    <w:rsid w:val="00DE3C23"/>
    <w:rsid w:val="00DE3C7D"/>
    <w:rsid w:val="00DE3CA4"/>
    <w:rsid w:val="00DE3CB0"/>
    <w:rsid w:val="00DE3F39"/>
    <w:rsid w:val="00DE408F"/>
    <w:rsid w:val="00DE4104"/>
    <w:rsid w:val="00DE414B"/>
    <w:rsid w:val="00DE43A3"/>
    <w:rsid w:val="00DE43A9"/>
    <w:rsid w:val="00DE4405"/>
    <w:rsid w:val="00DE4406"/>
    <w:rsid w:val="00DE44DA"/>
    <w:rsid w:val="00DE4727"/>
    <w:rsid w:val="00DE4750"/>
    <w:rsid w:val="00DE48F1"/>
    <w:rsid w:val="00DE4B75"/>
    <w:rsid w:val="00DE4DFE"/>
    <w:rsid w:val="00DE4E66"/>
    <w:rsid w:val="00DE5075"/>
    <w:rsid w:val="00DE50EC"/>
    <w:rsid w:val="00DE54E3"/>
    <w:rsid w:val="00DE54ED"/>
    <w:rsid w:val="00DE5679"/>
    <w:rsid w:val="00DE5680"/>
    <w:rsid w:val="00DE588B"/>
    <w:rsid w:val="00DE58C3"/>
    <w:rsid w:val="00DE5920"/>
    <w:rsid w:val="00DE5AA4"/>
    <w:rsid w:val="00DE5C2D"/>
    <w:rsid w:val="00DE5DE6"/>
    <w:rsid w:val="00DE5EC8"/>
    <w:rsid w:val="00DE6033"/>
    <w:rsid w:val="00DE630C"/>
    <w:rsid w:val="00DE6346"/>
    <w:rsid w:val="00DE63A5"/>
    <w:rsid w:val="00DE6434"/>
    <w:rsid w:val="00DE6982"/>
    <w:rsid w:val="00DE6BD8"/>
    <w:rsid w:val="00DE6C17"/>
    <w:rsid w:val="00DE6C9B"/>
    <w:rsid w:val="00DE6D4D"/>
    <w:rsid w:val="00DE7053"/>
    <w:rsid w:val="00DE70EA"/>
    <w:rsid w:val="00DE721C"/>
    <w:rsid w:val="00DE7471"/>
    <w:rsid w:val="00DE7603"/>
    <w:rsid w:val="00DE76E4"/>
    <w:rsid w:val="00DE79D1"/>
    <w:rsid w:val="00DE7A5D"/>
    <w:rsid w:val="00DE7ADE"/>
    <w:rsid w:val="00DE7E1E"/>
    <w:rsid w:val="00DE7E54"/>
    <w:rsid w:val="00DE7F6B"/>
    <w:rsid w:val="00DF09E3"/>
    <w:rsid w:val="00DF0C66"/>
    <w:rsid w:val="00DF0F80"/>
    <w:rsid w:val="00DF10D3"/>
    <w:rsid w:val="00DF15B1"/>
    <w:rsid w:val="00DF15FE"/>
    <w:rsid w:val="00DF1AAB"/>
    <w:rsid w:val="00DF1B4C"/>
    <w:rsid w:val="00DF1BA0"/>
    <w:rsid w:val="00DF1C38"/>
    <w:rsid w:val="00DF1DAF"/>
    <w:rsid w:val="00DF1E14"/>
    <w:rsid w:val="00DF1F8B"/>
    <w:rsid w:val="00DF20A7"/>
    <w:rsid w:val="00DF2197"/>
    <w:rsid w:val="00DF223C"/>
    <w:rsid w:val="00DF2394"/>
    <w:rsid w:val="00DF2442"/>
    <w:rsid w:val="00DF24DE"/>
    <w:rsid w:val="00DF2578"/>
    <w:rsid w:val="00DF25A0"/>
    <w:rsid w:val="00DF265D"/>
    <w:rsid w:val="00DF2665"/>
    <w:rsid w:val="00DF278E"/>
    <w:rsid w:val="00DF2A61"/>
    <w:rsid w:val="00DF2A75"/>
    <w:rsid w:val="00DF2AFE"/>
    <w:rsid w:val="00DF2D83"/>
    <w:rsid w:val="00DF2FBA"/>
    <w:rsid w:val="00DF2FBD"/>
    <w:rsid w:val="00DF30F7"/>
    <w:rsid w:val="00DF34D5"/>
    <w:rsid w:val="00DF3598"/>
    <w:rsid w:val="00DF35E2"/>
    <w:rsid w:val="00DF38A0"/>
    <w:rsid w:val="00DF3925"/>
    <w:rsid w:val="00DF3993"/>
    <w:rsid w:val="00DF3A00"/>
    <w:rsid w:val="00DF3C24"/>
    <w:rsid w:val="00DF3C8E"/>
    <w:rsid w:val="00DF3DB4"/>
    <w:rsid w:val="00DF3F1C"/>
    <w:rsid w:val="00DF4185"/>
    <w:rsid w:val="00DF471C"/>
    <w:rsid w:val="00DF5004"/>
    <w:rsid w:val="00DF50EC"/>
    <w:rsid w:val="00DF528C"/>
    <w:rsid w:val="00DF5494"/>
    <w:rsid w:val="00DF5512"/>
    <w:rsid w:val="00DF5538"/>
    <w:rsid w:val="00DF5686"/>
    <w:rsid w:val="00DF56CB"/>
    <w:rsid w:val="00DF573E"/>
    <w:rsid w:val="00DF57BB"/>
    <w:rsid w:val="00DF58A6"/>
    <w:rsid w:val="00DF5967"/>
    <w:rsid w:val="00DF5A1E"/>
    <w:rsid w:val="00DF5A48"/>
    <w:rsid w:val="00DF5CDD"/>
    <w:rsid w:val="00DF5D7B"/>
    <w:rsid w:val="00DF5E7E"/>
    <w:rsid w:val="00DF5E84"/>
    <w:rsid w:val="00DF5F87"/>
    <w:rsid w:val="00DF614B"/>
    <w:rsid w:val="00DF6975"/>
    <w:rsid w:val="00DF69CA"/>
    <w:rsid w:val="00DF6B6A"/>
    <w:rsid w:val="00DF6C8D"/>
    <w:rsid w:val="00DF6D41"/>
    <w:rsid w:val="00DF6D50"/>
    <w:rsid w:val="00DF6EFE"/>
    <w:rsid w:val="00DF7156"/>
    <w:rsid w:val="00DF7266"/>
    <w:rsid w:val="00DF73F4"/>
    <w:rsid w:val="00DF75FB"/>
    <w:rsid w:val="00DF76FA"/>
    <w:rsid w:val="00DF77DE"/>
    <w:rsid w:val="00DF77F9"/>
    <w:rsid w:val="00DF7836"/>
    <w:rsid w:val="00DF7902"/>
    <w:rsid w:val="00DF7AD1"/>
    <w:rsid w:val="00DF7C80"/>
    <w:rsid w:val="00DF7FE7"/>
    <w:rsid w:val="00DF7FE8"/>
    <w:rsid w:val="00E0029D"/>
    <w:rsid w:val="00E003E1"/>
    <w:rsid w:val="00E004F2"/>
    <w:rsid w:val="00E00557"/>
    <w:rsid w:val="00E006D4"/>
    <w:rsid w:val="00E007C7"/>
    <w:rsid w:val="00E008DC"/>
    <w:rsid w:val="00E00986"/>
    <w:rsid w:val="00E00A96"/>
    <w:rsid w:val="00E00AA4"/>
    <w:rsid w:val="00E00C5D"/>
    <w:rsid w:val="00E00CAE"/>
    <w:rsid w:val="00E00D12"/>
    <w:rsid w:val="00E01021"/>
    <w:rsid w:val="00E010E0"/>
    <w:rsid w:val="00E012AE"/>
    <w:rsid w:val="00E012EC"/>
    <w:rsid w:val="00E01455"/>
    <w:rsid w:val="00E0150C"/>
    <w:rsid w:val="00E01737"/>
    <w:rsid w:val="00E0178D"/>
    <w:rsid w:val="00E01807"/>
    <w:rsid w:val="00E01BC4"/>
    <w:rsid w:val="00E02029"/>
    <w:rsid w:val="00E02229"/>
    <w:rsid w:val="00E023B6"/>
    <w:rsid w:val="00E024F0"/>
    <w:rsid w:val="00E0255E"/>
    <w:rsid w:val="00E02632"/>
    <w:rsid w:val="00E026EE"/>
    <w:rsid w:val="00E02752"/>
    <w:rsid w:val="00E0280D"/>
    <w:rsid w:val="00E02937"/>
    <w:rsid w:val="00E029A5"/>
    <w:rsid w:val="00E02B77"/>
    <w:rsid w:val="00E02C8A"/>
    <w:rsid w:val="00E02DC1"/>
    <w:rsid w:val="00E02F68"/>
    <w:rsid w:val="00E03154"/>
    <w:rsid w:val="00E031E5"/>
    <w:rsid w:val="00E032A9"/>
    <w:rsid w:val="00E03378"/>
    <w:rsid w:val="00E03544"/>
    <w:rsid w:val="00E0360F"/>
    <w:rsid w:val="00E0361C"/>
    <w:rsid w:val="00E0363B"/>
    <w:rsid w:val="00E038D6"/>
    <w:rsid w:val="00E038F1"/>
    <w:rsid w:val="00E0390F"/>
    <w:rsid w:val="00E03975"/>
    <w:rsid w:val="00E03B1A"/>
    <w:rsid w:val="00E03B70"/>
    <w:rsid w:val="00E03D3A"/>
    <w:rsid w:val="00E04012"/>
    <w:rsid w:val="00E04113"/>
    <w:rsid w:val="00E0417D"/>
    <w:rsid w:val="00E041C7"/>
    <w:rsid w:val="00E0429C"/>
    <w:rsid w:val="00E042E4"/>
    <w:rsid w:val="00E04302"/>
    <w:rsid w:val="00E0459A"/>
    <w:rsid w:val="00E0476A"/>
    <w:rsid w:val="00E0476E"/>
    <w:rsid w:val="00E048F4"/>
    <w:rsid w:val="00E04965"/>
    <w:rsid w:val="00E04DAA"/>
    <w:rsid w:val="00E050D5"/>
    <w:rsid w:val="00E05215"/>
    <w:rsid w:val="00E0530C"/>
    <w:rsid w:val="00E0540E"/>
    <w:rsid w:val="00E05655"/>
    <w:rsid w:val="00E05805"/>
    <w:rsid w:val="00E05905"/>
    <w:rsid w:val="00E05E95"/>
    <w:rsid w:val="00E05F3F"/>
    <w:rsid w:val="00E05FCB"/>
    <w:rsid w:val="00E0621B"/>
    <w:rsid w:val="00E0630B"/>
    <w:rsid w:val="00E064F7"/>
    <w:rsid w:val="00E0663D"/>
    <w:rsid w:val="00E066E4"/>
    <w:rsid w:val="00E06952"/>
    <w:rsid w:val="00E06C9E"/>
    <w:rsid w:val="00E06F0E"/>
    <w:rsid w:val="00E0704C"/>
    <w:rsid w:val="00E0714A"/>
    <w:rsid w:val="00E07199"/>
    <w:rsid w:val="00E07335"/>
    <w:rsid w:val="00E0756D"/>
    <w:rsid w:val="00E07859"/>
    <w:rsid w:val="00E078D0"/>
    <w:rsid w:val="00E07928"/>
    <w:rsid w:val="00E079AA"/>
    <w:rsid w:val="00E079AF"/>
    <w:rsid w:val="00E07B1A"/>
    <w:rsid w:val="00E07CFF"/>
    <w:rsid w:val="00E07E00"/>
    <w:rsid w:val="00E07E1C"/>
    <w:rsid w:val="00E07EDF"/>
    <w:rsid w:val="00E101E0"/>
    <w:rsid w:val="00E102E1"/>
    <w:rsid w:val="00E10375"/>
    <w:rsid w:val="00E10437"/>
    <w:rsid w:val="00E10613"/>
    <w:rsid w:val="00E108F8"/>
    <w:rsid w:val="00E10944"/>
    <w:rsid w:val="00E109B9"/>
    <w:rsid w:val="00E10B03"/>
    <w:rsid w:val="00E10B72"/>
    <w:rsid w:val="00E10C3F"/>
    <w:rsid w:val="00E10C61"/>
    <w:rsid w:val="00E10D31"/>
    <w:rsid w:val="00E10FB3"/>
    <w:rsid w:val="00E10FCB"/>
    <w:rsid w:val="00E10FE9"/>
    <w:rsid w:val="00E11027"/>
    <w:rsid w:val="00E1109D"/>
    <w:rsid w:val="00E117C9"/>
    <w:rsid w:val="00E11880"/>
    <w:rsid w:val="00E11A51"/>
    <w:rsid w:val="00E11AEF"/>
    <w:rsid w:val="00E11BD0"/>
    <w:rsid w:val="00E11DBD"/>
    <w:rsid w:val="00E11DCE"/>
    <w:rsid w:val="00E11E6F"/>
    <w:rsid w:val="00E121DC"/>
    <w:rsid w:val="00E123DA"/>
    <w:rsid w:val="00E124C1"/>
    <w:rsid w:val="00E12569"/>
    <w:rsid w:val="00E1262E"/>
    <w:rsid w:val="00E1265B"/>
    <w:rsid w:val="00E1279C"/>
    <w:rsid w:val="00E127A0"/>
    <w:rsid w:val="00E12868"/>
    <w:rsid w:val="00E12B0C"/>
    <w:rsid w:val="00E12B2E"/>
    <w:rsid w:val="00E12D5F"/>
    <w:rsid w:val="00E12DB4"/>
    <w:rsid w:val="00E12DC5"/>
    <w:rsid w:val="00E12E4A"/>
    <w:rsid w:val="00E12FBF"/>
    <w:rsid w:val="00E1300F"/>
    <w:rsid w:val="00E13094"/>
    <w:rsid w:val="00E131F4"/>
    <w:rsid w:val="00E131FB"/>
    <w:rsid w:val="00E13673"/>
    <w:rsid w:val="00E13717"/>
    <w:rsid w:val="00E1374B"/>
    <w:rsid w:val="00E137E9"/>
    <w:rsid w:val="00E13871"/>
    <w:rsid w:val="00E1387B"/>
    <w:rsid w:val="00E1390B"/>
    <w:rsid w:val="00E13910"/>
    <w:rsid w:val="00E139A4"/>
    <w:rsid w:val="00E13A63"/>
    <w:rsid w:val="00E13A65"/>
    <w:rsid w:val="00E13D54"/>
    <w:rsid w:val="00E13D60"/>
    <w:rsid w:val="00E140DD"/>
    <w:rsid w:val="00E142F6"/>
    <w:rsid w:val="00E143FC"/>
    <w:rsid w:val="00E144E2"/>
    <w:rsid w:val="00E14951"/>
    <w:rsid w:val="00E14BB3"/>
    <w:rsid w:val="00E14CC7"/>
    <w:rsid w:val="00E14D67"/>
    <w:rsid w:val="00E14DCB"/>
    <w:rsid w:val="00E14F9E"/>
    <w:rsid w:val="00E151D8"/>
    <w:rsid w:val="00E1526F"/>
    <w:rsid w:val="00E154D1"/>
    <w:rsid w:val="00E154D2"/>
    <w:rsid w:val="00E155BB"/>
    <w:rsid w:val="00E156CD"/>
    <w:rsid w:val="00E1588F"/>
    <w:rsid w:val="00E158DD"/>
    <w:rsid w:val="00E158EB"/>
    <w:rsid w:val="00E15AAE"/>
    <w:rsid w:val="00E15ADD"/>
    <w:rsid w:val="00E15BD5"/>
    <w:rsid w:val="00E15BFB"/>
    <w:rsid w:val="00E15C22"/>
    <w:rsid w:val="00E15DA2"/>
    <w:rsid w:val="00E15F66"/>
    <w:rsid w:val="00E15FF4"/>
    <w:rsid w:val="00E15FFF"/>
    <w:rsid w:val="00E160CD"/>
    <w:rsid w:val="00E16163"/>
    <w:rsid w:val="00E16225"/>
    <w:rsid w:val="00E16289"/>
    <w:rsid w:val="00E1648C"/>
    <w:rsid w:val="00E16607"/>
    <w:rsid w:val="00E167C4"/>
    <w:rsid w:val="00E16995"/>
    <w:rsid w:val="00E16ACA"/>
    <w:rsid w:val="00E16BB2"/>
    <w:rsid w:val="00E16C24"/>
    <w:rsid w:val="00E16D28"/>
    <w:rsid w:val="00E16DEA"/>
    <w:rsid w:val="00E17028"/>
    <w:rsid w:val="00E1711C"/>
    <w:rsid w:val="00E171C1"/>
    <w:rsid w:val="00E1723F"/>
    <w:rsid w:val="00E176A8"/>
    <w:rsid w:val="00E1773B"/>
    <w:rsid w:val="00E17895"/>
    <w:rsid w:val="00E17960"/>
    <w:rsid w:val="00E179B5"/>
    <w:rsid w:val="00E17D0D"/>
    <w:rsid w:val="00E17DC3"/>
    <w:rsid w:val="00E17E46"/>
    <w:rsid w:val="00E2002E"/>
    <w:rsid w:val="00E200F1"/>
    <w:rsid w:val="00E20951"/>
    <w:rsid w:val="00E209DB"/>
    <w:rsid w:val="00E20B50"/>
    <w:rsid w:val="00E20F8C"/>
    <w:rsid w:val="00E20FA5"/>
    <w:rsid w:val="00E21057"/>
    <w:rsid w:val="00E211B7"/>
    <w:rsid w:val="00E2159B"/>
    <w:rsid w:val="00E21629"/>
    <w:rsid w:val="00E21748"/>
    <w:rsid w:val="00E21A05"/>
    <w:rsid w:val="00E21A69"/>
    <w:rsid w:val="00E21B45"/>
    <w:rsid w:val="00E2207D"/>
    <w:rsid w:val="00E221D3"/>
    <w:rsid w:val="00E223AD"/>
    <w:rsid w:val="00E225DF"/>
    <w:rsid w:val="00E22975"/>
    <w:rsid w:val="00E2300D"/>
    <w:rsid w:val="00E2314C"/>
    <w:rsid w:val="00E23407"/>
    <w:rsid w:val="00E23560"/>
    <w:rsid w:val="00E238D7"/>
    <w:rsid w:val="00E24052"/>
    <w:rsid w:val="00E240C5"/>
    <w:rsid w:val="00E24275"/>
    <w:rsid w:val="00E243EB"/>
    <w:rsid w:val="00E246C6"/>
    <w:rsid w:val="00E24701"/>
    <w:rsid w:val="00E24A06"/>
    <w:rsid w:val="00E24ABB"/>
    <w:rsid w:val="00E24E9F"/>
    <w:rsid w:val="00E24EB1"/>
    <w:rsid w:val="00E24F03"/>
    <w:rsid w:val="00E24F53"/>
    <w:rsid w:val="00E25352"/>
    <w:rsid w:val="00E2557B"/>
    <w:rsid w:val="00E25746"/>
    <w:rsid w:val="00E25A2D"/>
    <w:rsid w:val="00E25B2C"/>
    <w:rsid w:val="00E25B31"/>
    <w:rsid w:val="00E25CD8"/>
    <w:rsid w:val="00E25FDD"/>
    <w:rsid w:val="00E2606C"/>
    <w:rsid w:val="00E260F9"/>
    <w:rsid w:val="00E261E2"/>
    <w:rsid w:val="00E26232"/>
    <w:rsid w:val="00E2637C"/>
    <w:rsid w:val="00E264EC"/>
    <w:rsid w:val="00E26501"/>
    <w:rsid w:val="00E2677E"/>
    <w:rsid w:val="00E26859"/>
    <w:rsid w:val="00E268D6"/>
    <w:rsid w:val="00E26BB9"/>
    <w:rsid w:val="00E26CFE"/>
    <w:rsid w:val="00E26E27"/>
    <w:rsid w:val="00E26E3C"/>
    <w:rsid w:val="00E273A7"/>
    <w:rsid w:val="00E275CD"/>
    <w:rsid w:val="00E27964"/>
    <w:rsid w:val="00E27AB7"/>
    <w:rsid w:val="00E27B33"/>
    <w:rsid w:val="00E27B99"/>
    <w:rsid w:val="00E27CB9"/>
    <w:rsid w:val="00E27D07"/>
    <w:rsid w:val="00E27D4C"/>
    <w:rsid w:val="00E27EAD"/>
    <w:rsid w:val="00E27F47"/>
    <w:rsid w:val="00E2FD16"/>
    <w:rsid w:val="00E3003D"/>
    <w:rsid w:val="00E3032A"/>
    <w:rsid w:val="00E3045C"/>
    <w:rsid w:val="00E3048B"/>
    <w:rsid w:val="00E30689"/>
    <w:rsid w:val="00E30C10"/>
    <w:rsid w:val="00E3111B"/>
    <w:rsid w:val="00E311FA"/>
    <w:rsid w:val="00E312E7"/>
    <w:rsid w:val="00E315A4"/>
    <w:rsid w:val="00E31620"/>
    <w:rsid w:val="00E31811"/>
    <w:rsid w:val="00E318E2"/>
    <w:rsid w:val="00E31950"/>
    <w:rsid w:val="00E31ABD"/>
    <w:rsid w:val="00E31AE9"/>
    <w:rsid w:val="00E31B1F"/>
    <w:rsid w:val="00E31BC6"/>
    <w:rsid w:val="00E31C7E"/>
    <w:rsid w:val="00E31E56"/>
    <w:rsid w:val="00E320BE"/>
    <w:rsid w:val="00E32271"/>
    <w:rsid w:val="00E322AD"/>
    <w:rsid w:val="00E32430"/>
    <w:rsid w:val="00E32540"/>
    <w:rsid w:val="00E325AE"/>
    <w:rsid w:val="00E32717"/>
    <w:rsid w:val="00E327D3"/>
    <w:rsid w:val="00E329BA"/>
    <w:rsid w:val="00E32A38"/>
    <w:rsid w:val="00E32C22"/>
    <w:rsid w:val="00E32E12"/>
    <w:rsid w:val="00E32E13"/>
    <w:rsid w:val="00E32FD4"/>
    <w:rsid w:val="00E33001"/>
    <w:rsid w:val="00E3312C"/>
    <w:rsid w:val="00E33142"/>
    <w:rsid w:val="00E332BE"/>
    <w:rsid w:val="00E33360"/>
    <w:rsid w:val="00E33533"/>
    <w:rsid w:val="00E33537"/>
    <w:rsid w:val="00E33591"/>
    <w:rsid w:val="00E3369A"/>
    <w:rsid w:val="00E337D4"/>
    <w:rsid w:val="00E337E9"/>
    <w:rsid w:val="00E3380D"/>
    <w:rsid w:val="00E338E5"/>
    <w:rsid w:val="00E339C8"/>
    <w:rsid w:val="00E339EF"/>
    <w:rsid w:val="00E33C79"/>
    <w:rsid w:val="00E33D36"/>
    <w:rsid w:val="00E33F55"/>
    <w:rsid w:val="00E34019"/>
    <w:rsid w:val="00E34155"/>
    <w:rsid w:val="00E3434A"/>
    <w:rsid w:val="00E347AF"/>
    <w:rsid w:val="00E349CF"/>
    <w:rsid w:val="00E34B40"/>
    <w:rsid w:val="00E34C15"/>
    <w:rsid w:val="00E34C16"/>
    <w:rsid w:val="00E34E8F"/>
    <w:rsid w:val="00E34EBB"/>
    <w:rsid w:val="00E34F9F"/>
    <w:rsid w:val="00E3526F"/>
    <w:rsid w:val="00E3529E"/>
    <w:rsid w:val="00E352A0"/>
    <w:rsid w:val="00E352BB"/>
    <w:rsid w:val="00E356FF"/>
    <w:rsid w:val="00E35D50"/>
    <w:rsid w:val="00E35E1D"/>
    <w:rsid w:val="00E360A3"/>
    <w:rsid w:val="00E3633E"/>
    <w:rsid w:val="00E36713"/>
    <w:rsid w:val="00E36C8A"/>
    <w:rsid w:val="00E36D0E"/>
    <w:rsid w:val="00E36D78"/>
    <w:rsid w:val="00E36E99"/>
    <w:rsid w:val="00E36F08"/>
    <w:rsid w:val="00E36F54"/>
    <w:rsid w:val="00E370EF"/>
    <w:rsid w:val="00E374EA"/>
    <w:rsid w:val="00E37977"/>
    <w:rsid w:val="00E379BE"/>
    <w:rsid w:val="00E37B9A"/>
    <w:rsid w:val="00E37DBC"/>
    <w:rsid w:val="00E4004F"/>
    <w:rsid w:val="00E40082"/>
    <w:rsid w:val="00E403B2"/>
    <w:rsid w:val="00E40B74"/>
    <w:rsid w:val="00E40BDC"/>
    <w:rsid w:val="00E40DB8"/>
    <w:rsid w:val="00E40E26"/>
    <w:rsid w:val="00E40E8F"/>
    <w:rsid w:val="00E40EB0"/>
    <w:rsid w:val="00E40EB8"/>
    <w:rsid w:val="00E40F06"/>
    <w:rsid w:val="00E41084"/>
    <w:rsid w:val="00E410B3"/>
    <w:rsid w:val="00E414B1"/>
    <w:rsid w:val="00E41643"/>
    <w:rsid w:val="00E41825"/>
    <w:rsid w:val="00E41991"/>
    <w:rsid w:val="00E419A4"/>
    <w:rsid w:val="00E41AA1"/>
    <w:rsid w:val="00E41D4B"/>
    <w:rsid w:val="00E41D98"/>
    <w:rsid w:val="00E41DF1"/>
    <w:rsid w:val="00E41EC1"/>
    <w:rsid w:val="00E42006"/>
    <w:rsid w:val="00E4226A"/>
    <w:rsid w:val="00E4239F"/>
    <w:rsid w:val="00E423F5"/>
    <w:rsid w:val="00E4245B"/>
    <w:rsid w:val="00E424F5"/>
    <w:rsid w:val="00E426C6"/>
    <w:rsid w:val="00E426F5"/>
    <w:rsid w:val="00E42778"/>
    <w:rsid w:val="00E427DD"/>
    <w:rsid w:val="00E428DF"/>
    <w:rsid w:val="00E429E3"/>
    <w:rsid w:val="00E42DC1"/>
    <w:rsid w:val="00E42DDC"/>
    <w:rsid w:val="00E4315E"/>
    <w:rsid w:val="00E4325C"/>
    <w:rsid w:val="00E432B5"/>
    <w:rsid w:val="00E433F5"/>
    <w:rsid w:val="00E43480"/>
    <w:rsid w:val="00E43493"/>
    <w:rsid w:val="00E4353B"/>
    <w:rsid w:val="00E435FE"/>
    <w:rsid w:val="00E43692"/>
    <w:rsid w:val="00E436C9"/>
    <w:rsid w:val="00E43706"/>
    <w:rsid w:val="00E4382C"/>
    <w:rsid w:val="00E4396B"/>
    <w:rsid w:val="00E43B6F"/>
    <w:rsid w:val="00E43CAD"/>
    <w:rsid w:val="00E43D29"/>
    <w:rsid w:val="00E43F6A"/>
    <w:rsid w:val="00E44144"/>
    <w:rsid w:val="00E44238"/>
    <w:rsid w:val="00E442E4"/>
    <w:rsid w:val="00E44452"/>
    <w:rsid w:val="00E4455A"/>
    <w:rsid w:val="00E4465A"/>
    <w:rsid w:val="00E44734"/>
    <w:rsid w:val="00E4473F"/>
    <w:rsid w:val="00E4486C"/>
    <w:rsid w:val="00E4488B"/>
    <w:rsid w:val="00E4497D"/>
    <w:rsid w:val="00E449BA"/>
    <w:rsid w:val="00E44D2C"/>
    <w:rsid w:val="00E453D7"/>
    <w:rsid w:val="00E453E6"/>
    <w:rsid w:val="00E45407"/>
    <w:rsid w:val="00E4560F"/>
    <w:rsid w:val="00E4565E"/>
    <w:rsid w:val="00E456BA"/>
    <w:rsid w:val="00E457DB"/>
    <w:rsid w:val="00E45894"/>
    <w:rsid w:val="00E45B9A"/>
    <w:rsid w:val="00E45CA4"/>
    <w:rsid w:val="00E45D07"/>
    <w:rsid w:val="00E45E0B"/>
    <w:rsid w:val="00E4617A"/>
    <w:rsid w:val="00E4631D"/>
    <w:rsid w:val="00E4651B"/>
    <w:rsid w:val="00E4685C"/>
    <w:rsid w:val="00E46A3C"/>
    <w:rsid w:val="00E46A47"/>
    <w:rsid w:val="00E46AB6"/>
    <w:rsid w:val="00E46BAE"/>
    <w:rsid w:val="00E46C74"/>
    <w:rsid w:val="00E46CA4"/>
    <w:rsid w:val="00E46DBE"/>
    <w:rsid w:val="00E46F49"/>
    <w:rsid w:val="00E470A2"/>
    <w:rsid w:val="00E471BA"/>
    <w:rsid w:val="00E471E4"/>
    <w:rsid w:val="00E47244"/>
    <w:rsid w:val="00E472F8"/>
    <w:rsid w:val="00E47457"/>
    <w:rsid w:val="00E475C6"/>
    <w:rsid w:val="00E475E7"/>
    <w:rsid w:val="00E4775C"/>
    <w:rsid w:val="00E478F1"/>
    <w:rsid w:val="00E47A1A"/>
    <w:rsid w:val="00E47CB5"/>
    <w:rsid w:val="00E47D8A"/>
    <w:rsid w:val="00E47E6B"/>
    <w:rsid w:val="00E47ECE"/>
    <w:rsid w:val="00E50467"/>
    <w:rsid w:val="00E50778"/>
    <w:rsid w:val="00E50875"/>
    <w:rsid w:val="00E508E3"/>
    <w:rsid w:val="00E50B1A"/>
    <w:rsid w:val="00E50BA0"/>
    <w:rsid w:val="00E50D95"/>
    <w:rsid w:val="00E50EC5"/>
    <w:rsid w:val="00E510E1"/>
    <w:rsid w:val="00E51112"/>
    <w:rsid w:val="00E51276"/>
    <w:rsid w:val="00E5130E"/>
    <w:rsid w:val="00E51348"/>
    <w:rsid w:val="00E514FF"/>
    <w:rsid w:val="00E516C2"/>
    <w:rsid w:val="00E51892"/>
    <w:rsid w:val="00E518E5"/>
    <w:rsid w:val="00E51952"/>
    <w:rsid w:val="00E51A37"/>
    <w:rsid w:val="00E51B2A"/>
    <w:rsid w:val="00E520DB"/>
    <w:rsid w:val="00E52104"/>
    <w:rsid w:val="00E522E5"/>
    <w:rsid w:val="00E525A2"/>
    <w:rsid w:val="00E526F9"/>
    <w:rsid w:val="00E52770"/>
    <w:rsid w:val="00E52796"/>
    <w:rsid w:val="00E5295D"/>
    <w:rsid w:val="00E52AA4"/>
    <w:rsid w:val="00E52CCE"/>
    <w:rsid w:val="00E52D6A"/>
    <w:rsid w:val="00E52FEA"/>
    <w:rsid w:val="00E5302A"/>
    <w:rsid w:val="00E530DD"/>
    <w:rsid w:val="00E53414"/>
    <w:rsid w:val="00E539C4"/>
    <w:rsid w:val="00E53A73"/>
    <w:rsid w:val="00E53D48"/>
    <w:rsid w:val="00E53E21"/>
    <w:rsid w:val="00E53E7C"/>
    <w:rsid w:val="00E53EE2"/>
    <w:rsid w:val="00E54001"/>
    <w:rsid w:val="00E5405E"/>
    <w:rsid w:val="00E5429F"/>
    <w:rsid w:val="00E54447"/>
    <w:rsid w:val="00E545DB"/>
    <w:rsid w:val="00E54788"/>
    <w:rsid w:val="00E5484A"/>
    <w:rsid w:val="00E5489A"/>
    <w:rsid w:val="00E548F0"/>
    <w:rsid w:val="00E54C51"/>
    <w:rsid w:val="00E54CAD"/>
    <w:rsid w:val="00E54F12"/>
    <w:rsid w:val="00E54F96"/>
    <w:rsid w:val="00E550BB"/>
    <w:rsid w:val="00E553EF"/>
    <w:rsid w:val="00E5568A"/>
    <w:rsid w:val="00E5580E"/>
    <w:rsid w:val="00E55D13"/>
    <w:rsid w:val="00E56045"/>
    <w:rsid w:val="00E560CD"/>
    <w:rsid w:val="00E56328"/>
    <w:rsid w:val="00E56365"/>
    <w:rsid w:val="00E563E0"/>
    <w:rsid w:val="00E563F3"/>
    <w:rsid w:val="00E5654B"/>
    <w:rsid w:val="00E56578"/>
    <w:rsid w:val="00E565BB"/>
    <w:rsid w:val="00E56705"/>
    <w:rsid w:val="00E5673A"/>
    <w:rsid w:val="00E567C1"/>
    <w:rsid w:val="00E56A49"/>
    <w:rsid w:val="00E56B75"/>
    <w:rsid w:val="00E56D20"/>
    <w:rsid w:val="00E56DF3"/>
    <w:rsid w:val="00E56EA1"/>
    <w:rsid w:val="00E56FAE"/>
    <w:rsid w:val="00E570FE"/>
    <w:rsid w:val="00E571D1"/>
    <w:rsid w:val="00E574E8"/>
    <w:rsid w:val="00E57591"/>
    <w:rsid w:val="00E5763D"/>
    <w:rsid w:val="00E576B4"/>
    <w:rsid w:val="00E5776D"/>
    <w:rsid w:val="00E5781F"/>
    <w:rsid w:val="00E5790C"/>
    <w:rsid w:val="00E57BCE"/>
    <w:rsid w:val="00E57C16"/>
    <w:rsid w:val="00E57C96"/>
    <w:rsid w:val="00E57D61"/>
    <w:rsid w:val="00E57ECE"/>
    <w:rsid w:val="00E57FE2"/>
    <w:rsid w:val="00E60008"/>
    <w:rsid w:val="00E6003B"/>
    <w:rsid w:val="00E600FA"/>
    <w:rsid w:val="00E602BC"/>
    <w:rsid w:val="00E602D0"/>
    <w:rsid w:val="00E60324"/>
    <w:rsid w:val="00E6043C"/>
    <w:rsid w:val="00E60657"/>
    <w:rsid w:val="00E60681"/>
    <w:rsid w:val="00E608D0"/>
    <w:rsid w:val="00E60AF6"/>
    <w:rsid w:val="00E60D39"/>
    <w:rsid w:val="00E60D8E"/>
    <w:rsid w:val="00E60DA6"/>
    <w:rsid w:val="00E60E5B"/>
    <w:rsid w:val="00E610AE"/>
    <w:rsid w:val="00E61141"/>
    <w:rsid w:val="00E61549"/>
    <w:rsid w:val="00E615FC"/>
    <w:rsid w:val="00E61756"/>
    <w:rsid w:val="00E617D4"/>
    <w:rsid w:val="00E6207B"/>
    <w:rsid w:val="00E622F6"/>
    <w:rsid w:val="00E6282A"/>
    <w:rsid w:val="00E62AFF"/>
    <w:rsid w:val="00E62BFD"/>
    <w:rsid w:val="00E62C6F"/>
    <w:rsid w:val="00E62DBE"/>
    <w:rsid w:val="00E63066"/>
    <w:rsid w:val="00E63155"/>
    <w:rsid w:val="00E635DD"/>
    <w:rsid w:val="00E63836"/>
    <w:rsid w:val="00E63887"/>
    <w:rsid w:val="00E63919"/>
    <w:rsid w:val="00E639F9"/>
    <w:rsid w:val="00E63A2B"/>
    <w:rsid w:val="00E63E99"/>
    <w:rsid w:val="00E64083"/>
    <w:rsid w:val="00E645BC"/>
    <w:rsid w:val="00E646E2"/>
    <w:rsid w:val="00E647B0"/>
    <w:rsid w:val="00E648FD"/>
    <w:rsid w:val="00E64AE8"/>
    <w:rsid w:val="00E64B0D"/>
    <w:rsid w:val="00E64C7A"/>
    <w:rsid w:val="00E64CF9"/>
    <w:rsid w:val="00E64E0F"/>
    <w:rsid w:val="00E65014"/>
    <w:rsid w:val="00E650C5"/>
    <w:rsid w:val="00E651D1"/>
    <w:rsid w:val="00E65289"/>
    <w:rsid w:val="00E656DE"/>
    <w:rsid w:val="00E656F0"/>
    <w:rsid w:val="00E65846"/>
    <w:rsid w:val="00E65885"/>
    <w:rsid w:val="00E659EC"/>
    <w:rsid w:val="00E65B4B"/>
    <w:rsid w:val="00E65FBE"/>
    <w:rsid w:val="00E66099"/>
    <w:rsid w:val="00E6615A"/>
    <w:rsid w:val="00E6622E"/>
    <w:rsid w:val="00E662A6"/>
    <w:rsid w:val="00E665AD"/>
    <w:rsid w:val="00E66AE7"/>
    <w:rsid w:val="00E66B17"/>
    <w:rsid w:val="00E66BE4"/>
    <w:rsid w:val="00E66C0D"/>
    <w:rsid w:val="00E66C86"/>
    <w:rsid w:val="00E66ED9"/>
    <w:rsid w:val="00E67165"/>
    <w:rsid w:val="00E671F3"/>
    <w:rsid w:val="00E67244"/>
    <w:rsid w:val="00E673F6"/>
    <w:rsid w:val="00E67457"/>
    <w:rsid w:val="00E67472"/>
    <w:rsid w:val="00E675FB"/>
    <w:rsid w:val="00E67697"/>
    <w:rsid w:val="00E676C4"/>
    <w:rsid w:val="00E67817"/>
    <w:rsid w:val="00E67906"/>
    <w:rsid w:val="00E6790F"/>
    <w:rsid w:val="00E67918"/>
    <w:rsid w:val="00E67C59"/>
    <w:rsid w:val="00E67D83"/>
    <w:rsid w:val="00E67E75"/>
    <w:rsid w:val="00E67EAA"/>
    <w:rsid w:val="00E67F85"/>
    <w:rsid w:val="00E67FEE"/>
    <w:rsid w:val="00E67FFE"/>
    <w:rsid w:val="00E700AA"/>
    <w:rsid w:val="00E701F2"/>
    <w:rsid w:val="00E703CD"/>
    <w:rsid w:val="00E70475"/>
    <w:rsid w:val="00E705FA"/>
    <w:rsid w:val="00E70706"/>
    <w:rsid w:val="00E7071A"/>
    <w:rsid w:val="00E70831"/>
    <w:rsid w:val="00E7088A"/>
    <w:rsid w:val="00E70D75"/>
    <w:rsid w:val="00E70E29"/>
    <w:rsid w:val="00E71032"/>
    <w:rsid w:val="00E711E0"/>
    <w:rsid w:val="00E713B0"/>
    <w:rsid w:val="00E715A8"/>
    <w:rsid w:val="00E71A60"/>
    <w:rsid w:val="00E71C59"/>
    <w:rsid w:val="00E71D2B"/>
    <w:rsid w:val="00E71DD0"/>
    <w:rsid w:val="00E71DFD"/>
    <w:rsid w:val="00E71E5B"/>
    <w:rsid w:val="00E71EE7"/>
    <w:rsid w:val="00E71F76"/>
    <w:rsid w:val="00E71FCE"/>
    <w:rsid w:val="00E72245"/>
    <w:rsid w:val="00E7272F"/>
    <w:rsid w:val="00E72820"/>
    <w:rsid w:val="00E72897"/>
    <w:rsid w:val="00E729DB"/>
    <w:rsid w:val="00E72DCD"/>
    <w:rsid w:val="00E72E58"/>
    <w:rsid w:val="00E72FB1"/>
    <w:rsid w:val="00E72FB2"/>
    <w:rsid w:val="00E7325E"/>
    <w:rsid w:val="00E733C0"/>
    <w:rsid w:val="00E7343F"/>
    <w:rsid w:val="00E73464"/>
    <w:rsid w:val="00E73468"/>
    <w:rsid w:val="00E737E6"/>
    <w:rsid w:val="00E73A2D"/>
    <w:rsid w:val="00E73AE2"/>
    <w:rsid w:val="00E73B48"/>
    <w:rsid w:val="00E73B6D"/>
    <w:rsid w:val="00E73B9F"/>
    <w:rsid w:val="00E73BFE"/>
    <w:rsid w:val="00E73C46"/>
    <w:rsid w:val="00E73F26"/>
    <w:rsid w:val="00E74193"/>
    <w:rsid w:val="00E74446"/>
    <w:rsid w:val="00E7448C"/>
    <w:rsid w:val="00E744E4"/>
    <w:rsid w:val="00E746ED"/>
    <w:rsid w:val="00E747B7"/>
    <w:rsid w:val="00E7484F"/>
    <w:rsid w:val="00E74BF9"/>
    <w:rsid w:val="00E74C23"/>
    <w:rsid w:val="00E74C26"/>
    <w:rsid w:val="00E74CF9"/>
    <w:rsid w:val="00E74D50"/>
    <w:rsid w:val="00E74DE6"/>
    <w:rsid w:val="00E74E5C"/>
    <w:rsid w:val="00E74E98"/>
    <w:rsid w:val="00E74F04"/>
    <w:rsid w:val="00E74F0E"/>
    <w:rsid w:val="00E74F13"/>
    <w:rsid w:val="00E750D5"/>
    <w:rsid w:val="00E75262"/>
    <w:rsid w:val="00E75297"/>
    <w:rsid w:val="00E75302"/>
    <w:rsid w:val="00E753CD"/>
    <w:rsid w:val="00E75530"/>
    <w:rsid w:val="00E755A7"/>
    <w:rsid w:val="00E75743"/>
    <w:rsid w:val="00E757B1"/>
    <w:rsid w:val="00E7585A"/>
    <w:rsid w:val="00E7585B"/>
    <w:rsid w:val="00E75A45"/>
    <w:rsid w:val="00E75FB5"/>
    <w:rsid w:val="00E7627C"/>
    <w:rsid w:val="00E7639C"/>
    <w:rsid w:val="00E7647E"/>
    <w:rsid w:val="00E7650D"/>
    <w:rsid w:val="00E76659"/>
    <w:rsid w:val="00E76C0E"/>
    <w:rsid w:val="00E76F8C"/>
    <w:rsid w:val="00E77233"/>
    <w:rsid w:val="00E772F9"/>
    <w:rsid w:val="00E775F1"/>
    <w:rsid w:val="00E77669"/>
    <w:rsid w:val="00E77713"/>
    <w:rsid w:val="00E779EF"/>
    <w:rsid w:val="00E77AD3"/>
    <w:rsid w:val="00E77BC3"/>
    <w:rsid w:val="00E801C8"/>
    <w:rsid w:val="00E8032E"/>
    <w:rsid w:val="00E80510"/>
    <w:rsid w:val="00E805FB"/>
    <w:rsid w:val="00E80A58"/>
    <w:rsid w:val="00E80B0B"/>
    <w:rsid w:val="00E80B34"/>
    <w:rsid w:val="00E80B93"/>
    <w:rsid w:val="00E80E43"/>
    <w:rsid w:val="00E8107C"/>
    <w:rsid w:val="00E81387"/>
    <w:rsid w:val="00E8151F"/>
    <w:rsid w:val="00E8173A"/>
    <w:rsid w:val="00E819ED"/>
    <w:rsid w:val="00E81BDD"/>
    <w:rsid w:val="00E81BFD"/>
    <w:rsid w:val="00E81EF0"/>
    <w:rsid w:val="00E81F65"/>
    <w:rsid w:val="00E81FB6"/>
    <w:rsid w:val="00E82384"/>
    <w:rsid w:val="00E823A2"/>
    <w:rsid w:val="00E823E8"/>
    <w:rsid w:val="00E8247F"/>
    <w:rsid w:val="00E827BC"/>
    <w:rsid w:val="00E82817"/>
    <w:rsid w:val="00E82D3A"/>
    <w:rsid w:val="00E830BA"/>
    <w:rsid w:val="00E83154"/>
    <w:rsid w:val="00E83211"/>
    <w:rsid w:val="00E834FE"/>
    <w:rsid w:val="00E83505"/>
    <w:rsid w:val="00E83658"/>
    <w:rsid w:val="00E836A2"/>
    <w:rsid w:val="00E83B45"/>
    <w:rsid w:val="00E83C4A"/>
    <w:rsid w:val="00E83C60"/>
    <w:rsid w:val="00E83DAB"/>
    <w:rsid w:val="00E83F81"/>
    <w:rsid w:val="00E83FAE"/>
    <w:rsid w:val="00E84353"/>
    <w:rsid w:val="00E84374"/>
    <w:rsid w:val="00E846F2"/>
    <w:rsid w:val="00E848A7"/>
    <w:rsid w:val="00E84A0F"/>
    <w:rsid w:val="00E84B4A"/>
    <w:rsid w:val="00E84ECF"/>
    <w:rsid w:val="00E84EFA"/>
    <w:rsid w:val="00E84FFA"/>
    <w:rsid w:val="00E85231"/>
    <w:rsid w:val="00E85241"/>
    <w:rsid w:val="00E8544B"/>
    <w:rsid w:val="00E85929"/>
    <w:rsid w:val="00E85AE8"/>
    <w:rsid w:val="00E85B12"/>
    <w:rsid w:val="00E85C9A"/>
    <w:rsid w:val="00E8600F"/>
    <w:rsid w:val="00E86225"/>
    <w:rsid w:val="00E8640B"/>
    <w:rsid w:val="00E86422"/>
    <w:rsid w:val="00E8652B"/>
    <w:rsid w:val="00E86772"/>
    <w:rsid w:val="00E869CF"/>
    <w:rsid w:val="00E869E3"/>
    <w:rsid w:val="00E86A8B"/>
    <w:rsid w:val="00E86B6C"/>
    <w:rsid w:val="00E86E95"/>
    <w:rsid w:val="00E87137"/>
    <w:rsid w:val="00E8748C"/>
    <w:rsid w:val="00E87AC7"/>
    <w:rsid w:val="00E87ACA"/>
    <w:rsid w:val="00E87BC6"/>
    <w:rsid w:val="00E87CBA"/>
    <w:rsid w:val="00E87DC6"/>
    <w:rsid w:val="00E87F18"/>
    <w:rsid w:val="00E9018E"/>
    <w:rsid w:val="00E90327"/>
    <w:rsid w:val="00E9045B"/>
    <w:rsid w:val="00E904F9"/>
    <w:rsid w:val="00E9056E"/>
    <w:rsid w:val="00E905B7"/>
    <w:rsid w:val="00E9095F"/>
    <w:rsid w:val="00E90A0C"/>
    <w:rsid w:val="00E90B4C"/>
    <w:rsid w:val="00E90C14"/>
    <w:rsid w:val="00E90C9A"/>
    <w:rsid w:val="00E90D3F"/>
    <w:rsid w:val="00E90DF4"/>
    <w:rsid w:val="00E90E72"/>
    <w:rsid w:val="00E90ED7"/>
    <w:rsid w:val="00E90F2D"/>
    <w:rsid w:val="00E912CD"/>
    <w:rsid w:val="00E912CF"/>
    <w:rsid w:val="00E913A3"/>
    <w:rsid w:val="00E914EF"/>
    <w:rsid w:val="00E916B3"/>
    <w:rsid w:val="00E9176A"/>
    <w:rsid w:val="00E91E11"/>
    <w:rsid w:val="00E91EDA"/>
    <w:rsid w:val="00E9203E"/>
    <w:rsid w:val="00E920DD"/>
    <w:rsid w:val="00E920EF"/>
    <w:rsid w:val="00E92226"/>
    <w:rsid w:val="00E9234B"/>
    <w:rsid w:val="00E92440"/>
    <w:rsid w:val="00E924C0"/>
    <w:rsid w:val="00E92682"/>
    <w:rsid w:val="00E9291D"/>
    <w:rsid w:val="00E929F0"/>
    <w:rsid w:val="00E929F3"/>
    <w:rsid w:val="00E92DAA"/>
    <w:rsid w:val="00E92E6A"/>
    <w:rsid w:val="00E92F36"/>
    <w:rsid w:val="00E92FCD"/>
    <w:rsid w:val="00E9308A"/>
    <w:rsid w:val="00E930A9"/>
    <w:rsid w:val="00E933A8"/>
    <w:rsid w:val="00E9358B"/>
    <w:rsid w:val="00E93629"/>
    <w:rsid w:val="00E9365A"/>
    <w:rsid w:val="00E938BC"/>
    <w:rsid w:val="00E9391E"/>
    <w:rsid w:val="00E93A15"/>
    <w:rsid w:val="00E93C1C"/>
    <w:rsid w:val="00E93CA8"/>
    <w:rsid w:val="00E93DB2"/>
    <w:rsid w:val="00E93E2A"/>
    <w:rsid w:val="00E93E82"/>
    <w:rsid w:val="00E93EDB"/>
    <w:rsid w:val="00E94072"/>
    <w:rsid w:val="00E9408A"/>
    <w:rsid w:val="00E9422C"/>
    <w:rsid w:val="00E94268"/>
    <w:rsid w:val="00E9483E"/>
    <w:rsid w:val="00E94A0C"/>
    <w:rsid w:val="00E94A6D"/>
    <w:rsid w:val="00E94B5A"/>
    <w:rsid w:val="00E94D4C"/>
    <w:rsid w:val="00E94E3C"/>
    <w:rsid w:val="00E94E70"/>
    <w:rsid w:val="00E95185"/>
    <w:rsid w:val="00E952D2"/>
    <w:rsid w:val="00E9546F"/>
    <w:rsid w:val="00E95559"/>
    <w:rsid w:val="00E955E0"/>
    <w:rsid w:val="00E9561F"/>
    <w:rsid w:val="00E957A7"/>
    <w:rsid w:val="00E95972"/>
    <w:rsid w:val="00E95A39"/>
    <w:rsid w:val="00E95D2C"/>
    <w:rsid w:val="00E95EB9"/>
    <w:rsid w:val="00E961E0"/>
    <w:rsid w:val="00E96203"/>
    <w:rsid w:val="00E96276"/>
    <w:rsid w:val="00E96693"/>
    <w:rsid w:val="00E966B2"/>
    <w:rsid w:val="00E9691C"/>
    <w:rsid w:val="00E96979"/>
    <w:rsid w:val="00E96A9A"/>
    <w:rsid w:val="00E96CB4"/>
    <w:rsid w:val="00E96EA6"/>
    <w:rsid w:val="00E97103"/>
    <w:rsid w:val="00E973F3"/>
    <w:rsid w:val="00E97496"/>
    <w:rsid w:val="00E9756C"/>
    <w:rsid w:val="00E9771E"/>
    <w:rsid w:val="00E9776A"/>
    <w:rsid w:val="00E9777B"/>
    <w:rsid w:val="00E977CA"/>
    <w:rsid w:val="00E9788E"/>
    <w:rsid w:val="00E97DF2"/>
    <w:rsid w:val="00E97FF1"/>
    <w:rsid w:val="00EA0252"/>
    <w:rsid w:val="00EA02E0"/>
    <w:rsid w:val="00EA0399"/>
    <w:rsid w:val="00EA045D"/>
    <w:rsid w:val="00EA04E5"/>
    <w:rsid w:val="00EA052A"/>
    <w:rsid w:val="00EA05B7"/>
    <w:rsid w:val="00EA0606"/>
    <w:rsid w:val="00EA07AB"/>
    <w:rsid w:val="00EA09E2"/>
    <w:rsid w:val="00EA0AB7"/>
    <w:rsid w:val="00EA0B02"/>
    <w:rsid w:val="00EA0B1A"/>
    <w:rsid w:val="00EA0BE5"/>
    <w:rsid w:val="00EA0FDC"/>
    <w:rsid w:val="00EA1013"/>
    <w:rsid w:val="00EA112A"/>
    <w:rsid w:val="00EA1332"/>
    <w:rsid w:val="00EA1436"/>
    <w:rsid w:val="00EA14D3"/>
    <w:rsid w:val="00EA14EB"/>
    <w:rsid w:val="00EA152F"/>
    <w:rsid w:val="00EA168A"/>
    <w:rsid w:val="00EA16D0"/>
    <w:rsid w:val="00EA1840"/>
    <w:rsid w:val="00EA1875"/>
    <w:rsid w:val="00EA1AAC"/>
    <w:rsid w:val="00EA1EA2"/>
    <w:rsid w:val="00EA1EF1"/>
    <w:rsid w:val="00EA21DC"/>
    <w:rsid w:val="00EA2388"/>
    <w:rsid w:val="00EA240F"/>
    <w:rsid w:val="00EA2482"/>
    <w:rsid w:val="00EA256C"/>
    <w:rsid w:val="00EA263D"/>
    <w:rsid w:val="00EA295F"/>
    <w:rsid w:val="00EA2A49"/>
    <w:rsid w:val="00EA2DD6"/>
    <w:rsid w:val="00EA2E9B"/>
    <w:rsid w:val="00EA3128"/>
    <w:rsid w:val="00EA33AE"/>
    <w:rsid w:val="00EA33EF"/>
    <w:rsid w:val="00EA3923"/>
    <w:rsid w:val="00EA3DE1"/>
    <w:rsid w:val="00EA3F91"/>
    <w:rsid w:val="00EA423D"/>
    <w:rsid w:val="00EA43AE"/>
    <w:rsid w:val="00EA44E4"/>
    <w:rsid w:val="00EA455B"/>
    <w:rsid w:val="00EA4580"/>
    <w:rsid w:val="00EA4857"/>
    <w:rsid w:val="00EA4878"/>
    <w:rsid w:val="00EA4A4E"/>
    <w:rsid w:val="00EA4A57"/>
    <w:rsid w:val="00EA4D4D"/>
    <w:rsid w:val="00EA4DF5"/>
    <w:rsid w:val="00EA4E32"/>
    <w:rsid w:val="00EA4F5A"/>
    <w:rsid w:val="00EA50E6"/>
    <w:rsid w:val="00EA519D"/>
    <w:rsid w:val="00EA52EA"/>
    <w:rsid w:val="00EA53A4"/>
    <w:rsid w:val="00EA54AD"/>
    <w:rsid w:val="00EA569D"/>
    <w:rsid w:val="00EA57D5"/>
    <w:rsid w:val="00EA5AAB"/>
    <w:rsid w:val="00EA5CDD"/>
    <w:rsid w:val="00EA5E2B"/>
    <w:rsid w:val="00EA5EF3"/>
    <w:rsid w:val="00EA60B1"/>
    <w:rsid w:val="00EA6754"/>
    <w:rsid w:val="00EA6794"/>
    <w:rsid w:val="00EA6B4E"/>
    <w:rsid w:val="00EA6B4F"/>
    <w:rsid w:val="00EA70C4"/>
    <w:rsid w:val="00EA71C4"/>
    <w:rsid w:val="00EA736A"/>
    <w:rsid w:val="00EA7403"/>
    <w:rsid w:val="00EA7445"/>
    <w:rsid w:val="00EA767C"/>
    <w:rsid w:val="00EA76E8"/>
    <w:rsid w:val="00EA779B"/>
    <w:rsid w:val="00EA78D2"/>
    <w:rsid w:val="00EA7951"/>
    <w:rsid w:val="00EA79DB"/>
    <w:rsid w:val="00EA7A55"/>
    <w:rsid w:val="00EA7B77"/>
    <w:rsid w:val="00EA7C0E"/>
    <w:rsid w:val="00EA7CA6"/>
    <w:rsid w:val="00EA7D33"/>
    <w:rsid w:val="00EB049D"/>
    <w:rsid w:val="00EB0556"/>
    <w:rsid w:val="00EB058B"/>
    <w:rsid w:val="00EB059F"/>
    <w:rsid w:val="00EB05EF"/>
    <w:rsid w:val="00EB061E"/>
    <w:rsid w:val="00EB067A"/>
    <w:rsid w:val="00EB07F8"/>
    <w:rsid w:val="00EB0B66"/>
    <w:rsid w:val="00EB0D3C"/>
    <w:rsid w:val="00EB0DC3"/>
    <w:rsid w:val="00EB10F3"/>
    <w:rsid w:val="00EB1197"/>
    <w:rsid w:val="00EB119D"/>
    <w:rsid w:val="00EB12B7"/>
    <w:rsid w:val="00EB17A3"/>
    <w:rsid w:val="00EB1935"/>
    <w:rsid w:val="00EB1CD8"/>
    <w:rsid w:val="00EB1CF8"/>
    <w:rsid w:val="00EB1FD5"/>
    <w:rsid w:val="00EB203B"/>
    <w:rsid w:val="00EB217E"/>
    <w:rsid w:val="00EB2260"/>
    <w:rsid w:val="00EB23C9"/>
    <w:rsid w:val="00EB2738"/>
    <w:rsid w:val="00EB279A"/>
    <w:rsid w:val="00EB27D5"/>
    <w:rsid w:val="00EB2BFD"/>
    <w:rsid w:val="00EB2CEE"/>
    <w:rsid w:val="00EB2D37"/>
    <w:rsid w:val="00EB2D5C"/>
    <w:rsid w:val="00EB2F3B"/>
    <w:rsid w:val="00EB2F43"/>
    <w:rsid w:val="00EB2FB3"/>
    <w:rsid w:val="00EB30F3"/>
    <w:rsid w:val="00EB3191"/>
    <w:rsid w:val="00EB31CC"/>
    <w:rsid w:val="00EB3248"/>
    <w:rsid w:val="00EB330B"/>
    <w:rsid w:val="00EB33F7"/>
    <w:rsid w:val="00EB34B2"/>
    <w:rsid w:val="00EB3A0F"/>
    <w:rsid w:val="00EB3B37"/>
    <w:rsid w:val="00EB3EA4"/>
    <w:rsid w:val="00EB4A13"/>
    <w:rsid w:val="00EB4B97"/>
    <w:rsid w:val="00EB4EE4"/>
    <w:rsid w:val="00EB5207"/>
    <w:rsid w:val="00EB5224"/>
    <w:rsid w:val="00EB534B"/>
    <w:rsid w:val="00EB5370"/>
    <w:rsid w:val="00EB556D"/>
    <w:rsid w:val="00EB56A8"/>
    <w:rsid w:val="00EB573A"/>
    <w:rsid w:val="00EB5776"/>
    <w:rsid w:val="00EB5934"/>
    <w:rsid w:val="00EB59B9"/>
    <w:rsid w:val="00EB59FA"/>
    <w:rsid w:val="00EB5A80"/>
    <w:rsid w:val="00EB5EDA"/>
    <w:rsid w:val="00EB622E"/>
    <w:rsid w:val="00EB660A"/>
    <w:rsid w:val="00EB6751"/>
    <w:rsid w:val="00EB6757"/>
    <w:rsid w:val="00EB6910"/>
    <w:rsid w:val="00EB6915"/>
    <w:rsid w:val="00EB6A38"/>
    <w:rsid w:val="00EB6ADC"/>
    <w:rsid w:val="00EB6AE7"/>
    <w:rsid w:val="00EB7280"/>
    <w:rsid w:val="00EB72F2"/>
    <w:rsid w:val="00EB77E5"/>
    <w:rsid w:val="00EB7801"/>
    <w:rsid w:val="00EB7ABD"/>
    <w:rsid w:val="00EB7B72"/>
    <w:rsid w:val="00EB7C48"/>
    <w:rsid w:val="00EB7CF0"/>
    <w:rsid w:val="00EB7EFC"/>
    <w:rsid w:val="00EC012C"/>
    <w:rsid w:val="00EC0191"/>
    <w:rsid w:val="00EC0664"/>
    <w:rsid w:val="00EC0699"/>
    <w:rsid w:val="00EC0748"/>
    <w:rsid w:val="00EC0793"/>
    <w:rsid w:val="00EC08D2"/>
    <w:rsid w:val="00EC095B"/>
    <w:rsid w:val="00EC0D0C"/>
    <w:rsid w:val="00EC0D95"/>
    <w:rsid w:val="00EC0E55"/>
    <w:rsid w:val="00EC0F5D"/>
    <w:rsid w:val="00EC0F8B"/>
    <w:rsid w:val="00EC107D"/>
    <w:rsid w:val="00EC107F"/>
    <w:rsid w:val="00EC10DD"/>
    <w:rsid w:val="00EC1211"/>
    <w:rsid w:val="00EC1260"/>
    <w:rsid w:val="00EC1488"/>
    <w:rsid w:val="00EC15FA"/>
    <w:rsid w:val="00EC1A7C"/>
    <w:rsid w:val="00EC1D52"/>
    <w:rsid w:val="00EC1D92"/>
    <w:rsid w:val="00EC1EA7"/>
    <w:rsid w:val="00EC2137"/>
    <w:rsid w:val="00EC21BF"/>
    <w:rsid w:val="00EC228F"/>
    <w:rsid w:val="00EC2485"/>
    <w:rsid w:val="00EC2505"/>
    <w:rsid w:val="00EC2570"/>
    <w:rsid w:val="00EC2988"/>
    <w:rsid w:val="00EC2B0F"/>
    <w:rsid w:val="00EC2C4A"/>
    <w:rsid w:val="00EC2DB9"/>
    <w:rsid w:val="00EC2E52"/>
    <w:rsid w:val="00EC3077"/>
    <w:rsid w:val="00EC3081"/>
    <w:rsid w:val="00EC311D"/>
    <w:rsid w:val="00EC3303"/>
    <w:rsid w:val="00EC3460"/>
    <w:rsid w:val="00EC34D2"/>
    <w:rsid w:val="00EC356D"/>
    <w:rsid w:val="00EC3591"/>
    <w:rsid w:val="00EC35C1"/>
    <w:rsid w:val="00EC35FB"/>
    <w:rsid w:val="00EC3670"/>
    <w:rsid w:val="00EC37B9"/>
    <w:rsid w:val="00EC38D4"/>
    <w:rsid w:val="00EC3A53"/>
    <w:rsid w:val="00EC3A96"/>
    <w:rsid w:val="00EC3DEA"/>
    <w:rsid w:val="00EC43F6"/>
    <w:rsid w:val="00EC4540"/>
    <w:rsid w:val="00EC45D1"/>
    <w:rsid w:val="00EC474C"/>
    <w:rsid w:val="00EC4750"/>
    <w:rsid w:val="00EC4CC5"/>
    <w:rsid w:val="00EC4CFC"/>
    <w:rsid w:val="00EC4FEE"/>
    <w:rsid w:val="00EC5246"/>
    <w:rsid w:val="00EC5262"/>
    <w:rsid w:val="00EC529B"/>
    <w:rsid w:val="00EC5305"/>
    <w:rsid w:val="00EC5456"/>
    <w:rsid w:val="00EC55AF"/>
    <w:rsid w:val="00EC5652"/>
    <w:rsid w:val="00EC5721"/>
    <w:rsid w:val="00EC583D"/>
    <w:rsid w:val="00EC5A2A"/>
    <w:rsid w:val="00EC5B6C"/>
    <w:rsid w:val="00EC5C37"/>
    <w:rsid w:val="00EC5D79"/>
    <w:rsid w:val="00EC5F66"/>
    <w:rsid w:val="00EC601D"/>
    <w:rsid w:val="00EC6101"/>
    <w:rsid w:val="00EC63B7"/>
    <w:rsid w:val="00EC6409"/>
    <w:rsid w:val="00EC64A7"/>
    <w:rsid w:val="00EC6791"/>
    <w:rsid w:val="00EC67C1"/>
    <w:rsid w:val="00EC68A4"/>
    <w:rsid w:val="00EC68F7"/>
    <w:rsid w:val="00EC6919"/>
    <w:rsid w:val="00EC6960"/>
    <w:rsid w:val="00EC6A3A"/>
    <w:rsid w:val="00EC6A92"/>
    <w:rsid w:val="00EC6B00"/>
    <w:rsid w:val="00EC6B9B"/>
    <w:rsid w:val="00EC6CD7"/>
    <w:rsid w:val="00EC6CED"/>
    <w:rsid w:val="00EC6CFA"/>
    <w:rsid w:val="00EC6EA4"/>
    <w:rsid w:val="00EC6FEE"/>
    <w:rsid w:val="00EC71AB"/>
    <w:rsid w:val="00EC73AC"/>
    <w:rsid w:val="00EC75CC"/>
    <w:rsid w:val="00EC7627"/>
    <w:rsid w:val="00EC762C"/>
    <w:rsid w:val="00EC77A9"/>
    <w:rsid w:val="00EC784F"/>
    <w:rsid w:val="00EC78AC"/>
    <w:rsid w:val="00EC7B1E"/>
    <w:rsid w:val="00EC7C97"/>
    <w:rsid w:val="00EC7D20"/>
    <w:rsid w:val="00EC7EB7"/>
    <w:rsid w:val="00ED00B2"/>
    <w:rsid w:val="00ED00D7"/>
    <w:rsid w:val="00ED00F9"/>
    <w:rsid w:val="00ED00FE"/>
    <w:rsid w:val="00ED0123"/>
    <w:rsid w:val="00ED01CA"/>
    <w:rsid w:val="00ED0313"/>
    <w:rsid w:val="00ED05CF"/>
    <w:rsid w:val="00ED05E0"/>
    <w:rsid w:val="00ED087E"/>
    <w:rsid w:val="00ED08AB"/>
    <w:rsid w:val="00ED0BBD"/>
    <w:rsid w:val="00ED0DCC"/>
    <w:rsid w:val="00ED0DFD"/>
    <w:rsid w:val="00ED0F1E"/>
    <w:rsid w:val="00ED110B"/>
    <w:rsid w:val="00ED11B1"/>
    <w:rsid w:val="00ED130C"/>
    <w:rsid w:val="00ED1909"/>
    <w:rsid w:val="00ED1C69"/>
    <w:rsid w:val="00ED1F05"/>
    <w:rsid w:val="00ED2052"/>
    <w:rsid w:val="00ED2057"/>
    <w:rsid w:val="00ED2157"/>
    <w:rsid w:val="00ED2349"/>
    <w:rsid w:val="00ED23C8"/>
    <w:rsid w:val="00ED241F"/>
    <w:rsid w:val="00ED2789"/>
    <w:rsid w:val="00ED27BB"/>
    <w:rsid w:val="00ED2882"/>
    <w:rsid w:val="00ED29DB"/>
    <w:rsid w:val="00ED2A5D"/>
    <w:rsid w:val="00ED2A8E"/>
    <w:rsid w:val="00ED2AD0"/>
    <w:rsid w:val="00ED2C75"/>
    <w:rsid w:val="00ED2E8C"/>
    <w:rsid w:val="00ED2FA1"/>
    <w:rsid w:val="00ED31B5"/>
    <w:rsid w:val="00ED33C5"/>
    <w:rsid w:val="00ED34BE"/>
    <w:rsid w:val="00ED35F5"/>
    <w:rsid w:val="00ED36FD"/>
    <w:rsid w:val="00ED3828"/>
    <w:rsid w:val="00ED3909"/>
    <w:rsid w:val="00ED3A26"/>
    <w:rsid w:val="00ED3B6E"/>
    <w:rsid w:val="00ED3BDF"/>
    <w:rsid w:val="00ED3C8A"/>
    <w:rsid w:val="00ED3FD3"/>
    <w:rsid w:val="00ED403C"/>
    <w:rsid w:val="00ED43F1"/>
    <w:rsid w:val="00ED4995"/>
    <w:rsid w:val="00ED4B28"/>
    <w:rsid w:val="00ED4C24"/>
    <w:rsid w:val="00ED4C47"/>
    <w:rsid w:val="00ED4D00"/>
    <w:rsid w:val="00ED4E17"/>
    <w:rsid w:val="00ED5317"/>
    <w:rsid w:val="00ED537C"/>
    <w:rsid w:val="00ED53F1"/>
    <w:rsid w:val="00ED544C"/>
    <w:rsid w:val="00ED54F1"/>
    <w:rsid w:val="00ED5584"/>
    <w:rsid w:val="00ED57AF"/>
    <w:rsid w:val="00ED5AE3"/>
    <w:rsid w:val="00ED5E1B"/>
    <w:rsid w:val="00ED608B"/>
    <w:rsid w:val="00ED635A"/>
    <w:rsid w:val="00ED6366"/>
    <w:rsid w:val="00ED654D"/>
    <w:rsid w:val="00ED663D"/>
    <w:rsid w:val="00ED664A"/>
    <w:rsid w:val="00ED668F"/>
    <w:rsid w:val="00ED6729"/>
    <w:rsid w:val="00ED6793"/>
    <w:rsid w:val="00ED68F2"/>
    <w:rsid w:val="00ED6B03"/>
    <w:rsid w:val="00ED6C30"/>
    <w:rsid w:val="00ED6DE0"/>
    <w:rsid w:val="00ED6F4A"/>
    <w:rsid w:val="00ED7028"/>
    <w:rsid w:val="00ED7085"/>
    <w:rsid w:val="00ED72EE"/>
    <w:rsid w:val="00ED7583"/>
    <w:rsid w:val="00ED75C5"/>
    <w:rsid w:val="00ED7614"/>
    <w:rsid w:val="00ED7723"/>
    <w:rsid w:val="00ED77E2"/>
    <w:rsid w:val="00ED7B25"/>
    <w:rsid w:val="00ED7D1F"/>
    <w:rsid w:val="00ED7D33"/>
    <w:rsid w:val="00ED7EF1"/>
    <w:rsid w:val="00ED7F0E"/>
    <w:rsid w:val="00EE01D6"/>
    <w:rsid w:val="00EE02B0"/>
    <w:rsid w:val="00EE052F"/>
    <w:rsid w:val="00EE06C2"/>
    <w:rsid w:val="00EE0856"/>
    <w:rsid w:val="00EE08D8"/>
    <w:rsid w:val="00EE0932"/>
    <w:rsid w:val="00EE0A36"/>
    <w:rsid w:val="00EE0ADB"/>
    <w:rsid w:val="00EE0BF3"/>
    <w:rsid w:val="00EE0C54"/>
    <w:rsid w:val="00EE0D00"/>
    <w:rsid w:val="00EE0DC1"/>
    <w:rsid w:val="00EE0DF7"/>
    <w:rsid w:val="00EE0E1E"/>
    <w:rsid w:val="00EE125E"/>
    <w:rsid w:val="00EE134E"/>
    <w:rsid w:val="00EE13D0"/>
    <w:rsid w:val="00EE1409"/>
    <w:rsid w:val="00EE142C"/>
    <w:rsid w:val="00EE1603"/>
    <w:rsid w:val="00EE18DD"/>
    <w:rsid w:val="00EE1A10"/>
    <w:rsid w:val="00EE1C04"/>
    <w:rsid w:val="00EE1D21"/>
    <w:rsid w:val="00EE1D8C"/>
    <w:rsid w:val="00EE1F7D"/>
    <w:rsid w:val="00EE20CB"/>
    <w:rsid w:val="00EE2593"/>
    <w:rsid w:val="00EE25C9"/>
    <w:rsid w:val="00EE27D1"/>
    <w:rsid w:val="00EE2983"/>
    <w:rsid w:val="00EE2A52"/>
    <w:rsid w:val="00EE2A72"/>
    <w:rsid w:val="00EE2B68"/>
    <w:rsid w:val="00EE2C31"/>
    <w:rsid w:val="00EE2CEA"/>
    <w:rsid w:val="00EE31A6"/>
    <w:rsid w:val="00EE328A"/>
    <w:rsid w:val="00EE33BD"/>
    <w:rsid w:val="00EE3439"/>
    <w:rsid w:val="00EE349A"/>
    <w:rsid w:val="00EE3525"/>
    <w:rsid w:val="00EE3645"/>
    <w:rsid w:val="00EE3649"/>
    <w:rsid w:val="00EE3804"/>
    <w:rsid w:val="00EE383D"/>
    <w:rsid w:val="00EE39C9"/>
    <w:rsid w:val="00EE3A53"/>
    <w:rsid w:val="00EE3A77"/>
    <w:rsid w:val="00EE3B5B"/>
    <w:rsid w:val="00EE3C6B"/>
    <w:rsid w:val="00EE3D91"/>
    <w:rsid w:val="00EE3E95"/>
    <w:rsid w:val="00EE410C"/>
    <w:rsid w:val="00EE431F"/>
    <w:rsid w:val="00EE4471"/>
    <w:rsid w:val="00EE451D"/>
    <w:rsid w:val="00EE455C"/>
    <w:rsid w:val="00EE4AEC"/>
    <w:rsid w:val="00EE4CAC"/>
    <w:rsid w:val="00EE4D84"/>
    <w:rsid w:val="00EE5116"/>
    <w:rsid w:val="00EE51F5"/>
    <w:rsid w:val="00EE5458"/>
    <w:rsid w:val="00EE552A"/>
    <w:rsid w:val="00EE570B"/>
    <w:rsid w:val="00EE5723"/>
    <w:rsid w:val="00EE5A65"/>
    <w:rsid w:val="00EE5B7E"/>
    <w:rsid w:val="00EE5BF7"/>
    <w:rsid w:val="00EE5C23"/>
    <w:rsid w:val="00EE5EEC"/>
    <w:rsid w:val="00EE5FA7"/>
    <w:rsid w:val="00EE6020"/>
    <w:rsid w:val="00EE6035"/>
    <w:rsid w:val="00EE6037"/>
    <w:rsid w:val="00EE61D7"/>
    <w:rsid w:val="00EE62E4"/>
    <w:rsid w:val="00EE6406"/>
    <w:rsid w:val="00EE6755"/>
    <w:rsid w:val="00EE6D74"/>
    <w:rsid w:val="00EE6E04"/>
    <w:rsid w:val="00EE70BE"/>
    <w:rsid w:val="00EE71FE"/>
    <w:rsid w:val="00EE723C"/>
    <w:rsid w:val="00EE7635"/>
    <w:rsid w:val="00EE766E"/>
    <w:rsid w:val="00EE78EE"/>
    <w:rsid w:val="00EE7902"/>
    <w:rsid w:val="00EE7985"/>
    <w:rsid w:val="00EE7AB0"/>
    <w:rsid w:val="00EE7BC8"/>
    <w:rsid w:val="00EE7CBB"/>
    <w:rsid w:val="00EF01F2"/>
    <w:rsid w:val="00EF0280"/>
    <w:rsid w:val="00EF03EF"/>
    <w:rsid w:val="00EF05DC"/>
    <w:rsid w:val="00EF069A"/>
    <w:rsid w:val="00EF0B19"/>
    <w:rsid w:val="00EF0CCC"/>
    <w:rsid w:val="00EF0E98"/>
    <w:rsid w:val="00EF0F3B"/>
    <w:rsid w:val="00EF0F99"/>
    <w:rsid w:val="00EF10F2"/>
    <w:rsid w:val="00EF1270"/>
    <w:rsid w:val="00EF1368"/>
    <w:rsid w:val="00EF138A"/>
    <w:rsid w:val="00EF17E1"/>
    <w:rsid w:val="00EF1850"/>
    <w:rsid w:val="00EF186E"/>
    <w:rsid w:val="00EF18C7"/>
    <w:rsid w:val="00EF1E2C"/>
    <w:rsid w:val="00EF1EB0"/>
    <w:rsid w:val="00EF206C"/>
    <w:rsid w:val="00EF2113"/>
    <w:rsid w:val="00EF2424"/>
    <w:rsid w:val="00EF242C"/>
    <w:rsid w:val="00EF263E"/>
    <w:rsid w:val="00EF26C5"/>
    <w:rsid w:val="00EF2846"/>
    <w:rsid w:val="00EF28B2"/>
    <w:rsid w:val="00EF2A3F"/>
    <w:rsid w:val="00EF2B46"/>
    <w:rsid w:val="00EF2EA3"/>
    <w:rsid w:val="00EF2EB1"/>
    <w:rsid w:val="00EF2F4D"/>
    <w:rsid w:val="00EF2FDA"/>
    <w:rsid w:val="00EF30DD"/>
    <w:rsid w:val="00EF3347"/>
    <w:rsid w:val="00EF38C8"/>
    <w:rsid w:val="00EF38FF"/>
    <w:rsid w:val="00EF39AB"/>
    <w:rsid w:val="00EF3DEC"/>
    <w:rsid w:val="00EF3ECA"/>
    <w:rsid w:val="00EF3EE3"/>
    <w:rsid w:val="00EF3FD0"/>
    <w:rsid w:val="00EF4121"/>
    <w:rsid w:val="00EF42D8"/>
    <w:rsid w:val="00EF4589"/>
    <w:rsid w:val="00EF46CC"/>
    <w:rsid w:val="00EF4710"/>
    <w:rsid w:val="00EF4777"/>
    <w:rsid w:val="00EF49D8"/>
    <w:rsid w:val="00EF49EA"/>
    <w:rsid w:val="00EF4A1E"/>
    <w:rsid w:val="00EF4A4D"/>
    <w:rsid w:val="00EF4A92"/>
    <w:rsid w:val="00EF4C71"/>
    <w:rsid w:val="00EF4C81"/>
    <w:rsid w:val="00EF4CAB"/>
    <w:rsid w:val="00EF4D7C"/>
    <w:rsid w:val="00EF4DC4"/>
    <w:rsid w:val="00EF4E8D"/>
    <w:rsid w:val="00EF4F95"/>
    <w:rsid w:val="00EF527F"/>
    <w:rsid w:val="00EF5353"/>
    <w:rsid w:val="00EF53E0"/>
    <w:rsid w:val="00EF5486"/>
    <w:rsid w:val="00EF551E"/>
    <w:rsid w:val="00EF55D7"/>
    <w:rsid w:val="00EF5744"/>
    <w:rsid w:val="00EF57F0"/>
    <w:rsid w:val="00EF57F2"/>
    <w:rsid w:val="00EF5AC1"/>
    <w:rsid w:val="00EF5CB4"/>
    <w:rsid w:val="00EF61CF"/>
    <w:rsid w:val="00EF62A7"/>
    <w:rsid w:val="00EF6559"/>
    <w:rsid w:val="00EF6709"/>
    <w:rsid w:val="00EF6C03"/>
    <w:rsid w:val="00EF6C57"/>
    <w:rsid w:val="00EF6CCB"/>
    <w:rsid w:val="00EF6E85"/>
    <w:rsid w:val="00EF6FCB"/>
    <w:rsid w:val="00EF713B"/>
    <w:rsid w:val="00EF71F6"/>
    <w:rsid w:val="00EF721C"/>
    <w:rsid w:val="00EF76A0"/>
    <w:rsid w:val="00EF76E8"/>
    <w:rsid w:val="00EF7B63"/>
    <w:rsid w:val="00F001F8"/>
    <w:rsid w:val="00F0035F"/>
    <w:rsid w:val="00F00606"/>
    <w:rsid w:val="00F00A80"/>
    <w:rsid w:val="00F00C8A"/>
    <w:rsid w:val="00F00E9F"/>
    <w:rsid w:val="00F00F24"/>
    <w:rsid w:val="00F0112B"/>
    <w:rsid w:val="00F01170"/>
    <w:rsid w:val="00F018E6"/>
    <w:rsid w:val="00F018FA"/>
    <w:rsid w:val="00F019D0"/>
    <w:rsid w:val="00F01E87"/>
    <w:rsid w:val="00F01EB7"/>
    <w:rsid w:val="00F0201B"/>
    <w:rsid w:val="00F02126"/>
    <w:rsid w:val="00F0224F"/>
    <w:rsid w:val="00F023CA"/>
    <w:rsid w:val="00F0254D"/>
    <w:rsid w:val="00F0259A"/>
    <w:rsid w:val="00F02619"/>
    <w:rsid w:val="00F02686"/>
    <w:rsid w:val="00F0285D"/>
    <w:rsid w:val="00F02A64"/>
    <w:rsid w:val="00F02AF2"/>
    <w:rsid w:val="00F02B65"/>
    <w:rsid w:val="00F02CEE"/>
    <w:rsid w:val="00F02EE6"/>
    <w:rsid w:val="00F02F36"/>
    <w:rsid w:val="00F030C9"/>
    <w:rsid w:val="00F030ED"/>
    <w:rsid w:val="00F03157"/>
    <w:rsid w:val="00F03171"/>
    <w:rsid w:val="00F031E2"/>
    <w:rsid w:val="00F03258"/>
    <w:rsid w:val="00F032F5"/>
    <w:rsid w:val="00F0345C"/>
    <w:rsid w:val="00F03515"/>
    <w:rsid w:val="00F035C0"/>
    <w:rsid w:val="00F03624"/>
    <w:rsid w:val="00F03CBA"/>
    <w:rsid w:val="00F03E07"/>
    <w:rsid w:val="00F03E1C"/>
    <w:rsid w:val="00F03EA0"/>
    <w:rsid w:val="00F042D8"/>
    <w:rsid w:val="00F0444F"/>
    <w:rsid w:val="00F04537"/>
    <w:rsid w:val="00F04543"/>
    <w:rsid w:val="00F0455F"/>
    <w:rsid w:val="00F04814"/>
    <w:rsid w:val="00F048D4"/>
    <w:rsid w:val="00F049D8"/>
    <w:rsid w:val="00F04AF8"/>
    <w:rsid w:val="00F04F5B"/>
    <w:rsid w:val="00F052A9"/>
    <w:rsid w:val="00F0546F"/>
    <w:rsid w:val="00F0556A"/>
    <w:rsid w:val="00F055C9"/>
    <w:rsid w:val="00F059E4"/>
    <w:rsid w:val="00F05A8D"/>
    <w:rsid w:val="00F05D1C"/>
    <w:rsid w:val="00F05D3C"/>
    <w:rsid w:val="00F05D53"/>
    <w:rsid w:val="00F05F44"/>
    <w:rsid w:val="00F05FDB"/>
    <w:rsid w:val="00F0606C"/>
    <w:rsid w:val="00F06302"/>
    <w:rsid w:val="00F064AC"/>
    <w:rsid w:val="00F067AF"/>
    <w:rsid w:val="00F06851"/>
    <w:rsid w:val="00F068C7"/>
    <w:rsid w:val="00F06BFB"/>
    <w:rsid w:val="00F06F03"/>
    <w:rsid w:val="00F073FE"/>
    <w:rsid w:val="00F0741E"/>
    <w:rsid w:val="00F076A0"/>
    <w:rsid w:val="00F076F6"/>
    <w:rsid w:val="00F07776"/>
    <w:rsid w:val="00F078B4"/>
    <w:rsid w:val="00F079D1"/>
    <w:rsid w:val="00F07DCD"/>
    <w:rsid w:val="00F07E4C"/>
    <w:rsid w:val="00F1026D"/>
    <w:rsid w:val="00F102BD"/>
    <w:rsid w:val="00F10431"/>
    <w:rsid w:val="00F104F0"/>
    <w:rsid w:val="00F1062E"/>
    <w:rsid w:val="00F10735"/>
    <w:rsid w:val="00F108ED"/>
    <w:rsid w:val="00F10AC5"/>
    <w:rsid w:val="00F10BC7"/>
    <w:rsid w:val="00F10ED6"/>
    <w:rsid w:val="00F11205"/>
    <w:rsid w:val="00F11601"/>
    <w:rsid w:val="00F1175F"/>
    <w:rsid w:val="00F11AF1"/>
    <w:rsid w:val="00F11D47"/>
    <w:rsid w:val="00F11F5D"/>
    <w:rsid w:val="00F1222C"/>
    <w:rsid w:val="00F122D1"/>
    <w:rsid w:val="00F122DB"/>
    <w:rsid w:val="00F1230E"/>
    <w:rsid w:val="00F1244B"/>
    <w:rsid w:val="00F124F6"/>
    <w:rsid w:val="00F12A69"/>
    <w:rsid w:val="00F12AA7"/>
    <w:rsid w:val="00F12B10"/>
    <w:rsid w:val="00F12FCA"/>
    <w:rsid w:val="00F13242"/>
    <w:rsid w:val="00F132BF"/>
    <w:rsid w:val="00F1346C"/>
    <w:rsid w:val="00F134E5"/>
    <w:rsid w:val="00F1368E"/>
    <w:rsid w:val="00F13803"/>
    <w:rsid w:val="00F138E7"/>
    <w:rsid w:val="00F13906"/>
    <w:rsid w:val="00F13BD8"/>
    <w:rsid w:val="00F13BFB"/>
    <w:rsid w:val="00F13C74"/>
    <w:rsid w:val="00F13D0E"/>
    <w:rsid w:val="00F13E35"/>
    <w:rsid w:val="00F13E85"/>
    <w:rsid w:val="00F1424A"/>
    <w:rsid w:val="00F1461A"/>
    <w:rsid w:val="00F146BD"/>
    <w:rsid w:val="00F146CD"/>
    <w:rsid w:val="00F14704"/>
    <w:rsid w:val="00F1484A"/>
    <w:rsid w:val="00F14904"/>
    <w:rsid w:val="00F14975"/>
    <w:rsid w:val="00F14992"/>
    <w:rsid w:val="00F14999"/>
    <w:rsid w:val="00F14A1E"/>
    <w:rsid w:val="00F14A50"/>
    <w:rsid w:val="00F14A71"/>
    <w:rsid w:val="00F14A9E"/>
    <w:rsid w:val="00F14E42"/>
    <w:rsid w:val="00F14E5F"/>
    <w:rsid w:val="00F1501C"/>
    <w:rsid w:val="00F150D3"/>
    <w:rsid w:val="00F150D8"/>
    <w:rsid w:val="00F1543B"/>
    <w:rsid w:val="00F154D0"/>
    <w:rsid w:val="00F15529"/>
    <w:rsid w:val="00F1558D"/>
    <w:rsid w:val="00F157F6"/>
    <w:rsid w:val="00F1583A"/>
    <w:rsid w:val="00F159E4"/>
    <w:rsid w:val="00F15A2B"/>
    <w:rsid w:val="00F15CB0"/>
    <w:rsid w:val="00F15E06"/>
    <w:rsid w:val="00F15E37"/>
    <w:rsid w:val="00F15FF5"/>
    <w:rsid w:val="00F16017"/>
    <w:rsid w:val="00F16052"/>
    <w:rsid w:val="00F1610E"/>
    <w:rsid w:val="00F1613D"/>
    <w:rsid w:val="00F1615C"/>
    <w:rsid w:val="00F161E8"/>
    <w:rsid w:val="00F16249"/>
    <w:rsid w:val="00F1654D"/>
    <w:rsid w:val="00F166FA"/>
    <w:rsid w:val="00F168C1"/>
    <w:rsid w:val="00F16982"/>
    <w:rsid w:val="00F16A6C"/>
    <w:rsid w:val="00F16A89"/>
    <w:rsid w:val="00F16C6C"/>
    <w:rsid w:val="00F16D5B"/>
    <w:rsid w:val="00F16F93"/>
    <w:rsid w:val="00F1719F"/>
    <w:rsid w:val="00F17414"/>
    <w:rsid w:val="00F1756B"/>
    <w:rsid w:val="00F17597"/>
    <w:rsid w:val="00F1759B"/>
    <w:rsid w:val="00F176F0"/>
    <w:rsid w:val="00F17A16"/>
    <w:rsid w:val="00F17DD5"/>
    <w:rsid w:val="00F17FBF"/>
    <w:rsid w:val="00F1C765"/>
    <w:rsid w:val="00F201D8"/>
    <w:rsid w:val="00F202D5"/>
    <w:rsid w:val="00F20468"/>
    <w:rsid w:val="00F2050A"/>
    <w:rsid w:val="00F20543"/>
    <w:rsid w:val="00F20725"/>
    <w:rsid w:val="00F20763"/>
    <w:rsid w:val="00F20769"/>
    <w:rsid w:val="00F208BA"/>
    <w:rsid w:val="00F208E1"/>
    <w:rsid w:val="00F209DA"/>
    <w:rsid w:val="00F20A05"/>
    <w:rsid w:val="00F20C10"/>
    <w:rsid w:val="00F20D52"/>
    <w:rsid w:val="00F20D5B"/>
    <w:rsid w:val="00F20EFD"/>
    <w:rsid w:val="00F21395"/>
    <w:rsid w:val="00F214C1"/>
    <w:rsid w:val="00F2150B"/>
    <w:rsid w:val="00F216C3"/>
    <w:rsid w:val="00F21731"/>
    <w:rsid w:val="00F21CA2"/>
    <w:rsid w:val="00F21CE2"/>
    <w:rsid w:val="00F21CF1"/>
    <w:rsid w:val="00F21D32"/>
    <w:rsid w:val="00F21DB6"/>
    <w:rsid w:val="00F21DF5"/>
    <w:rsid w:val="00F21F57"/>
    <w:rsid w:val="00F223C3"/>
    <w:rsid w:val="00F223CD"/>
    <w:rsid w:val="00F2243C"/>
    <w:rsid w:val="00F22496"/>
    <w:rsid w:val="00F22801"/>
    <w:rsid w:val="00F2296B"/>
    <w:rsid w:val="00F22BE3"/>
    <w:rsid w:val="00F22BEF"/>
    <w:rsid w:val="00F22E40"/>
    <w:rsid w:val="00F232C4"/>
    <w:rsid w:val="00F23300"/>
    <w:rsid w:val="00F23708"/>
    <w:rsid w:val="00F2380B"/>
    <w:rsid w:val="00F239FF"/>
    <w:rsid w:val="00F23AAD"/>
    <w:rsid w:val="00F23BA3"/>
    <w:rsid w:val="00F23C25"/>
    <w:rsid w:val="00F23DB4"/>
    <w:rsid w:val="00F23F79"/>
    <w:rsid w:val="00F23FE4"/>
    <w:rsid w:val="00F23FFA"/>
    <w:rsid w:val="00F240AB"/>
    <w:rsid w:val="00F240EA"/>
    <w:rsid w:val="00F242D1"/>
    <w:rsid w:val="00F24620"/>
    <w:rsid w:val="00F24665"/>
    <w:rsid w:val="00F24701"/>
    <w:rsid w:val="00F24711"/>
    <w:rsid w:val="00F2483A"/>
    <w:rsid w:val="00F249E8"/>
    <w:rsid w:val="00F249EF"/>
    <w:rsid w:val="00F24B04"/>
    <w:rsid w:val="00F24B23"/>
    <w:rsid w:val="00F24C75"/>
    <w:rsid w:val="00F24DA4"/>
    <w:rsid w:val="00F24F58"/>
    <w:rsid w:val="00F2519A"/>
    <w:rsid w:val="00F25581"/>
    <w:rsid w:val="00F255D7"/>
    <w:rsid w:val="00F25937"/>
    <w:rsid w:val="00F25DD8"/>
    <w:rsid w:val="00F25EF4"/>
    <w:rsid w:val="00F26052"/>
    <w:rsid w:val="00F2637B"/>
    <w:rsid w:val="00F263DF"/>
    <w:rsid w:val="00F267F4"/>
    <w:rsid w:val="00F26876"/>
    <w:rsid w:val="00F268E4"/>
    <w:rsid w:val="00F26A88"/>
    <w:rsid w:val="00F26A89"/>
    <w:rsid w:val="00F26BD2"/>
    <w:rsid w:val="00F26C50"/>
    <w:rsid w:val="00F26CEA"/>
    <w:rsid w:val="00F26DB7"/>
    <w:rsid w:val="00F26E38"/>
    <w:rsid w:val="00F26F8A"/>
    <w:rsid w:val="00F26FDA"/>
    <w:rsid w:val="00F27271"/>
    <w:rsid w:val="00F272A2"/>
    <w:rsid w:val="00F27301"/>
    <w:rsid w:val="00F2730C"/>
    <w:rsid w:val="00F27490"/>
    <w:rsid w:val="00F2761E"/>
    <w:rsid w:val="00F276D4"/>
    <w:rsid w:val="00F276D5"/>
    <w:rsid w:val="00F277F7"/>
    <w:rsid w:val="00F27964"/>
    <w:rsid w:val="00F279DC"/>
    <w:rsid w:val="00F27B43"/>
    <w:rsid w:val="00F27C89"/>
    <w:rsid w:val="00F27E2E"/>
    <w:rsid w:val="00F27EDF"/>
    <w:rsid w:val="00F304E2"/>
    <w:rsid w:val="00F30752"/>
    <w:rsid w:val="00F30A9B"/>
    <w:rsid w:val="00F30AE0"/>
    <w:rsid w:val="00F30B6B"/>
    <w:rsid w:val="00F30B96"/>
    <w:rsid w:val="00F30C58"/>
    <w:rsid w:val="00F30CF5"/>
    <w:rsid w:val="00F30D01"/>
    <w:rsid w:val="00F30DEC"/>
    <w:rsid w:val="00F30E80"/>
    <w:rsid w:val="00F30E9A"/>
    <w:rsid w:val="00F31097"/>
    <w:rsid w:val="00F3150A"/>
    <w:rsid w:val="00F31991"/>
    <w:rsid w:val="00F31ADE"/>
    <w:rsid w:val="00F31E93"/>
    <w:rsid w:val="00F31F5D"/>
    <w:rsid w:val="00F32126"/>
    <w:rsid w:val="00F32234"/>
    <w:rsid w:val="00F32447"/>
    <w:rsid w:val="00F32495"/>
    <w:rsid w:val="00F32A36"/>
    <w:rsid w:val="00F32DBD"/>
    <w:rsid w:val="00F32DC9"/>
    <w:rsid w:val="00F32F3E"/>
    <w:rsid w:val="00F334D8"/>
    <w:rsid w:val="00F33759"/>
    <w:rsid w:val="00F337EF"/>
    <w:rsid w:val="00F33FA2"/>
    <w:rsid w:val="00F3403C"/>
    <w:rsid w:val="00F3403D"/>
    <w:rsid w:val="00F342EE"/>
    <w:rsid w:val="00F343E5"/>
    <w:rsid w:val="00F34412"/>
    <w:rsid w:val="00F349CA"/>
    <w:rsid w:val="00F34F2D"/>
    <w:rsid w:val="00F352E7"/>
    <w:rsid w:val="00F3532E"/>
    <w:rsid w:val="00F3596B"/>
    <w:rsid w:val="00F35AAC"/>
    <w:rsid w:val="00F35E07"/>
    <w:rsid w:val="00F35FEE"/>
    <w:rsid w:val="00F36104"/>
    <w:rsid w:val="00F362CC"/>
    <w:rsid w:val="00F363F5"/>
    <w:rsid w:val="00F3650A"/>
    <w:rsid w:val="00F365FD"/>
    <w:rsid w:val="00F36D05"/>
    <w:rsid w:val="00F36D1D"/>
    <w:rsid w:val="00F36D95"/>
    <w:rsid w:val="00F36EC0"/>
    <w:rsid w:val="00F37075"/>
    <w:rsid w:val="00F371C8"/>
    <w:rsid w:val="00F374D1"/>
    <w:rsid w:val="00F3753F"/>
    <w:rsid w:val="00F3754F"/>
    <w:rsid w:val="00F37768"/>
    <w:rsid w:val="00F377DE"/>
    <w:rsid w:val="00F378E4"/>
    <w:rsid w:val="00F37B88"/>
    <w:rsid w:val="00F37B8C"/>
    <w:rsid w:val="00F37DE6"/>
    <w:rsid w:val="00F37E5E"/>
    <w:rsid w:val="00F37F11"/>
    <w:rsid w:val="00F37FB8"/>
    <w:rsid w:val="00F40099"/>
    <w:rsid w:val="00F4012B"/>
    <w:rsid w:val="00F402CB"/>
    <w:rsid w:val="00F40387"/>
    <w:rsid w:val="00F403E8"/>
    <w:rsid w:val="00F406E5"/>
    <w:rsid w:val="00F4092C"/>
    <w:rsid w:val="00F4096B"/>
    <w:rsid w:val="00F40A15"/>
    <w:rsid w:val="00F40A48"/>
    <w:rsid w:val="00F40B00"/>
    <w:rsid w:val="00F40B09"/>
    <w:rsid w:val="00F40D88"/>
    <w:rsid w:val="00F410C2"/>
    <w:rsid w:val="00F41197"/>
    <w:rsid w:val="00F4120F"/>
    <w:rsid w:val="00F41283"/>
    <w:rsid w:val="00F4132A"/>
    <w:rsid w:val="00F41471"/>
    <w:rsid w:val="00F416A2"/>
    <w:rsid w:val="00F41744"/>
    <w:rsid w:val="00F4194A"/>
    <w:rsid w:val="00F41987"/>
    <w:rsid w:val="00F41A29"/>
    <w:rsid w:val="00F41D22"/>
    <w:rsid w:val="00F41DE1"/>
    <w:rsid w:val="00F41E00"/>
    <w:rsid w:val="00F41E01"/>
    <w:rsid w:val="00F41E43"/>
    <w:rsid w:val="00F42014"/>
    <w:rsid w:val="00F42243"/>
    <w:rsid w:val="00F423BC"/>
    <w:rsid w:val="00F4249D"/>
    <w:rsid w:val="00F42613"/>
    <w:rsid w:val="00F429CA"/>
    <w:rsid w:val="00F42A5D"/>
    <w:rsid w:val="00F42B25"/>
    <w:rsid w:val="00F42B87"/>
    <w:rsid w:val="00F42C5C"/>
    <w:rsid w:val="00F42CEB"/>
    <w:rsid w:val="00F42E05"/>
    <w:rsid w:val="00F42E0F"/>
    <w:rsid w:val="00F42E66"/>
    <w:rsid w:val="00F42F62"/>
    <w:rsid w:val="00F42FBD"/>
    <w:rsid w:val="00F43191"/>
    <w:rsid w:val="00F43280"/>
    <w:rsid w:val="00F432E6"/>
    <w:rsid w:val="00F43324"/>
    <w:rsid w:val="00F43361"/>
    <w:rsid w:val="00F43419"/>
    <w:rsid w:val="00F4343C"/>
    <w:rsid w:val="00F4348C"/>
    <w:rsid w:val="00F43500"/>
    <w:rsid w:val="00F43505"/>
    <w:rsid w:val="00F4351F"/>
    <w:rsid w:val="00F436C6"/>
    <w:rsid w:val="00F43CAA"/>
    <w:rsid w:val="00F43DCA"/>
    <w:rsid w:val="00F43E0D"/>
    <w:rsid w:val="00F440CE"/>
    <w:rsid w:val="00F4445C"/>
    <w:rsid w:val="00F444AD"/>
    <w:rsid w:val="00F446E4"/>
    <w:rsid w:val="00F4472C"/>
    <w:rsid w:val="00F4478A"/>
    <w:rsid w:val="00F44836"/>
    <w:rsid w:val="00F44D70"/>
    <w:rsid w:val="00F44DBB"/>
    <w:rsid w:val="00F44E30"/>
    <w:rsid w:val="00F44EB7"/>
    <w:rsid w:val="00F45068"/>
    <w:rsid w:val="00F452F3"/>
    <w:rsid w:val="00F453CD"/>
    <w:rsid w:val="00F45ADB"/>
    <w:rsid w:val="00F45C8C"/>
    <w:rsid w:val="00F45D87"/>
    <w:rsid w:val="00F4604F"/>
    <w:rsid w:val="00F46212"/>
    <w:rsid w:val="00F4624B"/>
    <w:rsid w:val="00F46347"/>
    <w:rsid w:val="00F46556"/>
    <w:rsid w:val="00F46602"/>
    <w:rsid w:val="00F466AE"/>
    <w:rsid w:val="00F466BE"/>
    <w:rsid w:val="00F467A4"/>
    <w:rsid w:val="00F46843"/>
    <w:rsid w:val="00F468FD"/>
    <w:rsid w:val="00F46949"/>
    <w:rsid w:val="00F469F3"/>
    <w:rsid w:val="00F46A7D"/>
    <w:rsid w:val="00F46BEE"/>
    <w:rsid w:val="00F46D0F"/>
    <w:rsid w:val="00F46DA7"/>
    <w:rsid w:val="00F46FD7"/>
    <w:rsid w:val="00F471FD"/>
    <w:rsid w:val="00F4723B"/>
    <w:rsid w:val="00F47329"/>
    <w:rsid w:val="00F474CD"/>
    <w:rsid w:val="00F47838"/>
    <w:rsid w:val="00F47A5D"/>
    <w:rsid w:val="00F47A7B"/>
    <w:rsid w:val="00F47C49"/>
    <w:rsid w:val="00F47CEB"/>
    <w:rsid w:val="00F47EEB"/>
    <w:rsid w:val="00F501AB"/>
    <w:rsid w:val="00F5049C"/>
    <w:rsid w:val="00F50663"/>
    <w:rsid w:val="00F50928"/>
    <w:rsid w:val="00F5096B"/>
    <w:rsid w:val="00F509D1"/>
    <w:rsid w:val="00F50A10"/>
    <w:rsid w:val="00F50B1A"/>
    <w:rsid w:val="00F50D99"/>
    <w:rsid w:val="00F50DAF"/>
    <w:rsid w:val="00F50E12"/>
    <w:rsid w:val="00F50E1A"/>
    <w:rsid w:val="00F50E30"/>
    <w:rsid w:val="00F50E76"/>
    <w:rsid w:val="00F50E8B"/>
    <w:rsid w:val="00F51208"/>
    <w:rsid w:val="00F51525"/>
    <w:rsid w:val="00F51551"/>
    <w:rsid w:val="00F5187A"/>
    <w:rsid w:val="00F51906"/>
    <w:rsid w:val="00F51B30"/>
    <w:rsid w:val="00F51E7E"/>
    <w:rsid w:val="00F52071"/>
    <w:rsid w:val="00F521B1"/>
    <w:rsid w:val="00F5244D"/>
    <w:rsid w:val="00F524C7"/>
    <w:rsid w:val="00F52682"/>
    <w:rsid w:val="00F52719"/>
    <w:rsid w:val="00F52770"/>
    <w:rsid w:val="00F52A21"/>
    <w:rsid w:val="00F52A35"/>
    <w:rsid w:val="00F52AA3"/>
    <w:rsid w:val="00F52AB4"/>
    <w:rsid w:val="00F52C56"/>
    <w:rsid w:val="00F53015"/>
    <w:rsid w:val="00F53051"/>
    <w:rsid w:val="00F533BA"/>
    <w:rsid w:val="00F5349F"/>
    <w:rsid w:val="00F53553"/>
    <w:rsid w:val="00F53758"/>
    <w:rsid w:val="00F5387D"/>
    <w:rsid w:val="00F538F4"/>
    <w:rsid w:val="00F53E21"/>
    <w:rsid w:val="00F53E48"/>
    <w:rsid w:val="00F53E5B"/>
    <w:rsid w:val="00F53F07"/>
    <w:rsid w:val="00F541B3"/>
    <w:rsid w:val="00F541D0"/>
    <w:rsid w:val="00F542B4"/>
    <w:rsid w:val="00F545C8"/>
    <w:rsid w:val="00F548C7"/>
    <w:rsid w:val="00F54925"/>
    <w:rsid w:val="00F549F2"/>
    <w:rsid w:val="00F54A15"/>
    <w:rsid w:val="00F54B1B"/>
    <w:rsid w:val="00F54B65"/>
    <w:rsid w:val="00F54E1D"/>
    <w:rsid w:val="00F551A2"/>
    <w:rsid w:val="00F5530F"/>
    <w:rsid w:val="00F553F9"/>
    <w:rsid w:val="00F5549F"/>
    <w:rsid w:val="00F55600"/>
    <w:rsid w:val="00F557E1"/>
    <w:rsid w:val="00F557E9"/>
    <w:rsid w:val="00F55B6D"/>
    <w:rsid w:val="00F55D5E"/>
    <w:rsid w:val="00F55DB7"/>
    <w:rsid w:val="00F55E43"/>
    <w:rsid w:val="00F55F03"/>
    <w:rsid w:val="00F55FBC"/>
    <w:rsid w:val="00F5623E"/>
    <w:rsid w:val="00F56270"/>
    <w:rsid w:val="00F562CB"/>
    <w:rsid w:val="00F56668"/>
    <w:rsid w:val="00F566A8"/>
    <w:rsid w:val="00F56827"/>
    <w:rsid w:val="00F56992"/>
    <w:rsid w:val="00F56B28"/>
    <w:rsid w:val="00F56BF0"/>
    <w:rsid w:val="00F56C40"/>
    <w:rsid w:val="00F56C89"/>
    <w:rsid w:val="00F56D26"/>
    <w:rsid w:val="00F56DB8"/>
    <w:rsid w:val="00F56FD7"/>
    <w:rsid w:val="00F57079"/>
    <w:rsid w:val="00F5707A"/>
    <w:rsid w:val="00F57173"/>
    <w:rsid w:val="00F571CC"/>
    <w:rsid w:val="00F572FE"/>
    <w:rsid w:val="00F57A6F"/>
    <w:rsid w:val="00F57A8B"/>
    <w:rsid w:val="00F57ED8"/>
    <w:rsid w:val="00F60071"/>
    <w:rsid w:val="00F60257"/>
    <w:rsid w:val="00F60299"/>
    <w:rsid w:val="00F602A5"/>
    <w:rsid w:val="00F60586"/>
    <w:rsid w:val="00F60782"/>
    <w:rsid w:val="00F60BB2"/>
    <w:rsid w:val="00F60D61"/>
    <w:rsid w:val="00F60DE1"/>
    <w:rsid w:val="00F6125A"/>
    <w:rsid w:val="00F61480"/>
    <w:rsid w:val="00F61800"/>
    <w:rsid w:val="00F61856"/>
    <w:rsid w:val="00F61958"/>
    <w:rsid w:val="00F61ACE"/>
    <w:rsid w:val="00F61AE4"/>
    <w:rsid w:val="00F61B65"/>
    <w:rsid w:val="00F61F4D"/>
    <w:rsid w:val="00F61FB9"/>
    <w:rsid w:val="00F62109"/>
    <w:rsid w:val="00F625FF"/>
    <w:rsid w:val="00F628B8"/>
    <w:rsid w:val="00F62967"/>
    <w:rsid w:val="00F629AF"/>
    <w:rsid w:val="00F62A33"/>
    <w:rsid w:val="00F62B09"/>
    <w:rsid w:val="00F62C7D"/>
    <w:rsid w:val="00F62E56"/>
    <w:rsid w:val="00F62EC6"/>
    <w:rsid w:val="00F63233"/>
    <w:rsid w:val="00F632D2"/>
    <w:rsid w:val="00F633CD"/>
    <w:rsid w:val="00F6356C"/>
    <w:rsid w:val="00F635FA"/>
    <w:rsid w:val="00F63820"/>
    <w:rsid w:val="00F63991"/>
    <w:rsid w:val="00F639BA"/>
    <w:rsid w:val="00F63C82"/>
    <w:rsid w:val="00F6404A"/>
    <w:rsid w:val="00F64497"/>
    <w:rsid w:val="00F64612"/>
    <w:rsid w:val="00F647A9"/>
    <w:rsid w:val="00F64819"/>
    <w:rsid w:val="00F64AE5"/>
    <w:rsid w:val="00F64E75"/>
    <w:rsid w:val="00F64F9C"/>
    <w:rsid w:val="00F651AF"/>
    <w:rsid w:val="00F6524E"/>
    <w:rsid w:val="00F6553F"/>
    <w:rsid w:val="00F65BD3"/>
    <w:rsid w:val="00F65E5A"/>
    <w:rsid w:val="00F65EE0"/>
    <w:rsid w:val="00F660BB"/>
    <w:rsid w:val="00F66125"/>
    <w:rsid w:val="00F66161"/>
    <w:rsid w:val="00F661CE"/>
    <w:rsid w:val="00F661F8"/>
    <w:rsid w:val="00F66466"/>
    <w:rsid w:val="00F66480"/>
    <w:rsid w:val="00F66644"/>
    <w:rsid w:val="00F66720"/>
    <w:rsid w:val="00F669B4"/>
    <w:rsid w:val="00F669E3"/>
    <w:rsid w:val="00F669FD"/>
    <w:rsid w:val="00F66A33"/>
    <w:rsid w:val="00F66A70"/>
    <w:rsid w:val="00F66BED"/>
    <w:rsid w:val="00F66F70"/>
    <w:rsid w:val="00F67178"/>
    <w:rsid w:val="00F67291"/>
    <w:rsid w:val="00F6742D"/>
    <w:rsid w:val="00F67477"/>
    <w:rsid w:val="00F674D2"/>
    <w:rsid w:val="00F67639"/>
    <w:rsid w:val="00F6773E"/>
    <w:rsid w:val="00F677CE"/>
    <w:rsid w:val="00F678DC"/>
    <w:rsid w:val="00F67924"/>
    <w:rsid w:val="00F67977"/>
    <w:rsid w:val="00F679E1"/>
    <w:rsid w:val="00F67D03"/>
    <w:rsid w:val="00F67D16"/>
    <w:rsid w:val="00F67F3D"/>
    <w:rsid w:val="00F67F83"/>
    <w:rsid w:val="00F70204"/>
    <w:rsid w:val="00F70631"/>
    <w:rsid w:val="00F7064A"/>
    <w:rsid w:val="00F707EC"/>
    <w:rsid w:val="00F7080A"/>
    <w:rsid w:val="00F70C47"/>
    <w:rsid w:val="00F70C8A"/>
    <w:rsid w:val="00F70D5D"/>
    <w:rsid w:val="00F70DEF"/>
    <w:rsid w:val="00F70E21"/>
    <w:rsid w:val="00F70E82"/>
    <w:rsid w:val="00F70EBA"/>
    <w:rsid w:val="00F711D1"/>
    <w:rsid w:val="00F712D8"/>
    <w:rsid w:val="00F71352"/>
    <w:rsid w:val="00F71593"/>
    <w:rsid w:val="00F716AE"/>
    <w:rsid w:val="00F716B8"/>
    <w:rsid w:val="00F71B72"/>
    <w:rsid w:val="00F71C4D"/>
    <w:rsid w:val="00F71FFC"/>
    <w:rsid w:val="00F7205A"/>
    <w:rsid w:val="00F7208A"/>
    <w:rsid w:val="00F7235E"/>
    <w:rsid w:val="00F7237F"/>
    <w:rsid w:val="00F72608"/>
    <w:rsid w:val="00F72772"/>
    <w:rsid w:val="00F728FB"/>
    <w:rsid w:val="00F72C0B"/>
    <w:rsid w:val="00F72E4D"/>
    <w:rsid w:val="00F7320C"/>
    <w:rsid w:val="00F733FA"/>
    <w:rsid w:val="00F7346E"/>
    <w:rsid w:val="00F734AC"/>
    <w:rsid w:val="00F734DF"/>
    <w:rsid w:val="00F737F2"/>
    <w:rsid w:val="00F73856"/>
    <w:rsid w:val="00F73AC1"/>
    <w:rsid w:val="00F73D4F"/>
    <w:rsid w:val="00F73DD9"/>
    <w:rsid w:val="00F73ED5"/>
    <w:rsid w:val="00F73F5C"/>
    <w:rsid w:val="00F73F72"/>
    <w:rsid w:val="00F74018"/>
    <w:rsid w:val="00F741DC"/>
    <w:rsid w:val="00F742F5"/>
    <w:rsid w:val="00F74433"/>
    <w:rsid w:val="00F7469E"/>
    <w:rsid w:val="00F74704"/>
    <w:rsid w:val="00F747B5"/>
    <w:rsid w:val="00F74822"/>
    <w:rsid w:val="00F7487F"/>
    <w:rsid w:val="00F74AB1"/>
    <w:rsid w:val="00F74BC8"/>
    <w:rsid w:val="00F74E1B"/>
    <w:rsid w:val="00F74E8C"/>
    <w:rsid w:val="00F74F60"/>
    <w:rsid w:val="00F74F98"/>
    <w:rsid w:val="00F751D0"/>
    <w:rsid w:val="00F7529B"/>
    <w:rsid w:val="00F7536A"/>
    <w:rsid w:val="00F7569B"/>
    <w:rsid w:val="00F75917"/>
    <w:rsid w:val="00F75A47"/>
    <w:rsid w:val="00F75AF2"/>
    <w:rsid w:val="00F75B10"/>
    <w:rsid w:val="00F75BB0"/>
    <w:rsid w:val="00F75C54"/>
    <w:rsid w:val="00F75CAF"/>
    <w:rsid w:val="00F75D73"/>
    <w:rsid w:val="00F75DDC"/>
    <w:rsid w:val="00F76090"/>
    <w:rsid w:val="00F761D8"/>
    <w:rsid w:val="00F76269"/>
    <w:rsid w:val="00F7662D"/>
    <w:rsid w:val="00F767B6"/>
    <w:rsid w:val="00F7684E"/>
    <w:rsid w:val="00F76851"/>
    <w:rsid w:val="00F76A2A"/>
    <w:rsid w:val="00F76AA2"/>
    <w:rsid w:val="00F76B7A"/>
    <w:rsid w:val="00F76D38"/>
    <w:rsid w:val="00F76E54"/>
    <w:rsid w:val="00F7739D"/>
    <w:rsid w:val="00F774E2"/>
    <w:rsid w:val="00F77BCF"/>
    <w:rsid w:val="00F80143"/>
    <w:rsid w:val="00F801CE"/>
    <w:rsid w:val="00F80449"/>
    <w:rsid w:val="00F80470"/>
    <w:rsid w:val="00F806CE"/>
    <w:rsid w:val="00F806D3"/>
    <w:rsid w:val="00F8075A"/>
    <w:rsid w:val="00F8097F"/>
    <w:rsid w:val="00F80A2A"/>
    <w:rsid w:val="00F80F8E"/>
    <w:rsid w:val="00F81482"/>
    <w:rsid w:val="00F81641"/>
    <w:rsid w:val="00F81749"/>
    <w:rsid w:val="00F819EF"/>
    <w:rsid w:val="00F81A4D"/>
    <w:rsid w:val="00F81FEC"/>
    <w:rsid w:val="00F8204F"/>
    <w:rsid w:val="00F82473"/>
    <w:rsid w:val="00F82702"/>
    <w:rsid w:val="00F82B3C"/>
    <w:rsid w:val="00F83005"/>
    <w:rsid w:val="00F833F8"/>
    <w:rsid w:val="00F83465"/>
    <w:rsid w:val="00F83581"/>
    <w:rsid w:val="00F8370E"/>
    <w:rsid w:val="00F839D5"/>
    <w:rsid w:val="00F83BB0"/>
    <w:rsid w:val="00F83EBF"/>
    <w:rsid w:val="00F83FBD"/>
    <w:rsid w:val="00F840C2"/>
    <w:rsid w:val="00F844A9"/>
    <w:rsid w:val="00F844AA"/>
    <w:rsid w:val="00F84534"/>
    <w:rsid w:val="00F845F8"/>
    <w:rsid w:val="00F84742"/>
    <w:rsid w:val="00F84855"/>
    <w:rsid w:val="00F84EB1"/>
    <w:rsid w:val="00F84EF6"/>
    <w:rsid w:val="00F84F70"/>
    <w:rsid w:val="00F84FB2"/>
    <w:rsid w:val="00F84FFF"/>
    <w:rsid w:val="00F850AF"/>
    <w:rsid w:val="00F85289"/>
    <w:rsid w:val="00F8530C"/>
    <w:rsid w:val="00F85429"/>
    <w:rsid w:val="00F85699"/>
    <w:rsid w:val="00F859F3"/>
    <w:rsid w:val="00F85AFE"/>
    <w:rsid w:val="00F85B47"/>
    <w:rsid w:val="00F85C20"/>
    <w:rsid w:val="00F85ED5"/>
    <w:rsid w:val="00F860A7"/>
    <w:rsid w:val="00F86160"/>
    <w:rsid w:val="00F8623B"/>
    <w:rsid w:val="00F86292"/>
    <w:rsid w:val="00F86596"/>
    <w:rsid w:val="00F865A8"/>
    <w:rsid w:val="00F865B8"/>
    <w:rsid w:val="00F86677"/>
    <w:rsid w:val="00F8670E"/>
    <w:rsid w:val="00F86844"/>
    <w:rsid w:val="00F86994"/>
    <w:rsid w:val="00F86C88"/>
    <w:rsid w:val="00F86FAA"/>
    <w:rsid w:val="00F8707D"/>
    <w:rsid w:val="00F87159"/>
    <w:rsid w:val="00F871A6"/>
    <w:rsid w:val="00F871C8"/>
    <w:rsid w:val="00F87319"/>
    <w:rsid w:val="00F8732E"/>
    <w:rsid w:val="00F873AD"/>
    <w:rsid w:val="00F875BD"/>
    <w:rsid w:val="00F8769D"/>
    <w:rsid w:val="00F87729"/>
    <w:rsid w:val="00F877B7"/>
    <w:rsid w:val="00F87821"/>
    <w:rsid w:val="00F87932"/>
    <w:rsid w:val="00F87D1D"/>
    <w:rsid w:val="00F87DBF"/>
    <w:rsid w:val="00F87E27"/>
    <w:rsid w:val="00F9003B"/>
    <w:rsid w:val="00F90188"/>
    <w:rsid w:val="00F901A3"/>
    <w:rsid w:val="00F901E8"/>
    <w:rsid w:val="00F902BB"/>
    <w:rsid w:val="00F905B6"/>
    <w:rsid w:val="00F90DAA"/>
    <w:rsid w:val="00F90F07"/>
    <w:rsid w:val="00F90F34"/>
    <w:rsid w:val="00F91045"/>
    <w:rsid w:val="00F91185"/>
    <w:rsid w:val="00F91312"/>
    <w:rsid w:val="00F9131D"/>
    <w:rsid w:val="00F91517"/>
    <w:rsid w:val="00F9171C"/>
    <w:rsid w:val="00F9187A"/>
    <w:rsid w:val="00F918CA"/>
    <w:rsid w:val="00F91903"/>
    <w:rsid w:val="00F91B09"/>
    <w:rsid w:val="00F91C19"/>
    <w:rsid w:val="00F91CE6"/>
    <w:rsid w:val="00F91DCF"/>
    <w:rsid w:val="00F91F9A"/>
    <w:rsid w:val="00F9204E"/>
    <w:rsid w:val="00F920AA"/>
    <w:rsid w:val="00F92138"/>
    <w:rsid w:val="00F921D0"/>
    <w:rsid w:val="00F92449"/>
    <w:rsid w:val="00F92786"/>
    <w:rsid w:val="00F929EB"/>
    <w:rsid w:val="00F92AEA"/>
    <w:rsid w:val="00F92BD5"/>
    <w:rsid w:val="00F935B6"/>
    <w:rsid w:val="00F936C1"/>
    <w:rsid w:val="00F9382C"/>
    <w:rsid w:val="00F938EF"/>
    <w:rsid w:val="00F93B9F"/>
    <w:rsid w:val="00F93BDE"/>
    <w:rsid w:val="00F93DAC"/>
    <w:rsid w:val="00F940A0"/>
    <w:rsid w:val="00F942C6"/>
    <w:rsid w:val="00F942D1"/>
    <w:rsid w:val="00F9441F"/>
    <w:rsid w:val="00F944B0"/>
    <w:rsid w:val="00F945D2"/>
    <w:rsid w:val="00F94853"/>
    <w:rsid w:val="00F948B1"/>
    <w:rsid w:val="00F94D09"/>
    <w:rsid w:val="00F94DE5"/>
    <w:rsid w:val="00F94EF1"/>
    <w:rsid w:val="00F95135"/>
    <w:rsid w:val="00F95197"/>
    <w:rsid w:val="00F951F5"/>
    <w:rsid w:val="00F95212"/>
    <w:rsid w:val="00F95313"/>
    <w:rsid w:val="00F957EA"/>
    <w:rsid w:val="00F95AE0"/>
    <w:rsid w:val="00F95BB9"/>
    <w:rsid w:val="00F95D63"/>
    <w:rsid w:val="00F95F55"/>
    <w:rsid w:val="00F961A8"/>
    <w:rsid w:val="00F96337"/>
    <w:rsid w:val="00F963DB"/>
    <w:rsid w:val="00F964E5"/>
    <w:rsid w:val="00F9652A"/>
    <w:rsid w:val="00F96569"/>
    <w:rsid w:val="00F96692"/>
    <w:rsid w:val="00F9683C"/>
    <w:rsid w:val="00F9688B"/>
    <w:rsid w:val="00F969D6"/>
    <w:rsid w:val="00F96A87"/>
    <w:rsid w:val="00F96B5F"/>
    <w:rsid w:val="00F96B60"/>
    <w:rsid w:val="00F96C31"/>
    <w:rsid w:val="00F96DC6"/>
    <w:rsid w:val="00F96F0E"/>
    <w:rsid w:val="00F97036"/>
    <w:rsid w:val="00F970EA"/>
    <w:rsid w:val="00F971BA"/>
    <w:rsid w:val="00F97491"/>
    <w:rsid w:val="00F974B0"/>
    <w:rsid w:val="00F97860"/>
    <w:rsid w:val="00F97928"/>
    <w:rsid w:val="00F97AA7"/>
    <w:rsid w:val="00F97C9D"/>
    <w:rsid w:val="00F97D42"/>
    <w:rsid w:val="00F97F3D"/>
    <w:rsid w:val="00F97F71"/>
    <w:rsid w:val="00FA007E"/>
    <w:rsid w:val="00FA01C1"/>
    <w:rsid w:val="00FA05F9"/>
    <w:rsid w:val="00FA0825"/>
    <w:rsid w:val="00FA08F7"/>
    <w:rsid w:val="00FA09B1"/>
    <w:rsid w:val="00FA09DF"/>
    <w:rsid w:val="00FA0A55"/>
    <w:rsid w:val="00FA0B6F"/>
    <w:rsid w:val="00FA0E1E"/>
    <w:rsid w:val="00FA1419"/>
    <w:rsid w:val="00FA170A"/>
    <w:rsid w:val="00FA1B9C"/>
    <w:rsid w:val="00FA1C50"/>
    <w:rsid w:val="00FA1CFF"/>
    <w:rsid w:val="00FA1E7E"/>
    <w:rsid w:val="00FA2075"/>
    <w:rsid w:val="00FA23B2"/>
    <w:rsid w:val="00FA24F6"/>
    <w:rsid w:val="00FA262C"/>
    <w:rsid w:val="00FA2653"/>
    <w:rsid w:val="00FA2B0D"/>
    <w:rsid w:val="00FA2D50"/>
    <w:rsid w:val="00FA2F70"/>
    <w:rsid w:val="00FA3376"/>
    <w:rsid w:val="00FA3725"/>
    <w:rsid w:val="00FA38B3"/>
    <w:rsid w:val="00FA3AF0"/>
    <w:rsid w:val="00FA3B81"/>
    <w:rsid w:val="00FA3EFC"/>
    <w:rsid w:val="00FA3FDF"/>
    <w:rsid w:val="00FA4140"/>
    <w:rsid w:val="00FA4263"/>
    <w:rsid w:val="00FA454F"/>
    <w:rsid w:val="00FA48D4"/>
    <w:rsid w:val="00FA4953"/>
    <w:rsid w:val="00FA49FE"/>
    <w:rsid w:val="00FA4A0A"/>
    <w:rsid w:val="00FA4EE2"/>
    <w:rsid w:val="00FA4F8F"/>
    <w:rsid w:val="00FA4FDD"/>
    <w:rsid w:val="00FA5000"/>
    <w:rsid w:val="00FA51E5"/>
    <w:rsid w:val="00FA5376"/>
    <w:rsid w:val="00FA5384"/>
    <w:rsid w:val="00FA5574"/>
    <w:rsid w:val="00FA562A"/>
    <w:rsid w:val="00FA57C6"/>
    <w:rsid w:val="00FA58A9"/>
    <w:rsid w:val="00FA592B"/>
    <w:rsid w:val="00FA596F"/>
    <w:rsid w:val="00FA5A56"/>
    <w:rsid w:val="00FA5B32"/>
    <w:rsid w:val="00FA5C72"/>
    <w:rsid w:val="00FA5D18"/>
    <w:rsid w:val="00FA5EDC"/>
    <w:rsid w:val="00FA5FB7"/>
    <w:rsid w:val="00FA6018"/>
    <w:rsid w:val="00FA6123"/>
    <w:rsid w:val="00FA6159"/>
    <w:rsid w:val="00FA6323"/>
    <w:rsid w:val="00FA644E"/>
    <w:rsid w:val="00FA64E9"/>
    <w:rsid w:val="00FA6622"/>
    <w:rsid w:val="00FA66E4"/>
    <w:rsid w:val="00FA6911"/>
    <w:rsid w:val="00FA69EF"/>
    <w:rsid w:val="00FA6C50"/>
    <w:rsid w:val="00FA6C6A"/>
    <w:rsid w:val="00FA6E27"/>
    <w:rsid w:val="00FA708C"/>
    <w:rsid w:val="00FA7149"/>
    <w:rsid w:val="00FA7202"/>
    <w:rsid w:val="00FA737D"/>
    <w:rsid w:val="00FA73A2"/>
    <w:rsid w:val="00FA75F2"/>
    <w:rsid w:val="00FA78C8"/>
    <w:rsid w:val="00FA792D"/>
    <w:rsid w:val="00FA796B"/>
    <w:rsid w:val="00FA7A6F"/>
    <w:rsid w:val="00FA7C3C"/>
    <w:rsid w:val="00FA7F4B"/>
    <w:rsid w:val="00FA7FDD"/>
    <w:rsid w:val="00FB0215"/>
    <w:rsid w:val="00FB05C0"/>
    <w:rsid w:val="00FB08FF"/>
    <w:rsid w:val="00FB0A19"/>
    <w:rsid w:val="00FB0A2E"/>
    <w:rsid w:val="00FB0B0D"/>
    <w:rsid w:val="00FB0B13"/>
    <w:rsid w:val="00FB0C2D"/>
    <w:rsid w:val="00FB0E21"/>
    <w:rsid w:val="00FB0F0F"/>
    <w:rsid w:val="00FB100A"/>
    <w:rsid w:val="00FB11BD"/>
    <w:rsid w:val="00FB1342"/>
    <w:rsid w:val="00FB13EE"/>
    <w:rsid w:val="00FB16A2"/>
    <w:rsid w:val="00FB188F"/>
    <w:rsid w:val="00FB1973"/>
    <w:rsid w:val="00FB1A92"/>
    <w:rsid w:val="00FB1DCC"/>
    <w:rsid w:val="00FB1EFB"/>
    <w:rsid w:val="00FB20E9"/>
    <w:rsid w:val="00FB226E"/>
    <w:rsid w:val="00FB244A"/>
    <w:rsid w:val="00FB24C1"/>
    <w:rsid w:val="00FB2585"/>
    <w:rsid w:val="00FB2774"/>
    <w:rsid w:val="00FB28B6"/>
    <w:rsid w:val="00FB2915"/>
    <w:rsid w:val="00FB2F80"/>
    <w:rsid w:val="00FB316F"/>
    <w:rsid w:val="00FB355F"/>
    <w:rsid w:val="00FB359A"/>
    <w:rsid w:val="00FB3648"/>
    <w:rsid w:val="00FB3845"/>
    <w:rsid w:val="00FB395F"/>
    <w:rsid w:val="00FB3978"/>
    <w:rsid w:val="00FB3989"/>
    <w:rsid w:val="00FB399C"/>
    <w:rsid w:val="00FB39FE"/>
    <w:rsid w:val="00FB3AF3"/>
    <w:rsid w:val="00FB3BE5"/>
    <w:rsid w:val="00FB3C35"/>
    <w:rsid w:val="00FB3E0E"/>
    <w:rsid w:val="00FB3FCC"/>
    <w:rsid w:val="00FB3FDE"/>
    <w:rsid w:val="00FB4291"/>
    <w:rsid w:val="00FB433C"/>
    <w:rsid w:val="00FB4395"/>
    <w:rsid w:val="00FB43F4"/>
    <w:rsid w:val="00FB456E"/>
    <w:rsid w:val="00FB4654"/>
    <w:rsid w:val="00FB4728"/>
    <w:rsid w:val="00FB4B50"/>
    <w:rsid w:val="00FB4B84"/>
    <w:rsid w:val="00FB5135"/>
    <w:rsid w:val="00FB53F1"/>
    <w:rsid w:val="00FB54A9"/>
    <w:rsid w:val="00FB572E"/>
    <w:rsid w:val="00FB5A18"/>
    <w:rsid w:val="00FB5A5C"/>
    <w:rsid w:val="00FB5CE4"/>
    <w:rsid w:val="00FB5D3B"/>
    <w:rsid w:val="00FB60C2"/>
    <w:rsid w:val="00FB613E"/>
    <w:rsid w:val="00FB61DF"/>
    <w:rsid w:val="00FB630F"/>
    <w:rsid w:val="00FB6344"/>
    <w:rsid w:val="00FB6744"/>
    <w:rsid w:val="00FB6844"/>
    <w:rsid w:val="00FB6D73"/>
    <w:rsid w:val="00FB6DA1"/>
    <w:rsid w:val="00FB6E57"/>
    <w:rsid w:val="00FB700E"/>
    <w:rsid w:val="00FB70BF"/>
    <w:rsid w:val="00FB7229"/>
    <w:rsid w:val="00FB7245"/>
    <w:rsid w:val="00FB728F"/>
    <w:rsid w:val="00FB72AF"/>
    <w:rsid w:val="00FB7346"/>
    <w:rsid w:val="00FB739B"/>
    <w:rsid w:val="00FB73B5"/>
    <w:rsid w:val="00FB7485"/>
    <w:rsid w:val="00FB7A43"/>
    <w:rsid w:val="00FB7AEA"/>
    <w:rsid w:val="00FB7B12"/>
    <w:rsid w:val="00FB7FF0"/>
    <w:rsid w:val="00FC01BC"/>
    <w:rsid w:val="00FC0250"/>
    <w:rsid w:val="00FC0345"/>
    <w:rsid w:val="00FC0380"/>
    <w:rsid w:val="00FC040C"/>
    <w:rsid w:val="00FC055D"/>
    <w:rsid w:val="00FC0687"/>
    <w:rsid w:val="00FC07A1"/>
    <w:rsid w:val="00FC09A1"/>
    <w:rsid w:val="00FC0C4E"/>
    <w:rsid w:val="00FC0C57"/>
    <w:rsid w:val="00FC0DFD"/>
    <w:rsid w:val="00FC0EB6"/>
    <w:rsid w:val="00FC1117"/>
    <w:rsid w:val="00FC1410"/>
    <w:rsid w:val="00FC152A"/>
    <w:rsid w:val="00FC1672"/>
    <w:rsid w:val="00FC17B0"/>
    <w:rsid w:val="00FC18A1"/>
    <w:rsid w:val="00FC1926"/>
    <w:rsid w:val="00FC1AA9"/>
    <w:rsid w:val="00FC1ED9"/>
    <w:rsid w:val="00FC1F6C"/>
    <w:rsid w:val="00FC24F7"/>
    <w:rsid w:val="00FC2509"/>
    <w:rsid w:val="00FC256B"/>
    <w:rsid w:val="00FC261D"/>
    <w:rsid w:val="00FC27E1"/>
    <w:rsid w:val="00FC29DC"/>
    <w:rsid w:val="00FC2C19"/>
    <w:rsid w:val="00FC2C4B"/>
    <w:rsid w:val="00FC2DA2"/>
    <w:rsid w:val="00FC2F7E"/>
    <w:rsid w:val="00FC309E"/>
    <w:rsid w:val="00FC31E0"/>
    <w:rsid w:val="00FC33C3"/>
    <w:rsid w:val="00FC34B9"/>
    <w:rsid w:val="00FC35D8"/>
    <w:rsid w:val="00FC36FE"/>
    <w:rsid w:val="00FC378E"/>
    <w:rsid w:val="00FC383E"/>
    <w:rsid w:val="00FC3888"/>
    <w:rsid w:val="00FC3C25"/>
    <w:rsid w:val="00FC3E25"/>
    <w:rsid w:val="00FC3E62"/>
    <w:rsid w:val="00FC3E91"/>
    <w:rsid w:val="00FC4004"/>
    <w:rsid w:val="00FC4055"/>
    <w:rsid w:val="00FC4131"/>
    <w:rsid w:val="00FC42FF"/>
    <w:rsid w:val="00FC43B2"/>
    <w:rsid w:val="00FC43E8"/>
    <w:rsid w:val="00FC4619"/>
    <w:rsid w:val="00FC47EF"/>
    <w:rsid w:val="00FC49A7"/>
    <w:rsid w:val="00FC524B"/>
    <w:rsid w:val="00FC52D9"/>
    <w:rsid w:val="00FC53FD"/>
    <w:rsid w:val="00FC5916"/>
    <w:rsid w:val="00FC5980"/>
    <w:rsid w:val="00FC5A00"/>
    <w:rsid w:val="00FC5A24"/>
    <w:rsid w:val="00FC5C48"/>
    <w:rsid w:val="00FC5C56"/>
    <w:rsid w:val="00FC5DC1"/>
    <w:rsid w:val="00FC5F99"/>
    <w:rsid w:val="00FC61CE"/>
    <w:rsid w:val="00FC627F"/>
    <w:rsid w:val="00FC633D"/>
    <w:rsid w:val="00FC63B2"/>
    <w:rsid w:val="00FC6ABA"/>
    <w:rsid w:val="00FC6DD5"/>
    <w:rsid w:val="00FC6DF6"/>
    <w:rsid w:val="00FC6E69"/>
    <w:rsid w:val="00FC6F55"/>
    <w:rsid w:val="00FC6FE9"/>
    <w:rsid w:val="00FC7122"/>
    <w:rsid w:val="00FC7195"/>
    <w:rsid w:val="00FC71C7"/>
    <w:rsid w:val="00FC7563"/>
    <w:rsid w:val="00FC765C"/>
    <w:rsid w:val="00FC7684"/>
    <w:rsid w:val="00FC76CB"/>
    <w:rsid w:val="00FC77D0"/>
    <w:rsid w:val="00FC79EB"/>
    <w:rsid w:val="00FC7AA6"/>
    <w:rsid w:val="00FC7AD2"/>
    <w:rsid w:val="00FC7EF5"/>
    <w:rsid w:val="00FC7F3B"/>
    <w:rsid w:val="00FD000D"/>
    <w:rsid w:val="00FD03D1"/>
    <w:rsid w:val="00FD0484"/>
    <w:rsid w:val="00FD04F4"/>
    <w:rsid w:val="00FD06ED"/>
    <w:rsid w:val="00FD0895"/>
    <w:rsid w:val="00FD08D6"/>
    <w:rsid w:val="00FD08FE"/>
    <w:rsid w:val="00FD0B1B"/>
    <w:rsid w:val="00FD0D07"/>
    <w:rsid w:val="00FD0D26"/>
    <w:rsid w:val="00FD0E87"/>
    <w:rsid w:val="00FD0F0A"/>
    <w:rsid w:val="00FD1180"/>
    <w:rsid w:val="00FD1237"/>
    <w:rsid w:val="00FD1392"/>
    <w:rsid w:val="00FD13F6"/>
    <w:rsid w:val="00FD15C8"/>
    <w:rsid w:val="00FD1664"/>
    <w:rsid w:val="00FD17AE"/>
    <w:rsid w:val="00FD1816"/>
    <w:rsid w:val="00FD194A"/>
    <w:rsid w:val="00FD1B87"/>
    <w:rsid w:val="00FD1C60"/>
    <w:rsid w:val="00FD1D55"/>
    <w:rsid w:val="00FD2178"/>
    <w:rsid w:val="00FD2208"/>
    <w:rsid w:val="00FD22AF"/>
    <w:rsid w:val="00FD22BB"/>
    <w:rsid w:val="00FD2688"/>
    <w:rsid w:val="00FD26DB"/>
    <w:rsid w:val="00FD286C"/>
    <w:rsid w:val="00FD28AB"/>
    <w:rsid w:val="00FD28D9"/>
    <w:rsid w:val="00FD28DA"/>
    <w:rsid w:val="00FD2964"/>
    <w:rsid w:val="00FD29E0"/>
    <w:rsid w:val="00FD2A87"/>
    <w:rsid w:val="00FD2AED"/>
    <w:rsid w:val="00FD2AF3"/>
    <w:rsid w:val="00FD2B4D"/>
    <w:rsid w:val="00FD2C91"/>
    <w:rsid w:val="00FD2E90"/>
    <w:rsid w:val="00FD2FD7"/>
    <w:rsid w:val="00FD3096"/>
    <w:rsid w:val="00FD3424"/>
    <w:rsid w:val="00FD3482"/>
    <w:rsid w:val="00FD34A9"/>
    <w:rsid w:val="00FD36B6"/>
    <w:rsid w:val="00FD3783"/>
    <w:rsid w:val="00FD37CA"/>
    <w:rsid w:val="00FD3A6A"/>
    <w:rsid w:val="00FD3B92"/>
    <w:rsid w:val="00FD3BC6"/>
    <w:rsid w:val="00FD3C0A"/>
    <w:rsid w:val="00FD3C17"/>
    <w:rsid w:val="00FD3C29"/>
    <w:rsid w:val="00FD3CCB"/>
    <w:rsid w:val="00FD3CFD"/>
    <w:rsid w:val="00FD4ADA"/>
    <w:rsid w:val="00FD4B01"/>
    <w:rsid w:val="00FD4B0F"/>
    <w:rsid w:val="00FD4B59"/>
    <w:rsid w:val="00FD4DAE"/>
    <w:rsid w:val="00FD4F8B"/>
    <w:rsid w:val="00FD515F"/>
    <w:rsid w:val="00FD542A"/>
    <w:rsid w:val="00FD5501"/>
    <w:rsid w:val="00FD5504"/>
    <w:rsid w:val="00FD5511"/>
    <w:rsid w:val="00FD56CF"/>
    <w:rsid w:val="00FD56DE"/>
    <w:rsid w:val="00FD576B"/>
    <w:rsid w:val="00FD57BA"/>
    <w:rsid w:val="00FD584D"/>
    <w:rsid w:val="00FD58A1"/>
    <w:rsid w:val="00FD5903"/>
    <w:rsid w:val="00FD5A12"/>
    <w:rsid w:val="00FD5F30"/>
    <w:rsid w:val="00FD6105"/>
    <w:rsid w:val="00FD6367"/>
    <w:rsid w:val="00FD6543"/>
    <w:rsid w:val="00FD65EA"/>
    <w:rsid w:val="00FD66CB"/>
    <w:rsid w:val="00FD6806"/>
    <w:rsid w:val="00FD68B2"/>
    <w:rsid w:val="00FD6A07"/>
    <w:rsid w:val="00FD6AD9"/>
    <w:rsid w:val="00FD6C9E"/>
    <w:rsid w:val="00FD6E3A"/>
    <w:rsid w:val="00FD6E90"/>
    <w:rsid w:val="00FD7079"/>
    <w:rsid w:val="00FD75B9"/>
    <w:rsid w:val="00FD76A2"/>
    <w:rsid w:val="00FD77FC"/>
    <w:rsid w:val="00FD783B"/>
    <w:rsid w:val="00FD78FF"/>
    <w:rsid w:val="00FD7F14"/>
    <w:rsid w:val="00FE0343"/>
    <w:rsid w:val="00FE04A8"/>
    <w:rsid w:val="00FE087B"/>
    <w:rsid w:val="00FE087C"/>
    <w:rsid w:val="00FE09AE"/>
    <w:rsid w:val="00FE09C8"/>
    <w:rsid w:val="00FE0C3E"/>
    <w:rsid w:val="00FE0DDE"/>
    <w:rsid w:val="00FE1203"/>
    <w:rsid w:val="00FE128F"/>
    <w:rsid w:val="00FE1535"/>
    <w:rsid w:val="00FE1839"/>
    <w:rsid w:val="00FE19C5"/>
    <w:rsid w:val="00FE1B3C"/>
    <w:rsid w:val="00FE1B74"/>
    <w:rsid w:val="00FE1C41"/>
    <w:rsid w:val="00FE1D43"/>
    <w:rsid w:val="00FE1F14"/>
    <w:rsid w:val="00FE1FB0"/>
    <w:rsid w:val="00FE20BC"/>
    <w:rsid w:val="00FE21CE"/>
    <w:rsid w:val="00FE2534"/>
    <w:rsid w:val="00FE2575"/>
    <w:rsid w:val="00FE2635"/>
    <w:rsid w:val="00FE2766"/>
    <w:rsid w:val="00FE2839"/>
    <w:rsid w:val="00FE2966"/>
    <w:rsid w:val="00FE2BE7"/>
    <w:rsid w:val="00FE318A"/>
    <w:rsid w:val="00FE327D"/>
    <w:rsid w:val="00FE33C6"/>
    <w:rsid w:val="00FE3835"/>
    <w:rsid w:val="00FE384F"/>
    <w:rsid w:val="00FE3888"/>
    <w:rsid w:val="00FE3903"/>
    <w:rsid w:val="00FE3B01"/>
    <w:rsid w:val="00FE3D37"/>
    <w:rsid w:val="00FE3D45"/>
    <w:rsid w:val="00FE3EBD"/>
    <w:rsid w:val="00FE3F99"/>
    <w:rsid w:val="00FE41A2"/>
    <w:rsid w:val="00FE4274"/>
    <w:rsid w:val="00FE46E1"/>
    <w:rsid w:val="00FE474B"/>
    <w:rsid w:val="00FE4777"/>
    <w:rsid w:val="00FE47B5"/>
    <w:rsid w:val="00FE4830"/>
    <w:rsid w:val="00FE48AD"/>
    <w:rsid w:val="00FE4DD5"/>
    <w:rsid w:val="00FE4E9B"/>
    <w:rsid w:val="00FE5064"/>
    <w:rsid w:val="00FE50DD"/>
    <w:rsid w:val="00FE5224"/>
    <w:rsid w:val="00FE525A"/>
    <w:rsid w:val="00FE5333"/>
    <w:rsid w:val="00FE5356"/>
    <w:rsid w:val="00FE5681"/>
    <w:rsid w:val="00FE56DF"/>
    <w:rsid w:val="00FE57AC"/>
    <w:rsid w:val="00FE590A"/>
    <w:rsid w:val="00FE5B1A"/>
    <w:rsid w:val="00FE5B7A"/>
    <w:rsid w:val="00FE5B9B"/>
    <w:rsid w:val="00FE6358"/>
    <w:rsid w:val="00FE6A1B"/>
    <w:rsid w:val="00FE6E15"/>
    <w:rsid w:val="00FE6F76"/>
    <w:rsid w:val="00FE6FCB"/>
    <w:rsid w:val="00FE74D9"/>
    <w:rsid w:val="00FE75CA"/>
    <w:rsid w:val="00FE7668"/>
    <w:rsid w:val="00FE77D5"/>
    <w:rsid w:val="00FE791E"/>
    <w:rsid w:val="00FE7AD7"/>
    <w:rsid w:val="00FE7BC7"/>
    <w:rsid w:val="00FE7C58"/>
    <w:rsid w:val="00FE7DDE"/>
    <w:rsid w:val="00FE7F9A"/>
    <w:rsid w:val="00FF0231"/>
    <w:rsid w:val="00FF0236"/>
    <w:rsid w:val="00FF02EF"/>
    <w:rsid w:val="00FF036C"/>
    <w:rsid w:val="00FF0430"/>
    <w:rsid w:val="00FF04F6"/>
    <w:rsid w:val="00FF0688"/>
    <w:rsid w:val="00FF08EE"/>
    <w:rsid w:val="00FF09CB"/>
    <w:rsid w:val="00FF0A91"/>
    <w:rsid w:val="00FF0C89"/>
    <w:rsid w:val="00FF0D50"/>
    <w:rsid w:val="00FF0D8D"/>
    <w:rsid w:val="00FF0EE8"/>
    <w:rsid w:val="00FF0F0E"/>
    <w:rsid w:val="00FF1146"/>
    <w:rsid w:val="00FF11A2"/>
    <w:rsid w:val="00FF126F"/>
    <w:rsid w:val="00FF129F"/>
    <w:rsid w:val="00FF156C"/>
    <w:rsid w:val="00FF17C8"/>
    <w:rsid w:val="00FF1A95"/>
    <w:rsid w:val="00FF1AAE"/>
    <w:rsid w:val="00FF1AFB"/>
    <w:rsid w:val="00FF1EDA"/>
    <w:rsid w:val="00FF1FCD"/>
    <w:rsid w:val="00FF1FF0"/>
    <w:rsid w:val="00FF20A9"/>
    <w:rsid w:val="00FF215F"/>
    <w:rsid w:val="00FF2395"/>
    <w:rsid w:val="00FF276E"/>
    <w:rsid w:val="00FF27F6"/>
    <w:rsid w:val="00FF2803"/>
    <w:rsid w:val="00FF292D"/>
    <w:rsid w:val="00FF2C31"/>
    <w:rsid w:val="00FF2DB0"/>
    <w:rsid w:val="00FF2E11"/>
    <w:rsid w:val="00FF2E43"/>
    <w:rsid w:val="00FF2F8B"/>
    <w:rsid w:val="00FF2F9B"/>
    <w:rsid w:val="00FF3183"/>
    <w:rsid w:val="00FF31B3"/>
    <w:rsid w:val="00FF31CC"/>
    <w:rsid w:val="00FF3332"/>
    <w:rsid w:val="00FF3380"/>
    <w:rsid w:val="00FF3437"/>
    <w:rsid w:val="00FF37EE"/>
    <w:rsid w:val="00FF3921"/>
    <w:rsid w:val="00FF399D"/>
    <w:rsid w:val="00FF3D6F"/>
    <w:rsid w:val="00FF3DD8"/>
    <w:rsid w:val="00FF3EB2"/>
    <w:rsid w:val="00FF3FE8"/>
    <w:rsid w:val="00FF4011"/>
    <w:rsid w:val="00FF40CD"/>
    <w:rsid w:val="00FF4246"/>
    <w:rsid w:val="00FF42E5"/>
    <w:rsid w:val="00FF42F4"/>
    <w:rsid w:val="00FF4392"/>
    <w:rsid w:val="00FF43A4"/>
    <w:rsid w:val="00FF4487"/>
    <w:rsid w:val="00FF4780"/>
    <w:rsid w:val="00FF47C4"/>
    <w:rsid w:val="00FF481F"/>
    <w:rsid w:val="00FF4847"/>
    <w:rsid w:val="00FF48CB"/>
    <w:rsid w:val="00FF494B"/>
    <w:rsid w:val="00FF4995"/>
    <w:rsid w:val="00FF4C61"/>
    <w:rsid w:val="00FF518F"/>
    <w:rsid w:val="00FF5219"/>
    <w:rsid w:val="00FF5327"/>
    <w:rsid w:val="00FF53DC"/>
    <w:rsid w:val="00FF53E3"/>
    <w:rsid w:val="00FF5624"/>
    <w:rsid w:val="00FF5772"/>
    <w:rsid w:val="00FF598F"/>
    <w:rsid w:val="00FF59E4"/>
    <w:rsid w:val="00FF5D58"/>
    <w:rsid w:val="00FF608E"/>
    <w:rsid w:val="00FF60E8"/>
    <w:rsid w:val="00FF6133"/>
    <w:rsid w:val="00FF6148"/>
    <w:rsid w:val="00FF615E"/>
    <w:rsid w:val="00FF6993"/>
    <w:rsid w:val="00FF6C63"/>
    <w:rsid w:val="00FF6C6E"/>
    <w:rsid w:val="00FF6DC4"/>
    <w:rsid w:val="00FF6F6B"/>
    <w:rsid w:val="00FF706A"/>
    <w:rsid w:val="00FF70B3"/>
    <w:rsid w:val="00FF76B8"/>
    <w:rsid w:val="00FF78F0"/>
    <w:rsid w:val="00FF79A3"/>
    <w:rsid w:val="00FF7A9C"/>
    <w:rsid w:val="00FF7E44"/>
    <w:rsid w:val="00FF7E64"/>
    <w:rsid w:val="00FF7EF9"/>
    <w:rsid w:val="01065638"/>
    <w:rsid w:val="010671D2"/>
    <w:rsid w:val="010EF410"/>
    <w:rsid w:val="01137736"/>
    <w:rsid w:val="0114B815"/>
    <w:rsid w:val="01195163"/>
    <w:rsid w:val="01195CE5"/>
    <w:rsid w:val="011B3DD8"/>
    <w:rsid w:val="0125FD79"/>
    <w:rsid w:val="012BEA7E"/>
    <w:rsid w:val="01342E4D"/>
    <w:rsid w:val="013AE652"/>
    <w:rsid w:val="01427E2F"/>
    <w:rsid w:val="014350AF"/>
    <w:rsid w:val="01483C05"/>
    <w:rsid w:val="014C240E"/>
    <w:rsid w:val="014D08C8"/>
    <w:rsid w:val="014D8CFE"/>
    <w:rsid w:val="014E52B9"/>
    <w:rsid w:val="01504AA8"/>
    <w:rsid w:val="015203FC"/>
    <w:rsid w:val="0155E74A"/>
    <w:rsid w:val="015A008F"/>
    <w:rsid w:val="017AAA8B"/>
    <w:rsid w:val="017C2026"/>
    <w:rsid w:val="0180FC54"/>
    <w:rsid w:val="01827D71"/>
    <w:rsid w:val="01845B92"/>
    <w:rsid w:val="0193EE00"/>
    <w:rsid w:val="01991694"/>
    <w:rsid w:val="0199DEC1"/>
    <w:rsid w:val="019DE80E"/>
    <w:rsid w:val="01A36337"/>
    <w:rsid w:val="01A9155F"/>
    <w:rsid w:val="01AD1B73"/>
    <w:rsid w:val="01AEC11C"/>
    <w:rsid w:val="01B383E9"/>
    <w:rsid w:val="01B78EF4"/>
    <w:rsid w:val="01BA2B3C"/>
    <w:rsid w:val="01C345EC"/>
    <w:rsid w:val="01C6DF44"/>
    <w:rsid w:val="01CBBF87"/>
    <w:rsid w:val="01CDD5D8"/>
    <w:rsid w:val="01D09DC3"/>
    <w:rsid w:val="01D37F1F"/>
    <w:rsid w:val="01D6BB88"/>
    <w:rsid w:val="01D76F9B"/>
    <w:rsid w:val="01E1976B"/>
    <w:rsid w:val="01E864BE"/>
    <w:rsid w:val="01EBA5C8"/>
    <w:rsid w:val="01F10D21"/>
    <w:rsid w:val="01F5E0EF"/>
    <w:rsid w:val="01F91202"/>
    <w:rsid w:val="01FB4EF0"/>
    <w:rsid w:val="01FCC1FA"/>
    <w:rsid w:val="01FEE93C"/>
    <w:rsid w:val="01FEF6A9"/>
    <w:rsid w:val="020077A4"/>
    <w:rsid w:val="020401CF"/>
    <w:rsid w:val="0211A5DB"/>
    <w:rsid w:val="021B99C0"/>
    <w:rsid w:val="02220E90"/>
    <w:rsid w:val="0223A024"/>
    <w:rsid w:val="022FAECE"/>
    <w:rsid w:val="0230A3DC"/>
    <w:rsid w:val="0234F688"/>
    <w:rsid w:val="023A8245"/>
    <w:rsid w:val="02439CB6"/>
    <w:rsid w:val="02468B13"/>
    <w:rsid w:val="024869D2"/>
    <w:rsid w:val="024F43C8"/>
    <w:rsid w:val="025287DF"/>
    <w:rsid w:val="0257E540"/>
    <w:rsid w:val="0266ED62"/>
    <w:rsid w:val="026ABDA5"/>
    <w:rsid w:val="026C5BDD"/>
    <w:rsid w:val="026CC990"/>
    <w:rsid w:val="026DB55C"/>
    <w:rsid w:val="026E5862"/>
    <w:rsid w:val="026FC314"/>
    <w:rsid w:val="02750C9D"/>
    <w:rsid w:val="0276632F"/>
    <w:rsid w:val="0277D775"/>
    <w:rsid w:val="0279DA80"/>
    <w:rsid w:val="027CE82E"/>
    <w:rsid w:val="0280245A"/>
    <w:rsid w:val="02891186"/>
    <w:rsid w:val="028C9732"/>
    <w:rsid w:val="029C3710"/>
    <w:rsid w:val="029F6982"/>
    <w:rsid w:val="02A436FD"/>
    <w:rsid w:val="02AB3EA4"/>
    <w:rsid w:val="02B60F08"/>
    <w:rsid w:val="02B9439E"/>
    <w:rsid w:val="02BC328B"/>
    <w:rsid w:val="02BE6390"/>
    <w:rsid w:val="02CB5098"/>
    <w:rsid w:val="02D935B6"/>
    <w:rsid w:val="02E3E377"/>
    <w:rsid w:val="02E7715E"/>
    <w:rsid w:val="02E7C3D9"/>
    <w:rsid w:val="02EB2B8F"/>
    <w:rsid w:val="02F46E2F"/>
    <w:rsid w:val="02FC76AA"/>
    <w:rsid w:val="030CE5DB"/>
    <w:rsid w:val="030DC2DA"/>
    <w:rsid w:val="030E3434"/>
    <w:rsid w:val="0312AB57"/>
    <w:rsid w:val="03285085"/>
    <w:rsid w:val="032D23E0"/>
    <w:rsid w:val="033CFD5A"/>
    <w:rsid w:val="0344BCC4"/>
    <w:rsid w:val="0348CE18"/>
    <w:rsid w:val="035602E5"/>
    <w:rsid w:val="03670E10"/>
    <w:rsid w:val="036AF1A1"/>
    <w:rsid w:val="036B2B19"/>
    <w:rsid w:val="0370CF46"/>
    <w:rsid w:val="037DDDEA"/>
    <w:rsid w:val="03832A34"/>
    <w:rsid w:val="0383FA44"/>
    <w:rsid w:val="039758E0"/>
    <w:rsid w:val="0398E64B"/>
    <w:rsid w:val="039EC358"/>
    <w:rsid w:val="03A206DF"/>
    <w:rsid w:val="03A2558A"/>
    <w:rsid w:val="03A47C66"/>
    <w:rsid w:val="03A4C15A"/>
    <w:rsid w:val="03A57FAD"/>
    <w:rsid w:val="03AC12FE"/>
    <w:rsid w:val="03AEE272"/>
    <w:rsid w:val="03AF2916"/>
    <w:rsid w:val="03AF9F67"/>
    <w:rsid w:val="03B0B9D1"/>
    <w:rsid w:val="03B136CD"/>
    <w:rsid w:val="03B17E25"/>
    <w:rsid w:val="03B3AF7C"/>
    <w:rsid w:val="03BE9D2B"/>
    <w:rsid w:val="03C0D7D4"/>
    <w:rsid w:val="03C2CDFF"/>
    <w:rsid w:val="03C662A4"/>
    <w:rsid w:val="03CA16A1"/>
    <w:rsid w:val="03CF29CD"/>
    <w:rsid w:val="03D4D85E"/>
    <w:rsid w:val="03D5A7CA"/>
    <w:rsid w:val="03D6062F"/>
    <w:rsid w:val="03DB328A"/>
    <w:rsid w:val="03DCD4A1"/>
    <w:rsid w:val="03DD6E5D"/>
    <w:rsid w:val="03E44B8C"/>
    <w:rsid w:val="03E769A4"/>
    <w:rsid w:val="03E93DD7"/>
    <w:rsid w:val="03F02340"/>
    <w:rsid w:val="03F0B863"/>
    <w:rsid w:val="03F4432B"/>
    <w:rsid w:val="03FACC11"/>
    <w:rsid w:val="04063B6C"/>
    <w:rsid w:val="040C0CEC"/>
    <w:rsid w:val="040C7874"/>
    <w:rsid w:val="041227F6"/>
    <w:rsid w:val="04144583"/>
    <w:rsid w:val="0417F57B"/>
    <w:rsid w:val="0419B909"/>
    <w:rsid w:val="041C36A6"/>
    <w:rsid w:val="041D5E52"/>
    <w:rsid w:val="04282C78"/>
    <w:rsid w:val="042BA07D"/>
    <w:rsid w:val="043F2306"/>
    <w:rsid w:val="0442B078"/>
    <w:rsid w:val="044D6F79"/>
    <w:rsid w:val="044F4B93"/>
    <w:rsid w:val="04539DE9"/>
    <w:rsid w:val="0453DC0F"/>
    <w:rsid w:val="04544791"/>
    <w:rsid w:val="0457771D"/>
    <w:rsid w:val="046882A8"/>
    <w:rsid w:val="0471EF9C"/>
    <w:rsid w:val="0472F24C"/>
    <w:rsid w:val="04735AAC"/>
    <w:rsid w:val="047638F6"/>
    <w:rsid w:val="047BA0C6"/>
    <w:rsid w:val="04832D15"/>
    <w:rsid w:val="04849D85"/>
    <w:rsid w:val="04850DEE"/>
    <w:rsid w:val="0485E54F"/>
    <w:rsid w:val="048ADB33"/>
    <w:rsid w:val="048D06B7"/>
    <w:rsid w:val="0490B691"/>
    <w:rsid w:val="0491F23E"/>
    <w:rsid w:val="04953FE0"/>
    <w:rsid w:val="0495802A"/>
    <w:rsid w:val="04961961"/>
    <w:rsid w:val="049D4F5C"/>
    <w:rsid w:val="04A263E7"/>
    <w:rsid w:val="04A2FC5B"/>
    <w:rsid w:val="04A33322"/>
    <w:rsid w:val="04A43E1F"/>
    <w:rsid w:val="04A4FCC3"/>
    <w:rsid w:val="04AA1EE5"/>
    <w:rsid w:val="04AF0A84"/>
    <w:rsid w:val="04BCE36E"/>
    <w:rsid w:val="04C4CE63"/>
    <w:rsid w:val="04C4CFF9"/>
    <w:rsid w:val="04CD0CC9"/>
    <w:rsid w:val="04D053EC"/>
    <w:rsid w:val="04D64835"/>
    <w:rsid w:val="04D86CCD"/>
    <w:rsid w:val="04DC311B"/>
    <w:rsid w:val="04E009B5"/>
    <w:rsid w:val="04E99A81"/>
    <w:rsid w:val="04EC1B87"/>
    <w:rsid w:val="0501E1A0"/>
    <w:rsid w:val="05025727"/>
    <w:rsid w:val="0503655E"/>
    <w:rsid w:val="0514F78B"/>
    <w:rsid w:val="0516CE99"/>
    <w:rsid w:val="0517E049"/>
    <w:rsid w:val="0519D0CA"/>
    <w:rsid w:val="051F2B0C"/>
    <w:rsid w:val="0521816C"/>
    <w:rsid w:val="05251F37"/>
    <w:rsid w:val="052796F9"/>
    <w:rsid w:val="052F6467"/>
    <w:rsid w:val="0534721D"/>
    <w:rsid w:val="053E04FE"/>
    <w:rsid w:val="05412247"/>
    <w:rsid w:val="0542F6C6"/>
    <w:rsid w:val="0545013D"/>
    <w:rsid w:val="05510917"/>
    <w:rsid w:val="055992C5"/>
    <w:rsid w:val="055A120C"/>
    <w:rsid w:val="055EC4E2"/>
    <w:rsid w:val="0568CC21"/>
    <w:rsid w:val="056C390F"/>
    <w:rsid w:val="0570A558"/>
    <w:rsid w:val="0570C224"/>
    <w:rsid w:val="05722995"/>
    <w:rsid w:val="057344AA"/>
    <w:rsid w:val="0578A596"/>
    <w:rsid w:val="057C4ED1"/>
    <w:rsid w:val="057D1717"/>
    <w:rsid w:val="0583B23B"/>
    <w:rsid w:val="058770AB"/>
    <w:rsid w:val="0589A48E"/>
    <w:rsid w:val="058B6706"/>
    <w:rsid w:val="058D832F"/>
    <w:rsid w:val="058FC1D6"/>
    <w:rsid w:val="05916279"/>
    <w:rsid w:val="0592B480"/>
    <w:rsid w:val="059468E1"/>
    <w:rsid w:val="059A7FF9"/>
    <w:rsid w:val="059AC111"/>
    <w:rsid w:val="059D4D53"/>
    <w:rsid w:val="05A17042"/>
    <w:rsid w:val="05A6668E"/>
    <w:rsid w:val="05A66A56"/>
    <w:rsid w:val="05ACE6B9"/>
    <w:rsid w:val="05AD0219"/>
    <w:rsid w:val="05AECA24"/>
    <w:rsid w:val="05AF1390"/>
    <w:rsid w:val="05AFAC72"/>
    <w:rsid w:val="05B0BAD9"/>
    <w:rsid w:val="05B2CA95"/>
    <w:rsid w:val="05BB94F4"/>
    <w:rsid w:val="05BBFD33"/>
    <w:rsid w:val="05BE7860"/>
    <w:rsid w:val="05C0F043"/>
    <w:rsid w:val="05C7222D"/>
    <w:rsid w:val="05CF0973"/>
    <w:rsid w:val="05CFD641"/>
    <w:rsid w:val="05D52374"/>
    <w:rsid w:val="05D82568"/>
    <w:rsid w:val="05D8C613"/>
    <w:rsid w:val="05D9CFCC"/>
    <w:rsid w:val="05DAA251"/>
    <w:rsid w:val="05E80D8B"/>
    <w:rsid w:val="05EB2CDE"/>
    <w:rsid w:val="05EEE10C"/>
    <w:rsid w:val="05EF9090"/>
    <w:rsid w:val="05F53D01"/>
    <w:rsid w:val="05FE00ED"/>
    <w:rsid w:val="060112DE"/>
    <w:rsid w:val="0602A586"/>
    <w:rsid w:val="060BD26D"/>
    <w:rsid w:val="060D98DD"/>
    <w:rsid w:val="060F5BD3"/>
    <w:rsid w:val="06118951"/>
    <w:rsid w:val="061D5D01"/>
    <w:rsid w:val="0624CD7F"/>
    <w:rsid w:val="0625092B"/>
    <w:rsid w:val="0628EB46"/>
    <w:rsid w:val="06336558"/>
    <w:rsid w:val="06338A65"/>
    <w:rsid w:val="0634158F"/>
    <w:rsid w:val="0634D1ED"/>
    <w:rsid w:val="0640E1E0"/>
    <w:rsid w:val="06430F15"/>
    <w:rsid w:val="06460F1E"/>
    <w:rsid w:val="0658C5DF"/>
    <w:rsid w:val="06625AB8"/>
    <w:rsid w:val="0664897A"/>
    <w:rsid w:val="06659BD9"/>
    <w:rsid w:val="067B4C9C"/>
    <w:rsid w:val="068C5B36"/>
    <w:rsid w:val="068FD2F4"/>
    <w:rsid w:val="0690269F"/>
    <w:rsid w:val="06984553"/>
    <w:rsid w:val="06A58B9C"/>
    <w:rsid w:val="06A7B6DA"/>
    <w:rsid w:val="06AE3908"/>
    <w:rsid w:val="06B0D109"/>
    <w:rsid w:val="06B89AA0"/>
    <w:rsid w:val="06BD3776"/>
    <w:rsid w:val="06BE7BE0"/>
    <w:rsid w:val="06C0DD51"/>
    <w:rsid w:val="06C3BDB7"/>
    <w:rsid w:val="06C6E104"/>
    <w:rsid w:val="06CAD27B"/>
    <w:rsid w:val="06CB225F"/>
    <w:rsid w:val="06CC8405"/>
    <w:rsid w:val="06D3B9E9"/>
    <w:rsid w:val="06DCB56E"/>
    <w:rsid w:val="06DDD797"/>
    <w:rsid w:val="06E61029"/>
    <w:rsid w:val="06E76CF2"/>
    <w:rsid w:val="06F045E2"/>
    <w:rsid w:val="06FAA36A"/>
    <w:rsid w:val="06FBF3A4"/>
    <w:rsid w:val="06FD1861"/>
    <w:rsid w:val="06FDD62D"/>
    <w:rsid w:val="07083D45"/>
    <w:rsid w:val="070A1FC2"/>
    <w:rsid w:val="070E4901"/>
    <w:rsid w:val="071003D6"/>
    <w:rsid w:val="071091F4"/>
    <w:rsid w:val="071B29DD"/>
    <w:rsid w:val="072905E5"/>
    <w:rsid w:val="072DA101"/>
    <w:rsid w:val="072EEB18"/>
    <w:rsid w:val="07306AE6"/>
    <w:rsid w:val="0731B886"/>
    <w:rsid w:val="0736BB72"/>
    <w:rsid w:val="074514A0"/>
    <w:rsid w:val="07478BFC"/>
    <w:rsid w:val="07486446"/>
    <w:rsid w:val="074B7F8B"/>
    <w:rsid w:val="0753F0CB"/>
    <w:rsid w:val="0757689B"/>
    <w:rsid w:val="075847EA"/>
    <w:rsid w:val="0769C8C6"/>
    <w:rsid w:val="076BCA25"/>
    <w:rsid w:val="0772AFF9"/>
    <w:rsid w:val="07753AE5"/>
    <w:rsid w:val="077DA4CB"/>
    <w:rsid w:val="0781E2FC"/>
    <w:rsid w:val="078DE91E"/>
    <w:rsid w:val="07927B9A"/>
    <w:rsid w:val="0793420B"/>
    <w:rsid w:val="07969F93"/>
    <w:rsid w:val="0799A3F0"/>
    <w:rsid w:val="079C0AC7"/>
    <w:rsid w:val="07A19C34"/>
    <w:rsid w:val="07A4CEDB"/>
    <w:rsid w:val="07A8AB19"/>
    <w:rsid w:val="07AA0AAF"/>
    <w:rsid w:val="07AD20DD"/>
    <w:rsid w:val="07B76CEC"/>
    <w:rsid w:val="07B85167"/>
    <w:rsid w:val="07BEE514"/>
    <w:rsid w:val="07BF0AFB"/>
    <w:rsid w:val="07C1B0A1"/>
    <w:rsid w:val="07CCFA29"/>
    <w:rsid w:val="07D2DAAB"/>
    <w:rsid w:val="07D7A155"/>
    <w:rsid w:val="07D7B854"/>
    <w:rsid w:val="07D8CF1A"/>
    <w:rsid w:val="07D8D6BE"/>
    <w:rsid w:val="07DA2D2E"/>
    <w:rsid w:val="07DB68B7"/>
    <w:rsid w:val="07DF6366"/>
    <w:rsid w:val="07E154A0"/>
    <w:rsid w:val="07E4EE5F"/>
    <w:rsid w:val="07E56C75"/>
    <w:rsid w:val="07E75F94"/>
    <w:rsid w:val="07EA7D0A"/>
    <w:rsid w:val="07EE3E83"/>
    <w:rsid w:val="07EE9D90"/>
    <w:rsid w:val="07F45E1B"/>
    <w:rsid w:val="07F7F2AC"/>
    <w:rsid w:val="08003E8A"/>
    <w:rsid w:val="080B5525"/>
    <w:rsid w:val="080B619E"/>
    <w:rsid w:val="0819B104"/>
    <w:rsid w:val="0822ACDB"/>
    <w:rsid w:val="082CC26A"/>
    <w:rsid w:val="082CE7FA"/>
    <w:rsid w:val="0843F9FC"/>
    <w:rsid w:val="08493985"/>
    <w:rsid w:val="084FC457"/>
    <w:rsid w:val="08543A61"/>
    <w:rsid w:val="085599F1"/>
    <w:rsid w:val="0857EAE0"/>
    <w:rsid w:val="0858D3C7"/>
    <w:rsid w:val="0864D8EA"/>
    <w:rsid w:val="087F6597"/>
    <w:rsid w:val="087FD2D4"/>
    <w:rsid w:val="08836F1F"/>
    <w:rsid w:val="088DF37D"/>
    <w:rsid w:val="089002D4"/>
    <w:rsid w:val="089154F9"/>
    <w:rsid w:val="0891E4D6"/>
    <w:rsid w:val="089224ED"/>
    <w:rsid w:val="0894AA5E"/>
    <w:rsid w:val="0897D4DB"/>
    <w:rsid w:val="08A53256"/>
    <w:rsid w:val="08A62CB4"/>
    <w:rsid w:val="08A6AA9C"/>
    <w:rsid w:val="08ABA164"/>
    <w:rsid w:val="08B1DE04"/>
    <w:rsid w:val="08B292CD"/>
    <w:rsid w:val="08B43F38"/>
    <w:rsid w:val="08B618F0"/>
    <w:rsid w:val="08BA33DB"/>
    <w:rsid w:val="08CD9CD4"/>
    <w:rsid w:val="08D08CDE"/>
    <w:rsid w:val="08D704F9"/>
    <w:rsid w:val="08E494B3"/>
    <w:rsid w:val="08E60CFA"/>
    <w:rsid w:val="08E9062F"/>
    <w:rsid w:val="08EFED86"/>
    <w:rsid w:val="08F10527"/>
    <w:rsid w:val="08F2AEAB"/>
    <w:rsid w:val="08F534F5"/>
    <w:rsid w:val="08F9BD1E"/>
    <w:rsid w:val="08FAEB11"/>
    <w:rsid w:val="08FD34A9"/>
    <w:rsid w:val="08FEFEDF"/>
    <w:rsid w:val="0900297D"/>
    <w:rsid w:val="090551D0"/>
    <w:rsid w:val="090D1B5C"/>
    <w:rsid w:val="090F8A5F"/>
    <w:rsid w:val="090FCC9E"/>
    <w:rsid w:val="09157776"/>
    <w:rsid w:val="091C8222"/>
    <w:rsid w:val="091D1EAD"/>
    <w:rsid w:val="092A0790"/>
    <w:rsid w:val="092B809B"/>
    <w:rsid w:val="092CF2F6"/>
    <w:rsid w:val="092D4CF3"/>
    <w:rsid w:val="0932A4CC"/>
    <w:rsid w:val="0933EB08"/>
    <w:rsid w:val="0934B9F3"/>
    <w:rsid w:val="0935D4D6"/>
    <w:rsid w:val="0947B5BD"/>
    <w:rsid w:val="094E60C4"/>
    <w:rsid w:val="094FF30E"/>
    <w:rsid w:val="0951AC56"/>
    <w:rsid w:val="09539276"/>
    <w:rsid w:val="0961D1A8"/>
    <w:rsid w:val="0966F079"/>
    <w:rsid w:val="09796CBB"/>
    <w:rsid w:val="097CA5C4"/>
    <w:rsid w:val="097EE9E6"/>
    <w:rsid w:val="09828053"/>
    <w:rsid w:val="0994AE9E"/>
    <w:rsid w:val="099A9335"/>
    <w:rsid w:val="099EA1D6"/>
    <w:rsid w:val="09AFE235"/>
    <w:rsid w:val="09B5975E"/>
    <w:rsid w:val="09B9C856"/>
    <w:rsid w:val="09BA9E90"/>
    <w:rsid w:val="09BB646D"/>
    <w:rsid w:val="09CA02AE"/>
    <w:rsid w:val="09CB1592"/>
    <w:rsid w:val="09D5330D"/>
    <w:rsid w:val="09E33CF2"/>
    <w:rsid w:val="09E5A9B3"/>
    <w:rsid w:val="09E7841B"/>
    <w:rsid w:val="09E8BBFE"/>
    <w:rsid w:val="09EE4E5E"/>
    <w:rsid w:val="09F64AE8"/>
    <w:rsid w:val="09FA173A"/>
    <w:rsid w:val="09FA6EA0"/>
    <w:rsid w:val="09FC2D97"/>
    <w:rsid w:val="09FF6922"/>
    <w:rsid w:val="0A02ADA9"/>
    <w:rsid w:val="0A043288"/>
    <w:rsid w:val="0A09BFFD"/>
    <w:rsid w:val="0A1103B7"/>
    <w:rsid w:val="0A1E4D05"/>
    <w:rsid w:val="0A1F330B"/>
    <w:rsid w:val="0A275580"/>
    <w:rsid w:val="0A290A30"/>
    <w:rsid w:val="0A29D0C7"/>
    <w:rsid w:val="0A2C177D"/>
    <w:rsid w:val="0A2DB2ED"/>
    <w:rsid w:val="0A32A2F6"/>
    <w:rsid w:val="0A362FD5"/>
    <w:rsid w:val="0A3C0BB3"/>
    <w:rsid w:val="0A49E161"/>
    <w:rsid w:val="0A4E5A98"/>
    <w:rsid w:val="0A4F6FC3"/>
    <w:rsid w:val="0A527E73"/>
    <w:rsid w:val="0A563F8A"/>
    <w:rsid w:val="0A5BEB9D"/>
    <w:rsid w:val="0A6299BC"/>
    <w:rsid w:val="0A724FCD"/>
    <w:rsid w:val="0A77CB11"/>
    <w:rsid w:val="0A7B9D66"/>
    <w:rsid w:val="0A7BD3E9"/>
    <w:rsid w:val="0A8059A4"/>
    <w:rsid w:val="0A88B7A0"/>
    <w:rsid w:val="0A97B848"/>
    <w:rsid w:val="0AA5FB9E"/>
    <w:rsid w:val="0AA8A0B1"/>
    <w:rsid w:val="0AADE2EB"/>
    <w:rsid w:val="0AB15027"/>
    <w:rsid w:val="0AB34C82"/>
    <w:rsid w:val="0ABB27C3"/>
    <w:rsid w:val="0ABCA4F9"/>
    <w:rsid w:val="0AC3156F"/>
    <w:rsid w:val="0AC3B75C"/>
    <w:rsid w:val="0AC97426"/>
    <w:rsid w:val="0ACF3310"/>
    <w:rsid w:val="0AD11F65"/>
    <w:rsid w:val="0AD1281A"/>
    <w:rsid w:val="0AD3C47C"/>
    <w:rsid w:val="0AD5D20F"/>
    <w:rsid w:val="0AD77118"/>
    <w:rsid w:val="0AD9E78E"/>
    <w:rsid w:val="0ADB27DB"/>
    <w:rsid w:val="0ADD9FA0"/>
    <w:rsid w:val="0AEF196E"/>
    <w:rsid w:val="0AF089DE"/>
    <w:rsid w:val="0AF15FBD"/>
    <w:rsid w:val="0AF1B33D"/>
    <w:rsid w:val="0AFA09FA"/>
    <w:rsid w:val="0AFF4E37"/>
    <w:rsid w:val="0B055D78"/>
    <w:rsid w:val="0B0E8BBB"/>
    <w:rsid w:val="0B14B889"/>
    <w:rsid w:val="0B1F9D20"/>
    <w:rsid w:val="0B229E57"/>
    <w:rsid w:val="0B25F94E"/>
    <w:rsid w:val="0B28CC17"/>
    <w:rsid w:val="0B2BC111"/>
    <w:rsid w:val="0B2C4D2B"/>
    <w:rsid w:val="0B3055A7"/>
    <w:rsid w:val="0B32B0B7"/>
    <w:rsid w:val="0B34CE19"/>
    <w:rsid w:val="0B3B97DB"/>
    <w:rsid w:val="0B3E6081"/>
    <w:rsid w:val="0B3F03D6"/>
    <w:rsid w:val="0B414BBC"/>
    <w:rsid w:val="0B431C9B"/>
    <w:rsid w:val="0B4C07F8"/>
    <w:rsid w:val="0B4C0D02"/>
    <w:rsid w:val="0B5AF4C6"/>
    <w:rsid w:val="0B5BF168"/>
    <w:rsid w:val="0B5F53A5"/>
    <w:rsid w:val="0B60B1F0"/>
    <w:rsid w:val="0B6B426E"/>
    <w:rsid w:val="0B6F9B79"/>
    <w:rsid w:val="0B72ACD7"/>
    <w:rsid w:val="0B8095BF"/>
    <w:rsid w:val="0B80E82D"/>
    <w:rsid w:val="0B843360"/>
    <w:rsid w:val="0B851821"/>
    <w:rsid w:val="0B90C25B"/>
    <w:rsid w:val="0B929B39"/>
    <w:rsid w:val="0B96E678"/>
    <w:rsid w:val="0B9DED4F"/>
    <w:rsid w:val="0BA1D34D"/>
    <w:rsid w:val="0BA3D944"/>
    <w:rsid w:val="0BA6666E"/>
    <w:rsid w:val="0BA86CD8"/>
    <w:rsid w:val="0BA8C9D1"/>
    <w:rsid w:val="0BAB423E"/>
    <w:rsid w:val="0BC0630D"/>
    <w:rsid w:val="0BC3A2FE"/>
    <w:rsid w:val="0BC4A143"/>
    <w:rsid w:val="0BC4D848"/>
    <w:rsid w:val="0BCCD03B"/>
    <w:rsid w:val="0BD8D56D"/>
    <w:rsid w:val="0BDFDEC3"/>
    <w:rsid w:val="0BE5CDFF"/>
    <w:rsid w:val="0BEC72BB"/>
    <w:rsid w:val="0BEFA4B2"/>
    <w:rsid w:val="0C0789D1"/>
    <w:rsid w:val="0C0F84CA"/>
    <w:rsid w:val="0C116008"/>
    <w:rsid w:val="0C1184F1"/>
    <w:rsid w:val="0C125C2D"/>
    <w:rsid w:val="0C14D211"/>
    <w:rsid w:val="0C1D9159"/>
    <w:rsid w:val="0C22DCA4"/>
    <w:rsid w:val="0C259C88"/>
    <w:rsid w:val="0C2A8344"/>
    <w:rsid w:val="0C2C0552"/>
    <w:rsid w:val="0C362FDF"/>
    <w:rsid w:val="0C39E725"/>
    <w:rsid w:val="0C3D8307"/>
    <w:rsid w:val="0C3DF187"/>
    <w:rsid w:val="0C426EB7"/>
    <w:rsid w:val="0C441F0B"/>
    <w:rsid w:val="0C46C8FD"/>
    <w:rsid w:val="0C4A9971"/>
    <w:rsid w:val="0C4ADAFB"/>
    <w:rsid w:val="0C4DCCA3"/>
    <w:rsid w:val="0C5289A3"/>
    <w:rsid w:val="0C54429A"/>
    <w:rsid w:val="0C54A925"/>
    <w:rsid w:val="0C54B347"/>
    <w:rsid w:val="0C592838"/>
    <w:rsid w:val="0C5F5B32"/>
    <w:rsid w:val="0C61049C"/>
    <w:rsid w:val="0C63BC00"/>
    <w:rsid w:val="0C6589AF"/>
    <w:rsid w:val="0C66DD8B"/>
    <w:rsid w:val="0C676F32"/>
    <w:rsid w:val="0C67D5A2"/>
    <w:rsid w:val="0C69C324"/>
    <w:rsid w:val="0C6F1DB3"/>
    <w:rsid w:val="0C703612"/>
    <w:rsid w:val="0C76775B"/>
    <w:rsid w:val="0C7870E5"/>
    <w:rsid w:val="0C7D4089"/>
    <w:rsid w:val="0C82E4DB"/>
    <w:rsid w:val="0C8CA124"/>
    <w:rsid w:val="0C923338"/>
    <w:rsid w:val="0C9F8DCF"/>
    <w:rsid w:val="0C9FB343"/>
    <w:rsid w:val="0CB319AA"/>
    <w:rsid w:val="0CB4292C"/>
    <w:rsid w:val="0CB6B41D"/>
    <w:rsid w:val="0CB73DA1"/>
    <w:rsid w:val="0CBB717E"/>
    <w:rsid w:val="0CBE52AB"/>
    <w:rsid w:val="0CC126DC"/>
    <w:rsid w:val="0CC96A5D"/>
    <w:rsid w:val="0CD269DD"/>
    <w:rsid w:val="0CE6BCE0"/>
    <w:rsid w:val="0CEEC28C"/>
    <w:rsid w:val="0CF86248"/>
    <w:rsid w:val="0CF92C8D"/>
    <w:rsid w:val="0D02056E"/>
    <w:rsid w:val="0D0734C1"/>
    <w:rsid w:val="0D093473"/>
    <w:rsid w:val="0D0AE76A"/>
    <w:rsid w:val="0D0DDBF9"/>
    <w:rsid w:val="0D0F8352"/>
    <w:rsid w:val="0D106060"/>
    <w:rsid w:val="0D12B9D1"/>
    <w:rsid w:val="0D183912"/>
    <w:rsid w:val="0D1852EA"/>
    <w:rsid w:val="0D1A1816"/>
    <w:rsid w:val="0D20CD2B"/>
    <w:rsid w:val="0D22BD37"/>
    <w:rsid w:val="0D244E37"/>
    <w:rsid w:val="0D27D97E"/>
    <w:rsid w:val="0D32831B"/>
    <w:rsid w:val="0D33E299"/>
    <w:rsid w:val="0D3A8950"/>
    <w:rsid w:val="0D4648E3"/>
    <w:rsid w:val="0D46F0E2"/>
    <w:rsid w:val="0D4BF989"/>
    <w:rsid w:val="0D514BB9"/>
    <w:rsid w:val="0D53D29C"/>
    <w:rsid w:val="0D626018"/>
    <w:rsid w:val="0D632B9D"/>
    <w:rsid w:val="0D6373F7"/>
    <w:rsid w:val="0D648CCA"/>
    <w:rsid w:val="0D79699B"/>
    <w:rsid w:val="0D7CAF2C"/>
    <w:rsid w:val="0D83E379"/>
    <w:rsid w:val="0D86F5D3"/>
    <w:rsid w:val="0D88038A"/>
    <w:rsid w:val="0D8D3BAA"/>
    <w:rsid w:val="0DA5FAE9"/>
    <w:rsid w:val="0DABFCEF"/>
    <w:rsid w:val="0DB26935"/>
    <w:rsid w:val="0DB7240C"/>
    <w:rsid w:val="0DB8BDB7"/>
    <w:rsid w:val="0DBD6165"/>
    <w:rsid w:val="0DC0C9BA"/>
    <w:rsid w:val="0DC3AB7D"/>
    <w:rsid w:val="0DC96B35"/>
    <w:rsid w:val="0DCB0406"/>
    <w:rsid w:val="0DD8B7A6"/>
    <w:rsid w:val="0DDB6AC7"/>
    <w:rsid w:val="0DDBF364"/>
    <w:rsid w:val="0DE431B2"/>
    <w:rsid w:val="0DE62EDC"/>
    <w:rsid w:val="0DE75502"/>
    <w:rsid w:val="0DE85BB9"/>
    <w:rsid w:val="0DE9BF3B"/>
    <w:rsid w:val="0DED98ED"/>
    <w:rsid w:val="0DEFC5B0"/>
    <w:rsid w:val="0DF0B351"/>
    <w:rsid w:val="0DF17832"/>
    <w:rsid w:val="0DF5D737"/>
    <w:rsid w:val="0DF99EF2"/>
    <w:rsid w:val="0E02D9B8"/>
    <w:rsid w:val="0E07EE9F"/>
    <w:rsid w:val="0E0A2F57"/>
    <w:rsid w:val="0E0C0F26"/>
    <w:rsid w:val="0E0CA32D"/>
    <w:rsid w:val="0E151158"/>
    <w:rsid w:val="0E1AECD9"/>
    <w:rsid w:val="0E27B86A"/>
    <w:rsid w:val="0E280850"/>
    <w:rsid w:val="0E30B68C"/>
    <w:rsid w:val="0E3FFE8D"/>
    <w:rsid w:val="0E42E79E"/>
    <w:rsid w:val="0E45CB1A"/>
    <w:rsid w:val="0E4D7FFD"/>
    <w:rsid w:val="0E4DD9FD"/>
    <w:rsid w:val="0E55C7C0"/>
    <w:rsid w:val="0E5609D2"/>
    <w:rsid w:val="0E575642"/>
    <w:rsid w:val="0E57C98D"/>
    <w:rsid w:val="0E5E3FEA"/>
    <w:rsid w:val="0E5F766D"/>
    <w:rsid w:val="0E798ECB"/>
    <w:rsid w:val="0E7F4EA7"/>
    <w:rsid w:val="0E7FDF36"/>
    <w:rsid w:val="0E811B03"/>
    <w:rsid w:val="0E83DD12"/>
    <w:rsid w:val="0E873C93"/>
    <w:rsid w:val="0E87A7BB"/>
    <w:rsid w:val="0E88ED9C"/>
    <w:rsid w:val="0E8BF68D"/>
    <w:rsid w:val="0E8C8636"/>
    <w:rsid w:val="0E90ED71"/>
    <w:rsid w:val="0E9431B2"/>
    <w:rsid w:val="0E94E5EE"/>
    <w:rsid w:val="0E94E724"/>
    <w:rsid w:val="0E988C45"/>
    <w:rsid w:val="0E9F3274"/>
    <w:rsid w:val="0EA4AB14"/>
    <w:rsid w:val="0EAA0CFE"/>
    <w:rsid w:val="0EADD874"/>
    <w:rsid w:val="0EB5F896"/>
    <w:rsid w:val="0EB6D91A"/>
    <w:rsid w:val="0EB7EDED"/>
    <w:rsid w:val="0EB8B1EA"/>
    <w:rsid w:val="0EBA7121"/>
    <w:rsid w:val="0EBB9E3C"/>
    <w:rsid w:val="0ED3A6D1"/>
    <w:rsid w:val="0EDBBF01"/>
    <w:rsid w:val="0EE0647B"/>
    <w:rsid w:val="0EE1B27E"/>
    <w:rsid w:val="0EE50AA4"/>
    <w:rsid w:val="0EE677B9"/>
    <w:rsid w:val="0EEC5F23"/>
    <w:rsid w:val="0EF14CFC"/>
    <w:rsid w:val="0EF5EEE5"/>
    <w:rsid w:val="0EFCE708"/>
    <w:rsid w:val="0EFD6109"/>
    <w:rsid w:val="0F01C8DE"/>
    <w:rsid w:val="0F17EA48"/>
    <w:rsid w:val="0F1C9D35"/>
    <w:rsid w:val="0F2139CE"/>
    <w:rsid w:val="0F3E931B"/>
    <w:rsid w:val="0F499BCC"/>
    <w:rsid w:val="0F4D38AE"/>
    <w:rsid w:val="0F4D447F"/>
    <w:rsid w:val="0F503E2C"/>
    <w:rsid w:val="0F53CA44"/>
    <w:rsid w:val="0F54AA11"/>
    <w:rsid w:val="0F565D35"/>
    <w:rsid w:val="0F5724AE"/>
    <w:rsid w:val="0F58F702"/>
    <w:rsid w:val="0F5A80AA"/>
    <w:rsid w:val="0F5F6C98"/>
    <w:rsid w:val="0F653B96"/>
    <w:rsid w:val="0F6C5A32"/>
    <w:rsid w:val="0F6DEE1D"/>
    <w:rsid w:val="0F708845"/>
    <w:rsid w:val="0F7D9EFC"/>
    <w:rsid w:val="0F89C04E"/>
    <w:rsid w:val="0F8AB7DF"/>
    <w:rsid w:val="0F8D517A"/>
    <w:rsid w:val="0F8E39E2"/>
    <w:rsid w:val="0FA06E93"/>
    <w:rsid w:val="0FA48D7B"/>
    <w:rsid w:val="0FA4E7FF"/>
    <w:rsid w:val="0FA5D464"/>
    <w:rsid w:val="0FA60A87"/>
    <w:rsid w:val="0FAFEBCA"/>
    <w:rsid w:val="0FB1729C"/>
    <w:rsid w:val="0FB4A3C8"/>
    <w:rsid w:val="0FB7237E"/>
    <w:rsid w:val="0FC52910"/>
    <w:rsid w:val="0FC98D8E"/>
    <w:rsid w:val="0FCCD564"/>
    <w:rsid w:val="0FCF4649"/>
    <w:rsid w:val="0FDEEEB7"/>
    <w:rsid w:val="0FE5612B"/>
    <w:rsid w:val="0FE70F87"/>
    <w:rsid w:val="0FEAFB9B"/>
    <w:rsid w:val="0FEC9A8B"/>
    <w:rsid w:val="0FEF9AB2"/>
    <w:rsid w:val="0FF194E9"/>
    <w:rsid w:val="0FF5957A"/>
    <w:rsid w:val="0FF5A7BB"/>
    <w:rsid w:val="1000CE4E"/>
    <w:rsid w:val="1005F0CA"/>
    <w:rsid w:val="1007833D"/>
    <w:rsid w:val="1019AFB8"/>
    <w:rsid w:val="10230867"/>
    <w:rsid w:val="1026F4A9"/>
    <w:rsid w:val="1027F330"/>
    <w:rsid w:val="102B4207"/>
    <w:rsid w:val="102F1A53"/>
    <w:rsid w:val="10371ECE"/>
    <w:rsid w:val="10514DC7"/>
    <w:rsid w:val="1056A6A1"/>
    <w:rsid w:val="105E221D"/>
    <w:rsid w:val="105F7CD0"/>
    <w:rsid w:val="106293B1"/>
    <w:rsid w:val="1063195F"/>
    <w:rsid w:val="10632927"/>
    <w:rsid w:val="10661343"/>
    <w:rsid w:val="106EAD6A"/>
    <w:rsid w:val="10712C03"/>
    <w:rsid w:val="1077AAF5"/>
    <w:rsid w:val="1080A219"/>
    <w:rsid w:val="1081DB15"/>
    <w:rsid w:val="1083277D"/>
    <w:rsid w:val="108837AA"/>
    <w:rsid w:val="108DE2BC"/>
    <w:rsid w:val="109456FA"/>
    <w:rsid w:val="109606E6"/>
    <w:rsid w:val="109A4217"/>
    <w:rsid w:val="109F8461"/>
    <w:rsid w:val="10A89523"/>
    <w:rsid w:val="10A9E87E"/>
    <w:rsid w:val="10B2BCD0"/>
    <w:rsid w:val="10B35EBB"/>
    <w:rsid w:val="10B46CD9"/>
    <w:rsid w:val="10B927B3"/>
    <w:rsid w:val="10BA884E"/>
    <w:rsid w:val="10D30E8A"/>
    <w:rsid w:val="10D31149"/>
    <w:rsid w:val="10D7C626"/>
    <w:rsid w:val="10DE6166"/>
    <w:rsid w:val="10DED9A9"/>
    <w:rsid w:val="10E08D07"/>
    <w:rsid w:val="10E7F185"/>
    <w:rsid w:val="10E8C0E7"/>
    <w:rsid w:val="10E8C769"/>
    <w:rsid w:val="10EA1B14"/>
    <w:rsid w:val="10ECF7AD"/>
    <w:rsid w:val="10ED1491"/>
    <w:rsid w:val="10ED9143"/>
    <w:rsid w:val="10F58C24"/>
    <w:rsid w:val="10F6A681"/>
    <w:rsid w:val="10FA519F"/>
    <w:rsid w:val="10FC3050"/>
    <w:rsid w:val="10FC9751"/>
    <w:rsid w:val="11007092"/>
    <w:rsid w:val="11010BF7"/>
    <w:rsid w:val="110E988E"/>
    <w:rsid w:val="110F7222"/>
    <w:rsid w:val="1119CAC5"/>
    <w:rsid w:val="111B6690"/>
    <w:rsid w:val="111F1296"/>
    <w:rsid w:val="11201873"/>
    <w:rsid w:val="11268365"/>
    <w:rsid w:val="11274141"/>
    <w:rsid w:val="1127F6ED"/>
    <w:rsid w:val="112A0A43"/>
    <w:rsid w:val="112EF07B"/>
    <w:rsid w:val="1135D637"/>
    <w:rsid w:val="113AF340"/>
    <w:rsid w:val="114165F4"/>
    <w:rsid w:val="11468896"/>
    <w:rsid w:val="11480C80"/>
    <w:rsid w:val="115401BB"/>
    <w:rsid w:val="1156F8CA"/>
    <w:rsid w:val="1164999F"/>
    <w:rsid w:val="1166067C"/>
    <w:rsid w:val="116D738E"/>
    <w:rsid w:val="116F43E1"/>
    <w:rsid w:val="1176F359"/>
    <w:rsid w:val="1178D09E"/>
    <w:rsid w:val="117D1985"/>
    <w:rsid w:val="11886D05"/>
    <w:rsid w:val="119377FF"/>
    <w:rsid w:val="1195BEFA"/>
    <w:rsid w:val="119F5D07"/>
    <w:rsid w:val="11AAFEEC"/>
    <w:rsid w:val="11BDD942"/>
    <w:rsid w:val="11C89E8A"/>
    <w:rsid w:val="11CD04AA"/>
    <w:rsid w:val="11D71A6D"/>
    <w:rsid w:val="11D97C35"/>
    <w:rsid w:val="11DAE8C2"/>
    <w:rsid w:val="11DDE22C"/>
    <w:rsid w:val="11DE717E"/>
    <w:rsid w:val="11E2C7B2"/>
    <w:rsid w:val="11E35F57"/>
    <w:rsid w:val="11E64942"/>
    <w:rsid w:val="11EB71E4"/>
    <w:rsid w:val="11EB7222"/>
    <w:rsid w:val="11EBA607"/>
    <w:rsid w:val="11F6EB08"/>
    <w:rsid w:val="11FBBCEF"/>
    <w:rsid w:val="11FE98C7"/>
    <w:rsid w:val="11FEA662"/>
    <w:rsid w:val="11FF63E1"/>
    <w:rsid w:val="12013E37"/>
    <w:rsid w:val="1206C174"/>
    <w:rsid w:val="12089022"/>
    <w:rsid w:val="120A6E03"/>
    <w:rsid w:val="120F8F72"/>
    <w:rsid w:val="120FE5E1"/>
    <w:rsid w:val="121218E1"/>
    <w:rsid w:val="121F7782"/>
    <w:rsid w:val="12237AEE"/>
    <w:rsid w:val="1226B62F"/>
    <w:rsid w:val="1229C987"/>
    <w:rsid w:val="122F806B"/>
    <w:rsid w:val="123093C8"/>
    <w:rsid w:val="12309A44"/>
    <w:rsid w:val="1232390D"/>
    <w:rsid w:val="1232BE14"/>
    <w:rsid w:val="12333ED2"/>
    <w:rsid w:val="12346C0C"/>
    <w:rsid w:val="1238F4C3"/>
    <w:rsid w:val="1241594B"/>
    <w:rsid w:val="12442830"/>
    <w:rsid w:val="124A43E9"/>
    <w:rsid w:val="124D9913"/>
    <w:rsid w:val="124F5DBA"/>
    <w:rsid w:val="1251F9C9"/>
    <w:rsid w:val="1252F668"/>
    <w:rsid w:val="1257D57F"/>
    <w:rsid w:val="125A4262"/>
    <w:rsid w:val="1260B8E9"/>
    <w:rsid w:val="12620AD7"/>
    <w:rsid w:val="1265A683"/>
    <w:rsid w:val="1268C4F9"/>
    <w:rsid w:val="12697139"/>
    <w:rsid w:val="12699E37"/>
    <w:rsid w:val="126E5CC2"/>
    <w:rsid w:val="1271DB49"/>
    <w:rsid w:val="1276B494"/>
    <w:rsid w:val="12790A88"/>
    <w:rsid w:val="127E3F85"/>
    <w:rsid w:val="128714E7"/>
    <w:rsid w:val="1289FCA5"/>
    <w:rsid w:val="128D91B2"/>
    <w:rsid w:val="1290C9A8"/>
    <w:rsid w:val="1292B348"/>
    <w:rsid w:val="129F1A38"/>
    <w:rsid w:val="12A650B6"/>
    <w:rsid w:val="12A7DF84"/>
    <w:rsid w:val="12A97A28"/>
    <w:rsid w:val="12AA6066"/>
    <w:rsid w:val="12B3E26B"/>
    <w:rsid w:val="12BC05A5"/>
    <w:rsid w:val="12BF1211"/>
    <w:rsid w:val="12C1DFD1"/>
    <w:rsid w:val="12C673E3"/>
    <w:rsid w:val="12C86EB9"/>
    <w:rsid w:val="12D7B593"/>
    <w:rsid w:val="12DC03B1"/>
    <w:rsid w:val="12DFE10E"/>
    <w:rsid w:val="12E176A3"/>
    <w:rsid w:val="12E4726A"/>
    <w:rsid w:val="12F80C82"/>
    <w:rsid w:val="12F9A95C"/>
    <w:rsid w:val="12FB774C"/>
    <w:rsid w:val="13012E50"/>
    <w:rsid w:val="130A66A3"/>
    <w:rsid w:val="130E6CC8"/>
    <w:rsid w:val="13110485"/>
    <w:rsid w:val="13131559"/>
    <w:rsid w:val="1318ECC7"/>
    <w:rsid w:val="131DAA99"/>
    <w:rsid w:val="131DCEC9"/>
    <w:rsid w:val="13209F2B"/>
    <w:rsid w:val="132656D5"/>
    <w:rsid w:val="132C969B"/>
    <w:rsid w:val="13303890"/>
    <w:rsid w:val="1331AF81"/>
    <w:rsid w:val="1336A7E0"/>
    <w:rsid w:val="133B9158"/>
    <w:rsid w:val="133FF5A8"/>
    <w:rsid w:val="1343FEE3"/>
    <w:rsid w:val="1346E9C7"/>
    <w:rsid w:val="13475053"/>
    <w:rsid w:val="134AFDA3"/>
    <w:rsid w:val="1350BC0E"/>
    <w:rsid w:val="13527875"/>
    <w:rsid w:val="1355BD31"/>
    <w:rsid w:val="135D08EF"/>
    <w:rsid w:val="135E09AF"/>
    <w:rsid w:val="13636D7E"/>
    <w:rsid w:val="13643E9F"/>
    <w:rsid w:val="1365961A"/>
    <w:rsid w:val="136ACD01"/>
    <w:rsid w:val="1372A2D0"/>
    <w:rsid w:val="1380CE2C"/>
    <w:rsid w:val="13831D14"/>
    <w:rsid w:val="13865303"/>
    <w:rsid w:val="1386CBFB"/>
    <w:rsid w:val="138C80BF"/>
    <w:rsid w:val="1393ED6F"/>
    <w:rsid w:val="139F9E2D"/>
    <w:rsid w:val="13A02EE5"/>
    <w:rsid w:val="13A8D0C7"/>
    <w:rsid w:val="13B89AB0"/>
    <w:rsid w:val="13BDF5BD"/>
    <w:rsid w:val="13C18F67"/>
    <w:rsid w:val="13C1E4C6"/>
    <w:rsid w:val="13C3B788"/>
    <w:rsid w:val="13C5F5CD"/>
    <w:rsid w:val="13C77DA9"/>
    <w:rsid w:val="13CBCCA6"/>
    <w:rsid w:val="13CC68ED"/>
    <w:rsid w:val="13D6FCAD"/>
    <w:rsid w:val="13DBDFF5"/>
    <w:rsid w:val="13DD29AC"/>
    <w:rsid w:val="13E0A4E1"/>
    <w:rsid w:val="13E48950"/>
    <w:rsid w:val="13E721F1"/>
    <w:rsid w:val="13F1C4A5"/>
    <w:rsid w:val="13F4CAAF"/>
    <w:rsid w:val="13FCA85D"/>
    <w:rsid w:val="14068CB8"/>
    <w:rsid w:val="14086A5D"/>
    <w:rsid w:val="140970E7"/>
    <w:rsid w:val="140C4C1E"/>
    <w:rsid w:val="140D9529"/>
    <w:rsid w:val="140FBC23"/>
    <w:rsid w:val="1424C3A4"/>
    <w:rsid w:val="1429949E"/>
    <w:rsid w:val="142E0106"/>
    <w:rsid w:val="14336269"/>
    <w:rsid w:val="143E7F86"/>
    <w:rsid w:val="144440AE"/>
    <w:rsid w:val="145059A8"/>
    <w:rsid w:val="14553331"/>
    <w:rsid w:val="1457CF23"/>
    <w:rsid w:val="1462998D"/>
    <w:rsid w:val="1465151E"/>
    <w:rsid w:val="146A657D"/>
    <w:rsid w:val="146B2A48"/>
    <w:rsid w:val="146C655F"/>
    <w:rsid w:val="146DF72D"/>
    <w:rsid w:val="14747AAF"/>
    <w:rsid w:val="147C9A0B"/>
    <w:rsid w:val="14853173"/>
    <w:rsid w:val="148D0B3D"/>
    <w:rsid w:val="148E1BDC"/>
    <w:rsid w:val="149181DA"/>
    <w:rsid w:val="1491F5BF"/>
    <w:rsid w:val="14946F1B"/>
    <w:rsid w:val="149882B4"/>
    <w:rsid w:val="14B2B0FA"/>
    <w:rsid w:val="14B48706"/>
    <w:rsid w:val="14BB6CCC"/>
    <w:rsid w:val="14BBBE3B"/>
    <w:rsid w:val="14BD8D34"/>
    <w:rsid w:val="14BFEE3C"/>
    <w:rsid w:val="14CA4BA8"/>
    <w:rsid w:val="14CC0EE1"/>
    <w:rsid w:val="14E21892"/>
    <w:rsid w:val="14E407A3"/>
    <w:rsid w:val="14E4352F"/>
    <w:rsid w:val="14E57B0F"/>
    <w:rsid w:val="14E7F2DA"/>
    <w:rsid w:val="14EF6BF3"/>
    <w:rsid w:val="14F2CA5C"/>
    <w:rsid w:val="14F562AF"/>
    <w:rsid w:val="14FB34F5"/>
    <w:rsid w:val="14FBF4CB"/>
    <w:rsid w:val="14FE00D6"/>
    <w:rsid w:val="15094759"/>
    <w:rsid w:val="150E8464"/>
    <w:rsid w:val="1520A26B"/>
    <w:rsid w:val="152D814C"/>
    <w:rsid w:val="152E6E65"/>
    <w:rsid w:val="1530C661"/>
    <w:rsid w:val="1534F213"/>
    <w:rsid w:val="15388BB2"/>
    <w:rsid w:val="1539C80E"/>
    <w:rsid w:val="153BCD2C"/>
    <w:rsid w:val="153DEA99"/>
    <w:rsid w:val="153EE124"/>
    <w:rsid w:val="153F2F1C"/>
    <w:rsid w:val="153FC55A"/>
    <w:rsid w:val="154410B6"/>
    <w:rsid w:val="154557BA"/>
    <w:rsid w:val="15464182"/>
    <w:rsid w:val="1546EC39"/>
    <w:rsid w:val="154E41AC"/>
    <w:rsid w:val="154E9A03"/>
    <w:rsid w:val="155162DE"/>
    <w:rsid w:val="1552836D"/>
    <w:rsid w:val="155A0B51"/>
    <w:rsid w:val="155FCCCD"/>
    <w:rsid w:val="15633597"/>
    <w:rsid w:val="156E9130"/>
    <w:rsid w:val="15708A95"/>
    <w:rsid w:val="157286D1"/>
    <w:rsid w:val="1574570B"/>
    <w:rsid w:val="157ECAB7"/>
    <w:rsid w:val="158595D9"/>
    <w:rsid w:val="1585D078"/>
    <w:rsid w:val="1588F679"/>
    <w:rsid w:val="158A1DD7"/>
    <w:rsid w:val="158A4EA9"/>
    <w:rsid w:val="158B8930"/>
    <w:rsid w:val="15918711"/>
    <w:rsid w:val="15918A10"/>
    <w:rsid w:val="159EF8C5"/>
    <w:rsid w:val="15A1548D"/>
    <w:rsid w:val="15A22363"/>
    <w:rsid w:val="15A309AD"/>
    <w:rsid w:val="15B0A8AE"/>
    <w:rsid w:val="15B28680"/>
    <w:rsid w:val="15B54340"/>
    <w:rsid w:val="15C3EA07"/>
    <w:rsid w:val="15C82AF1"/>
    <w:rsid w:val="15C9064A"/>
    <w:rsid w:val="15C99350"/>
    <w:rsid w:val="15CED8AA"/>
    <w:rsid w:val="15CF9831"/>
    <w:rsid w:val="15DB70F5"/>
    <w:rsid w:val="15DC5AC2"/>
    <w:rsid w:val="15DD139B"/>
    <w:rsid w:val="15DFFE4A"/>
    <w:rsid w:val="15E05DF4"/>
    <w:rsid w:val="15F0E892"/>
    <w:rsid w:val="15F1A820"/>
    <w:rsid w:val="15F2A10D"/>
    <w:rsid w:val="15F33518"/>
    <w:rsid w:val="15F4EA3E"/>
    <w:rsid w:val="15F793E8"/>
    <w:rsid w:val="15FFF102"/>
    <w:rsid w:val="160D32A7"/>
    <w:rsid w:val="1610127C"/>
    <w:rsid w:val="16131E7D"/>
    <w:rsid w:val="162193F1"/>
    <w:rsid w:val="162849B8"/>
    <w:rsid w:val="1633BDFB"/>
    <w:rsid w:val="1633C8F8"/>
    <w:rsid w:val="16442194"/>
    <w:rsid w:val="16470714"/>
    <w:rsid w:val="164BFF6F"/>
    <w:rsid w:val="164E28B0"/>
    <w:rsid w:val="16588BEF"/>
    <w:rsid w:val="165EB868"/>
    <w:rsid w:val="166152B6"/>
    <w:rsid w:val="1665D745"/>
    <w:rsid w:val="16673D0E"/>
    <w:rsid w:val="16689788"/>
    <w:rsid w:val="16785F66"/>
    <w:rsid w:val="1678D44E"/>
    <w:rsid w:val="167F23E6"/>
    <w:rsid w:val="168296CA"/>
    <w:rsid w:val="16842DBD"/>
    <w:rsid w:val="168449C8"/>
    <w:rsid w:val="168806D2"/>
    <w:rsid w:val="1688D9EA"/>
    <w:rsid w:val="168D34E0"/>
    <w:rsid w:val="168D81C1"/>
    <w:rsid w:val="168E5C84"/>
    <w:rsid w:val="1690B031"/>
    <w:rsid w:val="16AA54C5"/>
    <w:rsid w:val="16AC13D3"/>
    <w:rsid w:val="16AFADBA"/>
    <w:rsid w:val="16BE4C8A"/>
    <w:rsid w:val="16C36A18"/>
    <w:rsid w:val="16D170FE"/>
    <w:rsid w:val="16D7C780"/>
    <w:rsid w:val="16DD4991"/>
    <w:rsid w:val="16E34AF0"/>
    <w:rsid w:val="16F12DE0"/>
    <w:rsid w:val="16F1CF13"/>
    <w:rsid w:val="16F33A22"/>
    <w:rsid w:val="16F43F85"/>
    <w:rsid w:val="16F8754D"/>
    <w:rsid w:val="16F9E9F6"/>
    <w:rsid w:val="16FBE4D8"/>
    <w:rsid w:val="16FF1EF8"/>
    <w:rsid w:val="1705464F"/>
    <w:rsid w:val="17079BE1"/>
    <w:rsid w:val="170DB40B"/>
    <w:rsid w:val="170E6E2C"/>
    <w:rsid w:val="1717BE64"/>
    <w:rsid w:val="171C2C5F"/>
    <w:rsid w:val="171D4EF1"/>
    <w:rsid w:val="171E0478"/>
    <w:rsid w:val="1728A83A"/>
    <w:rsid w:val="172B671C"/>
    <w:rsid w:val="172C5EE9"/>
    <w:rsid w:val="1730B132"/>
    <w:rsid w:val="173B0886"/>
    <w:rsid w:val="1740F811"/>
    <w:rsid w:val="1748B379"/>
    <w:rsid w:val="174A6F55"/>
    <w:rsid w:val="174B05C6"/>
    <w:rsid w:val="174CACF6"/>
    <w:rsid w:val="174CAE56"/>
    <w:rsid w:val="175007EE"/>
    <w:rsid w:val="175608C0"/>
    <w:rsid w:val="176F0F1B"/>
    <w:rsid w:val="177041B5"/>
    <w:rsid w:val="17708040"/>
    <w:rsid w:val="1775C656"/>
    <w:rsid w:val="178FFCB5"/>
    <w:rsid w:val="17908C62"/>
    <w:rsid w:val="1790F99A"/>
    <w:rsid w:val="17A415CE"/>
    <w:rsid w:val="17A57DDF"/>
    <w:rsid w:val="17AA9585"/>
    <w:rsid w:val="17AAD103"/>
    <w:rsid w:val="17B5E353"/>
    <w:rsid w:val="17B818FA"/>
    <w:rsid w:val="17B93D52"/>
    <w:rsid w:val="17B97229"/>
    <w:rsid w:val="17C1E1AE"/>
    <w:rsid w:val="17C6A26D"/>
    <w:rsid w:val="17D13E32"/>
    <w:rsid w:val="17D4A37A"/>
    <w:rsid w:val="17D585A4"/>
    <w:rsid w:val="17D5C63D"/>
    <w:rsid w:val="17E20D26"/>
    <w:rsid w:val="17E22923"/>
    <w:rsid w:val="17E99D8E"/>
    <w:rsid w:val="17F8C68E"/>
    <w:rsid w:val="17F9C0B5"/>
    <w:rsid w:val="17FD3099"/>
    <w:rsid w:val="17FED6D3"/>
    <w:rsid w:val="18012B0D"/>
    <w:rsid w:val="18066112"/>
    <w:rsid w:val="18072C01"/>
    <w:rsid w:val="180A307C"/>
    <w:rsid w:val="180AD4CD"/>
    <w:rsid w:val="180E350E"/>
    <w:rsid w:val="1811C170"/>
    <w:rsid w:val="18242C9A"/>
    <w:rsid w:val="182BDC41"/>
    <w:rsid w:val="1830C812"/>
    <w:rsid w:val="18317C59"/>
    <w:rsid w:val="183EBAF4"/>
    <w:rsid w:val="18473AA9"/>
    <w:rsid w:val="18499006"/>
    <w:rsid w:val="184BEADB"/>
    <w:rsid w:val="184D475E"/>
    <w:rsid w:val="1850ACA8"/>
    <w:rsid w:val="18574343"/>
    <w:rsid w:val="185AD086"/>
    <w:rsid w:val="185D5CFE"/>
    <w:rsid w:val="186DD368"/>
    <w:rsid w:val="186E5E4F"/>
    <w:rsid w:val="187211AA"/>
    <w:rsid w:val="18791591"/>
    <w:rsid w:val="187A4AFA"/>
    <w:rsid w:val="18804E9C"/>
    <w:rsid w:val="18845F70"/>
    <w:rsid w:val="188BDCA5"/>
    <w:rsid w:val="189B01D7"/>
    <w:rsid w:val="189ECA5E"/>
    <w:rsid w:val="189F3A62"/>
    <w:rsid w:val="18A6B959"/>
    <w:rsid w:val="18AA2793"/>
    <w:rsid w:val="18ABD291"/>
    <w:rsid w:val="18ABE0F5"/>
    <w:rsid w:val="18ADA848"/>
    <w:rsid w:val="18AE8005"/>
    <w:rsid w:val="18B0B44B"/>
    <w:rsid w:val="18B544E4"/>
    <w:rsid w:val="18BFB47F"/>
    <w:rsid w:val="18CCAB38"/>
    <w:rsid w:val="18D4EFB3"/>
    <w:rsid w:val="18D7D60E"/>
    <w:rsid w:val="18D8803B"/>
    <w:rsid w:val="18DD8506"/>
    <w:rsid w:val="18DF22E5"/>
    <w:rsid w:val="18E459AB"/>
    <w:rsid w:val="18E6EB9F"/>
    <w:rsid w:val="18E70888"/>
    <w:rsid w:val="18E8F393"/>
    <w:rsid w:val="18EF9853"/>
    <w:rsid w:val="18F1F481"/>
    <w:rsid w:val="18FA415F"/>
    <w:rsid w:val="18FF8710"/>
    <w:rsid w:val="1904715A"/>
    <w:rsid w:val="1913082A"/>
    <w:rsid w:val="1915A63B"/>
    <w:rsid w:val="1917C020"/>
    <w:rsid w:val="1917C31B"/>
    <w:rsid w:val="191C4E80"/>
    <w:rsid w:val="191D99D7"/>
    <w:rsid w:val="191F9F6A"/>
    <w:rsid w:val="1920CF04"/>
    <w:rsid w:val="1922CDBC"/>
    <w:rsid w:val="1922DEB7"/>
    <w:rsid w:val="1925354F"/>
    <w:rsid w:val="1925AE04"/>
    <w:rsid w:val="1929B802"/>
    <w:rsid w:val="192EB3F0"/>
    <w:rsid w:val="193C66A3"/>
    <w:rsid w:val="193CB023"/>
    <w:rsid w:val="1948CE45"/>
    <w:rsid w:val="194CB878"/>
    <w:rsid w:val="194E518A"/>
    <w:rsid w:val="1950DE2B"/>
    <w:rsid w:val="19548F55"/>
    <w:rsid w:val="195EEAED"/>
    <w:rsid w:val="1960C3FC"/>
    <w:rsid w:val="19699210"/>
    <w:rsid w:val="19699E15"/>
    <w:rsid w:val="197175DB"/>
    <w:rsid w:val="197580CC"/>
    <w:rsid w:val="197BF2E5"/>
    <w:rsid w:val="1988E22E"/>
    <w:rsid w:val="198AC9A3"/>
    <w:rsid w:val="19947A98"/>
    <w:rsid w:val="1995BC78"/>
    <w:rsid w:val="199639A3"/>
    <w:rsid w:val="199A1D91"/>
    <w:rsid w:val="199ABD42"/>
    <w:rsid w:val="19A2FF1A"/>
    <w:rsid w:val="19A5B63F"/>
    <w:rsid w:val="19A5EFDD"/>
    <w:rsid w:val="19ACDC44"/>
    <w:rsid w:val="19AE7E87"/>
    <w:rsid w:val="19B1A818"/>
    <w:rsid w:val="19BA3153"/>
    <w:rsid w:val="19C26835"/>
    <w:rsid w:val="19C33727"/>
    <w:rsid w:val="19C3B221"/>
    <w:rsid w:val="19CCF266"/>
    <w:rsid w:val="19CFC11C"/>
    <w:rsid w:val="19D1719C"/>
    <w:rsid w:val="19DBB70A"/>
    <w:rsid w:val="19DFACE5"/>
    <w:rsid w:val="19E05491"/>
    <w:rsid w:val="19E8D5C2"/>
    <w:rsid w:val="19EA337A"/>
    <w:rsid w:val="19EC3446"/>
    <w:rsid w:val="19EEE9C6"/>
    <w:rsid w:val="19F08A96"/>
    <w:rsid w:val="19F13C0C"/>
    <w:rsid w:val="19F8E9F1"/>
    <w:rsid w:val="19FE4C2E"/>
    <w:rsid w:val="1A042DB3"/>
    <w:rsid w:val="1A058F0A"/>
    <w:rsid w:val="1A0B619B"/>
    <w:rsid w:val="1A0CF36A"/>
    <w:rsid w:val="1A0E54D2"/>
    <w:rsid w:val="1A0EA55B"/>
    <w:rsid w:val="1A0F6842"/>
    <w:rsid w:val="1A10DEE0"/>
    <w:rsid w:val="1A1742ED"/>
    <w:rsid w:val="1A180A94"/>
    <w:rsid w:val="1A1A2263"/>
    <w:rsid w:val="1A1B52EC"/>
    <w:rsid w:val="1A1ED350"/>
    <w:rsid w:val="1A263D53"/>
    <w:rsid w:val="1A2697E8"/>
    <w:rsid w:val="1A297B4F"/>
    <w:rsid w:val="1A2B51BA"/>
    <w:rsid w:val="1A2D3A6D"/>
    <w:rsid w:val="1A2EF240"/>
    <w:rsid w:val="1A32BACA"/>
    <w:rsid w:val="1A349995"/>
    <w:rsid w:val="1A3BD2D3"/>
    <w:rsid w:val="1A3E66F9"/>
    <w:rsid w:val="1A3F1BC9"/>
    <w:rsid w:val="1A42C069"/>
    <w:rsid w:val="1A459DB5"/>
    <w:rsid w:val="1A46123C"/>
    <w:rsid w:val="1A46E360"/>
    <w:rsid w:val="1A4D07AA"/>
    <w:rsid w:val="1A4D962B"/>
    <w:rsid w:val="1A4E6F7E"/>
    <w:rsid w:val="1A53609E"/>
    <w:rsid w:val="1A5445B5"/>
    <w:rsid w:val="1A55AA4A"/>
    <w:rsid w:val="1A5843FB"/>
    <w:rsid w:val="1A5EA405"/>
    <w:rsid w:val="1A6197A3"/>
    <w:rsid w:val="1A646226"/>
    <w:rsid w:val="1A682971"/>
    <w:rsid w:val="1A6EA99C"/>
    <w:rsid w:val="1A6F691A"/>
    <w:rsid w:val="1A704E15"/>
    <w:rsid w:val="1A7537EC"/>
    <w:rsid w:val="1A78E9F5"/>
    <w:rsid w:val="1A8090D7"/>
    <w:rsid w:val="1A9FE271"/>
    <w:rsid w:val="1AA5F602"/>
    <w:rsid w:val="1AB62848"/>
    <w:rsid w:val="1AB971B8"/>
    <w:rsid w:val="1ABA232C"/>
    <w:rsid w:val="1ABA2EDB"/>
    <w:rsid w:val="1ABE8C24"/>
    <w:rsid w:val="1AC4B3B2"/>
    <w:rsid w:val="1AC79897"/>
    <w:rsid w:val="1AC8620B"/>
    <w:rsid w:val="1ACB01D2"/>
    <w:rsid w:val="1ACDDA2D"/>
    <w:rsid w:val="1ACF76E6"/>
    <w:rsid w:val="1ACFE3D4"/>
    <w:rsid w:val="1ADAD6FF"/>
    <w:rsid w:val="1ADD9E36"/>
    <w:rsid w:val="1AEB2635"/>
    <w:rsid w:val="1AEB4CCD"/>
    <w:rsid w:val="1AEC18EF"/>
    <w:rsid w:val="1AEEA0BA"/>
    <w:rsid w:val="1AF5890F"/>
    <w:rsid w:val="1AFA8B1D"/>
    <w:rsid w:val="1AFF541F"/>
    <w:rsid w:val="1B0082C6"/>
    <w:rsid w:val="1B054BED"/>
    <w:rsid w:val="1B10D35D"/>
    <w:rsid w:val="1B12B817"/>
    <w:rsid w:val="1B18B9B6"/>
    <w:rsid w:val="1B1DFCA7"/>
    <w:rsid w:val="1B22AF5F"/>
    <w:rsid w:val="1B242CD1"/>
    <w:rsid w:val="1B256663"/>
    <w:rsid w:val="1B282C93"/>
    <w:rsid w:val="1B2AD869"/>
    <w:rsid w:val="1B365BAC"/>
    <w:rsid w:val="1B408254"/>
    <w:rsid w:val="1B4C4340"/>
    <w:rsid w:val="1B583093"/>
    <w:rsid w:val="1B590384"/>
    <w:rsid w:val="1B5FC72E"/>
    <w:rsid w:val="1B6B9C58"/>
    <w:rsid w:val="1B70660F"/>
    <w:rsid w:val="1B72D237"/>
    <w:rsid w:val="1B737A3E"/>
    <w:rsid w:val="1B8065D5"/>
    <w:rsid w:val="1B838502"/>
    <w:rsid w:val="1B86C291"/>
    <w:rsid w:val="1B89635A"/>
    <w:rsid w:val="1B8C7F27"/>
    <w:rsid w:val="1B8D1B85"/>
    <w:rsid w:val="1B8D7363"/>
    <w:rsid w:val="1B963EA0"/>
    <w:rsid w:val="1B96B15E"/>
    <w:rsid w:val="1BA85375"/>
    <w:rsid w:val="1BAFC24C"/>
    <w:rsid w:val="1BB7D116"/>
    <w:rsid w:val="1BBF655D"/>
    <w:rsid w:val="1BC0DDD9"/>
    <w:rsid w:val="1BCBE49F"/>
    <w:rsid w:val="1BD38F1F"/>
    <w:rsid w:val="1BD8B772"/>
    <w:rsid w:val="1BDB6B58"/>
    <w:rsid w:val="1BDBB74B"/>
    <w:rsid w:val="1BDF728B"/>
    <w:rsid w:val="1BDFE796"/>
    <w:rsid w:val="1BE03B80"/>
    <w:rsid w:val="1BE0B8F8"/>
    <w:rsid w:val="1BE7CEA5"/>
    <w:rsid w:val="1BF21D4C"/>
    <w:rsid w:val="1BF31FFA"/>
    <w:rsid w:val="1C06058A"/>
    <w:rsid w:val="1C072087"/>
    <w:rsid w:val="1C245D71"/>
    <w:rsid w:val="1C26D10D"/>
    <w:rsid w:val="1C2EB2C4"/>
    <w:rsid w:val="1C323F6F"/>
    <w:rsid w:val="1C38035D"/>
    <w:rsid w:val="1C4387E0"/>
    <w:rsid w:val="1C45F22D"/>
    <w:rsid w:val="1C519B10"/>
    <w:rsid w:val="1C58E243"/>
    <w:rsid w:val="1C625548"/>
    <w:rsid w:val="1C683B3B"/>
    <w:rsid w:val="1C6A1E93"/>
    <w:rsid w:val="1C6DEB14"/>
    <w:rsid w:val="1C6FDB8F"/>
    <w:rsid w:val="1C700A22"/>
    <w:rsid w:val="1C76B890"/>
    <w:rsid w:val="1C7BE2DD"/>
    <w:rsid w:val="1C84E67A"/>
    <w:rsid w:val="1C86F696"/>
    <w:rsid w:val="1C884BFE"/>
    <w:rsid w:val="1C8BD2B9"/>
    <w:rsid w:val="1C8BEB92"/>
    <w:rsid w:val="1C8C7108"/>
    <w:rsid w:val="1C971394"/>
    <w:rsid w:val="1C9927F2"/>
    <w:rsid w:val="1CA06636"/>
    <w:rsid w:val="1CA0B8EF"/>
    <w:rsid w:val="1CA2033D"/>
    <w:rsid w:val="1CAD1DCA"/>
    <w:rsid w:val="1CAD671D"/>
    <w:rsid w:val="1CAD9DFA"/>
    <w:rsid w:val="1CB1B7AE"/>
    <w:rsid w:val="1CB649C5"/>
    <w:rsid w:val="1CB70BDD"/>
    <w:rsid w:val="1CC1DEED"/>
    <w:rsid w:val="1CC2FBF7"/>
    <w:rsid w:val="1CC3C698"/>
    <w:rsid w:val="1CC6F263"/>
    <w:rsid w:val="1CCBAE56"/>
    <w:rsid w:val="1CDD8D38"/>
    <w:rsid w:val="1CE1547A"/>
    <w:rsid w:val="1CEB0969"/>
    <w:rsid w:val="1CF604C1"/>
    <w:rsid w:val="1CFD6E62"/>
    <w:rsid w:val="1CFFBA73"/>
    <w:rsid w:val="1D00678D"/>
    <w:rsid w:val="1D035666"/>
    <w:rsid w:val="1D08B054"/>
    <w:rsid w:val="1D0E5F1C"/>
    <w:rsid w:val="1D16E860"/>
    <w:rsid w:val="1D1D5B2A"/>
    <w:rsid w:val="1D237D03"/>
    <w:rsid w:val="1D23A31B"/>
    <w:rsid w:val="1D2429A0"/>
    <w:rsid w:val="1D242D1D"/>
    <w:rsid w:val="1D2BDB5D"/>
    <w:rsid w:val="1D348E1B"/>
    <w:rsid w:val="1D388348"/>
    <w:rsid w:val="1D3DFFD8"/>
    <w:rsid w:val="1D4DF48C"/>
    <w:rsid w:val="1D51E090"/>
    <w:rsid w:val="1D59D6EC"/>
    <w:rsid w:val="1D5A46F1"/>
    <w:rsid w:val="1D711DBA"/>
    <w:rsid w:val="1D727435"/>
    <w:rsid w:val="1D77D79D"/>
    <w:rsid w:val="1D7B538C"/>
    <w:rsid w:val="1D80D53A"/>
    <w:rsid w:val="1D83184E"/>
    <w:rsid w:val="1D888DAE"/>
    <w:rsid w:val="1D8DB883"/>
    <w:rsid w:val="1D8E3FBC"/>
    <w:rsid w:val="1D93DA8A"/>
    <w:rsid w:val="1DA5CEA0"/>
    <w:rsid w:val="1DA7D4ED"/>
    <w:rsid w:val="1DABA6F6"/>
    <w:rsid w:val="1DAED0EC"/>
    <w:rsid w:val="1DB6477A"/>
    <w:rsid w:val="1DBAC2E2"/>
    <w:rsid w:val="1DC666F5"/>
    <w:rsid w:val="1DC74D46"/>
    <w:rsid w:val="1DCCA446"/>
    <w:rsid w:val="1DD3D14E"/>
    <w:rsid w:val="1DD4F30B"/>
    <w:rsid w:val="1DD7FA98"/>
    <w:rsid w:val="1DDD56C5"/>
    <w:rsid w:val="1DDE50C8"/>
    <w:rsid w:val="1DE34454"/>
    <w:rsid w:val="1DE66152"/>
    <w:rsid w:val="1DE71C52"/>
    <w:rsid w:val="1DF0F3FA"/>
    <w:rsid w:val="1DF344CC"/>
    <w:rsid w:val="1DF68765"/>
    <w:rsid w:val="1DFD48F8"/>
    <w:rsid w:val="1DFE3B10"/>
    <w:rsid w:val="1E028903"/>
    <w:rsid w:val="1E1CE0AF"/>
    <w:rsid w:val="1E24C94F"/>
    <w:rsid w:val="1E24F934"/>
    <w:rsid w:val="1E2FAF83"/>
    <w:rsid w:val="1E326C34"/>
    <w:rsid w:val="1E3EE2C8"/>
    <w:rsid w:val="1E413716"/>
    <w:rsid w:val="1E416A0B"/>
    <w:rsid w:val="1E54AB6B"/>
    <w:rsid w:val="1E57C7E3"/>
    <w:rsid w:val="1E64C36D"/>
    <w:rsid w:val="1E6ECD2F"/>
    <w:rsid w:val="1E752F40"/>
    <w:rsid w:val="1E769B12"/>
    <w:rsid w:val="1E7828E3"/>
    <w:rsid w:val="1E7CC726"/>
    <w:rsid w:val="1E8192FB"/>
    <w:rsid w:val="1E8208E2"/>
    <w:rsid w:val="1E836BB8"/>
    <w:rsid w:val="1E8BA125"/>
    <w:rsid w:val="1E8BC6A8"/>
    <w:rsid w:val="1E90AA29"/>
    <w:rsid w:val="1E9118A2"/>
    <w:rsid w:val="1E958E44"/>
    <w:rsid w:val="1EB2B247"/>
    <w:rsid w:val="1EB87531"/>
    <w:rsid w:val="1EC11113"/>
    <w:rsid w:val="1EC32F2E"/>
    <w:rsid w:val="1ECAA0A5"/>
    <w:rsid w:val="1ECE8D26"/>
    <w:rsid w:val="1EDCFFF3"/>
    <w:rsid w:val="1EDFF684"/>
    <w:rsid w:val="1EE061D5"/>
    <w:rsid w:val="1EE82EDD"/>
    <w:rsid w:val="1EED3126"/>
    <w:rsid w:val="1EF36D9E"/>
    <w:rsid w:val="1EF93980"/>
    <w:rsid w:val="1EFA9326"/>
    <w:rsid w:val="1F0809F5"/>
    <w:rsid w:val="1F11140C"/>
    <w:rsid w:val="1F16D05C"/>
    <w:rsid w:val="1F23026A"/>
    <w:rsid w:val="1F30F463"/>
    <w:rsid w:val="1F33AC95"/>
    <w:rsid w:val="1F34A393"/>
    <w:rsid w:val="1F36FF97"/>
    <w:rsid w:val="1F399D72"/>
    <w:rsid w:val="1F40F5FD"/>
    <w:rsid w:val="1F4360DF"/>
    <w:rsid w:val="1F4568EA"/>
    <w:rsid w:val="1F47B9B9"/>
    <w:rsid w:val="1F4A8B90"/>
    <w:rsid w:val="1F4E12AD"/>
    <w:rsid w:val="1F5074B9"/>
    <w:rsid w:val="1F519BF0"/>
    <w:rsid w:val="1F5668A1"/>
    <w:rsid w:val="1F5B6195"/>
    <w:rsid w:val="1F5DE8A9"/>
    <w:rsid w:val="1F62EE0B"/>
    <w:rsid w:val="1F646C16"/>
    <w:rsid w:val="1F6FD111"/>
    <w:rsid w:val="1F75BCBD"/>
    <w:rsid w:val="1F77F220"/>
    <w:rsid w:val="1F7C0AD9"/>
    <w:rsid w:val="1F7C28F9"/>
    <w:rsid w:val="1F804F68"/>
    <w:rsid w:val="1F8649F0"/>
    <w:rsid w:val="1F8A7563"/>
    <w:rsid w:val="1F928A97"/>
    <w:rsid w:val="1F9350C6"/>
    <w:rsid w:val="1F9E7002"/>
    <w:rsid w:val="1F9F2783"/>
    <w:rsid w:val="1F9F64F8"/>
    <w:rsid w:val="1FA10719"/>
    <w:rsid w:val="1FA5FB15"/>
    <w:rsid w:val="1FA8C75B"/>
    <w:rsid w:val="1FA9B0CA"/>
    <w:rsid w:val="1FA9CF5C"/>
    <w:rsid w:val="1FAD6C42"/>
    <w:rsid w:val="1FAE3D1F"/>
    <w:rsid w:val="1FB4E2EC"/>
    <w:rsid w:val="1FB61C2F"/>
    <w:rsid w:val="1FBC9591"/>
    <w:rsid w:val="1FBC9DE9"/>
    <w:rsid w:val="1FBD766E"/>
    <w:rsid w:val="1FCDBABA"/>
    <w:rsid w:val="1FD2C8C3"/>
    <w:rsid w:val="1FD3CFC8"/>
    <w:rsid w:val="1FD5B8D6"/>
    <w:rsid w:val="1FDFB76B"/>
    <w:rsid w:val="1FE92397"/>
    <w:rsid w:val="1FEAF204"/>
    <w:rsid w:val="1FF0E409"/>
    <w:rsid w:val="1FF1D9F0"/>
    <w:rsid w:val="1FF962EE"/>
    <w:rsid w:val="1FFA5740"/>
    <w:rsid w:val="20019F1E"/>
    <w:rsid w:val="20027496"/>
    <w:rsid w:val="20077766"/>
    <w:rsid w:val="200E4BC5"/>
    <w:rsid w:val="200F575C"/>
    <w:rsid w:val="20147072"/>
    <w:rsid w:val="20187A34"/>
    <w:rsid w:val="20258A3F"/>
    <w:rsid w:val="2030030F"/>
    <w:rsid w:val="2031370E"/>
    <w:rsid w:val="20357BFB"/>
    <w:rsid w:val="20366A3C"/>
    <w:rsid w:val="203DAA83"/>
    <w:rsid w:val="204382E6"/>
    <w:rsid w:val="20491F55"/>
    <w:rsid w:val="204CA4A0"/>
    <w:rsid w:val="204DC5EA"/>
    <w:rsid w:val="205219B1"/>
    <w:rsid w:val="20583CA7"/>
    <w:rsid w:val="205FC379"/>
    <w:rsid w:val="2060271C"/>
    <w:rsid w:val="206D865A"/>
    <w:rsid w:val="20719F4F"/>
    <w:rsid w:val="20866D42"/>
    <w:rsid w:val="20873C43"/>
    <w:rsid w:val="208A0919"/>
    <w:rsid w:val="208F6792"/>
    <w:rsid w:val="20937803"/>
    <w:rsid w:val="20977FCB"/>
    <w:rsid w:val="209DB36C"/>
    <w:rsid w:val="20A0445B"/>
    <w:rsid w:val="20A0E347"/>
    <w:rsid w:val="20A3EC93"/>
    <w:rsid w:val="20A66F80"/>
    <w:rsid w:val="20A71AD2"/>
    <w:rsid w:val="20AA933E"/>
    <w:rsid w:val="20B40199"/>
    <w:rsid w:val="20BC5F5E"/>
    <w:rsid w:val="20BE0648"/>
    <w:rsid w:val="20C3D6C1"/>
    <w:rsid w:val="20C457C4"/>
    <w:rsid w:val="20D0E163"/>
    <w:rsid w:val="20D20294"/>
    <w:rsid w:val="20D23F98"/>
    <w:rsid w:val="20D68D7A"/>
    <w:rsid w:val="20D9B634"/>
    <w:rsid w:val="20DDA152"/>
    <w:rsid w:val="20DF60EC"/>
    <w:rsid w:val="20ED1323"/>
    <w:rsid w:val="20F09FAF"/>
    <w:rsid w:val="20F9189B"/>
    <w:rsid w:val="2102C363"/>
    <w:rsid w:val="210EEF93"/>
    <w:rsid w:val="2116125A"/>
    <w:rsid w:val="2124ACD9"/>
    <w:rsid w:val="213260B7"/>
    <w:rsid w:val="213655CC"/>
    <w:rsid w:val="21374787"/>
    <w:rsid w:val="213A0F3C"/>
    <w:rsid w:val="21495D3F"/>
    <w:rsid w:val="214A0D80"/>
    <w:rsid w:val="214E37EA"/>
    <w:rsid w:val="21571F37"/>
    <w:rsid w:val="2159C9C6"/>
    <w:rsid w:val="215B1A9D"/>
    <w:rsid w:val="215DB282"/>
    <w:rsid w:val="215F01E9"/>
    <w:rsid w:val="2166AEB3"/>
    <w:rsid w:val="2167E4EC"/>
    <w:rsid w:val="216D8689"/>
    <w:rsid w:val="2173E65F"/>
    <w:rsid w:val="21757460"/>
    <w:rsid w:val="21757D89"/>
    <w:rsid w:val="217700E3"/>
    <w:rsid w:val="2178B9F8"/>
    <w:rsid w:val="217C4038"/>
    <w:rsid w:val="217D71D1"/>
    <w:rsid w:val="2182E666"/>
    <w:rsid w:val="2183A21C"/>
    <w:rsid w:val="21858E02"/>
    <w:rsid w:val="218781E1"/>
    <w:rsid w:val="218C3AE7"/>
    <w:rsid w:val="218C86B1"/>
    <w:rsid w:val="219127FE"/>
    <w:rsid w:val="2195DC55"/>
    <w:rsid w:val="2198AA81"/>
    <w:rsid w:val="219AC1DB"/>
    <w:rsid w:val="21A14B88"/>
    <w:rsid w:val="21A2E5C4"/>
    <w:rsid w:val="21A311E5"/>
    <w:rsid w:val="21BDF59B"/>
    <w:rsid w:val="21D3DFA3"/>
    <w:rsid w:val="21D4E062"/>
    <w:rsid w:val="21D97F9B"/>
    <w:rsid w:val="21DFC42B"/>
    <w:rsid w:val="21E43BE8"/>
    <w:rsid w:val="21ECDC0C"/>
    <w:rsid w:val="21ED145C"/>
    <w:rsid w:val="21FDFA39"/>
    <w:rsid w:val="2200FF31"/>
    <w:rsid w:val="220A7078"/>
    <w:rsid w:val="220BB516"/>
    <w:rsid w:val="220D9BC7"/>
    <w:rsid w:val="2214F917"/>
    <w:rsid w:val="22163DFB"/>
    <w:rsid w:val="2216B7E0"/>
    <w:rsid w:val="22170DB0"/>
    <w:rsid w:val="22182FA7"/>
    <w:rsid w:val="221AA5B4"/>
    <w:rsid w:val="221D59E8"/>
    <w:rsid w:val="2222EF76"/>
    <w:rsid w:val="2229AAB2"/>
    <w:rsid w:val="222AB66B"/>
    <w:rsid w:val="2247A4D6"/>
    <w:rsid w:val="2248A010"/>
    <w:rsid w:val="22497543"/>
    <w:rsid w:val="224C0CA0"/>
    <w:rsid w:val="224E6AFC"/>
    <w:rsid w:val="224ED0DB"/>
    <w:rsid w:val="225667F4"/>
    <w:rsid w:val="2258D780"/>
    <w:rsid w:val="225D39AE"/>
    <w:rsid w:val="225DB3DA"/>
    <w:rsid w:val="225EECE8"/>
    <w:rsid w:val="2262AACF"/>
    <w:rsid w:val="22650AE1"/>
    <w:rsid w:val="2266815D"/>
    <w:rsid w:val="2267230F"/>
    <w:rsid w:val="2269ACC3"/>
    <w:rsid w:val="226E2855"/>
    <w:rsid w:val="226E4C94"/>
    <w:rsid w:val="2276280C"/>
    <w:rsid w:val="227F4C8A"/>
    <w:rsid w:val="22879DB0"/>
    <w:rsid w:val="22952E02"/>
    <w:rsid w:val="22A29D3B"/>
    <w:rsid w:val="22A7800E"/>
    <w:rsid w:val="22B17B86"/>
    <w:rsid w:val="22B8C320"/>
    <w:rsid w:val="22BE8886"/>
    <w:rsid w:val="22C03CFF"/>
    <w:rsid w:val="22C69B65"/>
    <w:rsid w:val="22C6DB3F"/>
    <w:rsid w:val="22CC5184"/>
    <w:rsid w:val="22CF3C45"/>
    <w:rsid w:val="22CF6FF5"/>
    <w:rsid w:val="22D3009D"/>
    <w:rsid w:val="22D4E2FE"/>
    <w:rsid w:val="22DCC534"/>
    <w:rsid w:val="22E42161"/>
    <w:rsid w:val="22F59A27"/>
    <w:rsid w:val="22F5C437"/>
    <w:rsid w:val="22FA8F47"/>
    <w:rsid w:val="22FB6054"/>
    <w:rsid w:val="2303C56A"/>
    <w:rsid w:val="23077767"/>
    <w:rsid w:val="230A8C1D"/>
    <w:rsid w:val="2313CBEC"/>
    <w:rsid w:val="2314B1EE"/>
    <w:rsid w:val="23158607"/>
    <w:rsid w:val="2317A575"/>
    <w:rsid w:val="23239C56"/>
    <w:rsid w:val="232AEA72"/>
    <w:rsid w:val="232D5C36"/>
    <w:rsid w:val="232E0C21"/>
    <w:rsid w:val="232E142E"/>
    <w:rsid w:val="2334EC4F"/>
    <w:rsid w:val="2342D731"/>
    <w:rsid w:val="23449B37"/>
    <w:rsid w:val="2348AA74"/>
    <w:rsid w:val="234B9DC1"/>
    <w:rsid w:val="235577F8"/>
    <w:rsid w:val="235D5DFA"/>
    <w:rsid w:val="236130C1"/>
    <w:rsid w:val="2362C9D9"/>
    <w:rsid w:val="2366BF5F"/>
    <w:rsid w:val="236A3F50"/>
    <w:rsid w:val="236D14C6"/>
    <w:rsid w:val="236D5704"/>
    <w:rsid w:val="236D9EAB"/>
    <w:rsid w:val="2372E955"/>
    <w:rsid w:val="23759469"/>
    <w:rsid w:val="237A04F2"/>
    <w:rsid w:val="23849A61"/>
    <w:rsid w:val="2389CA8D"/>
    <w:rsid w:val="238E27EA"/>
    <w:rsid w:val="238E71C3"/>
    <w:rsid w:val="238F56B0"/>
    <w:rsid w:val="238FE1E8"/>
    <w:rsid w:val="239332C7"/>
    <w:rsid w:val="23997D3F"/>
    <w:rsid w:val="2399C166"/>
    <w:rsid w:val="23A5BB82"/>
    <w:rsid w:val="23A6F463"/>
    <w:rsid w:val="23A73210"/>
    <w:rsid w:val="23A9C802"/>
    <w:rsid w:val="23ACB288"/>
    <w:rsid w:val="23B31701"/>
    <w:rsid w:val="23C1B056"/>
    <w:rsid w:val="23C3DF8B"/>
    <w:rsid w:val="23C43A05"/>
    <w:rsid w:val="23CA3E03"/>
    <w:rsid w:val="23E3787B"/>
    <w:rsid w:val="23E79124"/>
    <w:rsid w:val="23E8005B"/>
    <w:rsid w:val="23E98A0D"/>
    <w:rsid w:val="23EA7806"/>
    <w:rsid w:val="23ED0B63"/>
    <w:rsid w:val="23F683FA"/>
    <w:rsid w:val="2405D793"/>
    <w:rsid w:val="2409BB4B"/>
    <w:rsid w:val="240B0061"/>
    <w:rsid w:val="24102605"/>
    <w:rsid w:val="242AC065"/>
    <w:rsid w:val="24331659"/>
    <w:rsid w:val="2435325F"/>
    <w:rsid w:val="243962DF"/>
    <w:rsid w:val="243A4542"/>
    <w:rsid w:val="2448B117"/>
    <w:rsid w:val="244C558E"/>
    <w:rsid w:val="244C6CF7"/>
    <w:rsid w:val="244D3D8D"/>
    <w:rsid w:val="244D4010"/>
    <w:rsid w:val="2454D980"/>
    <w:rsid w:val="2459E625"/>
    <w:rsid w:val="245E24F4"/>
    <w:rsid w:val="2468A813"/>
    <w:rsid w:val="246AE940"/>
    <w:rsid w:val="246F6C42"/>
    <w:rsid w:val="24730AC4"/>
    <w:rsid w:val="247FECF8"/>
    <w:rsid w:val="2485267D"/>
    <w:rsid w:val="24863EB6"/>
    <w:rsid w:val="24888996"/>
    <w:rsid w:val="248AF05C"/>
    <w:rsid w:val="248BC2B5"/>
    <w:rsid w:val="24903100"/>
    <w:rsid w:val="2498C42D"/>
    <w:rsid w:val="249ED4DF"/>
    <w:rsid w:val="249EFB6A"/>
    <w:rsid w:val="24A7FD51"/>
    <w:rsid w:val="24B613F7"/>
    <w:rsid w:val="24BC1F51"/>
    <w:rsid w:val="24C2DB55"/>
    <w:rsid w:val="24C4552C"/>
    <w:rsid w:val="24C7A10E"/>
    <w:rsid w:val="24E55698"/>
    <w:rsid w:val="24E91E01"/>
    <w:rsid w:val="24EA59F2"/>
    <w:rsid w:val="24ED923C"/>
    <w:rsid w:val="24EED58E"/>
    <w:rsid w:val="24F7F7A1"/>
    <w:rsid w:val="24F97FBE"/>
    <w:rsid w:val="25056AFA"/>
    <w:rsid w:val="25082F39"/>
    <w:rsid w:val="2508B65F"/>
    <w:rsid w:val="250AE1FA"/>
    <w:rsid w:val="25112009"/>
    <w:rsid w:val="2511B925"/>
    <w:rsid w:val="251401EC"/>
    <w:rsid w:val="2514A909"/>
    <w:rsid w:val="2514D752"/>
    <w:rsid w:val="251CE71A"/>
    <w:rsid w:val="251FF62C"/>
    <w:rsid w:val="2526C862"/>
    <w:rsid w:val="253A7AC5"/>
    <w:rsid w:val="253E749D"/>
    <w:rsid w:val="25415214"/>
    <w:rsid w:val="2541AC6A"/>
    <w:rsid w:val="2549B1CB"/>
    <w:rsid w:val="254C79A1"/>
    <w:rsid w:val="2551842A"/>
    <w:rsid w:val="25526965"/>
    <w:rsid w:val="2558C4A6"/>
    <w:rsid w:val="2559FC16"/>
    <w:rsid w:val="255AA623"/>
    <w:rsid w:val="255C0A5F"/>
    <w:rsid w:val="255F989F"/>
    <w:rsid w:val="25650D14"/>
    <w:rsid w:val="25694987"/>
    <w:rsid w:val="256BD59B"/>
    <w:rsid w:val="256CFE72"/>
    <w:rsid w:val="25738C0C"/>
    <w:rsid w:val="25764A5E"/>
    <w:rsid w:val="2585B001"/>
    <w:rsid w:val="258C8BDF"/>
    <w:rsid w:val="258CEDE5"/>
    <w:rsid w:val="258DE6A1"/>
    <w:rsid w:val="258DFCD0"/>
    <w:rsid w:val="259060C1"/>
    <w:rsid w:val="2590D4F0"/>
    <w:rsid w:val="2593AD8C"/>
    <w:rsid w:val="2593D859"/>
    <w:rsid w:val="259475C9"/>
    <w:rsid w:val="25964616"/>
    <w:rsid w:val="259D2BEA"/>
    <w:rsid w:val="25AFE7DD"/>
    <w:rsid w:val="25B26CD5"/>
    <w:rsid w:val="25B8BA4A"/>
    <w:rsid w:val="25C19DDF"/>
    <w:rsid w:val="25CCFB71"/>
    <w:rsid w:val="25CF5408"/>
    <w:rsid w:val="25D186A5"/>
    <w:rsid w:val="25D7C03B"/>
    <w:rsid w:val="25D7E525"/>
    <w:rsid w:val="25DBBF05"/>
    <w:rsid w:val="25E0DE58"/>
    <w:rsid w:val="25E1798B"/>
    <w:rsid w:val="25E8994F"/>
    <w:rsid w:val="25EDE63D"/>
    <w:rsid w:val="25FC4443"/>
    <w:rsid w:val="26068B81"/>
    <w:rsid w:val="2608250F"/>
    <w:rsid w:val="260A32C5"/>
    <w:rsid w:val="260C18F7"/>
    <w:rsid w:val="260E38E3"/>
    <w:rsid w:val="260F3994"/>
    <w:rsid w:val="260F8185"/>
    <w:rsid w:val="26260EA9"/>
    <w:rsid w:val="26308000"/>
    <w:rsid w:val="26394B79"/>
    <w:rsid w:val="263E7CBC"/>
    <w:rsid w:val="263F9993"/>
    <w:rsid w:val="2640914F"/>
    <w:rsid w:val="26421EB0"/>
    <w:rsid w:val="26472042"/>
    <w:rsid w:val="26524339"/>
    <w:rsid w:val="265BE5EB"/>
    <w:rsid w:val="265D5CF8"/>
    <w:rsid w:val="26752AE7"/>
    <w:rsid w:val="2679927E"/>
    <w:rsid w:val="267E1F74"/>
    <w:rsid w:val="2681D05A"/>
    <w:rsid w:val="2682EFB2"/>
    <w:rsid w:val="26832C65"/>
    <w:rsid w:val="2686A18B"/>
    <w:rsid w:val="26918BE0"/>
    <w:rsid w:val="2694A0C9"/>
    <w:rsid w:val="26959603"/>
    <w:rsid w:val="2696271E"/>
    <w:rsid w:val="269E6B0E"/>
    <w:rsid w:val="26A2CBAA"/>
    <w:rsid w:val="26A80E63"/>
    <w:rsid w:val="26A848FE"/>
    <w:rsid w:val="26AD7328"/>
    <w:rsid w:val="26B290EF"/>
    <w:rsid w:val="26B34A3A"/>
    <w:rsid w:val="26B5880E"/>
    <w:rsid w:val="26B80970"/>
    <w:rsid w:val="26BA5527"/>
    <w:rsid w:val="26BB19FB"/>
    <w:rsid w:val="26C41222"/>
    <w:rsid w:val="26CA9CF7"/>
    <w:rsid w:val="26CCE602"/>
    <w:rsid w:val="26CF4FE4"/>
    <w:rsid w:val="26E244EC"/>
    <w:rsid w:val="26E394CD"/>
    <w:rsid w:val="26E7A05B"/>
    <w:rsid w:val="26E94E3A"/>
    <w:rsid w:val="26E95ACE"/>
    <w:rsid w:val="26EE39C6"/>
    <w:rsid w:val="26EEB41D"/>
    <w:rsid w:val="26EF1A3A"/>
    <w:rsid w:val="26EF331A"/>
    <w:rsid w:val="26FAB07C"/>
    <w:rsid w:val="26FAB14D"/>
    <w:rsid w:val="26FD1BD5"/>
    <w:rsid w:val="26FDC2E7"/>
    <w:rsid w:val="26FE66FD"/>
    <w:rsid w:val="26FFEFCD"/>
    <w:rsid w:val="27029485"/>
    <w:rsid w:val="27067D20"/>
    <w:rsid w:val="270946E1"/>
    <w:rsid w:val="270D8F16"/>
    <w:rsid w:val="270E725E"/>
    <w:rsid w:val="270F213E"/>
    <w:rsid w:val="2711DC2A"/>
    <w:rsid w:val="27146074"/>
    <w:rsid w:val="2719DA06"/>
    <w:rsid w:val="2719DAE7"/>
    <w:rsid w:val="271F911B"/>
    <w:rsid w:val="27223440"/>
    <w:rsid w:val="2727EA6F"/>
    <w:rsid w:val="273D9BE3"/>
    <w:rsid w:val="273F28DE"/>
    <w:rsid w:val="27460D56"/>
    <w:rsid w:val="27489039"/>
    <w:rsid w:val="274A39D7"/>
    <w:rsid w:val="2756C36B"/>
    <w:rsid w:val="27609B44"/>
    <w:rsid w:val="27636835"/>
    <w:rsid w:val="2772712F"/>
    <w:rsid w:val="27751299"/>
    <w:rsid w:val="277DCE57"/>
    <w:rsid w:val="2787DBEB"/>
    <w:rsid w:val="2788B81E"/>
    <w:rsid w:val="278B6166"/>
    <w:rsid w:val="278CA71E"/>
    <w:rsid w:val="27948A50"/>
    <w:rsid w:val="27978DC9"/>
    <w:rsid w:val="2799DBD1"/>
    <w:rsid w:val="279AFB40"/>
    <w:rsid w:val="27A27BAD"/>
    <w:rsid w:val="27A3FA9E"/>
    <w:rsid w:val="27A57435"/>
    <w:rsid w:val="27A745A7"/>
    <w:rsid w:val="27B393E9"/>
    <w:rsid w:val="27B5F405"/>
    <w:rsid w:val="27B85A72"/>
    <w:rsid w:val="27CD4139"/>
    <w:rsid w:val="27CD5FD6"/>
    <w:rsid w:val="27D11D2D"/>
    <w:rsid w:val="27DA91C7"/>
    <w:rsid w:val="27E0BC0F"/>
    <w:rsid w:val="27E124CA"/>
    <w:rsid w:val="27E2B861"/>
    <w:rsid w:val="27E4607A"/>
    <w:rsid w:val="27E5F24D"/>
    <w:rsid w:val="27E6029A"/>
    <w:rsid w:val="27E9A18A"/>
    <w:rsid w:val="27F8A917"/>
    <w:rsid w:val="27FB9D98"/>
    <w:rsid w:val="27FD5161"/>
    <w:rsid w:val="280116A3"/>
    <w:rsid w:val="28055E98"/>
    <w:rsid w:val="2806E441"/>
    <w:rsid w:val="28103CE2"/>
    <w:rsid w:val="2812600E"/>
    <w:rsid w:val="28191EE2"/>
    <w:rsid w:val="282269F3"/>
    <w:rsid w:val="28319D38"/>
    <w:rsid w:val="28322D6B"/>
    <w:rsid w:val="2836B012"/>
    <w:rsid w:val="28382928"/>
    <w:rsid w:val="28499B3C"/>
    <w:rsid w:val="284A0D9D"/>
    <w:rsid w:val="284A8F57"/>
    <w:rsid w:val="284F19FF"/>
    <w:rsid w:val="285944B9"/>
    <w:rsid w:val="2859C787"/>
    <w:rsid w:val="285BB104"/>
    <w:rsid w:val="286239BF"/>
    <w:rsid w:val="286307D4"/>
    <w:rsid w:val="28639A06"/>
    <w:rsid w:val="28643647"/>
    <w:rsid w:val="28643FD5"/>
    <w:rsid w:val="2866CFE0"/>
    <w:rsid w:val="2868B979"/>
    <w:rsid w:val="286FAF3A"/>
    <w:rsid w:val="28730E25"/>
    <w:rsid w:val="287A8ACF"/>
    <w:rsid w:val="287F87BB"/>
    <w:rsid w:val="288124A4"/>
    <w:rsid w:val="2887B666"/>
    <w:rsid w:val="2887D606"/>
    <w:rsid w:val="288824F9"/>
    <w:rsid w:val="2888635A"/>
    <w:rsid w:val="28888803"/>
    <w:rsid w:val="288B8AFB"/>
    <w:rsid w:val="28936116"/>
    <w:rsid w:val="289D2D40"/>
    <w:rsid w:val="28A0A208"/>
    <w:rsid w:val="28A1A89F"/>
    <w:rsid w:val="28ABF3F0"/>
    <w:rsid w:val="28B3187F"/>
    <w:rsid w:val="28B9EBFC"/>
    <w:rsid w:val="28C2C0F0"/>
    <w:rsid w:val="28D36A62"/>
    <w:rsid w:val="28D9C626"/>
    <w:rsid w:val="28DE67FA"/>
    <w:rsid w:val="28E5F224"/>
    <w:rsid w:val="28E9A3BF"/>
    <w:rsid w:val="28EA5F79"/>
    <w:rsid w:val="28F05E7E"/>
    <w:rsid w:val="28F73923"/>
    <w:rsid w:val="28F87C95"/>
    <w:rsid w:val="29016AD9"/>
    <w:rsid w:val="2901D73A"/>
    <w:rsid w:val="2909281B"/>
    <w:rsid w:val="29169FDE"/>
    <w:rsid w:val="291C02A4"/>
    <w:rsid w:val="291C9E74"/>
    <w:rsid w:val="291DEBD3"/>
    <w:rsid w:val="292C5553"/>
    <w:rsid w:val="2930C778"/>
    <w:rsid w:val="29345669"/>
    <w:rsid w:val="29380C6B"/>
    <w:rsid w:val="293BF1EF"/>
    <w:rsid w:val="293D7384"/>
    <w:rsid w:val="2947BFAE"/>
    <w:rsid w:val="2948E7B1"/>
    <w:rsid w:val="2954BB8D"/>
    <w:rsid w:val="295DECB2"/>
    <w:rsid w:val="295E4EE5"/>
    <w:rsid w:val="2976EE1D"/>
    <w:rsid w:val="297C6710"/>
    <w:rsid w:val="297D13E6"/>
    <w:rsid w:val="29806BF0"/>
    <w:rsid w:val="29859BF4"/>
    <w:rsid w:val="2986D063"/>
    <w:rsid w:val="298D54DD"/>
    <w:rsid w:val="29A056F7"/>
    <w:rsid w:val="29A9456D"/>
    <w:rsid w:val="29AC6559"/>
    <w:rsid w:val="29B0E8A5"/>
    <w:rsid w:val="29B10571"/>
    <w:rsid w:val="29B88084"/>
    <w:rsid w:val="29C0A9F3"/>
    <w:rsid w:val="29C21A5A"/>
    <w:rsid w:val="29CD3A2D"/>
    <w:rsid w:val="29D5BF9D"/>
    <w:rsid w:val="29D948A9"/>
    <w:rsid w:val="29D9B2EE"/>
    <w:rsid w:val="29DC22D8"/>
    <w:rsid w:val="29DD4E68"/>
    <w:rsid w:val="29DFD8EF"/>
    <w:rsid w:val="29E86453"/>
    <w:rsid w:val="29EA6608"/>
    <w:rsid w:val="29F3D3E2"/>
    <w:rsid w:val="29F55283"/>
    <w:rsid w:val="29F6A841"/>
    <w:rsid w:val="29F79F5D"/>
    <w:rsid w:val="2A0D3B25"/>
    <w:rsid w:val="2A0DAD5D"/>
    <w:rsid w:val="2A1D34C5"/>
    <w:rsid w:val="2A22E3FB"/>
    <w:rsid w:val="2A2416DE"/>
    <w:rsid w:val="2A2EBE78"/>
    <w:rsid w:val="2A31CB25"/>
    <w:rsid w:val="2A355B3F"/>
    <w:rsid w:val="2A36BB6C"/>
    <w:rsid w:val="2A37579D"/>
    <w:rsid w:val="2A387EB6"/>
    <w:rsid w:val="2A4159A7"/>
    <w:rsid w:val="2A42DD85"/>
    <w:rsid w:val="2A437983"/>
    <w:rsid w:val="2A46DFF2"/>
    <w:rsid w:val="2A48002C"/>
    <w:rsid w:val="2A57EB46"/>
    <w:rsid w:val="2A593D8A"/>
    <w:rsid w:val="2A599E1E"/>
    <w:rsid w:val="2A5A7BCB"/>
    <w:rsid w:val="2A67B41B"/>
    <w:rsid w:val="2A6DC7B5"/>
    <w:rsid w:val="2A87FE1A"/>
    <w:rsid w:val="2A8808C8"/>
    <w:rsid w:val="2A8C7CDF"/>
    <w:rsid w:val="2A8DB699"/>
    <w:rsid w:val="2A95CC23"/>
    <w:rsid w:val="2A9A38AD"/>
    <w:rsid w:val="2A9D3DBF"/>
    <w:rsid w:val="2AA71F53"/>
    <w:rsid w:val="2AAB0533"/>
    <w:rsid w:val="2AACAB0A"/>
    <w:rsid w:val="2AB3453A"/>
    <w:rsid w:val="2AB5C955"/>
    <w:rsid w:val="2AB67DA0"/>
    <w:rsid w:val="2AB88C09"/>
    <w:rsid w:val="2ABC42AF"/>
    <w:rsid w:val="2ABFB92F"/>
    <w:rsid w:val="2AC00A3B"/>
    <w:rsid w:val="2AC88B14"/>
    <w:rsid w:val="2AC93650"/>
    <w:rsid w:val="2ACA9904"/>
    <w:rsid w:val="2ACB4EE4"/>
    <w:rsid w:val="2ACE0FF8"/>
    <w:rsid w:val="2AD065E4"/>
    <w:rsid w:val="2AD3F0F5"/>
    <w:rsid w:val="2AD774B2"/>
    <w:rsid w:val="2ADAC728"/>
    <w:rsid w:val="2AE1B1EB"/>
    <w:rsid w:val="2AEF2D0F"/>
    <w:rsid w:val="2AF109CE"/>
    <w:rsid w:val="2AF535C5"/>
    <w:rsid w:val="2AF7AFAA"/>
    <w:rsid w:val="2AFAC9CD"/>
    <w:rsid w:val="2AFC19D9"/>
    <w:rsid w:val="2AFC916B"/>
    <w:rsid w:val="2B02A17F"/>
    <w:rsid w:val="2B03AC96"/>
    <w:rsid w:val="2B04FA3A"/>
    <w:rsid w:val="2B053CC8"/>
    <w:rsid w:val="2B0C58F8"/>
    <w:rsid w:val="2B128521"/>
    <w:rsid w:val="2B12F530"/>
    <w:rsid w:val="2B165090"/>
    <w:rsid w:val="2B19E663"/>
    <w:rsid w:val="2B1E3EE4"/>
    <w:rsid w:val="2B20CBDA"/>
    <w:rsid w:val="2B213B41"/>
    <w:rsid w:val="2B23F4B5"/>
    <w:rsid w:val="2B2E5ECE"/>
    <w:rsid w:val="2B2F9453"/>
    <w:rsid w:val="2B36430E"/>
    <w:rsid w:val="2B391E06"/>
    <w:rsid w:val="2B3F9C06"/>
    <w:rsid w:val="2B419578"/>
    <w:rsid w:val="2B41F2BA"/>
    <w:rsid w:val="2B44B3FF"/>
    <w:rsid w:val="2B464E12"/>
    <w:rsid w:val="2B4C60A9"/>
    <w:rsid w:val="2B53BEF2"/>
    <w:rsid w:val="2B551357"/>
    <w:rsid w:val="2B607438"/>
    <w:rsid w:val="2B673930"/>
    <w:rsid w:val="2B69B8F8"/>
    <w:rsid w:val="2B70906F"/>
    <w:rsid w:val="2B722E9A"/>
    <w:rsid w:val="2B7462FB"/>
    <w:rsid w:val="2B7A3801"/>
    <w:rsid w:val="2B847496"/>
    <w:rsid w:val="2B853532"/>
    <w:rsid w:val="2B8A6549"/>
    <w:rsid w:val="2B8EB91A"/>
    <w:rsid w:val="2B9D8FCA"/>
    <w:rsid w:val="2BA0606F"/>
    <w:rsid w:val="2BA83DBD"/>
    <w:rsid w:val="2BAADCC7"/>
    <w:rsid w:val="2BB4356F"/>
    <w:rsid w:val="2BB4C2EB"/>
    <w:rsid w:val="2BBC5AE3"/>
    <w:rsid w:val="2BBD1D59"/>
    <w:rsid w:val="2BBE4889"/>
    <w:rsid w:val="2BBF61AA"/>
    <w:rsid w:val="2BC33BB5"/>
    <w:rsid w:val="2BC48A40"/>
    <w:rsid w:val="2BC8B0E3"/>
    <w:rsid w:val="2BCA93C8"/>
    <w:rsid w:val="2BCDC31E"/>
    <w:rsid w:val="2BD09754"/>
    <w:rsid w:val="2BD423B1"/>
    <w:rsid w:val="2BDF0BCA"/>
    <w:rsid w:val="2BEB1D62"/>
    <w:rsid w:val="2BEEFDAF"/>
    <w:rsid w:val="2BF3499F"/>
    <w:rsid w:val="2BFFA65B"/>
    <w:rsid w:val="2C0B86C9"/>
    <w:rsid w:val="2C10E7A7"/>
    <w:rsid w:val="2C16DB0E"/>
    <w:rsid w:val="2C17FED3"/>
    <w:rsid w:val="2C1E812E"/>
    <w:rsid w:val="2C21338A"/>
    <w:rsid w:val="2C2BCC5F"/>
    <w:rsid w:val="2C3451AA"/>
    <w:rsid w:val="2C3B3699"/>
    <w:rsid w:val="2C3C9261"/>
    <w:rsid w:val="2C3DAA13"/>
    <w:rsid w:val="2C42E2EE"/>
    <w:rsid w:val="2C4AA2A1"/>
    <w:rsid w:val="2C4C1D76"/>
    <w:rsid w:val="2C53A020"/>
    <w:rsid w:val="2C55FD7A"/>
    <w:rsid w:val="2C58595A"/>
    <w:rsid w:val="2C594126"/>
    <w:rsid w:val="2C61FAD7"/>
    <w:rsid w:val="2C6275D0"/>
    <w:rsid w:val="2C6BE87C"/>
    <w:rsid w:val="2C6F4D58"/>
    <w:rsid w:val="2C6F71A6"/>
    <w:rsid w:val="2C7259AE"/>
    <w:rsid w:val="2C74F8EA"/>
    <w:rsid w:val="2C84C479"/>
    <w:rsid w:val="2C878824"/>
    <w:rsid w:val="2C8BC4D7"/>
    <w:rsid w:val="2C8BE2F3"/>
    <w:rsid w:val="2C8BE3E6"/>
    <w:rsid w:val="2C906C77"/>
    <w:rsid w:val="2C91935F"/>
    <w:rsid w:val="2C983433"/>
    <w:rsid w:val="2CAB8B6A"/>
    <w:rsid w:val="2CAFBCAA"/>
    <w:rsid w:val="2CB03446"/>
    <w:rsid w:val="2CC14FB4"/>
    <w:rsid w:val="2CC21255"/>
    <w:rsid w:val="2CC3493A"/>
    <w:rsid w:val="2CC81CEF"/>
    <w:rsid w:val="2CC9897C"/>
    <w:rsid w:val="2CCD6330"/>
    <w:rsid w:val="2CCEA223"/>
    <w:rsid w:val="2CD25FD4"/>
    <w:rsid w:val="2CD52365"/>
    <w:rsid w:val="2CD704DF"/>
    <w:rsid w:val="2CDACA41"/>
    <w:rsid w:val="2CDD1D73"/>
    <w:rsid w:val="2CE89CB5"/>
    <w:rsid w:val="2CECC298"/>
    <w:rsid w:val="2D022CD5"/>
    <w:rsid w:val="2D06960C"/>
    <w:rsid w:val="2D0A6DE7"/>
    <w:rsid w:val="2D17F7B0"/>
    <w:rsid w:val="2D1C794A"/>
    <w:rsid w:val="2D1FD9A3"/>
    <w:rsid w:val="2D234F60"/>
    <w:rsid w:val="2D297DD8"/>
    <w:rsid w:val="2D2E58B5"/>
    <w:rsid w:val="2D39705D"/>
    <w:rsid w:val="2D3E5090"/>
    <w:rsid w:val="2D47AA21"/>
    <w:rsid w:val="2D482C07"/>
    <w:rsid w:val="2D54E474"/>
    <w:rsid w:val="2D5A22AD"/>
    <w:rsid w:val="2D6237E5"/>
    <w:rsid w:val="2D6BC90B"/>
    <w:rsid w:val="2D6DDB89"/>
    <w:rsid w:val="2D6F1FE0"/>
    <w:rsid w:val="2D7779C4"/>
    <w:rsid w:val="2D7DA3C3"/>
    <w:rsid w:val="2D7FFBC9"/>
    <w:rsid w:val="2D927EEF"/>
    <w:rsid w:val="2D939402"/>
    <w:rsid w:val="2D9621B8"/>
    <w:rsid w:val="2D962815"/>
    <w:rsid w:val="2DA83602"/>
    <w:rsid w:val="2DB02AC3"/>
    <w:rsid w:val="2DB93709"/>
    <w:rsid w:val="2DBB3570"/>
    <w:rsid w:val="2DBB7B7C"/>
    <w:rsid w:val="2DC64026"/>
    <w:rsid w:val="2DC9D3D5"/>
    <w:rsid w:val="2DCB98A5"/>
    <w:rsid w:val="2DD1477C"/>
    <w:rsid w:val="2DD2C858"/>
    <w:rsid w:val="2DD9805C"/>
    <w:rsid w:val="2DDC2BBD"/>
    <w:rsid w:val="2DE0DBBE"/>
    <w:rsid w:val="2DE443E4"/>
    <w:rsid w:val="2DE98843"/>
    <w:rsid w:val="2DECA81E"/>
    <w:rsid w:val="2DEF48D6"/>
    <w:rsid w:val="2DF3FF65"/>
    <w:rsid w:val="2DF6D05B"/>
    <w:rsid w:val="2DF7A515"/>
    <w:rsid w:val="2E087693"/>
    <w:rsid w:val="2E08788E"/>
    <w:rsid w:val="2E0AF886"/>
    <w:rsid w:val="2E166610"/>
    <w:rsid w:val="2E1A399A"/>
    <w:rsid w:val="2E1A8246"/>
    <w:rsid w:val="2E1D52D9"/>
    <w:rsid w:val="2E257A43"/>
    <w:rsid w:val="2E25D57E"/>
    <w:rsid w:val="2E33B0A9"/>
    <w:rsid w:val="2E369FCE"/>
    <w:rsid w:val="2E3823EF"/>
    <w:rsid w:val="2E3EBA22"/>
    <w:rsid w:val="2E40413B"/>
    <w:rsid w:val="2E40D095"/>
    <w:rsid w:val="2E420F5D"/>
    <w:rsid w:val="2E46D52A"/>
    <w:rsid w:val="2E49A726"/>
    <w:rsid w:val="2E4C03BA"/>
    <w:rsid w:val="2E51129A"/>
    <w:rsid w:val="2E51DB7E"/>
    <w:rsid w:val="2E5A5F5D"/>
    <w:rsid w:val="2E5DF966"/>
    <w:rsid w:val="2E61FD44"/>
    <w:rsid w:val="2E63FFBC"/>
    <w:rsid w:val="2E70A8C0"/>
    <w:rsid w:val="2E754877"/>
    <w:rsid w:val="2E95977E"/>
    <w:rsid w:val="2E95B91A"/>
    <w:rsid w:val="2E995C5A"/>
    <w:rsid w:val="2E9C17E0"/>
    <w:rsid w:val="2EA70DB6"/>
    <w:rsid w:val="2EB21074"/>
    <w:rsid w:val="2EB548BD"/>
    <w:rsid w:val="2EBB0CB8"/>
    <w:rsid w:val="2EBD84E9"/>
    <w:rsid w:val="2EC0E386"/>
    <w:rsid w:val="2EC2B8EA"/>
    <w:rsid w:val="2EC44E17"/>
    <w:rsid w:val="2ED19EBE"/>
    <w:rsid w:val="2ED49AD7"/>
    <w:rsid w:val="2EDF19FE"/>
    <w:rsid w:val="2EE1D07D"/>
    <w:rsid w:val="2EE327C0"/>
    <w:rsid w:val="2EE7BFE4"/>
    <w:rsid w:val="2EE84DBC"/>
    <w:rsid w:val="2EEAF7B4"/>
    <w:rsid w:val="2EF1DECF"/>
    <w:rsid w:val="2EF41266"/>
    <w:rsid w:val="2EF4C4D0"/>
    <w:rsid w:val="2EFE3A1C"/>
    <w:rsid w:val="2EFEA23B"/>
    <w:rsid w:val="2F03F44F"/>
    <w:rsid w:val="2F04AA18"/>
    <w:rsid w:val="2F0AC755"/>
    <w:rsid w:val="2F0FE5E7"/>
    <w:rsid w:val="2F166550"/>
    <w:rsid w:val="2F186FDF"/>
    <w:rsid w:val="2F247794"/>
    <w:rsid w:val="2F2D43D6"/>
    <w:rsid w:val="2F372858"/>
    <w:rsid w:val="2F5150A8"/>
    <w:rsid w:val="2F51D453"/>
    <w:rsid w:val="2F51F7D2"/>
    <w:rsid w:val="2F5217F4"/>
    <w:rsid w:val="2F53871A"/>
    <w:rsid w:val="2F5973D9"/>
    <w:rsid w:val="2F5A9D84"/>
    <w:rsid w:val="2F5DA5CC"/>
    <w:rsid w:val="2F5F408E"/>
    <w:rsid w:val="2F6755FD"/>
    <w:rsid w:val="2F67951D"/>
    <w:rsid w:val="2F72AEC7"/>
    <w:rsid w:val="2F76B81A"/>
    <w:rsid w:val="2F782629"/>
    <w:rsid w:val="2F78D774"/>
    <w:rsid w:val="2F7F3EB6"/>
    <w:rsid w:val="2F809163"/>
    <w:rsid w:val="2F878CDC"/>
    <w:rsid w:val="2F8FCFC6"/>
    <w:rsid w:val="2F93235F"/>
    <w:rsid w:val="2F9413D6"/>
    <w:rsid w:val="2F97A491"/>
    <w:rsid w:val="2F99828B"/>
    <w:rsid w:val="2F9D9BC9"/>
    <w:rsid w:val="2FA00C0A"/>
    <w:rsid w:val="2FA0C2D1"/>
    <w:rsid w:val="2FA61EAB"/>
    <w:rsid w:val="2FA67577"/>
    <w:rsid w:val="2FA75978"/>
    <w:rsid w:val="2FA884EE"/>
    <w:rsid w:val="2FAAE30A"/>
    <w:rsid w:val="2FAE19AD"/>
    <w:rsid w:val="2FB1DBE0"/>
    <w:rsid w:val="2FB37A16"/>
    <w:rsid w:val="2FB5362D"/>
    <w:rsid w:val="2FBA46A9"/>
    <w:rsid w:val="2FBCB92C"/>
    <w:rsid w:val="2FBE0BCB"/>
    <w:rsid w:val="2FC01056"/>
    <w:rsid w:val="2FC93421"/>
    <w:rsid w:val="2FCD84B4"/>
    <w:rsid w:val="2FD09182"/>
    <w:rsid w:val="2FD4F6E4"/>
    <w:rsid w:val="2FDF0DD4"/>
    <w:rsid w:val="2FE58780"/>
    <w:rsid w:val="2FE9317F"/>
    <w:rsid w:val="2FF89843"/>
    <w:rsid w:val="2FFC7D8A"/>
    <w:rsid w:val="2FFDA6C6"/>
    <w:rsid w:val="2FFDFC28"/>
    <w:rsid w:val="3000F5D4"/>
    <w:rsid w:val="300370AE"/>
    <w:rsid w:val="300528CE"/>
    <w:rsid w:val="3010AB77"/>
    <w:rsid w:val="30125552"/>
    <w:rsid w:val="3022B0DE"/>
    <w:rsid w:val="3024C6BD"/>
    <w:rsid w:val="302893BC"/>
    <w:rsid w:val="302E3713"/>
    <w:rsid w:val="302FB27A"/>
    <w:rsid w:val="30415516"/>
    <w:rsid w:val="304298ED"/>
    <w:rsid w:val="30481856"/>
    <w:rsid w:val="3048785C"/>
    <w:rsid w:val="304FA73D"/>
    <w:rsid w:val="3055AB67"/>
    <w:rsid w:val="30588C59"/>
    <w:rsid w:val="305A9C06"/>
    <w:rsid w:val="305FC515"/>
    <w:rsid w:val="306D6B7E"/>
    <w:rsid w:val="3070BEEF"/>
    <w:rsid w:val="3072202B"/>
    <w:rsid w:val="3076FC22"/>
    <w:rsid w:val="30841823"/>
    <w:rsid w:val="308492A2"/>
    <w:rsid w:val="309A718B"/>
    <w:rsid w:val="309C888B"/>
    <w:rsid w:val="309EDED6"/>
    <w:rsid w:val="30A081F0"/>
    <w:rsid w:val="30A200FA"/>
    <w:rsid w:val="30A9E432"/>
    <w:rsid w:val="30ABE5D1"/>
    <w:rsid w:val="30ADDF91"/>
    <w:rsid w:val="30B1DBCB"/>
    <w:rsid w:val="30B2194E"/>
    <w:rsid w:val="30B39B11"/>
    <w:rsid w:val="30B3BB05"/>
    <w:rsid w:val="30B56415"/>
    <w:rsid w:val="30B5ED2B"/>
    <w:rsid w:val="30B6349C"/>
    <w:rsid w:val="30B759B3"/>
    <w:rsid w:val="30B920D8"/>
    <w:rsid w:val="30B9776C"/>
    <w:rsid w:val="30C3E3BE"/>
    <w:rsid w:val="30D1D81E"/>
    <w:rsid w:val="30DB0735"/>
    <w:rsid w:val="30DB4832"/>
    <w:rsid w:val="30DC0D42"/>
    <w:rsid w:val="30E084F3"/>
    <w:rsid w:val="30E75F47"/>
    <w:rsid w:val="30E7B5BD"/>
    <w:rsid w:val="30E83654"/>
    <w:rsid w:val="30EDC6A9"/>
    <w:rsid w:val="30F66C37"/>
    <w:rsid w:val="30F7D526"/>
    <w:rsid w:val="30F85F6D"/>
    <w:rsid w:val="30FB88DC"/>
    <w:rsid w:val="30FE605E"/>
    <w:rsid w:val="31018DDA"/>
    <w:rsid w:val="3102F702"/>
    <w:rsid w:val="31065808"/>
    <w:rsid w:val="31194749"/>
    <w:rsid w:val="311BD76D"/>
    <w:rsid w:val="311EB0EA"/>
    <w:rsid w:val="311FCFD5"/>
    <w:rsid w:val="312027AC"/>
    <w:rsid w:val="31208A70"/>
    <w:rsid w:val="312A1DB1"/>
    <w:rsid w:val="312F76CF"/>
    <w:rsid w:val="3130278B"/>
    <w:rsid w:val="31331CAD"/>
    <w:rsid w:val="31373C19"/>
    <w:rsid w:val="313E6E39"/>
    <w:rsid w:val="3141A472"/>
    <w:rsid w:val="3148F7DA"/>
    <w:rsid w:val="315E9E94"/>
    <w:rsid w:val="31700E0B"/>
    <w:rsid w:val="3171577F"/>
    <w:rsid w:val="317C79C2"/>
    <w:rsid w:val="317CA1C2"/>
    <w:rsid w:val="317CE98A"/>
    <w:rsid w:val="31804C5B"/>
    <w:rsid w:val="3183D3F2"/>
    <w:rsid w:val="3186280B"/>
    <w:rsid w:val="31868A6D"/>
    <w:rsid w:val="3188DEFF"/>
    <w:rsid w:val="318C19E4"/>
    <w:rsid w:val="318DDB14"/>
    <w:rsid w:val="318ECA33"/>
    <w:rsid w:val="318F372D"/>
    <w:rsid w:val="3194791D"/>
    <w:rsid w:val="31975FF2"/>
    <w:rsid w:val="319CE6F5"/>
    <w:rsid w:val="31A1AE79"/>
    <w:rsid w:val="31A593C2"/>
    <w:rsid w:val="31A680AF"/>
    <w:rsid w:val="31A7AB1B"/>
    <w:rsid w:val="31BA907E"/>
    <w:rsid w:val="31C4F828"/>
    <w:rsid w:val="31CFC1EC"/>
    <w:rsid w:val="31D5BB35"/>
    <w:rsid w:val="31D963B3"/>
    <w:rsid w:val="31D9BDC2"/>
    <w:rsid w:val="31DCB4C5"/>
    <w:rsid w:val="31DD4792"/>
    <w:rsid w:val="31DED4B2"/>
    <w:rsid w:val="31E060E7"/>
    <w:rsid w:val="31E0D47D"/>
    <w:rsid w:val="31E381CE"/>
    <w:rsid w:val="31E3B020"/>
    <w:rsid w:val="31F1081B"/>
    <w:rsid w:val="31FB11E8"/>
    <w:rsid w:val="3202D07B"/>
    <w:rsid w:val="3214179F"/>
    <w:rsid w:val="321750DE"/>
    <w:rsid w:val="3219FE9F"/>
    <w:rsid w:val="32222B8D"/>
    <w:rsid w:val="322BDB05"/>
    <w:rsid w:val="32341837"/>
    <w:rsid w:val="323818E1"/>
    <w:rsid w:val="3238D9F3"/>
    <w:rsid w:val="323F47D8"/>
    <w:rsid w:val="3242DB24"/>
    <w:rsid w:val="324B5824"/>
    <w:rsid w:val="32501A31"/>
    <w:rsid w:val="3250580B"/>
    <w:rsid w:val="32546026"/>
    <w:rsid w:val="3256B90C"/>
    <w:rsid w:val="325B17D8"/>
    <w:rsid w:val="326553B4"/>
    <w:rsid w:val="3269156A"/>
    <w:rsid w:val="3269C741"/>
    <w:rsid w:val="3275067F"/>
    <w:rsid w:val="3276A4AD"/>
    <w:rsid w:val="3279D821"/>
    <w:rsid w:val="327ABB3E"/>
    <w:rsid w:val="327D84D8"/>
    <w:rsid w:val="3286E68E"/>
    <w:rsid w:val="32871F85"/>
    <w:rsid w:val="3288C872"/>
    <w:rsid w:val="328F0241"/>
    <w:rsid w:val="328F9D40"/>
    <w:rsid w:val="329F5C07"/>
    <w:rsid w:val="32A22244"/>
    <w:rsid w:val="32A25433"/>
    <w:rsid w:val="32A52E68"/>
    <w:rsid w:val="32A5544E"/>
    <w:rsid w:val="32A6B7BA"/>
    <w:rsid w:val="32AA6E56"/>
    <w:rsid w:val="32B0DB4E"/>
    <w:rsid w:val="32B6B5C7"/>
    <w:rsid w:val="32BCF69A"/>
    <w:rsid w:val="32BD078B"/>
    <w:rsid w:val="32C81050"/>
    <w:rsid w:val="32CCF22C"/>
    <w:rsid w:val="32D8BEA9"/>
    <w:rsid w:val="32DA85E1"/>
    <w:rsid w:val="32DB8828"/>
    <w:rsid w:val="32DC9B15"/>
    <w:rsid w:val="32DCCDE6"/>
    <w:rsid w:val="32E5AECD"/>
    <w:rsid w:val="32F1BD91"/>
    <w:rsid w:val="32F47729"/>
    <w:rsid w:val="32FE31F7"/>
    <w:rsid w:val="33080C73"/>
    <w:rsid w:val="330D564A"/>
    <w:rsid w:val="3314E1DB"/>
    <w:rsid w:val="33163205"/>
    <w:rsid w:val="33169E16"/>
    <w:rsid w:val="331EE24A"/>
    <w:rsid w:val="33217C45"/>
    <w:rsid w:val="3325216A"/>
    <w:rsid w:val="332ACDAA"/>
    <w:rsid w:val="332DD7AA"/>
    <w:rsid w:val="332E04C2"/>
    <w:rsid w:val="332F5D26"/>
    <w:rsid w:val="332F7241"/>
    <w:rsid w:val="333CB365"/>
    <w:rsid w:val="333F75EC"/>
    <w:rsid w:val="334BBC76"/>
    <w:rsid w:val="334E0C42"/>
    <w:rsid w:val="334FBDC3"/>
    <w:rsid w:val="3356B9C5"/>
    <w:rsid w:val="3357CAA4"/>
    <w:rsid w:val="33594DEB"/>
    <w:rsid w:val="335B2E1B"/>
    <w:rsid w:val="3360581F"/>
    <w:rsid w:val="33665A6A"/>
    <w:rsid w:val="33769FBA"/>
    <w:rsid w:val="3376C8C5"/>
    <w:rsid w:val="3377E36D"/>
    <w:rsid w:val="337DAFB5"/>
    <w:rsid w:val="33804A0E"/>
    <w:rsid w:val="3382B4F7"/>
    <w:rsid w:val="3388548E"/>
    <w:rsid w:val="33992290"/>
    <w:rsid w:val="339BD968"/>
    <w:rsid w:val="339BE283"/>
    <w:rsid w:val="33A24F02"/>
    <w:rsid w:val="33AE867E"/>
    <w:rsid w:val="33AF86C9"/>
    <w:rsid w:val="33BB1C8A"/>
    <w:rsid w:val="33C4BFDE"/>
    <w:rsid w:val="33CEE683"/>
    <w:rsid w:val="33DF6208"/>
    <w:rsid w:val="33E04C41"/>
    <w:rsid w:val="33ECF6D9"/>
    <w:rsid w:val="33F0FA20"/>
    <w:rsid w:val="33F103A1"/>
    <w:rsid w:val="33FA70DF"/>
    <w:rsid w:val="33FC9016"/>
    <w:rsid w:val="33FD9A48"/>
    <w:rsid w:val="3400A8AF"/>
    <w:rsid w:val="34039F29"/>
    <w:rsid w:val="340903BC"/>
    <w:rsid w:val="34107B71"/>
    <w:rsid w:val="3411022D"/>
    <w:rsid w:val="34138C7B"/>
    <w:rsid w:val="3414F305"/>
    <w:rsid w:val="341EE6D1"/>
    <w:rsid w:val="3424EECB"/>
    <w:rsid w:val="342FA901"/>
    <w:rsid w:val="3438E036"/>
    <w:rsid w:val="34399AF2"/>
    <w:rsid w:val="34515B96"/>
    <w:rsid w:val="3467E413"/>
    <w:rsid w:val="3469AF22"/>
    <w:rsid w:val="34705C6D"/>
    <w:rsid w:val="347224F3"/>
    <w:rsid w:val="3473048D"/>
    <w:rsid w:val="347584E5"/>
    <w:rsid w:val="3478ED14"/>
    <w:rsid w:val="347AA42E"/>
    <w:rsid w:val="347C6316"/>
    <w:rsid w:val="347DC0B0"/>
    <w:rsid w:val="34828057"/>
    <w:rsid w:val="3485EF22"/>
    <w:rsid w:val="3489B131"/>
    <w:rsid w:val="348A1440"/>
    <w:rsid w:val="348B11AF"/>
    <w:rsid w:val="349AD68C"/>
    <w:rsid w:val="34AA5755"/>
    <w:rsid w:val="34AAF903"/>
    <w:rsid w:val="34AE3527"/>
    <w:rsid w:val="34AF1CE6"/>
    <w:rsid w:val="34BF619D"/>
    <w:rsid w:val="34C1C7D5"/>
    <w:rsid w:val="34C52C02"/>
    <w:rsid w:val="34D6A81D"/>
    <w:rsid w:val="34D71F53"/>
    <w:rsid w:val="34D7A28A"/>
    <w:rsid w:val="34D9415F"/>
    <w:rsid w:val="34DAB07E"/>
    <w:rsid w:val="34DE9B49"/>
    <w:rsid w:val="34DFCD7B"/>
    <w:rsid w:val="34DFF6B9"/>
    <w:rsid w:val="34E1BD1F"/>
    <w:rsid w:val="34F51E0D"/>
    <w:rsid w:val="34F6CC35"/>
    <w:rsid w:val="34F71E52"/>
    <w:rsid w:val="34F8056E"/>
    <w:rsid w:val="34F86F78"/>
    <w:rsid w:val="34FC2C2A"/>
    <w:rsid w:val="350C3FE5"/>
    <w:rsid w:val="35139E10"/>
    <w:rsid w:val="351D8BFA"/>
    <w:rsid w:val="3524B566"/>
    <w:rsid w:val="35332BC8"/>
    <w:rsid w:val="3535755E"/>
    <w:rsid w:val="353ABA94"/>
    <w:rsid w:val="3542CC82"/>
    <w:rsid w:val="35434797"/>
    <w:rsid w:val="3543B8DB"/>
    <w:rsid w:val="3544BAD8"/>
    <w:rsid w:val="354987C4"/>
    <w:rsid w:val="354F6F9F"/>
    <w:rsid w:val="35535196"/>
    <w:rsid w:val="35575A31"/>
    <w:rsid w:val="3567D798"/>
    <w:rsid w:val="3569BE77"/>
    <w:rsid w:val="356C31B0"/>
    <w:rsid w:val="35713294"/>
    <w:rsid w:val="357165AA"/>
    <w:rsid w:val="3575E023"/>
    <w:rsid w:val="357696FD"/>
    <w:rsid w:val="357A52E2"/>
    <w:rsid w:val="3580A773"/>
    <w:rsid w:val="358FE977"/>
    <w:rsid w:val="35912B4D"/>
    <w:rsid w:val="3594668E"/>
    <w:rsid w:val="35955CD7"/>
    <w:rsid w:val="359A6A71"/>
    <w:rsid w:val="35A6D8B8"/>
    <w:rsid w:val="35A7CC8C"/>
    <w:rsid w:val="35A7D0AA"/>
    <w:rsid w:val="35AA0409"/>
    <w:rsid w:val="35B34B73"/>
    <w:rsid w:val="35B9E1B1"/>
    <w:rsid w:val="35C4587E"/>
    <w:rsid w:val="35C62559"/>
    <w:rsid w:val="35CA1107"/>
    <w:rsid w:val="35CAD104"/>
    <w:rsid w:val="35D08427"/>
    <w:rsid w:val="35D92B32"/>
    <w:rsid w:val="35DFBABD"/>
    <w:rsid w:val="35E2AFD2"/>
    <w:rsid w:val="35E47AE1"/>
    <w:rsid w:val="35E906BF"/>
    <w:rsid w:val="35FFC862"/>
    <w:rsid w:val="36012001"/>
    <w:rsid w:val="36013479"/>
    <w:rsid w:val="3606F773"/>
    <w:rsid w:val="360850C2"/>
    <w:rsid w:val="36099284"/>
    <w:rsid w:val="360BC141"/>
    <w:rsid w:val="3613F3C7"/>
    <w:rsid w:val="3615BD74"/>
    <w:rsid w:val="3619FE25"/>
    <w:rsid w:val="361C8276"/>
    <w:rsid w:val="361F89DB"/>
    <w:rsid w:val="362464D0"/>
    <w:rsid w:val="3624DCEE"/>
    <w:rsid w:val="3624FED9"/>
    <w:rsid w:val="3628194D"/>
    <w:rsid w:val="3635EA05"/>
    <w:rsid w:val="3637312F"/>
    <w:rsid w:val="363C8465"/>
    <w:rsid w:val="3642AEA5"/>
    <w:rsid w:val="36465559"/>
    <w:rsid w:val="364C64FC"/>
    <w:rsid w:val="36568249"/>
    <w:rsid w:val="3657997A"/>
    <w:rsid w:val="36588029"/>
    <w:rsid w:val="3659992E"/>
    <w:rsid w:val="365A88F4"/>
    <w:rsid w:val="365CDD02"/>
    <w:rsid w:val="365EC2AC"/>
    <w:rsid w:val="3662C8F6"/>
    <w:rsid w:val="36641089"/>
    <w:rsid w:val="36671C2D"/>
    <w:rsid w:val="366D9C47"/>
    <w:rsid w:val="366EC5D3"/>
    <w:rsid w:val="36702D78"/>
    <w:rsid w:val="3670B28C"/>
    <w:rsid w:val="3672B532"/>
    <w:rsid w:val="367AC914"/>
    <w:rsid w:val="36802388"/>
    <w:rsid w:val="3683FD9E"/>
    <w:rsid w:val="369287CE"/>
    <w:rsid w:val="36A2CF75"/>
    <w:rsid w:val="36A6A89A"/>
    <w:rsid w:val="36A72C28"/>
    <w:rsid w:val="36B531F0"/>
    <w:rsid w:val="36B658B4"/>
    <w:rsid w:val="36BA82B5"/>
    <w:rsid w:val="36BEDE67"/>
    <w:rsid w:val="36BFD0CF"/>
    <w:rsid w:val="36C03507"/>
    <w:rsid w:val="36D24A74"/>
    <w:rsid w:val="36D3BDF8"/>
    <w:rsid w:val="36E7B394"/>
    <w:rsid w:val="36EDFC0F"/>
    <w:rsid w:val="36F82296"/>
    <w:rsid w:val="37092AB0"/>
    <w:rsid w:val="370CA0B7"/>
    <w:rsid w:val="370DB949"/>
    <w:rsid w:val="370DBA1A"/>
    <w:rsid w:val="37228823"/>
    <w:rsid w:val="37282F26"/>
    <w:rsid w:val="372D2FBC"/>
    <w:rsid w:val="373679D7"/>
    <w:rsid w:val="3736BBBC"/>
    <w:rsid w:val="3739A34D"/>
    <w:rsid w:val="373A4C44"/>
    <w:rsid w:val="373B875E"/>
    <w:rsid w:val="374285D0"/>
    <w:rsid w:val="37435AB0"/>
    <w:rsid w:val="374D21F4"/>
    <w:rsid w:val="3750F88B"/>
    <w:rsid w:val="3753DCBA"/>
    <w:rsid w:val="3758C182"/>
    <w:rsid w:val="375BBCEE"/>
    <w:rsid w:val="37654B4D"/>
    <w:rsid w:val="376B46C4"/>
    <w:rsid w:val="376C109E"/>
    <w:rsid w:val="376E3D72"/>
    <w:rsid w:val="3774610A"/>
    <w:rsid w:val="37752491"/>
    <w:rsid w:val="377F213A"/>
    <w:rsid w:val="37858E65"/>
    <w:rsid w:val="378BB236"/>
    <w:rsid w:val="3793B310"/>
    <w:rsid w:val="379B056A"/>
    <w:rsid w:val="37A4FA96"/>
    <w:rsid w:val="37A54387"/>
    <w:rsid w:val="37A971CA"/>
    <w:rsid w:val="37ABCE06"/>
    <w:rsid w:val="37AD0C42"/>
    <w:rsid w:val="37AEA2F2"/>
    <w:rsid w:val="37B54A36"/>
    <w:rsid w:val="37BFACF1"/>
    <w:rsid w:val="37C89285"/>
    <w:rsid w:val="37C8F1B1"/>
    <w:rsid w:val="37C99C0F"/>
    <w:rsid w:val="37CAB181"/>
    <w:rsid w:val="37D1C345"/>
    <w:rsid w:val="37D55592"/>
    <w:rsid w:val="37DD9479"/>
    <w:rsid w:val="37E347A5"/>
    <w:rsid w:val="37E68C96"/>
    <w:rsid w:val="37EA759E"/>
    <w:rsid w:val="37ED87F2"/>
    <w:rsid w:val="37F6B661"/>
    <w:rsid w:val="37F7727F"/>
    <w:rsid w:val="37F8DFE2"/>
    <w:rsid w:val="38032F40"/>
    <w:rsid w:val="38067F9A"/>
    <w:rsid w:val="380AFBC0"/>
    <w:rsid w:val="380C2879"/>
    <w:rsid w:val="380DB384"/>
    <w:rsid w:val="38117E58"/>
    <w:rsid w:val="3814D4A6"/>
    <w:rsid w:val="381C666B"/>
    <w:rsid w:val="381C993C"/>
    <w:rsid w:val="382200A9"/>
    <w:rsid w:val="38224E3F"/>
    <w:rsid w:val="38229B82"/>
    <w:rsid w:val="3826F014"/>
    <w:rsid w:val="3827878C"/>
    <w:rsid w:val="382787B9"/>
    <w:rsid w:val="382E783B"/>
    <w:rsid w:val="382FD01E"/>
    <w:rsid w:val="38330BC2"/>
    <w:rsid w:val="383924CF"/>
    <w:rsid w:val="384176BC"/>
    <w:rsid w:val="38437671"/>
    <w:rsid w:val="3845515B"/>
    <w:rsid w:val="3845AF37"/>
    <w:rsid w:val="3846F658"/>
    <w:rsid w:val="384C3F23"/>
    <w:rsid w:val="3854D20E"/>
    <w:rsid w:val="385B3AEB"/>
    <w:rsid w:val="3866141B"/>
    <w:rsid w:val="386C4891"/>
    <w:rsid w:val="387025FC"/>
    <w:rsid w:val="3871E038"/>
    <w:rsid w:val="38758D1D"/>
    <w:rsid w:val="3875B2CF"/>
    <w:rsid w:val="3884D79A"/>
    <w:rsid w:val="3885DCB5"/>
    <w:rsid w:val="38863A38"/>
    <w:rsid w:val="388A36D9"/>
    <w:rsid w:val="388E9776"/>
    <w:rsid w:val="38927F36"/>
    <w:rsid w:val="38968E22"/>
    <w:rsid w:val="38977043"/>
    <w:rsid w:val="38978098"/>
    <w:rsid w:val="389949F6"/>
    <w:rsid w:val="389C6F1F"/>
    <w:rsid w:val="38A02FE1"/>
    <w:rsid w:val="38A136B2"/>
    <w:rsid w:val="38A63A70"/>
    <w:rsid w:val="38AC2158"/>
    <w:rsid w:val="38AD2083"/>
    <w:rsid w:val="38AFE71F"/>
    <w:rsid w:val="38BE149A"/>
    <w:rsid w:val="38C3377E"/>
    <w:rsid w:val="38C43250"/>
    <w:rsid w:val="38C75518"/>
    <w:rsid w:val="38C7D797"/>
    <w:rsid w:val="38D81C82"/>
    <w:rsid w:val="38D98EA1"/>
    <w:rsid w:val="38DCAD69"/>
    <w:rsid w:val="38DD4F88"/>
    <w:rsid w:val="38DEFDDC"/>
    <w:rsid w:val="38E4B512"/>
    <w:rsid w:val="38EF7600"/>
    <w:rsid w:val="38F11847"/>
    <w:rsid w:val="38F7B673"/>
    <w:rsid w:val="38F98BFD"/>
    <w:rsid w:val="3907C883"/>
    <w:rsid w:val="390B6828"/>
    <w:rsid w:val="39181F62"/>
    <w:rsid w:val="3918B2BD"/>
    <w:rsid w:val="391B223D"/>
    <w:rsid w:val="391E09A8"/>
    <w:rsid w:val="392237F7"/>
    <w:rsid w:val="3927EE0B"/>
    <w:rsid w:val="39289E22"/>
    <w:rsid w:val="392C97FE"/>
    <w:rsid w:val="392CA7D0"/>
    <w:rsid w:val="39371038"/>
    <w:rsid w:val="39386C40"/>
    <w:rsid w:val="393B97C4"/>
    <w:rsid w:val="39526623"/>
    <w:rsid w:val="3955A9A7"/>
    <w:rsid w:val="3955FC6D"/>
    <w:rsid w:val="395A24EE"/>
    <w:rsid w:val="395A4A51"/>
    <w:rsid w:val="395B5243"/>
    <w:rsid w:val="395E105B"/>
    <w:rsid w:val="3961650E"/>
    <w:rsid w:val="39622883"/>
    <w:rsid w:val="3962D00F"/>
    <w:rsid w:val="3962D33D"/>
    <w:rsid w:val="3963327F"/>
    <w:rsid w:val="3964C78D"/>
    <w:rsid w:val="396D6456"/>
    <w:rsid w:val="397671A0"/>
    <w:rsid w:val="39772C98"/>
    <w:rsid w:val="398196CD"/>
    <w:rsid w:val="398237DD"/>
    <w:rsid w:val="3984D4C3"/>
    <w:rsid w:val="39893CBA"/>
    <w:rsid w:val="398989D0"/>
    <w:rsid w:val="398C0451"/>
    <w:rsid w:val="398F2F25"/>
    <w:rsid w:val="398F3A3C"/>
    <w:rsid w:val="398F5C27"/>
    <w:rsid w:val="3995C77C"/>
    <w:rsid w:val="3998C772"/>
    <w:rsid w:val="39A49DD9"/>
    <w:rsid w:val="39A7D0D6"/>
    <w:rsid w:val="39A891A4"/>
    <w:rsid w:val="39AC2CAE"/>
    <w:rsid w:val="39ACDB39"/>
    <w:rsid w:val="39B6D6CC"/>
    <w:rsid w:val="39B6E09E"/>
    <w:rsid w:val="39BA39D7"/>
    <w:rsid w:val="39BC4E02"/>
    <w:rsid w:val="39BE2393"/>
    <w:rsid w:val="39C62BD5"/>
    <w:rsid w:val="39CCD937"/>
    <w:rsid w:val="39CCF768"/>
    <w:rsid w:val="39CD4B70"/>
    <w:rsid w:val="39CD770E"/>
    <w:rsid w:val="39D5F5C4"/>
    <w:rsid w:val="39D6DC0E"/>
    <w:rsid w:val="39D6EECF"/>
    <w:rsid w:val="39DE361D"/>
    <w:rsid w:val="39E35CB4"/>
    <w:rsid w:val="39E82CBD"/>
    <w:rsid w:val="39E85977"/>
    <w:rsid w:val="39EF7188"/>
    <w:rsid w:val="3A026735"/>
    <w:rsid w:val="3A02E79C"/>
    <w:rsid w:val="3A084526"/>
    <w:rsid w:val="3A097175"/>
    <w:rsid w:val="3A0E6A61"/>
    <w:rsid w:val="3A14E562"/>
    <w:rsid w:val="3A16859D"/>
    <w:rsid w:val="3A1DAB2B"/>
    <w:rsid w:val="3A20D56C"/>
    <w:rsid w:val="3A276ACE"/>
    <w:rsid w:val="3A288594"/>
    <w:rsid w:val="3A2D0741"/>
    <w:rsid w:val="3A327755"/>
    <w:rsid w:val="3A33905D"/>
    <w:rsid w:val="3A377C93"/>
    <w:rsid w:val="3A3E4A24"/>
    <w:rsid w:val="3A409C71"/>
    <w:rsid w:val="3A435A4F"/>
    <w:rsid w:val="3A436007"/>
    <w:rsid w:val="3A485F60"/>
    <w:rsid w:val="3A4C6514"/>
    <w:rsid w:val="3A4FA2F3"/>
    <w:rsid w:val="3A519AB7"/>
    <w:rsid w:val="3A52CDE7"/>
    <w:rsid w:val="3A55C0FA"/>
    <w:rsid w:val="3A587148"/>
    <w:rsid w:val="3A5E350F"/>
    <w:rsid w:val="3A7689FC"/>
    <w:rsid w:val="3A802B2D"/>
    <w:rsid w:val="3A8431D4"/>
    <w:rsid w:val="3A87B3D7"/>
    <w:rsid w:val="3A93A3FB"/>
    <w:rsid w:val="3A9DA8ED"/>
    <w:rsid w:val="3AA714E8"/>
    <w:rsid w:val="3AA779CB"/>
    <w:rsid w:val="3AAF20ED"/>
    <w:rsid w:val="3AB0A8E0"/>
    <w:rsid w:val="3ABC84AB"/>
    <w:rsid w:val="3AC46F9C"/>
    <w:rsid w:val="3AC7DBAF"/>
    <w:rsid w:val="3AC920A6"/>
    <w:rsid w:val="3ACAC90E"/>
    <w:rsid w:val="3ACCD49C"/>
    <w:rsid w:val="3AD37790"/>
    <w:rsid w:val="3ADA133F"/>
    <w:rsid w:val="3AE212BC"/>
    <w:rsid w:val="3AE3E843"/>
    <w:rsid w:val="3AE8E8BD"/>
    <w:rsid w:val="3AEC4E6F"/>
    <w:rsid w:val="3AEE5539"/>
    <w:rsid w:val="3AEE7850"/>
    <w:rsid w:val="3AEF7A1D"/>
    <w:rsid w:val="3AF07921"/>
    <w:rsid w:val="3AF1FC22"/>
    <w:rsid w:val="3AF9D23B"/>
    <w:rsid w:val="3AFC5F4E"/>
    <w:rsid w:val="3AFDB5E3"/>
    <w:rsid w:val="3B045B77"/>
    <w:rsid w:val="3B0A9ACA"/>
    <w:rsid w:val="3B15961C"/>
    <w:rsid w:val="3B1DD06E"/>
    <w:rsid w:val="3B1E035A"/>
    <w:rsid w:val="3B25135E"/>
    <w:rsid w:val="3B26E022"/>
    <w:rsid w:val="3B2709AB"/>
    <w:rsid w:val="3B2B0A9D"/>
    <w:rsid w:val="3B30BFC6"/>
    <w:rsid w:val="3B32D055"/>
    <w:rsid w:val="3B3B465E"/>
    <w:rsid w:val="3B43A949"/>
    <w:rsid w:val="3B43C93B"/>
    <w:rsid w:val="3B46FD0B"/>
    <w:rsid w:val="3B4A0906"/>
    <w:rsid w:val="3B4B8D52"/>
    <w:rsid w:val="3B4C023D"/>
    <w:rsid w:val="3B536FB5"/>
    <w:rsid w:val="3B58B3E0"/>
    <w:rsid w:val="3B599FC7"/>
    <w:rsid w:val="3B5A1499"/>
    <w:rsid w:val="3B5C010A"/>
    <w:rsid w:val="3B631A72"/>
    <w:rsid w:val="3B63234E"/>
    <w:rsid w:val="3B65D4C0"/>
    <w:rsid w:val="3B67E653"/>
    <w:rsid w:val="3B73887E"/>
    <w:rsid w:val="3B7B83E9"/>
    <w:rsid w:val="3B7FB7BD"/>
    <w:rsid w:val="3B806D37"/>
    <w:rsid w:val="3B834A8A"/>
    <w:rsid w:val="3B844155"/>
    <w:rsid w:val="3B850C14"/>
    <w:rsid w:val="3B911EFC"/>
    <w:rsid w:val="3B92B195"/>
    <w:rsid w:val="3B92C6FA"/>
    <w:rsid w:val="3B9540A3"/>
    <w:rsid w:val="3B96F0D8"/>
    <w:rsid w:val="3B9B2350"/>
    <w:rsid w:val="3B9CF7A8"/>
    <w:rsid w:val="3BA5C880"/>
    <w:rsid w:val="3BAB1A2D"/>
    <w:rsid w:val="3BB8E4B9"/>
    <w:rsid w:val="3BBB8942"/>
    <w:rsid w:val="3BC7AF45"/>
    <w:rsid w:val="3BC8046B"/>
    <w:rsid w:val="3BD5A107"/>
    <w:rsid w:val="3BD79392"/>
    <w:rsid w:val="3BE177F8"/>
    <w:rsid w:val="3BE64E0B"/>
    <w:rsid w:val="3BF04096"/>
    <w:rsid w:val="3BF791D5"/>
    <w:rsid w:val="3C010EE1"/>
    <w:rsid w:val="3C0F8EA5"/>
    <w:rsid w:val="3C120554"/>
    <w:rsid w:val="3C13C668"/>
    <w:rsid w:val="3C17F5B2"/>
    <w:rsid w:val="3C1C6E89"/>
    <w:rsid w:val="3C1EAD01"/>
    <w:rsid w:val="3C249FA0"/>
    <w:rsid w:val="3C298AE9"/>
    <w:rsid w:val="3C2A71F1"/>
    <w:rsid w:val="3C3115A3"/>
    <w:rsid w:val="3C314940"/>
    <w:rsid w:val="3C378C2E"/>
    <w:rsid w:val="3C37B37A"/>
    <w:rsid w:val="3C39D3D7"/>
    <w:rsid w:val="3C46A0AB"/>
    <w:rsid w:val="3C483D5A"/>
    <w:rsid w:val="3C48AB6E"/>
    <w:rsid w:val="3C4DE8A1"/>
    <w:rsid w:val="3C511E0E"/>
    <w:rsid w:val="3C57A028"/>
    <w:rsid w:val="3C5A2D39"/>
    <w:rsid w:val="3C5DBB00"/>
    <w:rsid w:val="3C626D7A"/>
    <w:rsid w:val="3C628731"/>
    <w:rsid w:val="3C62A18E"/>
    <w:rsid w:val="3C635278"/>
    <w:rsid w:val="3C63C3E0"/>
    <w:rsid w:val="3C63C8D4"/>
    <w:rsid w:val="3C6BF4FF"/>
    <w:rsid w:val="3C73510F"/>
    <w:rsid w:val="3C744D11"/>
    <w:rsid w:val="3C787D41"/>
    <w:rsid w:val="3C7EECD1"/>
    <w:rsid w:val="3C7F127F"/>
    <w:rsid w:val="3C82BC92"/>
    <w:rsid w:val="3C8525B4"/>
    <w:rsid w:val="3C8DE115"/>
    <w:rsid w:val="3C8DF407"/>
    <w:rsid w:val="3C92F8B6"/>
    <w:rsid w:val="3C9659B2"/>
    <w:rsid w:val="3CAA53C5"/>
    <w:rsid w:val="3CB2BE50"/>
    <w:rsid w:val="3CBCCB95"/>
    <w:rsid w:val="3CC67376"/>
    <w:rsid w:val="3CC7DC9A"/>
    <w:rsid w:val="3CCAC697"/>
    <w:rsid w:val="3CDA84D3"/>
    <w:rsid w:val="3CE372A3"/>
    <w:rsid w:val="3CE84FAA"/>
    <w:rsid w:val="3CED5D08"/>
    <w:rsid w:val="3CF68012"/>
    <w:rsid w:val="3CFCDDB8"/>
    <w:rsid w:val="3D01448E"/>
    <w:rsid w:val="3D086873"/>
    <w:rsid w:val="3D090C85"/>
    <w:rsid w:val="3D0E14D1"/>
    <w:rsid w:val="3D126293"/>
    <w:rsid w:val="3D137D0C"/>
    <w:rsid w:val="3D1C559C"/>
    <w:rsid w:val="3D1CAA1F"/>
    <w:rsid w:val="3D26285B"/>
    <w:rsid w:val="3D2773D5"/>
    <w:rsid w:val="3D279B9A"/>
    <w:rsid w:val="3D2928D6"/>
    <w:rsid w:val="3D295E80"/>
    <w:rsid w:val="3D2E8A88"/>
    <w:rsid w:val="3D38FF75"/>
    <w:rsid w:val="3D3FABA4"/>
    <w:rsid w:val="3D45086E"/>
    <w:rsid w:val="3D4D5F62"/>
    <w:rsid w:val="3D53EFBA"/>
    <w:rsid w:val="3D57A511"/>
    <w:rsid w:val="3D627E79"/>
    <w:rsid w:val="3D641110"/>
    <w:rsid w:val="3D64B868"/>
    <w:rsid w:val="3D6BFB3F"/>
    <w:rsid w:val="3D6E55F6"/>
    <w:rsid w:val="3D7337A2"/>
    <w:rsid w:val="3D75BAB2"/>
    <w:rsid w:val="3D78BE96"/>
    <w:rsid w:val="3D7AD409"/>
    <w:rsid w:val="3D85F523"/>
    <w:rsid w:val="3D894155"/>
    <w:rsid w:val="3D89B1D5"/>
    <w:rsid w:val="3D905BAE"/>
    <w:rsid w:val="3D93909F"/>
    <w:rsid w:val="3D9F836A"/>
    <w:rsid w:val="3DA1A557"/>
    <w:rsid w:val="3DADB34B"/>
    <w:rsid w:val="3DAEF6C7"/>
    <w:rsid w:val="3DB2FCF1"/>
    <w:rsid w:val="3DB52578"/>
    <w:rsid w:val="3DB780AB"/>
    <w:rsid w:val="3DB7A1FA"/>
    <w:rsid w:val="3DBAFB70"/>
    <w:rsid w:val="3DBBC703"/>
    <w:rsid w:val="3DBBE833"/>
    <w:rsid w:val="3DBD0186"/>
    <w:rsid w:val="3DC9BF70"/>
    <w:rsid w:val="3DCAEEB7"/>
    <w:rsid w:val="3DD0964B"/>
    <w:rsid w:val="3DD530E5"/>
    <w:rsid w:val="3DE7025C"/>
    <w:rsid w:val="3DF1541B"/>
    <w:rsid w:val="3DF237C7"/>
    <w:rsid w:val="3DF50A41"/>
    <w:rsid w:val="3DF7E21D"/>
    <w:rsid w:val="3E00A5B8"/>
    <w:rsid w:val="3E0C726E"/>
    <w:rsid w:val="3E11624C"/>
    <w:rsid w:val="3E14829A"/>
    <w:rsid w:val="3E15675D"/>
    <w:rsid w:val="3E20A3EA"/>
    <w:rsid w:val="3E2EBCD8"/>
    <w:rsid w:val="3E311DC3"/>
    <w:rsid w:val="3E360E77"/>
    <w:rsid w:val="3E411142"/>
    <w:rsid w:val="3E422D91"/>
    <w:rsid w:val="3E577285"/>
    <w:rsid w:val="3E5BE024"/>
    <w:rsid w:val="3E5C2F34"/>
    <w:rsid w:val="3E66BE44"/>
    <w:rsid w:val="3E73AF77"/>
    <w:rsid w:val="3E86649D"/>
    <w:rsid w:val="3E8EE34D"/>
    <w:rsid w:val="3E8F461F"/>
    <w:rsid w:val="3E8F7B12"/>
    <w:rsid w:val="3E92B2B9"/>
    <w:rsid w:val="3E979442"/>
    <w:rsid w:val="3E9AB3A2"/>
    <w:rsid w:val="3E9B116F"/>
    <w:rsid w:val="3EA0FBDC"/>
    <w:rsid w:val="3EA38FB4"/>
    <w:rsid w:val="3EA45855"/>
    <w:rsid w:val="3EA8088A"/>
    <w:rsid w:val="3EAAB91F"/>
    <w:rsid w:val="3EAC871D"/>
    <w:rsid w:val="3EB4B6CA"/>
    <w:rsid w:val="3EB702B4"/>
    <w:rsid w:val="3EB71347"/>
    <w:rsid w:val="3ECA83C5"/>
    <w:rsid w:val="3ECB3957"/>
    <w:rsid w:val="3ED6070F"/>
    <w:rsid w:val="3ED6F7D2"/>
    <w:rsid w:val="3EDDFCBC"/>
    <w:rsid w:val="3EDF7EB8"/>
    <w:rsid w:val="3EE61A2B"/>
    <w:rsid w:val="3EE9946A"/>
    <w:rsid w:val="3EEBD439"/>
    <w:rsid w:val="3EF0DA50"/>
    <w:rsid w:val="3EF381B5"/>
    <w:rsid w:val="3EF4DB2F"/>
    <w:rsid w:val="3EF6BD0C"/>
    <w:rsid w:val="3EF81214"/>
    <w:rsid w:val="3EFF73C7"/>
    <w:rsid w:val="3F0146F9"/>
    <w:rsid w:val="3F05C555"/>
    <w:rsid w:val="3F113EF4"/>
    <w:rsid w:val="3F15D538"/>
    <w:rsid w:val="3F160D99"/>
    <w:rsid w:val="3F16B554"/>
    <w:rsid w:val="3F1FD097"/>
    <w:rsid w:val="3F30A740"/>
    <w:rsid w:val="3F36133D"/>
    <w:rsid w:val="3F43C105"/>
    <w:rsid w:val="3F5027CC"/>
    <w:rsid w:val="3F543DBC"/>
    <w:rsid w:val="3F5627FB"/>
    <w:rsid w:val="3F581CD9"/>
    <w:rsid w:val="3F5BC80E"/>
    <w:rsid w:val="3F5F7744"/>
    <w:rsid w:val="3F5FCF6E"/>
    <w:rsid w:val="3F6F4002"/>
    <w:rsid w:val="3F6F4800"/>
    <w:rsid w:val="3F733F2A"/>
    <w:rsid w:val="3F7376EE"/>
    <w:rsid w:val="3F75620A"/>
    <w:rsid w:val="3F7D046C"/>
    <w:rsid w:val="3F7F4D89"/>
    <w:rsid w:val="3F8DA2CB"/>
    <w:rsid w:val="3F9DAED4"/>
    <w:rsid w:val="3FA2EE11"/>
    <w:rsid w:val="3FA3A810"/>
    <w:rsid w:val="3FA8505E"/>
    <w:rsid w:val="3FAA71E5"/>
    <w:rsid w:val="3FAB60FC"/>
    <w:rsid w:val="3FAE58CE"/>
    <w:rsid w:val="3FB018F6"/>
    <w:rsid w:val="3FB9AD53"/>
    <w:rsid w:val="3FCBCE89"/>
    <w:rsid w:val="3FCDBC8A"/>
    <w:rsid w:val="3FCDFDC8"/>
    <w:rsid w:val="3FD7BB83"/>
    <w:rsid w:val="3FDA6205"/>
    <w:rsid w:val="3FE33D67"/>
    <w:rsid w:val="3FE64D9C"/>
    <w:rsid w:val="3FEC49CC"/>
    <w:rsid w:val="3FF08682"/>
    <w:rsid w:val="3FF54E11"/>
    <w:rsid w:val="3FF83F05"/>
    <w:rsid w:val="4001CA28"/>
    <w:rsid w:val="4011AD1F"/>
    <w:rsid w:val="40130D06"/>
    <w:rsid w:val="40195ED3"/>
    <w:rsid w:val="401B4F13"/>
    <w:rsid w:val="401E12AB"/>
    <w:rsid w:val="4030C2BD"/>
    <w:rsid w:val="40348ED2"/>
    <w:rsid w:val="403EFC91"/>
    <w:rsid w:val="40423B9F"/>
    <w:rsid w:val="40447483"/>
    <w:rsid w:val="404FC31A"/>
    <w:rsid w:val="405239E6"/>
    <w:rsid w:val="405AAAB7"/>
    <w:rsid w:val="405CD199"/>
    <w:rsid w:val="4063F64A"/>
    <w:rsid w:val="406C6F3F"/>
    <w:rsid w:val="406E80A3"/>
    <w:rsid w:val="406E908E"/>
    <w:rsid w:val="406EC2A3"/>
    <w:rsid w:val="406F8248"/>
    <w:rsid w:val="40702E6D"/>
    <w:rsid w:val="40744EEA"/>
    <w:rsid w:val="40798079"/>
    <w:rsid w:val="407BE3EA"/>
    <w:rsid w:val="407E39EB"/>
    <w:rsid w:val="4080FAC1"/>
    <w:rsid w:val="40815AE1"/>
    <w:rsid w:val="40849729"/>
    <w:rsid w:val="408AE20F"/>
    <w:rsid w:val="408B2524"/>
    <w:rsid w:val="40A00419"/>
    <w:rsid w:val="40A2C9C6"/>
    <w:rsid w:val="40A91CBA"/>
    <w:rsid w:val="40ADFD77"/>
    <w:rsid w:val="40B20904"/>
    <w:rsid w:val="40B37383"/>
    <w:rsid w:val="40B668F4"/>
    <w:rsid w:val="40BC24EB"/>
    <w:rsid w:val="40BC8B4B"/>
    <w:rsid w:val="40BED862"/>
    <w:rsid w:val="40C0C564"/>
    <w:rsid w:val="40C333C1"/>
    <w:rsid w:val="40C3AFB2"/>
    <w:rsid w:val="40C515C1"/>
    <w:rsid w:val="40C9CC18"/>
    <w:rsid w:val="40CCC4B5"/>
    <w:rsid w:val="40CE6261"/>
    <w:rsid w:val="40CF9DD4"/>
    <w:rsid w:val="40D18EB8"/>
    <w:rsid w:val="40D50CCE"/>
    <w:rsid w:val="40E49347"/>
    <w:rsid w:val="40E68F65"/>
    <w:rsid w:val="40F33950"/>
    <w:rsid w:val="40F35901"/>
    <w:rsid w:val="40F4F536"/>
    <w:rsid w:val="40F6E4E2"/>
    <w:rsid w:val="41085938"/>
    <w:rsid w:val="410A5638"/>
    <w:rsid w:val="410AAC61"/>
    <w:rsid w:val="410BC2BE"/>
    <w:rsid w:val="410D920F"/>
    <w:rsid w:val="410EC57A"/>
    <w:rsid w:val="41144A0A"/>
    <w:rsid w:val="412011D4"/>
    <w:rsid w:val="412B547C"/>
    <w:rsid w:val="412DA491"/>
    <w:rsid w:val="412FA9F8"/>
    <w:rsid w:val="413D02B6"/>
    <w:rsid w:val="41407F67"/>
    <w:rsid w:val="4142C9B3"/>
    <w:rsid w:val="41452241"/>
    <w:rsid w:val="4150F364"/>
    <w:rsid w:val="4161B8DB"/>
    <w:rsid w:val="416B9C36"/>
    <w:rsid w:val="416D8725"/>
    <w:rsid w:val="417134C1"/>
    <w:rsid w:val="41739CFB"/>
    <w:rsid w:val="41825E47"/>
    <w:rsid w:val="418A3156"/>
    <w:rsid w:val="418B8FF2"/>
    <w:rsid w:val="418F9277"/>
    <w:rsid w:val="419013D2"/>
    <w:rsid w:val="41950CAD"/>
    <w:rsid w:val="419954AF"/>
    <w:rsid w:val="419A40DD"/>
    <w:rsid w:val="41A300BF"/>
    <w:rsid w:val="41A33388"/>
    <w:rsid w:val="41A6711D"/>
    <w:rsid w:val="41AB9D76"/>
    <w:rsid w:val="41AC1C54"/>
    <w:rsid w:val="41B0F365"/>
    <w:rsid w:val="41B30E58"/>
    <w:rsid w:val="41B3AACD"/>
    <w:rsid w:val="41B85E38"/>
    <w:rsid w:val="41BD03C1"/>
    <w:rsid w:val="41C02480"/>
    <w:rsid w:val="41CF1145"/>
    <w:rsid w:val="41CF54B9"/>
    <w:rsid w:val="41DE1922"/>
    <w:rsid w:val="41DFD7BD"/>
    <w:rsid w:val="41E02EC8"/>
    <w:rsid w:val="41E1366B"/>
    <w:rsid w:val="41E70006"/>
    <w:rsid w:val="41EB9553"/>
    <w:rsid w:val="41F1D5F3"/>
    <w:rsid w:val="41F43881"/>
    <w:rsid w:val="41F48C04"/>
    <w:rsid w:val="41FA4C07"/>
    <w:rsid w:val="41FDED7F"/>
    <w:rsid w:val="41FEC196"/>
    <w:rsid w:val="4206AC09"/>
    <w:rsid w:val="420C3FD6"/>
    <w:rsid w:val="420E8364"/>
    <w:rsid w:val="42211042"/>
    <w:rsid w:val="42222CA3"/>
    <w:rsid w:val="4222EA1F"/>
    <w:rsid w:val="42279983"/>
    <w:rsid w:val="422E413C"/>
    <w:rsid w:val="423305FC"/>
    <w:rsid w:val="4237636A"/>
    <w:rsid w:val="42382436"/>
    <w:rsid w:val="423980AC"/>
    <w:rsid w:val="423C9258"/>
    <w:rsid w:val="423E8313"/>
    <w:rsid w:val="424C1FB5"/>
    <w:rsid w:val="42501133"/>
    <w:rsid w:val="42538040"/>
    <w:rsid w:val="42596E85"/>
    <w:rsid w:val="426199C0"/>
    <w:rsid w:val="4262B4C3"/>
    <w:rsid w:val="426FAC0F"/>
    <w:rsid w:val="4271F2BB"/>
    <w:rsid w:val="4275FF7D"/>
    <w:rsid w:val="427E43B0"/>
    <w:rsid w:val="427E8629"/>
    <w:rsid w:val="428B3D12"/>
    <w:rsid w:val="428B6EEB"/>
    <w:rsid w:val="428E0F14"/>
    <w:rsid w:val="428FDAF5"/>
    <w:rsid w:val="4291D08F"/>
    <w:rsid w:val="4292B543"/>
    <w:rsid w:val="4295FC70"/>
    <w:rsid w:val="429C9393"/>
    <w:rsid w:val="429D0AA5"/>
    <w:rsid w:val="429DC390"/>
    <w:rsid w:val="42A73771"/>
    <w:rsid w:val="42A7B098"/>
    <w:rsid w:val="42ABF3D9"/>
    <w:rsid w:val="42ADF2CA"/>
    <w:rsid w:val="42AEF9E7"/>
    <w:rsid w:val="42B31A2D"/>
    <w:rsid w:val="42B5275A"/>
    <w:rsid w:val="42B8459A"/>
    <w:rsid w:val="42BDABFE"/>
    <w:rsid w:val="42BEC112"/>
    <w:rsid w:val="42C234C0"/>
    <w:rsid w:val="42C24375"/>
    <w:rsid w:val="42C4D0DF"/>
    <w:rsid w:val="42CF8D12"/>
    <w:rsid w:val="42D4F685"/>
    <w:rsid w:val="42D84013"/>
    <w:rsid w:val="42D9836A"/>
    <w:rsid w:val="42DD0AB4"/>
    <w:rsid w:val="42DE64F8"/>
    <w:rsid w:val="42E806B5"/>
    <w:rsid w:val="42EAB324"/>
    <w:rsid w:val="42EB3364"/>
    <w:rsid w:val="42EB5AB2"/>
    <w:rsid w:val="42EBA471"/>
    <w:rsid w:val="42F2F17F"/>
    <w:rsid w:val="42F3B46C"/>
    <w:rsid w:val="42F5B1EF"/>
    <w:rsid w:val="42F68C14"/>
    <w:rsid w:val="42FB38A7"/>
    <w:rsid w:val="430323C3"/>
    <w:rsid w:val="43073173"/>
    <w:rsid w:val="4307F512"/>
    <w:rsid w:val="430851EC"/>
    <w:rsid w:val="43098B02"/>
    <w:rsid w:val="430D7865"/>
    <w:rsid w:val="43150967"/>
    <w:rsid w:val="43174D82"/>
    <w:rsid w:val="431F0F98"/>
    <w:rsid w:val="4327D380"/>
    <w:rsid w:val="432946B4"/>
    <w:rsid w:val="432A9119"/>
    <w:rsid w:val="432CCAF2"/>
    <w:rsid w:val="432CFE26"/>
    <w:rsid w:val="432FF9E9"/>
    <w:rsid w:val="4331A3BF"/>
    <w:rsid w:val="433CBFE6"/>
    <w:rsid w:val="433E3E79"/>
    <w:rsid w:val="43426E87"/>
    <w:rsid w:val="434CD1AD"/>
    <w:rsid w:val="4352B887"/>
    <w:rsid w:val="43578915"/>
    <w:rsid w:val="4358C2BE"/>
    <w:rsid w:val="435943B7"/>
    <w:rsid w:val="43674401"/>
    <w:rsid w:val="4368CE21"/>
    <w:rsid w:val="436914D4"/>
    <w:rsid w:val="4369422B"/>
    <w:rsid w:val="436A1132"/>
    <w:rsid w:val="436AE327"/>
    <w:rsid w:val="436F7CED"/>
    <w:rsid w:val="437086BA"/>
    <w:rsid w:val="43845444"/>
    <w:rsid w:val="43885501"/>
    <w:rsid w:val="4388ADDD"/>
    <w:rsid w:val="438E4542"/>
    <w:rsid w:val="439961B5"/>
    <w:rsid w:val="43A35522"/>
    <w:rsid w:val="43A37889"/>
    <w:rsid w:val="43A7E258"/>
    <w:rsid w:val="43A8AE20"/>
    <w:rsid w:val="43ABFAF5"/>
    <w:rsid w:val="43B86011"/>
    <w:rsid w:val="43BA4975"/>
    <w:rsid w:val="43C2DC85"/>
    <w:rsid w:val="43C6C331"/>
    <w:rsid w:val="43CB6AB6"/>
    <w:rsid w:val="43CF46DC"/>
    <w:rsid w:val="43CF857F"/>
    <w:rsid w:val="43D3289E"/>
    <w:rsid w:val="43D7311A"/>
    <w:rsid w:val="43DF3633"/>
    <w:rsid w:val="43E995D2"/>
    <w:rsid w:val="43F2F94E"/>
    <w:rsid w:val="43F38D08"/>
    <w:rsid w:val="43F3D129"/>
    <w:rsid w:val="43FDCF7C"/>
    <w:rsid w:val="43FDE2B7"/>
    <w:rsid w:val="43FF852B"/>
    <w:rsid w:val="4415C667"/>
    <w:rsid w:val="4418CCAF"/>
    <w:rsid w:val="4419E10C"/>
    <w:rsid w:val="441EC41C"/>
    <w:rsid w:val="442B02D0"/>
    <w:rsid w:val="442B6BEA"/>
    <w:rsid w:val="442D34FD"/>
    <w:rsid w:val="4438AF09"/>
    <w:rsid w:val="444385CA"/>
    <w:rsid w:val="444465CD"/>
    <w:rsid w:val="444C3B59"/>
    <w:rsid w:val="44519229"/>
    <w:rsid w:val="445F9980"/>
    <w:rsid w:val="44600AC0"/>
    <w:rsid w:val="4466D2B0"/>
    <w:rsid w:val="44688E12"/>
    <w:rsid w:val="446BAC55"/>
    <w:rsid w:val="4481BCD0"/>
    <w:rsid w:val="4485D0F7"/>
    <w:rsid w:val="4486761E"/>
    <w:rsid w:val="44947CE2"/>
    <w:rsid w:val="44956F9C"/>
    <w:rsid w:val="449A960E"/>
    <w:rsid w:val="449C8FBB"/>
    <w:rsid w:val="449FB169"/>
    <w:rsid w:val="44A46E2D"/>
    <w:rsid w:val="44A921BF"/>
    <w:rsid w:val="44AD4182"/>
    <w:rsid w:val="44AFF94D"/>
    <w:rsid w:val="44B6958F"/>
    <w:rsid w:val="44B743AE"/>
    <w:rsid w:val="44BB6F69"/>
    <w:rsid w:val="44BC4D60"/>
    <w:rsid w:val="44C6707A"/>
    <w:rsid w:val="44D1ECE3"/>
    <w:rsid w:val="44DB24D6"/>
    <w:rsid w:val="44E53A54"/>
    <w:rsid w:val="44E66AD4"/>
    <w:rsid w:val="44F39227"/>
    <w:rsid w:val="44F3ED7C"/>
    <w:rsid w:val="44F7E84B"/>
    <w:rsid w:val="44F7F96B"/>
    <w:rsid w:val="44FC855A"/>
    <w:rsid w:val="4501B228"/>
    <w:rsid w:val="45054FC9"/>
    <w:rsid w:val="4509583B"/>
    <w:rsid w:val="450B6662"/>
    <w:rsid w:val="450D0E67"/>
    <w:rsid w:val="450D9679"/>
    <w:rsid w:val="451071ED"/>
    <w:rsid w:val="4510D820"/>
    <w:rsid w:val="451242D2"/>
    <w:rsid w:val="451617A3"/>
    <w:rsid w:val="45185124"/>
    <w:rsid w:val="451A52A6"/>
    <w:rsid w:val="452056F6"/>
    <w:rsid w:val="45315AC0"/>
    <w:rsid w:val="4531A402"/>
    <w:rsid w:val="45346C99"/>
    <w:rsid w:val="4534A762"/>
    <w:rsid w:val="453549D6"/>
    <w:rsid w:val="453FE6DA"/>
    <w:rsid w:val="4543B2B9"/>
    <w:rsid w:val="45491601"/>
    <w:rsid w:val="454DC894"/>
    <w:rsid w:val="454EAC30"/>
    <w:rsid w:val="454FFCB9"/>
    <w:rsid w:val="45512E89"/>
    <w:rsid w:val="455268FE"/>
    <w:rsid w:val="455E5C32"/>
    <w:rsid w:val="456303B3"/>
    <w:rsid w:val="45635FDA"/>
    <w:rsid w:val="45666F9E"/>
    <w:rsid w:val="456FA676"/>
    <w:rsid w:val="4582F9F9"/>
    <w:rsid w:val="458E0154"/>
    <w:rsid w:val="459B449F"/>
    <w:rsid w:val="459E99E3"/>
    <w:rsid w:val="459F3F8D"/>
    <w:rsid w:val="45A557C0"/>
    <w:rsid w:val="45A8EE41"/>
    <w:rsid w:val="45AE26A5"/>
    <w:rsid w:val="45B231C3"/>
    <w:rsid w:val="45B25E69"/>
    <w:rsid w:val="45B6B00F"/>
    <w:rsid w:val="45BAF5B0"/>
    <w:rsid w:val="45C28E05"/>
    <w:rsid w:val="45CDFDB3"/>
    <w:rsid w:val="45D00EDD"/>
    <w:rsid w:val="45D2A1C0"/>
    <w:rsid w:val="45D778D8"/>
    <w:rsid w:val="45DEB8B3"/>
    <w:rsid w:val="45DF81DA"/>
    <w:rsid w:val="45DFA90B"/>
    <w:rsid w:val="45E0643A"/>
    <w:rsid w:val="45E27179"/>
    <w:rsid w:val="45E6A2D3"/>
    <w:rsid w:val="45E920EE"/>
    <w:rsid w:val="45EE8C5D"/>
    <w:rsid w:val="45EF08D4"/>
    <w:rsid w:val="45F7F91B"/>
    <w:rsid w:val="45FB0959"/>
    <w:rsid w:val="45FB1903"/>
    <w:rsid w:val="45FD9E08"/>
    <w:rsid w:val="45FF36BB"/>
    <w:rsid w:val="46020BAE"/>
    <w:rsid w:val="4603F90C"/>
    <w:rsid w:val="4608CFCC"/>
    <w:rsid w:val="46164485"/>
    <w:rsid w:val="461975ED"/>
    <w:rsid w:val="4620A7B1"/>
    <w:rsid w:val="4624A983"/>
    <w:rsid w:val="462D716A"/>
    <w:rsid w:val="462EB575"/>
    <w:rsid w:val="462F3914"/>
    <w:rsid w:val="4630C6B6"/>
    <w:rsid w:val="463A32B3"/>
    <w:rsid w:val="463A7B4E"/>
    <w:rsid w:val="4640C577"/>
    <w:rsid w:val="46420CED"/>
    <w:rsid w:val="464A2A79"/>
    <w:rsid w:val="464C8C56"/>
    <w:rsid w:val="464E41A8"/>
    <w:rsid w:val="464F02DC"/>
    <w:rsid w:val="46534534"/>
    <w:rsid w:val="4654DF9D"/>
    <w:rsid w:val="46564C86"/>
    <w:rsid w:val="4656A519"/>
    <w:rsid w:val="465D182C"/>
    <w:rsid w:val="465D831E"/>
    <w:rsid w:val="465F817B"/>
    <w:rsid w:val="4661E5BE"/>
    <w:rsid w:val="4666C7F5"/>
    <w:rsid w:val="466785C9"/>
    <w:rsid w:val="4679DF2C"/>
    <w:rsid w:val="467A9D6A"/>
    <w:rsid w:val="46843FC0"/>
    <w:rsid w:val="46858800"/>
    <w:rsid w:val="46864946"/>
    <w:rsid w:val="46913BFD"/>
    <w:rsid w:val="4695263D"/>
    <w:rsid w:val="469D3D53"/>
    <w:rsid w:val="46A02E7C"/>
    <w:rsid w:val="46A6D8FC"/>
    <w:rsid w:val="46A81493"/>
    <w:rsid w:val="46B3531F"/>
    <w:rsid w:val="46BB8EF9"/>
    <w:rsid w:val="46BEB621"/>
    <w:rsid w:val="46BFD3B9"/>
    <w:rsid w:val="46CA4691"/>
    <w:rsid w:val="46D89B3C"/>
    <w:rsid w:val="46E2E394"/>
    <w:rsid w:val="46E77B7F"/>
    <w:rsid w:val="46E8731A"/>
    <w:rsid w:val="46E9D3AD"/>
    <w:rsid w:val="46EF778F"/>
    <w:rsid w:val="46F0C45F"/>
    <w:rsid w:val="46F11280"/>
    <w:rsid w:val="46F18236"/>
    <w:rsid w:val="46F2E4A6"/>
    <w:rsid w:val="46F40B95"/>
    <w:rsid w:val="46F54B37"/>
    <w:rsid w:val="46FEEE7E"/>
    <w:rsid w:val="470F0752"/>
    <w:rsid w:val="4712AB22"/>
    <w:rsid w:val="471424D4"/>
    <w:rsid w:val="471496DF"/>
    <w:rsid w:val="471D5DD5"/>
    <w:rsid w:val="4723F51F"/>
    <w:rsid w:val="4725E519"/>
    <w:rsid w:val="47268D9A"/>
    <w:rsid w:val="472700A6"/>
    <w:rsid w:val="4739A9CE"/>
    <w:rsid w:val="473F3A5F"/>
    <w:rsid w:val="474A91A3"/>
    <w:rsid w:val="474BDECC"/>
    <w:rsid w:val="474D8E51"/>
    <w:rsid w:val="475606BB"/>
    <w:rsid w:val="4756D1F8"/>
    <w:rsid w:val="47602166"/>
    <w:rsid w:val="476C5D27"/>
    <w:rsid w:val="47737F79"/>
    <w:rsid w:val="4773EFD6"/>
    <w:rsid w:val="4774E692"/>
    <w:rsid w:val="477C095A"/>
    <w:rsid w:val="477DC528"/>
    <w:rsid w:val="477DE013"/>
    <w:rsid w:val="477E067C"/>
    <w:rsid w:val="4798C559"/>
    <w:rsid w:val="479F1633"/>
    <w:rsid w:val="479FB6AC"/>
    <w:rsid w:val="47A686C0"/>
    <w:rsid w:val="47B34EDF"/>
    <w:rsid w:val="47B3A5CD"/>
    <w:rsid w:val="47B79796"/>
    <w:rsid w:val="47BF81FC"/>
    <w:rsid w:val="47C49CBC"/>
    <w:rsid w:val="47D0A9C7"/>
    <w:rsid w:val="47D462C5"/>
    <w:rsid w:val="47D563E0"/>
    <w:rsid w:val="47EB1100"/>
    <w:rsid w:val="47EFB999"/>
    <w:rsid w:val="47F305A6"/>
    <w:rsid w:val="47FA1358"/>
    <w:rsid w:val="4810792E"/>
    <w:rsid w:val="4816B0F7"/>
    <w:rsid w:val="48224B7D"/>
    <w:rsid w:val="482DA7B7"/>
    <w:rsid w:val="482F7B46"/>
    <w:rsid w:val="483FC320"/>
    <w:rsid w:val="48409541"/>
    <w:rsid w:val="484348A3"/>
    <w:rsid w:val="484384C7"/>
    <w:rsid w:val="4844B0C7"/>
    <w:rsid w:val="48483638"/>
    <w:rsid w:val="484A8AA0"/>
    <w:rsid w:val="484A9EC9"/>
    <w:rsid w:val="484C2BB6"/>
    <w:rsid w:val="484DC80E"/>
    <w:rsid w:val="484EB6B4"/>
    <w:rsid w:val="484F0BD6"/>
    <w:rsid w:val="486D0F7B"/>
    <w:rsid w:val="486E38CF"/>
    <w:rsid w:val="4875D034"/>
    <w:rsid w:val="4875E335"/>
    <w:rsid w:val="48767740"/>
    <w:rsid w:val="487AC0DE"/>
    <w:rsid w:val="487E08E8"/>
    <w:rsid w:val="48818937"/>
    <w:rsid w:val="4883CD7B"/>
    <w:rsid w:val="4883FC7A"/>
    <w:rsid w:val="488E430B"/>
    <w:rsid w:val="4895D583"/>
    <w:rsid w:val="489A2274"/>
    <w:rsid w:val="489CA8D1"/>
    <w:rsid w:val="48A24DE2"/>
    <w:rsid w:val="48A31EE4"/>
    <w:rsid w:val="48A6E920"/>
    <w:rsid w:val="48AC121D"/>
    <w:rsid w:val="48B44044"/>
    <w:rsid w:val="48B91027"/>
    <w:rsid w:val="48B94E50"/>
    <w:rsid w:val="48BDFAD9"/>
    <w:rsid w:val="48C69D15"/>
    <w:rsid w:val="48C75432"/>
    <w:rsid w:val="48CDC95F"/>
    <w:rsid w:val="48D58A68"/>
    <w:rsid w:val="48D5E871"/>
    <w:rsid w:val="48D6AB36"/>
    <w:rsid w:val="48DC473C"/>
    <w:rsid w:val="48E06F0B"/>
    <w:rsid w:val="48E7C6DB"/>
    <w:rsid w:val="48EB3B9F"/>
    <w:rsid w:val="48EBB12E"/>
    <w:rsid w:val="48F819EE"/>
    <w:rsid w:val="48F999DE"/>
    <w:rsid w:val="48FC5759"/>
    <w:rsid w:val="48FFE683"/>
    <w:rsid w:val="4900B4DA"/>
    <w:rsid w:val="4904AAAF"/>
    <w:rsid w:val="49141DFB"/>
    <w:rsid w:val="49155295"/>
    <w:rsid w:val="491C8953"/>
    <w:rsid w:val="491E9FC5"/>
    <w:rsid w:val="49237D46"/>
    <w:rsid w:val="49277382"/>
    <w:rsid w:val="49288923"/>
    <w:rsid w:val="492D7CD2"/>
    <w:rsid w:val="492E442C"/>
    <w:rsid w:val="4938B907"/>
    <w:rsid w:val="493A9F5F"/>
    <w:rsid w:val="493FDA2C"/>
    <w:rsid w:val="494C9EA4"/>
    <w:rsid w:val="4954AB70"/>
    <w:rsid w:val="4955699A"/>
    <w:rsid w:val="495A3B16"/>
    <w:rsid w:val="495B2532"/>
    <w:rsid w:val="496518CB"/>
    <w:rsid w:val="496CA021"/>
    <w:rsid w:val="4970CC84"/>
    <w:rsid w:val="4975EB72"/>
    <w:rsid w:val="49785BA1"/>
    <w:rsid w:val="497AC4EC"/>
    <w:rsid w:val="497E35FB"/>
    <w:rsid w:val="49823CAB"/>
    <w:rsid w:val="4989FCE3"/>
    <w:rsid w:val="498CAE57"/>
    <w:rsid w:val="498D83AB"/>
    <w:rsid w:val="49907D0E"/>
    <w:rsid w:val="499420DE"/>
    <w:rsid w:val="49973B32"/>
    <w:rsid w:val="49A8F703"/>
    <w:rsid w:val="49B111E9"/>
    <w:rsid w:val="49B19665"/>
    <w:rsid w:val="49B2C43C"/>
    <w:rsid w:val="49B39FD9"/>
    <w:rsid w:val="49BA05AC"/>
    <w:rsid w:val="49BDE1E4"/>
    <w:rsid w:val="49C4BD3A"/>
    <w:rsid w:val="49CAF92C"/>
    <w:rsid w:val="49CDBA88"/>
    <w:rsid w:val="49D4DE0F"/>
    <w:rsid w:val="49D60B8A"/>
    <w:rsid w:val="49D63891"/>
    <w:rsid w:val="49D9E6D9"/>
    <w:rsid w:val="49DED88C"/>
    <w:rsid w:val="49DFEB5C"/>
    <w:rsid w:val="49E8E56B"/>
    <w:rsid w:val="49F6C01F"/>
    <w:rsid w:val="49FEAC0E"/>
    <w:rsid w:val="4A05A9B6"/>
    <w:rsid w:val="4A074D77"/>
    <w:rsid w:val="4A107C97"/>
    <w:rsid w:val="4A12BB36"/>
    <w:rsid w:val="4A2209F8"/>
    <w:rsid w:val="4A290DC7"/>
    <w:rsid w:val="4A2E307E"/>
    <w:rsid w:val="4A321BDA"/>
    <w:rsid w:val="4A345AF3"/>
    <w:rsid w:val="4A36E8CA"/>
    <w:rsid w:val="4A379CB5"/>
    <w:rsid w:val="4A38D99D"/>
    <w:rsid w:val="4A3F16CA"/>
    <w:rsid w:val="4A45FBD9"/>
    <w:rsid w:val="4A50BC2A"/>
    <w:rsid w:val="4A52AFC7"/>
    <w:rsid w:val="4A58AA66"/>
    <w:rsid w:val="4A5A76CE"/>
    <w:rsid w:val="4A613E86"/>
    <w:rsid w:val="4A6AE5D2"/>
    <w:rsid w:val="4A7D8B41"/>
    <w:rsid w:val="4A7DA59F"/>
    <w:rsid w:val="4A91318D"/>
    <w:rsid w:val="4A933261"/>
    <w:rsid w:val="4A9560C2"/>
    <w:rsid w:val="4A95B77F"/>
    <w:rsid w:val="4A9880D6"/>
    <w:rsid w:val="4A9F2D2E"/>
    <w:rsid w:val="4AA162F0"/>
    <w:rsid w:val="4AA49476"/>
    <w:rsid w:val="4AA94BF3"/>
    <w:rsid w:val="4AAD1408"/>
    <w:rsid w:val="4AAF25E8"/>
    <w:rsid w:val="4AC062B4"/>
    <w:rsid w:val="4AC0E6CD"/>
    <w:rsid w:val="4AC0F7F2"/>
    <w:rsid w:val="4AC4D826"/>
    <w:rsid w:val="4AC58885"/>
    <w:rsid w:val="4AC71E07"/>
    <w:rsid w:val="4AC72E61"/>
    <w:rsid w:val="4AC80114"/>
    <w:rsid w:val="4ACE84FD"/>
    <w:rsid w:val="4AD1B42C"/>
    <w:rsid w:val="4AD7AB51"/>
    <w:rsid w:val="4AE1005C"/>
    <w:rsid w:val="4AE26813"/>
    <w:rsid w:val="4AE3A2CC"/>
    <w:rsid w:val="4AEE1921"/>
    <w:rsid w:val="4AF06CF7"/>
    <w:rsid w:val="4AF08AC9"/>
    <w:rsid w:val="4AF186A1"/>
    <w:rsid w:val="4AF1FB41"/>
    <w:rsid w:val="4AF294B2"/>
    <w:rsid w:val="4AFBC558"/>
    <w:rsid w:val="4B01B869"/>
    <w:rsid w:val="4B05FF75"/>
    <w:rsid w:val="4B0ABBD3"/>
    <w:rsid w:val="4B12EF37"/>
    <w:rsid w:val="4B2286DB"/>
    <w:rsid w:val="4B24D8B6"/>
    <w:rsid w:val="4B271657"/>
    <w:rsid w:val="4B3A456F"/>
    <w:rsid w:val="4B3CF037"/>
    <w:rsid w:val="4B3D814B"/>
    <w:rsid w:val="4B43B072"/>
    <w:rsid w:val="4B49B6C4"/>
    <w:rsid w:val="4B4DFEE9"/>
    <w:rsid w:val="4B528170"/>
    <w:rsid w:val="4B57D242"/>
    <w:rsid w:val="4B5AB9DA"/>
    <w:rsid w:val="4B651443"/>
    <w:rsid w:val="4B660027"/>
    <w:rsid w:val="4B682A23"/>
    <w:rsid w:val="4B68FC07"/>
    <w:rsid w:val="4B6D07AD"/>
    <w:rsid w:val="4B6DFA3A"/>
    <w:rsid w:val="4B70497F"/>
    <w:rsid w:val="4B73B421"/>
    <w:rsid w:val="4B77E837"/>
    <w:rsid w:val="4B874D90"/>
    <w:rsid w:val="4B8A3999"/>
    <w:rsid w:val="4B910905"/>
    <w:rsid w:val="4B991790"/>
    <w:rsid w:val="4BA3CD81"/>
    <w:rsid w:val="4BA54A89"/>
    <w:rsid w:val="4BA7F0C9"/>
    <w:rsid w:val="4BA8486B"/>
    <w:rsid w:val="4BABA0A9"/>
    <w:rsid w:val="4BC077C2"/>
    <w:rsid w:val="4BCA1909"/>
    <w:rsid w:val="4BD5374C"/>
    <w:rsid w:val="4BDD28EF"/>
    <w:rsid w:val="4BDECB71"/>
    <w:rsid w:val="4BE275C6"/>
    <w:rsid w:val="4BE53EBD"/>
    <w:rsid w:val="4BE89AD3"/>
    <w:rsid w:val="4BEDD529"/>
    <w:rsid w:val="4BF2B80F"/>
    <w:rsid w:val="4BF2C25D"/>
    <w:rsid w:val="4BF5F3BA"/>
    <w:rsid w:val="4BF94AEC"/>
    <w:rsid w:val="4BF9B5D3"/>
    <w:rsid w:val="4BFAB9E3"/>
    <w:rsid w:val="4C02A606"/>
    <w:rsid w:val="4C039421"/>
    <w:rsid w:val="4C1AA4F0"/>
    <w:rsid w:val="4C1CEE70"/>
    <w:rsid w:val="4C1D1D44"/>
    <w:rsid w:val="4C1E8958"/>
    <w:rsid w:val="4C2828F6"/>
    <w:rsid w:val="4C2C5EE3"/>
    <w:rsid w:val="4C310B08"/>
    <w:rsid w:val="4C31EC87"/>
    <w:rsid w:val="4C32A8C0"/>
    <w:rsid w:val="4C34F15A"/>
    <w:rsid w:val="4C35E3C1"/>
    <w:rsid w:val="4C3A7984"/>
    <w:rsid w:val="4C3B23BB"/>
    <w:rsid w:val="4C400C0D"/>
    <w:rsid w:val="4C476F31"/>
    <w:rsid w:val="4C4C0EC2"/>
    <w:rsid w:val="4C4C4FF0"/>
    <w:rsid w:val="4C512F7F"/>
    <w:rsid w:val="4C54A1B6"/>
    <w:rsid w:val="4C571DC7"/>
    <w:rsid w:val="4C6E4B79"/>
    <w:rsid w:val="4C6E65D2"/>
    <w:rsid w:val="4C7973CD"/>
    <w:rsid w:val="4C79EB60"/>
    <w:rsid w:val="4C7B8A1B"/>
    <w:rsid w:val="4C7BD02A"/>
    <w:rsid w:val="4C7C4CB8"/>
    <w:rsid w:val="4C8B516C"/>
    <w:rsid w:val="4C972572"/>
    <w:rsid w:val="4C99D5B5"/>
    <w:rsid w:val="4C9BA7F0"/>
    <w:rsid w:val="4CA6259B"/>
    <w:rsid w:val="4CA7DC45"/>
    <w:rsid w:val="4CB554F9"/>
    <w:rsid w:val="4CB9215E"/>
    <w:rsid w:val="4CB9AD38"/>
    <w:rsid w:val="4CC45E46"/>
    <w:rsid w:val="4CCD63C8"/>
    <w:rsid w:val="4CD1C1B4"/>
    <w:rsid w:val="4CD3107A"/>
    <w:rsid w:val="4CD3A883"/>
    <w:rsid w:val="4CD68585"/>
    <w:rsid w:val="4CD80ABC"/>
    <w:rsid w:val="4CE35E6C"/>
    <w:rsid w:val="4CE3A3A9"/>
    <w:rsid w:val="4CE45F63"/>
    <w:rsid w:val="4CE6859A"/>
    <w:rsid w:val="4CED5ACD"/>
    <w:rsid w:val="4CF5E946"/>
    <w:rsid w:val="4CF9AD0A"/>
    <w:rsid w:val="4CFA1D9E"/>
    <w:rsid w:val="4CFB43C6"/>
    <w:rsid w:val="4CFC1A2D"/>
    <w:rsid w:val="4CFF2AFC"/>
    <w:rsid w:val="4CFF540F"/>
    <w:rsid w:val="4D0051A8"/>
    <w:rsid w:val="4D0136B3"/>
    <w:rsid w:val="4D0326EE"/>
    <w:rsid w:val="4D05F625"/>
    <w:rsid w:val="4D094155"/>
    <w:rsid w:val="4D15D569"/>
    <w:rsid w:val="4D1A54C0"/>
    <w:rsid w:val="4D1ECC2C"/>
    <w:rsid w:val="4D23B20C"/>
    <w:rsid w:val="4D2D1A05"/>
    <w:rsid w:val="4D312C4A"/>
    <w:rsid w:val="4D36F2A3"/>
    <w:rsid w:val="4D41EBA2"/>
    <w:rsid w:val="4D42678A"/>
    <w:rsid w:val="4D470DB4"/>
    <w:rsid w:val="4D4D23FA"/>
    <w:rsid w:val="4D544EFB"/>
    <w:rsid w:val="4D5473FB"/>
    <w:rsid w:val="4D5553EB"/>
    <w:rsid w:val="4D57FB64"/>
    <w:rsid w:val="4D5880F6"/>
    <w:rsid w:val="4D61C31B"/>
    <w:rsid w:val="4D65D1E2"/>
    <w:rsid w:val="4D67B111"/>
    <w:rsid w:val="4D6D09E5"/>
    <w:rsid w:val="4D75BF05"/>
    <w:rsid w:val="4D7CC952"/>
    <w:rsid w:val="4D873ECF"/>
    <w:rsid w:val="4D89AACA"/>
    <w:rsid w:val="4D8ACBCC"/>
    <w:rsid w:val="4D8B8152"/>
    <w:rsid w:val="4D8F1EED"/>
    <w:rsid w:val="4D9069A7"/>
    <w:rsid w:val="4D93938B"/>
    <w:rsid w:val="4D98B487"/>
    <w:rsid w:val="4D9B3A4D"/>
    <w:rsid w:val="4DA11CF0"/>
    <w:rsid w:val="4DA8B223"/>
    <w:rsid w:val="4DADE251"/>
    <w:rsid w:val="4DBB7297"/>
    <w:rsid w:val="4DBC4AF4"/>
    <w:rsid w:val="4DBD1437"/>
    <w:rsid w:val="4DBD53AF"/>
    <w:rsid w:val="4DBD5960"/>
    <w:rsid w:val="4DC1AC39"/>
    <w:rsid w:val="4DC83AD7"/>
    <w:rsid w:val="4DCB2659"/>
    <w:rsid w:val="4DCF11E0"/>
    <w:rsid w:val="4DCFE9DE"/>
    <w:rsid w:val="4DD650D7"/>
    <w:rsid w:val="4DDBA6DC"/>
    <w:rsid w:val="4DDFCCA0"/>
    <w:rsid w:val="4DE114F3"/>
    <w:rsid w:val="4DE16037"/>
    <w:rsid w:val="4DF0ADFC"/>
    <w:rsid w:val="4DF120EB"/>
    <w:rsid w:val="4DF5E54E"/>
    <w:rsid w:val="4DF8AF7B"/>
    <w:rsid w:val="4DFB3CB0"/>
    <w:rsid w:val="4DFC4EDD"/>
    <w:rsid w:val="4DFD57BC"/>
    <w:rsid w:val="4E007EF9"/>
    <w:rsid w:val="4E04EB07"/>
    <w:rsid w:val="4E0563C5"/>
    <w:rsid w:val="4E057C78"/>
    <w:rsid w:val="4E0B8BDE"/>
    <w:rsid w:val="4E10F746"/>
    <w:rsid w:val="4E1A9382"/>
    <w:rsid w:val="4E2E87C0"/>
    <w:rsid w:val="4E310599"/>
    <w:rsid w:val="4E363C95"/>
    <w:rsid w:val="4E374758"/>
    <w:rsid w:val="4E3C7198"/>
    <w:rsid w:val="4E3CD179"/>
    <w:rsid w:val="4E3FDB94"/>
    <w:rsid w:val="4E53184F"/>
    <w:rsid w:val="4E55B9D8"/>
    <w:rsid w:val="4E56EC9D"/>
    <w:rsid w:val="4E596201"/>
    <w:rsid w:val="4E5DE661"/>
    <w:rsid w:val="4E6FC8F7"/>
    <w:rsid w:val="4E7002B8"/>
    <w:rsid w:val="4E7A0530"/>
    <w:rsid w:val="4E7A210B"/>
    <w:rsid w:val="4E7C2E3E"/>
    <w:rsid w:val="4E7C7727"/>
    <w:rsid w:val="4E7EB948"/>
    <w:rsid w:val="4E811194"/>
    <w:rsid w:val="4E8ABFE5"/>
    <w:rsid w:val="4E8D1FA6"/>
    <w:rsid w:val="4E989DD3"/>
    <w:rsid w:val="4EA4D7BB"/>
    <w:rsid w:val="4EB5DF42"/>
    <w:rsid w:val="4EB7B7F9"/>
    <w:rsid w:val="4EB8FA51"/>
    <w:rsid w:val="4EB9CA09"/>
    <w:rsid w:val="4EBAFF3A"/>
    <w:rsid w:val="4EC05D9B"/>
    <w:rsid w:val="4ECB8CCF"/>
    <w:rsid w:val="4ECBAE66"/>
    <w:rsid w:val="4ECCD47E"/>
    <w:rsid w:val="4ED3B8D3"/>
    <w:rsid w:val="4EDEAFB9"/>
    <w:rsid w:val="4EE1F88F"/>
    <w:rsid w:val="4EE3AA76"/>
    <w:rsid w:val="4EE8DD60"/>
    <w:rsid w:val="4EE9B3B0"/>
    <w:rsid w:val="4EE9D7DE"/>
    <w:rsid w:val="4EEFAC4D"/>
    <w:rsid w:val="4EF1C58E"/>
    <w:rsid w:val="4F00C134"/>
    <w:rsid w:val="4F02B824"/>
    <w:rsid w:val="4F034F3D"/>
    <w:rsid w:val="4F0A9DAD"/>
    <w:rsid w:val="4F0FBF9A"/>
    <w:rsid w:val="4F1484B6"/>
    <w:rsid w:val="4F1B9F97"/>
    <w:rsid w:val="4F23BC76"/>
    <w:rsid w:val="4F249FA0"/>
    <w:rsid w:val="4F2AF559"/>
    <w:rsid w:val="4F470DBB"/>
    <w:rsid w:val="4F4761F5"/>
    <w:rsid w:val="4F496C67"/>
    <w:rsid w:val="4F4B9389"/>
    <w:rsid w:val="4F56BEDB"/>
    <w:rsid w:val="4F593299"/>
    <w:rsid w:val="4F5A2104"/>
    <w:rsid w:val="4F5B68CE"/>
    <w:rsid w:val="4F5D3C9F"/>
    <w:rsid w:val="4F5FB1E4"/>
    <w:rsid w:val="4F63B913"/>
    <w:rsid w:val="4F7655CB"/>
    <w:rsid w:val="4F7B9C7B"/>
    <w:rsid w:val="4F7C48BA"/>
    <w:rsid w:val="4F7E540E"/>
    <w:rsid w:val="4F7EE53A"/>
    <w:rsid w:val="4F821E2A"/>
    <w:rsid w:val="4F87C023"/>
    <w:rsid w:val="4F8BE9A4"/>
    <w:rsid w:val="4F8E2A50"/>
    <w:rsid w:val="4F8EEEFB"/>
    <w:rsid w:val="4F94BBE1"/>
    <w:rsid w:val="4F97DCD6"/>
    <w:rsid w:val="4F9C8D0B"/>
    <w:rsid w:val="4FA0B8D2"/>
    <w:rsid w:val="4FA3E1C0"/>
    <w:rsid w:val="4FA9DD67"/>
    <w:rsid w:val="4FADECC0"/>
    <w:rsid w:val="4FB9F8A6"/>
    <w:rsid w:val="4FBE0F50"/>
    <w:rsid w:val="4FC6FF86"/>
    <w:rsid w:val="4FCBA10C"/>
    <w:rsid w:val="4FCD7D61"/>
    <w:rsid w:val="4FD49720"/>
    <w:rsid w:val="4FD948E6"/>
    <w:rsid w:val="4FE0211B"/>
    <w:rsid w:val="4FE5A43B"/>
    <w:rsid w:val="4FEC881C"/>
    <w:rsid w:val="4FF8C4FD"/>
    <w:rsid w:val="4FF921E5"/>
    <w:rsid w:val="4FF95D95"/>
    <w:rsid w:val="4FFAB66B"/>
    <w:rsid w:val="4FFE4670"/>
    <w:rsid w:val="4FFF6C0F"/>
    <w:rsid w:val="5000E020"/>
    <w:rsid w:val="50045404"/>
    <w:rsid w:val="500D4D28"/>
    <w:rsid w:val="502645F7"/>
    <w:rsid w:val="502837F1"/>
    <w:rsid w:val="50387954"/>
    <w:rsid w:val="5039FA3D"/>
    <w:rsid w:val="503B7D64"/>
    <w:rsid w:val="5046B806"/>
    <w:rsid w:val="504FE9EA"/>
    <w:rsid w:val="505080B3"/>
    <w:rsid w:val="50546492"/>
    <w:rsid w:val="50553537"/>
    <w:rsid w:val="50584E39"/>
    <w:rsid w:val="505FE223"/>
    <w:rsid w:val="5065C047"/>
    <w:rsid w:val="50663737"/>
    <w:rsid w:val="5066C4E6"/>
    <w:rsid w:val="50694698"/>
    <w:rsid w:val="50695E89"/>
    <w:rsid w:val="506CCAB1"/>
    <w:rsid w:val="506DD609"/>
    <w:rsid w:val="506EDCF9"/>
    <w:rsid w:val="506EFA52"/>
    <w:rsid w:val="506FC8DC"/>
    <w:rsid w:val="5071D535"/>
    <w:rsid w:val="50761D44"/>
    <w:rsid w:val="50775ADE"/>
    <w:rsid w:val="50796868"/>
    <w:rsid w:val="507CF4E6"/>
    <w:rsid w:val="507FE746"/>
    <w:rsid w:val="508421E4"/>
    <w:rsid w:val="508789CA"/>
    <w:rsid w:val="508943DA"/>
    <w:rsid w:val="508EE0F3"/>
    <w:rsid w:val="5093A4E9"/>
    <w:rsid w:val="509D5160"/>
    <w:rsid w:val="509FCF9D"/>
    <w:rsid w:val="50A35AEA"/>
    <w:rsid w:val="50AA7513"/>
    <w:rsid w:val="50B23AC3"/>
    <w:rsid w:val="50B5978B"/>
    <w:rsid w:val="50B5AF13"/>
    <w:rsid w:val="50B65FAB"/>
    <w:rsid w:val="50B9EF73"/>
    <w:rsid w:val="50BBDAA7"/>
    <w:rsid w:val="50C9E8A9"/>
    <w:rsid w:val="50CB9CF8"/>
    <w:rsid w:val="50D99968"/>
    <w:rsid w:val="50DC0228"/>
    <w:rsid w:val="50E146E7"/>
    <w:rsid w:val="50E15162"/>
    <w:rsid w:val="50E20C82"/>
    <w:rsid w:val="50E6E1F0"/>
    <w:rsid w:val="50E978E4"/>
    <w:rsid w:val="50F1C1F6"/>
    <w:rsid w:val="50F3BA26"/>
    <w:rsid w:val="50F4EBA0"/>
    <w:rsid w:val="50F5DD15"/>
    <w:rsid w:val="50FD9E39"/>
    <w:rsid w:val="50FE4A8D"/>
    <w:rsid w:val="51014E32"/>
    <w:rsid w:val="5104FB1B"/>
    <w:rsid w:val="5105F311"/>
    <w:rsid w:val="51067B6C"/>
    <w:rsid w:val="51071760"/>
    <w:rsid w:val="5108627D"/>
    <w:rsid w:val="510F48E1"/>
    <w:rsid w:val="51187C02"/>
    <w:rsid w:val="511B8E94"/>
    <w:rsid w:val="511BE9DC"/>
    <w:rsid w:val="511F8428"/>
    <w:rsid w:val="511FDEBE"/>
    <w:rsid w:val="511FF816"/>
    <w:rsid w:val="5120DB0D"/>
    <w:rsid w:val="51381F17"/>
    <w:rsid w:val="513AC0B3"/>
    <w:rsid w:val="513E5526"/>
    <w:rsid w:val="5140403F"/>
    <w:rsid w:val="5140E8F4"/>
    <w:rsid w:val="5148E859"/>
    <w:rsid w:val="514D7579"/>
    <w:rsid w:val="514E34EB"/>
    <w:rsid w:val="514F2020"/>
    <w:rsid w:val="515C098F"/>
    <w:rsid w:val="515C4FFF"/>
    <w:rsid w:val="515F21E5"/>
    <w:rsid w:val="51637ADA"/>
    <w:rsid w:val="51660CEC"/>
    <w:rsid w:val="516AA0C3"/>
    <w:rsid w:val="516D2353"/>
    <w:rsid w:val="516EC522"/>
    <w:rsid w:val="517018B0"/>
    <w:rsid w:val="5170F9ED"/>
    <w:rsid w:val="5177D34B"/>
    <w:rsid w:val="518AA589"/>
    <w:rsid w:val="5194424B"/>
    <w:rsid w:val="5196226B"/>
    <w:rsid w:val="5196B112"/>
    <w:rsid w:val="51983E5A"/>
    <w:rsid w:val="51A404F8"/>
    <w:rsid w:val="51AEB863"/>
    <w:rsid w:val="51B4D917"/>
    <w:rsid w:val="51B85D71"/>
    <w:rsid w:val="51BE9B75"/>
    <w:rsid w:val="51C715E6"/>
    <w:rsid w:val="51C7401D"/>
    <w:rsid w:val="51CFDC64"/>
    <w:rsid w:val="51D1EB01"/>
    <w:rsid w:val="51D51C0E"/>
    <w:rsid w:val="51D59415"/>
    <w:rsid w:val="51D6041F"/>
    <w:rsid w:val="51D785B5"/>
    <w:rsid w:val="51DDD05D"/>
    <w:rsid w:val="51DE69EA"/>
    <w:rsid w:val="51E3B8FE"/>
    <w:rsid w:val="51EBEC14"/>
    <w:rsid w:val="51EF16C3"/>
    <w:rsid w:val="51F08742"/>
    <w:rsid w:val="51F19C4E"/>
    <w:rsid w:val="51FEA058"/>
    <w:rsid w:val="520270EB"/>
    <w:rsid w:val="520EC5B6"/>
    <w:rsid w:val="52145D3D"/>
    <w:rsid w:val="521ED239"/>
    <w:rsid w:val="52246D2F"/>
    <w:rsid w:val="522A0A52"/>
    <w:rsid w:val="522C5555"/>
    <w:rsid w:val="5234F0EA"/>
    <w:rsid w:val="5239C16E"/>
    <w:rsid w:val="52436EAC"/>
    <w:rsid w:val="5244A070"/>
    <w:rsid w:val="52515305"/>
    <w:rsid w:val="525B7A73"/>
    <w:rsid w:val="525CE876"/>
    <w:rsid w:val="52608F21"/>
    <w:rsid w:val="526BB679"/>
    <w:rsid w:val="526C1BEE"/>
    <w:rsid w:val="526EBEB9"/>
    <w:rsid w:val="52706669"/>
    <w:rsid w:val="5270BF46"/>
    <w:rsid w:val="5270EC02"/>
    <w:rsid w:val="527111AB"/>
    <w:rsid w:val="5276A2E6"/>
    <w:rsid w:val="528CA4F6"/>
    <w:rsid w:val="528CCFDB"/>
    <w:rsid w:val="5293EEA6"/>
    <w:rsid w:val="52980838"/>
    <w:rsid w:val="529AA17F"/>
    <w:rsid w:val="529AF240"/>
    <w:rsid w:val="52A05943"/>
    <w:rsid w:val="52A91B19"/>
    <w:rsid w:val="52AB5670"/>
    <w:rsid w:val="52ABC8BE"/>
    <w:rsid w:val="52AE6EF6"/>
    <w:rsid w:val="52B6DB08"/>
    <w:rsid w:val="52BA3AAF"/>
    <w:rsid w:val="52C3C0FF"/>
    <w:rsid w:val="52CFC2E4"/>
    <w:rsid w:val="52D489D8"/>
    <w:rsid w:val="52D954D4"/>
    <w:rsid w:val="52E9397E"/>
    <w:rsid w:val="52EABC72"/>
    <w:rsid w:val="52EDA1F9"/>
    <w:rsid w:val="52FC90DE"/>
    <w:rsid w:val="52FDAE26"/>
    <w:rsid w:val="52FEC849"/>
    <w:rsid w:val="530061B0"/>
    <w:rsid w:val="53018993"/>
    <w:rsid w:val="53047211"/>
    <w:rsid w:val="5304C203"/>
    <w:rsid w:val="5309C509"/>
    <w:rsid w:val="53130545"/>
    <w:rsid w:val="5322A1FD"/>
    <w:rsid w:val="532693C0"/>
    <w:rsid w:val="53279B5C"/>
    <w:rsid w:val="532B1743"/>
    <w:rsid w:val="532BBBB1"/>
    <w:rsid w:val="532E2A6D"/>
    <w:rsid w:val="53372406"/>
    <w:rsid w:val="533F1218"/>
    <w:rsid w:val="53453084"/>
    <w:rsid w:val="534B5090"/>
    <w:rsid w:val="535E1998"/>
    <w:rsid w:val="53712C04"/>
    <w:rsid w:val="5371BDF2"/>
    <w:rsid w:val="5374E587"/>
    <w:rsid w:val="537C7368"/>
    <w:rsid w:val="538133B6"/>
    <w:rsid w:val="53841ACE"/>
    <w:rsid w:val="539524C2"/>
    <w:rsid w:val="53987301"/>
    <w:rsid w:val="539CAEFB"/>
    <w:rsid w:val="53A19521"/>
    <w:rsid w:val="53A7E229"/>
    <w:rsid w:val="53A83562"/>
    <w:rsid w:val="53AD5EF3"/>
    <w:rsid w:val="53AF348F"/>
    <w:rsid w:val="53B4EA2F"/>
    <w:rsid w:val="53B82DB2"/>
    <w:rsid w:val="53B856E6"/>
    <w:rsid w:val="53C3F734"/>
    <w:rsid w:val="53C43C02"/>
    <w:rsid w:val="53C724D2"/>
    <w:rsid w:val="53C946D2"/>
    <w:rsid w:val="53D5A13B"/>
    <w:rsid w:val="53D7E157"/>
    <w:rsid w:val="53D89FCB"/>
    <w:rsid w:val="53EB3213"/>
    <w:rsid w:val="53EB7FB7"/>
    <w:rsid w:val="53EC2ACC"/>
    <w:rsid w:val="53F002AA"/>
    <w:rsid w:val="53F8C46C"/>
    <w:rsid w:val="53FEEACF"/>
    <w:rsid w:val="54000A42"/>
    <w:rsid w:val="5406781E"/>
    <w:rsid w:val="540D421D"/>
    <w:rsid w:val="54252F0C"/>
    <w:rsid w:val="542F8E65"/>
    <w:rsid w:val="5434BF68"/>
    <w:rsid w:val="5435EA50"/>
    <w:rsid w:val="543AF00A"/>
    <w:rsid w:val="543D751E"/>
    <w:rsid w:val="543F1809"/>
    <w:rsid w:val="544095D4"/>
    <w:rsid w:val="544492C2"/>
    <w:rsid w:val="5446C5AC"/>
    <w:rsid w:val="544A41D9"/>
    <w:rsid w:val="544DE14C"/>
    <w:rsid w:val="54526823"/>
    <w:rsid w:val="5457C6F3"/>
    <w:rsid w:val="545F9724"/>
    <w:rsid w:val="54621457"/>
    <w:rsid w:val="54667605"/>
    <w:rsid w:val="54671520"/>
    <w:rsid w:val="5467BE1E"/>
    <w:rsid w:val="5476D2C0"/>
    <w:rsid w:val="547A5B39"/>
    <w:rsid w:val="547A6065"/>
    <w:rsid w:val="547FACBE"/>
    <w:rsid w:val="547FFA1D"/>
    <w:rsid w:val="5481B929"/>
    <w:rsid w:val="5485700E"/>
    <w:rsid w:val="548ADC93"/>
    <w:rsid w:val="548DD999"/>
    <w:rsid w:val="548F4F34"/>
    <w:rsid w:val="54970EEA"/>
    <w:rsid w:val="54A89AAF"/>
    <w:rsid w:val="54AA6B83"/>
    <w:rsid w:val="54BCC8E3"/>
    <w:rsid w:val="54BFF40B"/>
    <w:rsid w:val="54C3AA83"/>
    <w:rsid w:val="54C85F18"/>
    <w:rsid w:val="54C89C9A"/>
    <w:rsid w:val="54C90C28"/>
    <w:rsid w:val="54CA80BD"/>
    <w:rsid w:val="54CD49E5"/>
    <w:rsid w:val="54D0C19D"/>
    <w:rsid w:val="54DB3E8B"/>
    <w:rsid w:val="54E490BE"/>
    <w:rsid w:val="54EA1D4F"/>
    <w:rsid w:val="54EEC392"/>
    <w:rsid w:val="54F247EB"/>
    <w:rsid w:val="54F457CA"/>
    <w:rsid w:val="54F4C8D5"/>
    <w:rsid w:val="54FBBE16"/>
    <w:rsid w:val="5500509B"/>
    <w:rsid w:val="5510E887"/>
    <w:rsid w:val="5511E3F3"/>
    <w:rsid w:val="5518C7F2"/>
    <w:rsid w:val="551A91A1"/>
    <w:rsid w:val="551AD65B"/>
    <w:rsid w:val="551DFC24"/>
    <w:rsid w:val="551F6024"/>
    <w:rsid w:val="5521FDE8"/>
    <w:rsid w:val="55221E8E"/>
    <w:rsid w:val="552B2DCB"/>
    <w:rsid w:val="552CA7F7"/>
    <w:rsid w:val="552FD29F"/>
    <w:rsid w:val="5532CCF8"/>
    <w:rsid w:val="5535936C"/>
    <w:rsid w:val="5535C627"/>
    <w:rsid w:val="553799D7"/>
    <w:rsid w:val="553AD0D0"/>
    <w:rsid w:val="553CCF68"/>
    <w:rsid w:val="553F407E"/>
    <w:rsid w:val="5543AA2B"/>
    <w:rsid w:val="5545FCD9"/>
    <w:rsid w:val="554A5F73"/>
    <w:rsid w:val="554A9EDE"/>
    <w:rsid w:val="554AB0D8"/>
    <w:rsid w:val="554ACC0F"/>
    <w:rsid w:val="55537168"/>
    <w:rsid w:val="555974F7"/>
    <w:rsid w:val="555B3114"/>
    <w:rsid w:val="555CE02F"/>
    <w:rsid w:val="555DD1FF"/>
    <w:rsid w:val="555E68C6"/>
    <w:rsid w:val="55648A11"/>
    <w:rsid w:val="556623B6"/>
    <w:rsid w:val="55678D48"/>
    <w:rsid w:val="5568D212"/>
    <w:rsid w:val="556AB923"/>
    <w:rsid w:val="55771CFB"/>
    <w:rsid w:val="557A3816"/>
    <w:rsid w:val="557C2F22"/>
    <w:rsid w:val="558DEDC4"/>
    <w:rsid w:val="558F022D"/>
    <w:rsid w:val="5595790A"/>
    <w:rsid w:val="55990608"/>
    <w:rsid w:val="55A1BFFA"/>
    <w:rsid w:val="55A453ED"/>
    <w:rsid w:val="55AB500F"/>
    <w:rsid w:val="55B07E4B"/>
    <w:rsid w:val="55B1B2B9"/>
    <w:rsid w:val="55B6C523"/>
    <w:rsid w:val="55CD93FA"/>
    <w:rsid w:val="55CF9E82"/>
    <w:rsid w:val="55D039F6"/>
    <w:rsid w:val="55D188C0"/>
    <w:rsid w:val="55D558C8"/>
    <w:rsid w:val="55D5A748"/>
    <w:rsid w:val="55D621BE"/>
    <w:rsid w:val="55E6ECAE"/>
    <w:rsid w:val="55EEB2ED"/>
    <w:rsid w:val="55EF8A7E"/>
    <w:rsid w:val="55F47354"/>
    <w:rsid w:val="55F53757"/>
    <w:rsid w:val="55F5682E"/>
    <w:rsid w:val="55F63152"/>
    <w:rsid w:val="55F6C968"/>
    <w:rsid w:val="56084F48"/>
    <w:rsid w:val="56093B7E"/>
    <w:rsid w:val="56157BD3"/>
    <w:rsid w:val="5619DD86"/>
    <w:rsid w:val="5628E761"/>
    <w:rsid w:val="562B3B9D"/>
    <w:rsid w:val="56304688"/>
    <w:rsid w:val="563F0093"/>
    <w:rsid w:val="5643AE88"/>
    <w:rsid w:val="5645002D"/>
    <w:rsid w:val="5646EBEA"/>
    <w:rsid w:val="56484F6E"/>
    <w:rsid w:val="564985CB"/>
    <w:rsid w:val="564B5BED"/>
    <w:rsid w:val="564DCD13"/>
    <w:rsid w:val="565740F5"/>
    <w:rsid w:val="5662D667"/>
    <w:rsid w:val="5667F148"/>
    <w:rsid w:val="56728BEA"/>
    <w:rsid w:val="5674A1E2"/>
    <w:rsid w:val="567C06EB"/>
    <w:rsid w:val="5687FA29"/>
    <w:rsid w:val="568DAAC0"/>
    <w:rsid w:val="568EF050"/>
    <w:rsid w:val="56910E49"/>
    <w:rsid w:val="5696C5E3"/>
    <w:rsid w:val="56970ADF"/>
    <w:rsid w:val="569F11F6"/>
    <w:rsid w:val="56A6F9F2"/>
    <w:rsid w:val="56A7B56A"/>
    <w:rsid w:val="56B3C1D6"/>
    <w:rsid w:val="56B6B821"/>
    <w:rsid w:val="56B86DEA"/>
    <w:rsid w:val="56BDF392"/>
    <w:rsid w:val="56C08008"/>
    <w:rsid w:val="56C0C8C2"/>
    <w:rsid w:val="56C6D246"/>
    <w:rsid w:val="56C7198B"/>
    <w:rsid w:val="56C9F974"/>
    <w:rsid w:val="56CC854E"/>
    <w:rsid w:val="56CE4B2E"/>
    <w:rsid w:val="56CE5A2A"/>
    <w:rsid w:val="56E5C581"/>
    <w:rsid w:val="56E98FFC"/>
    <w:rsid w:val="56EF6F78"/>
    <w:rsid w:val="56F05319"/>
    <w:rsid w:val="56F24F78"/>
    <w:rsid w:val="56F2CDE6"/>
    <w:rsid w:val="56F32E76"/>
    <w:rsid w:val="56F65085"/>
    <w:rsid w:val="56FA1F78"/>
    <w:rsid w:val="56FAC0D3"/>
    <w:rsid w:val="56FF975A"/>
    <w:rsid w:val="5702A95B"/>
    <w:rsid w:val="5707B4AD"/>
    <w:rsid w:val="570E5DFC"/>
    <w:rsid w:val="571189E7"/>
    <w:rsid w:val="571353A2"/>
    <w:rsid w:val="5714E691"/>
    <w:rsid w:val="57196778"/>
    <w:rsid w:val="571C7835"/>
    <w:rsid w:val="57231168"/>
    <w:rsid w:val="572757D3"/>
    <w:rsid w:val="5730D213"/>
    <w:rsid w:val="5736C54A"/>
    <w:rsid w:val="5737F82E"/>
    <w:rsid w:val="573B44F0"/>
    <w:rsid w:val="574752FB"/>
    <w:rsid w:val="5747575D"/>
    <w:rsid w:val="5747D67F"/>
    <w:rsid w:val="57483A07"/>
    <w:rsid w:val="5748E519"/>
    <w:rsid w:val="574BED02"/>
    <w:rsid w:val="574CC1BC"/>
    <w:rsid w:val="57596B3E"/>
    <w:rsid w:val="5766462D"/>
    <w:rsid w:val="576CA8D7"/>
    <w:rsid w:val="576D56B5"/>
    <w:rsid w:val="57779F1E"/>
    <w:rsid w:val="57794C18"/>
    <w:rsid w:val="577A6FBF"/>
    <w:rsid w:val="57855579"/>
    <w:rsid w:val="57880716"/>
    <w:rsid w:val="579BDD39"/>
    <w:rsid w:val="579EA853"/>
    <w:rsid w:val="57A417EB"/>
    <w:rsid w:val="57A5455B"/>
    <w:rsid w:val="57A7A308"/>
    <w:rsid w:val="57A98050"/>
    <w:rsid w:val="57AA0317"/>
    <w:rsid w:val="57B1121A"/>
    <w:rsid w:val="57B2B8E4"/>
    <w:rsid w:val="57B7CEC9"/>
    <w:rsid w:val="57BCEABA"/>
    <w:rsid w:val="57C2517F"/>
    <w:rsid w:val="57C78784"/>
    <w:rsid w:val="57C79BB8"/>
    <w:rsid w:val="57CAE6B2"/>
    <w:rsid w:val="57CFD6B7"/>
    <w:rsid w:val="57DC99CE"/>
    <w:rsid w:val="57EB344E"/>
    <w:rsid w:val="57ECEC93"/>
    <w:rsid w:val="57F63D48"/>
    <w:rsid w:val="57FA562B"/>
    <w:rsid w:val="57FC8E9A"/>
    <w:rsid w:val="57FD38ED"/>
    <w:rsid w:val="58000401"/>
    <w:rsid w:val="58001F7D"/>
    <w:rsid w:val="580C5A28"/>
    <w:rsid w:val="580FAD1C"/>
    <w:rsid w:val="5814CDA6"/>
    <w:rsid w:val="581507BA"/>
    <w:rsid w:val="5818FC50"/>
    <w:rsid w:val="5824B8E2"/>
    <w:rsid w:val="58272BDA"/>
    <w:rsid w:val="582E8A7E"/>
    <w:rsid w:val="5831FFBE"/>
    <w:rsid w:val="5833F7AC"/>
    <w:rsid w:val="58390473"/>
    <w:rsid w:val="5846E8BF"/>
    <w:rsid w:val="5850040D"/>
    <w:rsid w:val="5857B5DA"/>
    <w:rsid w:val="586142A5"/>
    <w:rsid w:val="58637A17"/>
    <w:rsid w:val="586EBC28"/>
    <w:rsid w:val="5875758E"/>
    <w:rsid w:val="5876D4C6"/>
    <w:rsid w:val="587B1636"/>
    <w:rsid w:val="587B8EC9"/>
    <w:rsid w:val="587C9CE8"/>
    <w:rsid w:val="5881C859"/>
    <w:rsid w:val="5886B27D"/>
    <w:rsid w:val="5886B8B7"/>
    <w:rsid w:val="58908F9C"/>
    <w:rsid w:val="5890FED0"/>
    <w:rsid w:val="589D88B1"/>
    <w:rsid w:val="589DAA62"/>
    <w:rsid w:val="589E3A1C"/>
    <w:rsid w:val="58A70316"/>
    <w:rsid w:val="58A978E6"/>
    <w:rsid w:val="58A9B15B"/>
    <w:rsid w:val="58AA5C80"/>
    <w:rsid w:val="58ABD93E"/>
    <w:rsid w:val="58B48872"/>
    <w:rsid w:val="58BE2333"/>
    <w:rsid w:val="58C6FB44"/>
    <w:rsid w:val="58CCDC1C"/>
    <w:rsid w:val="58CDFB38"/>
    <w:rsid w:val="58D7CE7E"/>
    <w:rsid w:val="58D8C38E"/>
    <w:rsid w:val="58D915D0"/>
    <w:rsid w:val="58E0E9E6"/>
    <w:rsid w:val="58E69BB6"/>
    <w:rsid w:val="58EE5E88"/>
    <w:rsid w:val="58F378B4"/>
    <w:rsid w:val="58F4FBDE"/>
    <w:rsid w:val="59005ACC"/>
    <w:rsid w:val="590311E0"/>
    <w:rsid w:val="5906D2D7"/>
    <w:rsid w:val="59084A0F"/>
    <w:rsid w:val="59129571"/>
    <w:rsid w:val="5914F06B"/>
    <w:rsid w:val="59234895"/>
    <w:rsid w:val="592634F0"/>
    <w:rsid w:val="592BB726"/>
    <w:rsid w:val="592BB84A"/>
    <w:rsid w:val="592BD214"/>
    <w:rsid w:val="5934EEFF"/>
    <w:rsid w:val="5937218B"/>
    <w:rsid w:val="5938EFB5"/>
    <w:rsid w:val="593AB22B"/>
    <w:rsid w:val="59424DC7"/>
    <w:rsid w:val="5945FEA9"/>
    <w:rsid w:val="5947685D"/>
    <w:rsid w:val="594B82D2"/>
    <w:rsid w:val="594FE170"/>
    <w:rsid w:val="5954E22A"/>
    <w:rsid w:val="59570BA2"/>
    <w:rsid w:val="595CEBBF"/>
    <w:rsid w:val="595D2235"/>
    <w:rsid w:val="59753D85"/>
    <w:rsid w:val="5976B2B5"/>
    <w:rsid w:val="597714E0"/>
    <w:rsid w:val="597E7402"/>
    <w:rsid w:val="598013B5"/>
    <w:rsid w:val="5981E226"/>
    <w:rsid w:val="59887D43"/>
    <w:rsid w:val="598D9971"/>
    <w:rsid w:val="5991A66B"/>
    <w:rsid w:val="59920684"/>
    <w:rsid w:val="59955E26"/>
    <w:rsid w:val="59A8BFE2"/>
    <w:rsid w:val="59B53093"/>
    <w:rsid w:val="59B599F0"/>
    <w:rsid w:val="59B705C5"/>
    <w:rsid w:val="59BBA27E"/>
    <w:rsid w:val="59BEBAA4"/>
    <w:rsid w:val="59C0A237"/>
    <w:rsid w:val="59C1AF44"/>
    <w:rsid w:val="59C61705"/>
    <w:rsid w:val="59C901CF"/>
    <w:rsid w:val="59C9DD65"/>
    <w:rsid w:val="59D061B4"/>
    <w:rsid w:val="59D122F4"/>
    <w:rsid w:val="59D4D51D"/>
    <w:rsid w:val="59E2135D"/>
    <w:rsid w:val="59E68517"/>
    <w:rsid w:val="59E6EC0B"/>
    <w:rsid w:val="59EF29B1"/>
    <w:rsid w:val="59F0E5FF"/>
    <w:rsid w:val="59F2EAA1"/>
    <w:rsid w:val="59F37798"/>
    <w:rsid w:val="59FC26B0"/>
    <w:rsid w:val="5A00583C"/>
    <w:rsid w:val="5A0DEF9D"/>
    <w:rsid w:val="5A0FD399"/>
    <w:rsid w:val="5A15273E"/>
    <w:rsid w:val="5A15D402"/>
    <w:rsid w:val="5A359BCF"/>
    <w:rsid w:val="5A3895A6"/>
    <w:rsid w:val="5A3CB59B"/>
    <w:rsid w:val="5A3D533C"/>
    <w:rsid w:val="5A3D61DA"/>
    <w:rsid w:val="5A4925E6"/>
    <w:rsid w:val="5A49FEBE"/>
    <w:rsid w:val="5A4D1BEF"/>
    <w:rsid w:val="5A4E475E"/>
    <w:rsid w:val="5A4E4D6A"/>
    <w:rsid w:val="5A4F9080"/>
    <w:rsid w:val="5A534BA3"/>
    <w:rsid w:val="5A539DE2"/>
    <w:rsid w:val="5A5A9EB2"/>
    <w:rsid w:val="5A5C7D23"/>
    <w:rsid w:val="5A5E2D86"/>
    <w:rsid w:val="5A605C38"/>
    <w:rsid w:val="5A66061D"/>
    <w:rsid w:val="5A66079B"/>
    <w:rsid w:val="5A668D7B"/>
    <w:rsid w:val="5A6BA9B7"/>
    <w:rsid w:val="5A6EDC44"/>
    <w:rsid w:val="5A74F3F0"/>
    <w:rsid w:val="5A75E138"/>
    <w:rsid w:val="5A773388"/>
    <w:rsid w:val="5A77548B"/>
    <w:rsid w:val="5A7C840A"/>
    <w:rsid w:val="5A7C9677"/>
    <w:rsid w:val="5A7EDFC9"/>
    <w:rsid w:val="5A940F9C"/>
    <w:rsid w:val="5A960B19"/>
    <w:rsid w:val="5A985781"/>
    <w:rsid w:val="5A9BA941"/>
    <w:rsid w:val="5AAFA6F4"/>
    <w:rsid w:val="5AB11305"/>
    <w:rsid w:val="5AC05379"/>
    <w:rsid w:val="5AC64455"/>
    <w:rsid w:val="5AC84805"/>
    <w:rsid w:val="5ACF087F"/>
    <w:rsid w:val="5AD51B97"/>
    <w:rsid w:val="5ADB8A0A"/>
    <w:rsid w:val="5ADCD995"/>
    <w:rsid w:val="5ADF3369"/>
    <w:rsid w:val="5AEB94DA"/>
    <w:rsid w:val="5AF19D90"/>
    <w:rsid w:val="5AF23428"/>
    <w:rsid w:val="5AFA1F35"/>
    <w:rsid w:val="5AFA8CD5"/>
    <w:rsid w:val="5B016C18"/>
    <w:rsid w:val="5B0750B8"/>
    <w:rsid w:val="5B07C720"/>
    <w:rsid w:val="5B08A7C9"/>
    <w:rsid w:val="5B08FC4D"/>
    <w:rsid w:val="5B0F2499"/>
    <w:rsid w:val="5B100417"/>
    <w:rsid w:val="5B169704"/>
    <w:rsid w:val="5B1A3892"/>
    <w:rsid w:val="5B1D14C7"/>
    <w:rsid w:val="5B20268F"/>
    <w:rsid w:val="5B237153"/>
    <w:rsid w:val="5B2663AC"/>
    <w:rsid w:val="5B29628C"/>
    <w:rsid w:val="5B2A5F63"/>
    <w:rsid w:val="5B3462AA"/>
    <w:rsid w:val="5B355A2C"/>
    <w:rsid w:val="5B3BFB17"/>
    <w:rsid w:val="5B3F9728"/>
    <w:rsid w:val="5B436E0E"/>
    <w:rsid w:val="5B4868AD"/>
    <w:rsid w:val="5B4B29CE"/>
    <w:rsid w:val="5B5122DE"/>
    <w:rsid w:val="5B51ADA3"/>
    <w:rsid w:val="5B5261EB"/>
    <w:rsid w:val="5B53E3FB"/>
    <w:rsid w:val="5B5A7004"/>
    <w:rsid w:val="5B657CCB"/>
    <w:rsid w:val="5B6979D3"/>
    <w:rsid w:val="5B6CC19D"/>
    <w:rsid w:val="5B718918"/>
    <w:rsid w:val="5B73E931"/>
    <w:rsid w:val="5B7C5890"/>
    <w:rsid w:val="5B8242DF"/>
    <w:rsid w:val="5B89D5A6"/>
    <w:rsid w:val="5B8F17F1"/>
    <w:rsid w:val="5B8F7286"/>
    <w:rsid w:val="5B8F901B"/>
    <w:rsid w:val="5B94F8FF"/>
    <w:rsid w:val="5B959C23"/>
    <w:rsid w:val="5B96F0A4"/>
    <w:rsid w:val="5B97B906"/>
    <w:rsid w:val="5B98EF68"/>
    <w:rsid w:val="5B9A50AD"/>
    <w:rsid w:val="5B9D04F5"/>
    <w:rsid w:val="5B9F31A8"/>
    <w:rsid w:val="5BAF522C"/>
    <w:rsid w:val="5BB3136C"/>
    <w:rsid w:val="5BB9FCDE"/>
    <w:rsid w:val="5BBC7E09"/>
    <w:rsid w:val="5BBD3BC2"/>
    <w:rsid w:val="5BCDA407"/>
    <w:rsid w:val="5BD23E50"/>
    <w:rsid w:val="5BD7F63C"/>
    <w:rsid w:val="5BDA36A9"/>
    <w:rsid w:val="5BE070E3"/>
    <w:rsid w:val="5BE154E9"/>
    <w:rsid w:val="5BE5962D"/>
    <w:rsid w:val="5BE9D1AD"/>
    <w:rsid w:val="5BEB3822"/>
    <w:rsid w:val="5BF31A15"/>
    <w:rsid w:val="5BF6AF7B"/>
    <w:rsid w:val="5BF7FFF4"/>
    <w:rsid w:val="5BFD82F1"/>
    <w:rsid w:val="5BFF42CE"/>
    <w:rsid w:val="5C043F01"/>
    <w:rsid w:val="5C0E28FB"/>
    <w:rsid w:val="5C0E7FFC"/>
    <w:rsid w:val="5C10B52F"/>
    <w:rsid w:val="5C13A136"/>
    <w:rsid w:val="5C20AF0F"/>
    <w:rsid w:val="5C233409"/>
    <w:rsid w:val="5C276010"/>
    <w:rsid w:val="5C27C8AA"/>
    <w:rsid w:val="5C2A50AC"/>
    <w:rsid w:val="5C2EEC4F"/>
    <w:rsid w:val="5C3DD372"/>
    <w:rsid w:val="5C3EAE4F"/>
    <w:rsid w:val="5C3FC8A1"/>
    <w:rsid w:val="5C40097B"/>
    <w:rsid w:val="5C49D97C"/>
    <w:rsid w:val="5C5445D7"/>
    <w:rsid w:val="5C571819"/>
    <w:rsid w:val="5C58E883"/>
    <w:rsid w:val="5C58FF83"/>
    <w:rsid w:val="5C59ED38"/>
    <w:rsid w:val="5C5B8943"/>
    <w:rsid w:val="5C5BAB8D"/>
    <w:rsid w:val="5C5E9C03"/>
    <w:rsid w:val="5C60C0A3"/>
    <w:rsid w:val="5C642973"/>
    <w:rsid w:val="5C72C29A"/>
    <w:rsid w:val="5C77B72B"/>
    <w:rsid w:val="5C7D6C30"/>
    <w:rsid w:val="5C80F4FA"/>
    <w:rsid w:val="5C86BF5C"/>
    <w:rsid w:val="5C86DDEE"/>
    <w:rsid w:val="5C90516E"/>
    <w:rsid w:val="5C92A035"/>
    <w:rsid w:val="5C968005"/>
    <w:rsid w:val="5C99BC30"/>
    <w:rsid w:val="5CA06F28"/>
    <w:rsid w:val="5CA54E51"/>
    <w:rsid w:val="5CA6ACEE"/>
    <w:rsid w:val="5CA9F8DB"/>
    <w:rsid w:val="5CAA00EB"/>
    <w:rsid w:val="5CB49C55"/>
    <w:rsid w:val="5CBC7507"/>
    <w:rsid w:val="5CCE41CD"/>
    <w:rsid w:val="5CCF1E4F"/>
    <w:rsid w:val="5CD79625"/>
    <w:rsid w:val="5CDAC980"/>
    <w:rsid w:val="5CDBF045"/>
    <w:rsid w:val="5CDE5905"/>
    <w:rsid w:val="5CE2113D"/>
    <w:rsid w:val="5CE6F273"/>
    <w:rsid w:val="5CF4EC24"/>
    <w:rsid w:val="5CF51F03"/>
    <w:rsid w:val="5D004A43"/>
    <w:rsid w:val="5D098FDC"/>
    <w:rsid w:val="5D0D57D0"/>
    <w:rsid w:val="5D0E2846"/>
    <w:rsid w:val="5D1134CC"/>
    <w:rsid w:val="5D1253B7"/>
    <w:rsid w:val="5D175C1B"/>
    <w:rsid w:val="5D1BCBCF"/>
    <w:rsid w:val="5D1F337A"/>
    <w:rsid w:val="5D28EEC3"/>
    <w:rsid w:val="5D2C3457"/>
    <w:rsid w:val="5D2F4794"/>
    <w:rsid w:val="5D3453DF"/>
    <w:rsid w:val="5D35DD7D"/>
    <w:rsid w:val="5D35E034"/>
    <w:rsid w:val="5D35EEB8"/>
    <w:rsid w:val="5D40CE18"/>
    <w:rsid w:val="5D411EEC"/>
    <w:rsid w:val="5D460EA2"/>
    <w:rsid w:val="5D46FEE7"/>
    <w:rsid w:val="5D4CB593"/>
    <w:rsid w:val="5D4F101A"/>
    <w:rsid w:val="5D51B2C9"/>
    <w:rsid w:val="5D54E03D"/>
    <w:rsid w:val="5D556B55"/>
    <w:rsid w:val="5D5C2FEE"/>
    <w:rsid w:val="5D62341A"/>
    <w:rsid w:val="5D63AD0A"/>
    <w:rsid w:val="5D65F51A"/>
    <w:rsid w:val="5D6DAB9B"/>
    <w:rsid w:val="5D6E6F62"/>
    <w:rsid w:val="5D6FB027"/>
    <w:rsid w:val="5D75BC97"/>
    <w:rsid w:val="5D75D89D"/>
    <w:rsid w:val="5D7AEFC0"/>
    <w:rsid w:val="5D8965A9"/>
    <w:rsid w:val="5D9D8769"/>
    <w:rsid w:val="5DA5A79E"/>
    <w:rsid w:val="5DA68E4A"/>
    <w:rsid w:val="5DABB676"/>
    <w:rsid w:val="5DADE133"/>
    <w:rsid w:val="5DB08FBA"/>
    <w:rsid w:val="5DB31FE0"/>
    <w:rsid w:val="5DB62CE7"/>
    <w:rsid w:val="5DB79B76"/>
    <w:rsid w:val="5DB7FE15"/>
    <w:rsid w:val="5DB9D853"/>
    <w:rsid w:val="5DBAA8D2"/>
    <w:rsid w:val="5DBC7F00"/>
    <w:rsid w:val="5DC339E9"/>
    <w:rsid w:val="5DCCFC5D"/>
    <w:rsid w:val="5DD00C54"/>
    <w:rsid w:val="5DE0EA94"/>
    <w:rsid w:val="5DE43FA4"/>
    <w:rsid w:val="5DE4F4E8"/>
    <w:rsid w:val="5DE5392C"/>
    <w:rsid w:val="5DE72010"/>
    <w:rsid w:val="5DE8E31C"/>
    <w:rsid w:val="5DEE1218"/>
    <w:rsid w:val="5DF5FF1E"/>
    <w:rsid w:val="5DF7384D"/>
    <w:rsid w:val="5DFCCF76"/>
    <w:rsid w:val="5E0E07CD"/>
    <w:rsid w:val="5E171364"/>
    <w:rsid w:val="5E33E21D"/>
    <w:rsid w:val="5E34EFBD"/>
    <w:rsid w:val="5E39F51F"/>
    <w:rsid w:val="5E58A881"/>
    <w:rsid w:val="5E5904E2"/>
    <w:rsid w:val="5E5F2E07"/>
    <w:rsid w:val="5E601765"/>
    <w:rsid w:val="5E61B1A9"/>
    <w:rsid w:val="5E61B41B"/>
    <w:rsid w:val="5E62B315"/>
    <w:rsid w:val="5E6C2FF7"/>
    <w:rsid w:val="5E6DFF10"/>
    <w:rsid w:val="5E703153"/>
    <w:rsid w:val="5E74E318"/>
    <w:rsid w:val="5E75E904"/>
    <w:rsid w:val="5E7737EA"/>
    <w:rsid w:val="5E78BB0B"/>
    <w:rsid w:val="5E7A2E6A"/>
    <w:rsid w:val="5E80270F"/>
    <w:rsid w:val="5E85440F"/>
    <w:rsid w:val="5E9148F0"/>
    <w:rsid w:val="5E95B5A3"/>
    <w:rsid w:val="5E98046D"/>
    <w:rsid w:val="5E9A92F9"/>
    <w:rsid w:val="5E9CA870"/>
    <w:rsid w:val="5E9E88F2"/>
    <w:rsid w:val="5E9E9266"/>
    <w:rsid w:val="5EA2F30D"/>
    <w:rsid w:val="5EADE85F"/>
    <w:rsid w:val="5EB7F681"/>
    <w:rsid w:val="5EB8E9FB"/>
    <w:rsid w:val="5EB95346"/>
    <w:rsid w:val="5EBB24AB"/>
    <w:rsid w:val="5EBEE566"/>
    <w:rsid w:val="5ECBA441"/>
    <w:rsid w:val="5ED27B7F"/>
    <w:rsid w:val="5ED60676"/>
    <w:rsid w:val="5EDEB011"/>
    <w:rsid w:val="5EE0C138"/>
    <w:rsid w:val="5EE3948F"/>
    <w:rsid w:val="5EE94FD3"/>
    <w:rsid w:val="5EE974D5"/>
    <w:rsid w:val="5EEEE8A4"/>
    <w:rsid w:val="5EF258C4"/>
    <w:rsid w:val="5EF83C17"/>
    <w:rsid w:val="5EF9CB03"/>
    <w:rsid w:val="5EFC7D04"/>
    <w:rsid w:val="5EFCF430"/>
    <w:rsid w:val="5F051A2F"/>
    <w:rsid w:val="5F07919C"/>
    <w:rsid w:val="5F0914BA"/>
    <w:rsid w:val="5F1987B1"/>
    <w:rsid w:val="5F19A7DA"/>
    <w:rsid w:val="5F235A82"/>
    <w:rsid w:val="5F250FDA"/>
    <w:rsid w:val="5F27C478"/>
    <w:rsid w:val="5F294B3A"/>
    <w:rsid w:val="5F2EFC03"/>
    <w:rsid w:val="5F2F67FE"/>
    <w:rsid w:val="5F31B9FE"/>
    <w:rsid w:val="5F34AB0F"/>
    <w:rsid w:val="5F387CF0"/>
    <w:rsid w:val="5F3C0DF6"/>
    <w:rsid w:val="5F3E0F1A"/>
    <w:rsid w:val="5F419779"/>
    <w:rsid w:val="5F444FBE"/>
    <w:rsid w:val="5F4E459F"/>
    <w:rsid w:val="5F524A2E"/>
    <w:rsid w:val="5F525374"/>
    <w:rsid w:val="5F5F4D84"/>
    <w:rsid w:val="5F614611"/>
    <w:rsid w:val="5F69CFF4"/>
    <w:rsid w:val="5F6D5EBB"/>
    <w:rsid w:val="5F70B5C8"/>
    <w:rsid w:val="5F7D066B"/>
    <w:rsid w:val="5F8168DE"/>
    <w:rsid w:val="5F82A745"/>
    <w:rsid w:val="5F8B0243"/>
    <w:rsid w:val="5F8BD80F"/>
    <w:rsid w:val="5F93ADFA"/>
    <w:rsid w:val="5F9A6075"/>
    <w:rsid w:val="5F9C194A"/>
    <w:rsid w:val="5F9E22D1"/>
    <w:rsid w:val="5FA55335"/>
    <w:rsid w:val="5FA8AF1A"/>
    <w:rsid w:val="5FAA32A4"/>
    <w:rsid w:val="5FB3BBE8"/>
    <w:rsid w:val="5FBD2F72"/>
    <w:rsid w:val="5FC207BE"/>
    <w:rsid w:val="5FC50EAB"/>
    <w:rsid w:val="5FC79A17"/>
    <w:rsid w:val="5FCAA7AD"/>
    <w:rsid w:val="5FCF12AA"/>
    <w:rsid w:val="5FD2E051"/>
    <w:rsid w:val="5FD2E2A7"/>
    <w:rsid w:val="5FD4B4F2"/>
    <w:rsid w:val="5FD9412A"/>
    <w:rsid w:val="5FDA5903"/>
    <w:rsid w:val="5FDD0818"/>
    <w:rsid w:val="5FEA58CD"/>
    <w:rsid w:val="5FF5C7F3"/>
    <w:rsid w:val="5FFBDC37"/>
    <w:rsid w:val="5FFD35E4"/>
    <w:rsid w:val="60019AA3"/>
    <w:rsid w:val="600442F6"/>
    <w:rsid w:val="60084408"/>
    <w:rsid w:val="600AEF01"/>
    <w:rsid w:val="600D749C"/>
    <w:rsid w:val="601B2084"/>
    <w:rsid w:val="601F7E99"/>
    <w:rsid w:val="6023D023"/>
    <w:rsid w:val="602D81DE"/>
    <w:rsid w:val="602DC036"/>
    <w:rsid w:val="60305B74"/>
    <w:rsid w:val="603878D1"/>
    <w:rsid w:val="6039B023"/>
    <w:rsid w:val="604B261C"/>
    <w:rsid w:val="604DA83D"/>
    <w:rsid w:val="6057E7CF"/>
    <w:rsid w:val="606BE565"/>
    <w:rsid w:val="60732D2E"/>
    <w:rsid w:val="607484A2"/>
    <w:rsid w:val="6083F485"/>
    <w:rsid w:val="60901BAB"/>
    <w:rsid w:val="60A446DC"/>
    <w:rsid w:val="60B0105D"/>
    <w:rsid w:val="60B4C54C"/>
    <w:rsid w:val="60B61256"/>
    <w:rsid w:val="60B6A823"/>
    <w:rsid w:val="60B99205"/>
    <w:rsid w:val="60C69C30"/>
    <w:rsid w:val="60CB7117"/>
    <w:rsid w:val="60D3665B"/>
    <w:rsid w:val="60D563A3"/>
    <w:rsid w:val="60D74184"/>
    <w:rsid w:val="60D9D1C3"/>
    <w:rsid w:val="60E3E2CD"/>
    <w:rsid w:val="60ECA86E"/>
    <w:rsid w:val="60EFD3C6"/>
    <w:rsid w:val="60F4BF16"/>
    <w:rsid w:val="60F7782F"/>
    <w:rsid w:val="60F90BC6"/>
    <w:rsid w:val="60F9BD6A"/>
    <w:rsid w:val="6105C38C"/>
    <w:rsid w:val="610BD95B"/>
    <w:rsid w:val="610FD5B8"/>
    <w:rsid w:val="61113F23"/>
    <w:rsid w:val="6111DB31"/>
    <w:rsid w:val="6112B0CE"/>
    <w:rsid w:val="611985FE"/>
    <w:rsid w:val="611A6959"/>
    <w:rsid w:val="611C00A8"/>
    <w:rsid w:val="6122C716"/>
    <w:rsid w:val="6131330D"/>
    <w:rsid w:val="6132AABE"/>
    <w:rsid w:val="6137940F"/>
    <w:rsid w:val="613E6BDC"/>
    <w:rsid w:val="6144E8AF"/>
    <w:rsid w:val="6146CE06"/>
    <w:rsid w:val="6149198F"/>
    <w:rsid w:val="614F6B42"/>
    <w:rsid w:val="6150E653"/>
    <w:rsid w:val="6151101E"/>
    <w:rsid w:val="6169F92A"/>
    <w:rsid w:val="6171C713"/>
    <w:rsid w:val="61725019"/>
    <w:rsid w:val="6172E2F0"/>
    <w:rsid w:val="61742904"/>
    <w:rsid w:val="617583C8"/>
    <w:rsid w:val="617716DA"/>
    <w:rsid w:val="617AFF0C"/>
    <w:rsid w:val="617B1378"/>
    <w:rsid w:val="617C5F3C"/>
    <w:rsid w:val="6184EC5C"/>
    <w:rsid w:val="6186E34C"/>
    <w:rsid w:val="61892F5B"/>
    <w:rsid w:val="61921179"/>
    <w:rsid w:val="619F60CB"/>
    <w:rsid w:val="61A5910F"/>
    <w:rsid w:val="61ACBCD8"/>
    <w:rsid w:val="61AEADD7"/>
    <w:rsid w:val="61B0FB95"/>
    <w:rsid w:val="61B2A9CE"/>
    <w:rsid w:val="61B6876D"/>
    <w:rsid w:val="61C5572F"/>
    <w:rsid w:val="61CA6887"/>
    <w:rsid w:val="61CAAC9A"/>
    <w:rsid w:val="61CDB1EA"/>
    <w:rsid w:val="61D5791B"/>
    <w:rsid w:val="61D622AE"/>
    <w:rsid w:val="61DD540D"/>
    <w:rsid w:val="61E79F1F"/>
    <w:rsid w:val="61EF75EE"/>
    <w:rsid w:val="61EFD8D8"/>
    <w:rsid w:val="61F29349"/>
    <w:rsid w:val="61F5518E"/>
    <w:rsid w:val="61F597F4"/>
    <w:rsid w:val="61FEEC2F"/>
    <w:rsid w:val="62005B05"/>
    <w:rsid w:val="6208C03D"/>
    <w:rsid w:val="62106BE8"/>
    <w:rsid w:val="62128021"/>
    <w:rsid w:val="621C5103"/>
    <w:rsid w:val="6224E7FB"/>
    <w:rsid w:val="62290DD9"/>
    <w:rsid w:val="622F406C"/>
    <w:rsid w:val="622F9DB7"/>
    <w:rsid w:val="62319F71"/>
    <w:rsid w:val="6232306F"/>
    <w:rsid w:val="62387AAD"/>
    <w:rsid w:val="623C7682"/>
    <w:rsid w:val="62418795"/>
    <w:rsid w:val="6241F1C6"/>
    <w:rsid w:val="624E0890"/>
    <w:rsid w:val="6254030C"/>
    <w:rsid w:val="62543B0F"/>
    <w:rsid w:val="6254F1E3"/>
    <w:rsid w:val="62553A8A"/>
    <w:rsid w:val="6256E591"/>
    <w:rsid w:val="625ED723"/>
    <w:rsid w:val="6267CC24"/>
    <w:rsid w:val="626DB576"/>
    <w:rsid w:val="626F0E39"/>
    <w:rsid w:val="627311E5"/>
    <w:rsid w:val="62745C3E"/>
    <w:rsid w:val="627D3F6B"/>
    <w:rsid w:val="6280CFF1"/>
    <w:rsid w:val="62852978"/>
    <w:rsid w:val="62866CE8"/>
    <w:rsid w:val="62925735"/>
    <w:rsid w:val="6294EDB6"/>
    <w:rsid w:val="6299018C"/>
    <w:rsid w:val="62A193ED"/>
    <w:rsid w:val="62A29820"/>
    <w:rsid w:val="62A5F913"/>
    <w:rsid w:val="62AAA191"/>
    <w:rsid w:val="62AB4C95"/>
    <w:rsid w:val="62AC2099"/>
    <w:rsid w:val="62ADDA03"/>
    <w:rsid w:val="62AED149"/>
    <w:rsid w:val="62B09EFF"/>
    <w:rsid w:val="62B9F4BC"/>
    <w:rsid w:val="62BA5133"/>
    <w:rsid w:val="62BAB6FA"/>
    <w:rsid w:val="62BD5C93"/>
    <w:rsid w:val="62C186D4"/>
    <w:rsid w:val="62C81829"/>
    <w:rsid w:val="62C90594"/>
    <w:rsid w:val="62CF6C3F"/>
    <w:rsid w:val="62E3494A"/>
    <w:rsid w:val="62EABE9D"/>
    <w:rsid w:val="62EC80D3"/>
    <w:rsid w:val="62EF4973"/>
    <w:rsid w:val="62F1E4B5"/>
    <w:rsid w:val="62FEB98F"/>
    <w:rsid w:val="630314B5"/>
    <w:rsid w:val="6303F1AB"/>
    <w:rsid w:val="6308F750"/>
    <w:rsid w:val="630A9BD8"/>
    <w:rsid w:val="63161A20"/>
    <w:rsid w:val="631D105A"/>
    <w:rsid w:val="631D4106"/>
    <w:rsid w:val="631D9FEE"/>
    <w:rsid w:val="6320377B"/>
    <w:rsid w:val="63260BCE"/>
    <w:rsid w:val="633296BC"/>
    <w:rsid w:val="6336CFDF"/>
    <w:rsid w:val="633863A3"/>
    <w:rsid w:val="63462345"/>
    <w:rsid w:val="6346B653"/>
    <w:rsid w:val="634D5A5E"/>
    <w:rsid w:val="634DC54D"/>
    <w:rsid w:val="63533A7F"/>
    <w:rsid w:val="6354F301"/>
    <w:rsid w:val="63561D0C"/>
    <w:rsid w:val="6356DD3A"/>
    <w:rsid w:val="63574788"/>
    <w:rsid w:val="635E00B0"/>
    <w:rsid w:val="635E2C33"/>
    <w:rsid w:val="635EA153"/>
    <w:rsid w:val="63630209"/>
    <w:rsid w:val="63652A91"/>
    <w:rsid w:val="636814A5"/>
    <w:rsid w:val="63729380"/>
    <w:rsid w:val="63780B36"/>
    <w:rsid w:val="637F277E"/>
    <w:rsid w:val="6383D406"/>
    <w:rsid w:val="63A081A3"/>
    <w:rsid w:val="63A3E3F8"/>
    <w:rsid w:val="63A462E4"/>
    <w:rsid w:val="63B3C139"/>
    <w:rsid w:val="63B3C2EA"/>
    <w:rsid w:val="63B50914"/>
    <w:rsid w:val="63B7528C"/>
    <w:rsid w:val="63C52370"/>
    <w:rsid w:val="63CD0AD4"/>
    <w:rsid w:val="63CDE87A"/>
    <w:rsid w:val="63D3F995"/>
    <w:rsid w:val="63D7A50D"/>
    <w:rsid w:val="63DB4628"/>
    <w:rsid w:val="63DBFBE9"/>
    <w:rsid w:val="63DC4D9C"/>
    <w:rsid w:val="63E2961E"/>
    <w:rsid w:val="63EB1E21"/>
    <w:rsid w:val="63EF0347"/>
    <w:rsid w:val="63F89B18"/>
    <w:rsid w:val="63F9F8A2"/>
    <w:rsid w:val="63FB8814"/>
    <w:rsid w:val="6400ACE7"/>
    <w:rsid w:val="6402E4BD"/>
    <w:rsid w:val="6404BA21"/>
    <w:rsid w:val="6408BF69"/>
    <w:rsid w:val="640B61B3"/>
    <w:rsid w:val="640CA409"/>
    <w:rsid w:val="640F548A"/>
    <w:rsid w:val="64109648"/>
    <w:rsid w:val="64181DBB"/>
    <w:rsid w:val="642830D5"/>
    <w:rsid w:val="642AACA4"/>
    <w:rsid w:val="642AE9B2"/>
    <w:rsid w:val="642C05CC"/>
    <w:rsid w:val="642FE23F"/>
    <w:rsid w:val="6433B854"/>
    <w:rsid w:val="64428FE7"/>
    <w:rsid w:val="64499261"/>
    <w:rsid w:val="6451EC66"/>
    <w:rsid w:val="6454FDCE"/>
    <w:rsid w:val="645D26CA"/>
    <w:rsid w:val="645DE74C"/>
    <w:rsid w:val="64600495"/>
    <w:rsid w:val="64601AA9"/>
    <w:rsid w:val="6463DC86"/>
    <w:rsid w:val="6478A4B8"/>
    <w:rsid w:val="647D6FFD"/>
    <w:rsid w:val="6482E59B"/>
    <w:rsid w:val="6483BAB0"/>
    <w:rsid w:val="64962FD3"/>
    <w:rsid w:val="6498DC08"/>
    <w:rsid w:val="64B220FB"/>
    <w:rsid w:val="64B3E022"/>
    <w:rsid w:val="64B4E2E1"/>
    <w:rsid w:val="64B96ACC"/>
    <w:rsid w:val="64BA63A6"/>
    <w:rsid w:val="64C33CA2"/>
    <w:rsid w:val="64C55015"/>
    <w:rsid w:val="64CB18C0"/>
    <w:rsid w:val="64D5B5AE"/>
    <w:rsid w:val="64D5D13E"/>
    <w:rsid w:val="64D780CA"/>
    <w:rsid w:val="64E08145"/>
    <w:rsid w:val="64E37D85"/>
    <w:rsid w:val="64E57CE8"/>
    <w:rsid w:val="64E972CD"/>
    <w:rsid w:val="64EA0EF6"/>
    <w:rsid w:val="64ED1980"/>
    <w:rsid w:val="64F945CC"/>
    <w:rsid w:val="6506E668"/>
    <w:rsid w:val="6508C200"/>
    <w:rsid w:val="650F76C4"/>
    <w:rsid w:val="650FA8EB"/>
    <w:rsid w:val="6512399C"/>
    <w:rsid w:val="65203253"/>
    <w:rsid w:val="65226E53"/>
    <w:rsid w:val="652834F8"/>
    <w:rsid w:val="6531EBAC"/>
    <w:rsid w:val="65346A1A"/>
    <w:rsid w:val="653544B0"/>
    <w:rsid w:val="653A7492"/>
    <w:rsid w:val="65418339"/>
    <w:rsid w:val="6546ECC6"/>
    <w:rsid w:val="6548BE94"/>
    <w:rsid w:val="654A1C60"/>
    <w:rsid w:val="654D5044"/>
    <w:rsid w:val="654E5D11"/>
    <w:rsid w:val="655213E1"/>
    <w:rsid w:val="65587BBB"/>
    <w:rsid w:val="6559054C"/>
    <w:rsid w:val="655FF48C"/>
    <w:rsid w:val="6562F408"/>
    <w:rsid w:val="65672F59"/>
    <w:rsid w:val="6572AEFF"/>
    <w:rsid w:val="6573CCFB"/>
    <w:rsid w:val="6576F939"/>
    <w:rsid w:val="657AB070"/>
    <w:rsid w:val="657CBB88"/>
    <w:rsid w:val="6583D22C"/>
    <w:rsid w:val="6585B9DD"/>
    <w:rsid w:val="658C61C2"/>
    <w:rsid w:val="6590C40D"/>
    <w:rsid w:val="65979D74"/>
    <w:rsid w:val="659BB87A"/>
    <w:rsid w:val="65A3895C"/>
    <w:rsid w:val="65A975C2"/>
    <w:rsid w:val="65B6595F"/>
    <w:rsid w:val="65B7FDCF"/>
    <w:rsid w:val="65C19D24"/>
    <w:rsid w:val="65C52C9A"/>
    <w:rsid w:val="65C5790A"/>
    <w:rsid w:val="65CB8368"/>
    <w:rsid w:val="65D951DB"/>
    <w:rsid w:val="65DDC587"/>
    <w:rsid w:val="65E7B669"/>
    <w:rsid w:val="65E816A8"/>
    <w:rsid w:val="65E9FDF7"/>
    <w:rsid w:val="65EA676B"/>
    <w:rsid w:val="65F89486"/>
    <w:rsid w:val="66053034"/>
    <w:rsid w:val="6607DEA3"/>
    <w:rsid w:val="660C2406"/>
    <w:rsid w:val="660D54D4"/>
    <w:rsid w:val="661468FB"/>
    <w:rsid w:val="661777A0"/>
    <w:rsid w:val="6619ACAD"/>
    <w:rsid w:val="662749D0"/>
    <w:rsid w:val="662BAE4A"/>
    <w:rsid w:val="66311295"/>
    <w:rsid w:val="663567E3"/>
    <w:rsid w:val="6637C4CF"/>
    <w:rsid w:val="663A1B38"/>
    <w:rsid w:val="663ABC45"/>
    <w:rsid w:val="663B5FC9"/>
    <w:rsid w:val="663D4C03"/>
    <w:rsid w:val="66421FB3"/>
    <w:rsid w:val="664A2723"/>
    <w:rsid w:val="66598A6C"/>
    <w:rsid w:val="6659DEC8"/>
    <w:rsid w:val="665E63BF"/>
    <w:rsid w:val="66612E29"/>
    <w:rsid w:val="66680709"/>
    <w:rsid w:val="666CF814"/>
    <w:rsid w:val="667094A8"/>
    <w:rsid w:val="6673D55C"/>
    <w:rsid w:val="667B2289"/>
    <w:rsid w:val="667DA384"/>
    <w:rsid w:val="6681C078"/>
    <w:rsid w:val="6682858D"/>
    <w:rsid w:val="6686E09C"/>
    <w:rsid w:val="668ABFC8"/>
    <w:rsid w:val="669B15A9"/>
    <w:rsid w:val="66A8597F"/>
    <w:rsid w:val="66AC12DC"/>
    <w:rsid w:val="66B2DB45"/>
    <w:rsid w:val="66CBF074"/>
    <w:rsid w:val="66CD89E5"/>
    <w:rsid w:val="66CE9298"/>
    <w:rsid w:val="66CFD15D"/>
    <w:rsid w:val="66D4D47D"/>
    <w:rsid w:val="66D8D179"/>
    <w:rsid w:val="66DB83B3"/>
    <w:rsid w:val="66EA928C"/>
    <w:rsid w:val="66ED23D4"/>
    <w:rsid w:val="66EF2537"/>
    <w:rsid w:val="66F470E8"/>
    <w:rsid w:val="66F84432"/>
    <w:rsid w:val="66FA90C0"/>
    <w:rsid w:val="6702F24E"/>
    <w:rsid w:val="6704A5B2"/>
    <w:rsid w:val="670D2356"/>
    <w:rsid w:val="670DB336"/>
    <w:rsid w:val="670E62BA"/>
    <w:rsid w:val="6710AF68"/>
    <w:rsid w:val="671363D7"/>
    <w:rsid w:val="6717E7BF"/>
    <w:rsid w:val="671EC05F"/>
    <w:rsid w:val="672A39C2"/>
    <w:rsid w:val="672DAC24"/>
    <w:rsid w:val="67321EF2"/>
    <w:rsid w:val="6744B208"/>
    <w:rsid w:val="674C4677"/>
    <w:rsid w:val="675362AA"/>
    <w:rsid w:val="6754F523"/>
    <w:rsid w:val="6759226B"/>
    <w:rsid w:val="676698F8"/>
    <w:rsid w:val="67681B3F"/>
    <w:rsid w:val="676983D4"/>
    <w:rsid w:val="676C1CE9"/>
    <w:rsid w:val="677133EF"/>
    <w:rsid w:val="677EEADF"/>
    <w:rsid w:val="6782D308"/>
    <w:rsid w:val="67870C85"/>
    <w:rsid w:val="67889A01"/>
    <w:rsid w:val="6788E9FE"/>
    <w:rsid w:val="678BC334"/>
    <w:rsid w:val="678E57E6"/>
    <w:rsid w:val="679040F6"/>
    <w:rsid w:val="6793CFC7"/>
    <w:rsid w:val="6795FB37"/>
    <w:rsid w:val="67974222"/>
    <w:rsid w:val="679A5ED0"/>
    <w:rsid w:val="679C0A28"/>
    <w:rsid w:val="679EFCEC"/>
    <w:rsid w:val="67AFE03A"/>
    <w:rsid w:val="67B511AC"/>
    <w:rsid w:val="67B58552"/>
    <w:rsid w:val="67B8B520"/>
    <w:rsid w:val="67BEB734"/>
    <w:rsid w:val="67BF5B01"/>
    <w:rsid w:val="67C1131C"/>
    <w:rsid w:val="67C4E599"/>
    <w:rsid w:val="67C7D5AC"/>
    <w:rsid w:val="67CAF7A5"/>
    <w:rsid w:val="67CF69BD"/>
    <w:rsid w:val="67CF8A23"/>
    <w:rsid w:val="67DD1D3E"/>
    <w:rsid w:val="67E0E6F3"/>
    <w:rsid w:val="67E68F84"/>
    <w:rsid w:val="67ED8AFB"/>
    <w:rsid w:val="67EEB155"/>
    <w:rsid w:val="67F489D0"/>
    <w:rsid w:val="67F6A676"/>
    <w:rsid w:val="67FBBEE7"/>
    <w:rsid w:val="67FE96B7"/>
    <w:rsid w:val="68005733"/>
    <w:rsid w:val="68031F3C"/>
    <w:rsid w:val="68049912"/>
    <w:rsid w:val="68070223"/>
    <w:rsid w:val="68079E2F"/>
    <w:rsid w:val="68090ED2"/>
    <w:rsid w:val="680BB5CE"/>
    <w:rsid w:val="680C059E"/>
    <w:rsid w:val="681023C0"/>
    <w:rsid w:val="6813FC05"/>
    <w:rsid w:val="6817F003"/>
    <w:rsid w:val="68187A14"/>
    <w:rsid w:val="681E7479"/>
    <w:rsid w:val="68219DDF"/>
    <w:rsid w:val="68234CF1"/>
    <w:rsid w:val="6826CBA0"/>
    <w:rsid w:val="6828FDF1"/>
    <w:rsid w:val="682A5E45"/>
    <w:rsid w:val="682BE4EF"/>
    <w:rsid w:val="682C3B2C"/>
    <w:rsid w:val="682E02E0"/>
    <w:rsid w:val="6831E8C4"/>
    <w:rsid w:val="68327D61"/>
    <w:rsid w:val="6833BB75"/>
    <w:rsid w:val="68362217"/>
    <w:rsid w:val="683FDDDC"/>
    <w:rsid w:val="6841E979"/>
    <w:rsid w:val="68458403"/>
    <w:rsid w:val="684784FD"/>
    <w:rsid w:val="6849546A"/>
    <w:rsid w:val="684D5569"/>
    <w:rsid w:val="685D0480"/>
    <w:rsid w:val="685E5D95"/>
    <w:rsid w:val="68619652"/>
    <w:rsid w:val="68688BD5"/>
    <w:rsid w:val="686AE1BA"/>
    <w:rsid w:val="68725ACB"/>
    <w:rsid w:val="68759122"/>
    <w:rsid w:val="6895BC69"/>
    <w:rsid w:val="689943E1"/>
    <w:rsid w:val="689C618E"/>
    <w:rsid w:val="689CC7DC"/>
    <w:rsid w:val="68A61B7C"/>
    <w:rsid w:val="68A7D944"/>
    <w:rsid w:val="68AC550A"/>
    <w:rsid w:val="68AD2499"/>
    <w:rsid w:val="68AE501C"/>
    <w:rsid w:val="68B4872D"/>
    <w:rsid w:val="68BC6E89"/>
    <w:rsid w:val="68C193EA"/>
    <w:rsid w:val="68C478A2"/>
    <w:rsid w:val="68D82BC3"/>
    <w:rsid w:val="68D8EFE1"/>
    <w:rsid w:val="68E2C132"/>
    <w:rsid w:val="68EA5285"/>
    <w:rsid w:val="68F3F856"/>
    <w:rsid w:val="68F65DAD"/>
    <w:rsid w:val="68FA0BED"/>
    <w:rsid w:val="68FBFE4F"/>
    <w:rsid w:val="68FCD953"/>
    <w:rsid w:val="68FE4A04"/>
    <w:rsid w:val="68FEE565"/>
    <w:rsid w:val="68FF0647"/>
    <w:rsid w:val="6900EBD4"/>
    <w:rsid w:val="6905F405"/>
    <w:rsid w:val="690C49B7"/>
    <w:rsid w:val="691103E2"/>
    <w:rsid w:val="691414B5"/>
    <w:rsid w:val="691A5A34"/>
    <w:rsid w:val="691B2649"/>
    <w:rsid w:val="692467C1"/>
    <w:rsid w:val="692554DE"/>
    <w:rsid w:val="692F36B3"/>
    <w:rsid w:val="6930CEFD"/>
    <w:rsid w:val="69363665"/>
    <w:rsid w:val="6939B99D"/>
    <w:rsid w:val="6939E133"/>
    <w:rsid w:val="693C06AE"/>
    <w:rsid w:val="6942F9A6"/>
    <w:rsid w:val="69446837"/>
    <w:rsid w:val="69499E37"/>
    <w:rsid w:val="694CC9B9"/>
    <w:rsid w:val="69565AD1"/>
    <w:rsid w:val="695A181C"/>
    <w:rsid w:val="695B1C2B"/>
    <w:rsid w:val="695BDF53"/>
    <w:rsid w:val="69639901"/>
    <w:rsid w:val="6968C017"/>
    <w:rsid w:val="696B278B"/>
    <w:rsid w:val="696D416A"/>
    <w:rsid w:val="6970CDFA"/>
    <w:rsid w:val="69718A77"/>
    <w:rsid w:val="69749E78"/>
    <w:rsid w:val="69806921"/>
    <w:rsid w:val="69810854"/>
    <w:rsid w:val="6981C968"/>
    <w:rsid w:val="6982A66E"/>
    <w:rsid w:val="6985B95C"/>
    <w:rsid w:val="698E1E2B"/>
    <w:rsid w:val="698EC542"/>
    <w:rsid w:val="699627E5"/>
    <w:rsid w:val="69981E67"/>
    <w:rsid w:val="699937A6"/>
    <w:rsid w:val="69A34B88"/>
    <w:rsid w:val="69A4C062"/>
    <w:rsid w:val="69A581FB"/>
    <w:rsid w:val="69A941C2"/>
    <w:rsid w:val="69AE805D"/>
    <w:rsid w:val="69B67FD0"/>
    <w:rsid w:val="69B8F279"/>
    <w:rsid w:val="69B9DC52"/>
    <w:rsid w:val="69CB2002"/>
    <w:rsid w:val="69CF42D7"/>
    <w:rsid w:val="69D2E588"/>
    <w:rsid w:val="69D5882D"/>
    <w:rsid w:val="69DB679E"/>
    <w:rsid w:val="69DD839C"/>
    <w:rsid w:val="69E0DF76"/>
    <w:rsid w:val="69E13CFE"/>
    <w:rsid w:val="69E1FAC5"/>
    <w:rsid w:val="69E73C44"/>
    <w:rsid w:val="69F9DA41"/>
    <w:rsid w:val="69FAB179"/>
    <w:rsid w:val="69FF124A"/>
    <w:rsid w:val="6A035D81"/>
    <w:rsid w:val="6A05B39B"/>
    <w:rsid w:val="6A0B9726"/>
    <w:rsid w:val="6A177B52"/>
    <w:rsid w:val="6A1A1CAA"/>
    <w:rsid w:val="6A1E5C51"/>
    <w:rsid w:val="6A2751F6"/>
    <w:rsid w:val="6A39B257"/>
    <w:rsid w:val="6A3A30B9"/>
    <w:rsid w:val="6A3DA079"/>
    <w:rsid w:val="6A408168"/>
    <w:rsid w:val="6A5702F4"/>
    <w:rsid w:val="6A5CA5BF"/>
    <w:rsid w:val="6A5E0E0D"/>
    <w:rsid w:val="6A6248AE"/>
    <w:rsid w:val="6A6616AE"/>
    <w:rsid w:val="6A680E71"/>
    <w:rsid w:val="6A69AD9C"/>
    <w:rsid w:val="6A6BA30F"/>
    <w:rsid w:val="6A6D2B20"/>
    <w:rsid w:val="6A71E585"/>
    <w:rsid w:val="6A759D5C"/>
    <w:rsid w:val="6A7A3D07"/>
    <w:rsid w:val="6A7CB02D"/>
    <w:rsid w:val="6A7E92D8"/>
    <w:rsid w:val="6A83D327"/>
    <w:rsid w:val="6A87A7F6"/>
    <w:rsid w:val="6A8D7E90"/>
    <w:rsid w:val="6A8F67FA"/>
    <w:rsid w:val="6A953EFA"/>
    <w:rsid w:val="6A9645B1"/>
    <w:rsid w:val="6AA2B550"/>
    <w:rsid w:val="6AA52EE3"/>
    <w:rsid w:val="6AB013E7"/>
    <w:rsid w:val="6AB03E3E"/>
    <w:rsid w:val="6AB2D0FF"/>
    <w:rsid w:val="6AB6E032"/>
    <w:rsid w:val="6ABF6C44"/>
    <w:rsid w:val="6ABFE7AD"/>
    <w:rsid w:val="6AC59580"/>
    <w:rsid w:val="6ACE2A2A"/>
    <w:rsid w:val="6AD0DD9C"/>
    <w:rsid w:val="6AD45619"/>
    <w:rsid w:val="6AD6312C"/>
    <w:rsid w:val="6AE2B37F"/>
    <w:rsid w:val="6AE5B00D"/>
    <w:rsid w:val="6AE85377"/>
    <w:rsid w:val="6AEA73A6"/>
    <w:rsid w:val="6AED57B6"/>
    <w:rsid w:val="6AF30CFC"/>
    <w:rsid w:val="6AF4CBA6"/>
    <w:rsid w:val="6AFB0473"/>
    <w:rsid w:val="6AFB42AF"/>
    <w:rsid w:val="6AFBE545"/>
    <w:rsid w:val="6AFC538A"/>
    <w:rsid w:val="6AFF6E1C"/>
    <w:rsid w:val="6B0000DA"/>
    <w:rsid w:val="6B02C7AC"/>
    <w:rsid w:val="6B08A27A"/>
    <w:rsid w:val="6B1213B2"/>
    <w:rsid w:val="6B13A5E5"/>
    <w:rsid w:val="6B187FD0"/>
    <w:rsid w:val="6B203147"/>
    <w:rsid w:val="6B240298"/>
    <w:rsid w:val="6B278DC7"/>
    <w:rsid w:val="6B2F6A95"/>
    <w:rsid w:val="6B301C6B"/>
    <w:rsid w:val="6B371CF9"/>
    <w:rsid w:val="6B38902F"/>
    <w:rsid w:val="6B3E8D70"/>
    <w:rsid w:val="6B478B92"/>
    <w:rsid w:val="6B512574"/>
    <w:rsid w:val="6B536F8F"/>
    <w:rsid w:val="6B55228E"/>
    <w:rsid w:val="6B576771"/>
    <w:rsid w:val="6B61D133"/>
    <w:rsid w:val="6B6388C9"/>
    <w:rsid w:val="6B6959FE"/>
    <w:rsid w:val="6B6A9CB9"/>
    <w:rsid w:val="6B6BF040"/>
    <w:rsid w:val="6B6FD40C"/>
    <w:rsid w:val="6B70007A"/>
    <w:rsid w:val="6B712633"/>
    <w:rsid w:val="6B77009C"/>
    <w:rsid w:val="6B7A2558"/>
    <w:rsid w:val="6B7A8D85"/>
    <w:rsid w:val="6B820C5A"/>
    <w:rsid w:val="6B8481F6"/>
    <w:rsid w:val="6B868D97"/>
    <w:rsid w:val="6B8CD429"/>
    <w:rsid w:val="6B902967"/>
    <w:rsid w:val="6B960118"/>
    <w:rsid w:val="6B96DEC8"/>
    <w:rsid w:val="6B9BCF60"/>
    <w:rsid w:val="6BA29BD3"/>
    <w:rsid w:val="6BA7883C"/>
    <w:rsid w:val="6BA86256"/>
    <w:rsid w:val="6BB1520A"/>
    <w:rsid w:val="6BB1DAC1"/>
    <w:rsid w:val="6BB21747"/>
    <w:rsid w:val="6BB3AC42"/>
    <w:rsid w:val="6BB735D1"/>
    <w:rsid w:val="6BB859E4"/>
    <w:rsid w:val="6BBCB474"/>
    <w:rsid w:val="6BC81811"/>
    <w:rsid w:val="6BCC01A5"/>
    <w:rsid w:val="6BCD2AA4"/>
    <w:rsid w:val="6BD22D39"/>
    <w:rsid w:val="6BD4C331"/>
    <w:rsid w:val="6BD6173D"/>
    <w:rsid w:val="6BDA6F5D"/>
    <w:rsid w:val="6BDB09C3"/>
    <w:rsid w:val="6BDED597"/>
    <w:rsid w:val="6BE72245"/>
    <w:rsid w:val="6BEA4C61"/>
    <w:rsid w:val="6BF599B0"/>
    <w:rsid w:val="6BF74640"/>
    <w:rsid w:val="6BFA6003"/>
    <w:rsid w:val="6BFE2824"/>
    <w:rsid w:val="6BFFAA1E"/>
    <w:rsid w:val="6C0CAB98"/>
    <w:rsid w:val="6C1A37A6"/>
    <w:rsid w:val="6C1AA060"/>
    <w:rsid w:val="6C24BC2D"/>
    <w:rsid w:val="6C256504"/>
    <w:rsid w:val="6C26A20F"/>
    <w:rsid w:val="6C28626C"/>
    <w:rsid w:val="6C293477"/>
    <w:rsid w:val="6C29FABE"/>
    <w:rsid w:val="6C306000"/>
    <w:rsid w:val="6C3C1942"/>
    <w:rsid w:val="6C3C48A2"/>
    <w:rsid w:val="6C3C960A"/>
    <w:rsid w:val="6C45A46C"/>
    <w:rsid w:val="6C4F942D"/>
    <w:rsid w:val="6C5D3340"/>
    <w:rsid w:val="6C5F4C12"/>
    <w:rsid w:val="6C5F6D77"/>
    <w:rsid w:val="6C69E788"/>
    <w:rsid w:val="6C69F4E2"/>
    <w:rsid w:val="6C6E2308"/>
    <w:rsid w:val="6C72AE20"/>
    <w:rsid w:val="6C73B24F"/>
    <w:rsid w:val="6C7A045B"/>
    <w:rsid w:val="6C7C50EF"/>
    <w:rsid w:val="6C82ED05"/>
    <w:rsid w:val="6C84893E"/>
    <w:rsid w:val="6C869A50"/>
    <w:rsid w:val="6C8913F6"/>
    <w:rsid w:val="6C8DCCE6"/>
    <w:rsid w:val="6C935C06"/>
    <w:rsid w:val="6C94D1F7"/>
    <w:rsid w:val="6C9B52FC"/>
    <w:rsid w:val="6C9DA375"/>
    <w:rsid w:val="6CA1CDB5"/>
    <w:rsid w:val="6CA43F60"/>
    <w:rsid w:val="6CA76E67"/>
    <w:rsid w:val="6CBB358C"/>
    <w:rsid w:val="6CC009F0"/>
    <w:rsid w:val="6CC553FB"/>
    <w:rsid w:val="6CC56644"/>
    <w:rsid w:val="6CCAE711"/>
    <w:rsid w:val="6CD0C21C"/>
    <w:rsid w:val="6CD3B75E"/>
    <w:rsid w:val="6CD89093"/>
    <w:rsid w:val="6CD9045A"/>
    <w:rsid w:val="6CD94E9F"/>
    <w:rsid w:val="6CD98170"/>
    <w:rsid w:val="6CE06B9B"/>
    <w:rsid w:val="6CE2AA3D"/>
    <w:rsid w:val="6CE4AE69"/>
    <w:rsid w:val="6CE70412"/>
    <w:rsid w:val="6CE94369"/>
    <w:rsid w:val="6CEDC61C"/>
    <w:rsid w:val="6CF04D7B"/>
    <w:rsid w:val="6CFA20AC"/>
    <w:rsid w:val="6D0974BB"/>
    <w:rsid w:val="6D0EBDD7"/>
    <w:rsid w:val="6D0F0E88"/>
    <w:rsid w:val="6D12378B"/>
    <w:rsid w:val="6D15E8AC"/>
    <w:rsid w:val="6D1E659E"/>
    <w:rsid w:val="6D218E56"/>
    <w:rsid w:val="6D27DB28"/>
    <w:rsid w:val="6D2A955C"/>
    <w:rsid w:val="6D33A85D"/>
    <w:rsid w:val="6D427A26"/>
    <w:rsid w:val="6D429806"/>
    <w:rsid w:val="6D48F8DA"/>
    <w:rsid w:val="6D4FBEED"/>
    <w:rsid w:val="6D5465FA"/>
    <w:rsid w:val="6D551FB9"/>
    <w:rsid w:val="6D5F2589"/>
    <w:rsid w:val="6D64C77E"/>
    <w:rsid w:val="6D6805F4"/>
    <w:rsid w:val="6D6EF663"/>
    <w:rsid w:val="6D718CE0"/>
    <w:rsid w:val="6D72B737"/>
    <w:rsid w:val="6D7A4BC9"/>
    <w:rsid w:val="6D8CBBF0"/>
    <w:rsid w:val="6D8D15CE"/>
    <w:rsid w:val="6D8E0741"/>
    <w:rsid w:val="6D8F2691"/>
    <w:rsid w:val="6D927A86"/>
    <w:rsid w:val="6D943457"/>
    <w:rsid w:val="6D98181D"/>
    <w:rsid w:val="6DA44966"/>
    <w:rsid w:val="6DAB2C0B"/>
    <w:rsid w:val="6DAD2F56"/>
    <w:rsid w:val="6DAEA94B"/>
    <w:rsid w:val="6DB5098F"/>
    <w:rsid w:val="6DB76441"/>
    <w:rsid w:val="6DBAC2A0"/>
    <w:rsid w:val="6DBC0725"/>
    <w:rsid w:val="6DBD6403"/>
    <w:rsid w:val="6DC014F3"/>
    <w:rsid w:val="6DC3414D"/>
    <w:rsid w:val="6DC6604E"/>
    <w:rsid w:val="6DCEF122"/>
    <w:rsid w:val="6DD4A5CF"/>
    <w:rsid w:val="6DD531F4"/>
    <w:rsid w:val="6DEBF2D5"/>
    <w:rsid w:val="6DEDA0B5"/>
    <w:rsid w:val="6DF53144"/>
    <w:rsid w:val="6DFA2ED3"/>
    <w:rsid w:val="6DFE8CAD"/>
    <w:rsid w:val="6DFEB9DE"/>
    <w:rsid w:val="6E0EBD02"/>
    <w:rsid w:val="6E17A5D4"/>
    <w:rsid w:val="6E1A1FB9"/>
    <w:rsid w:val="6E201E42"/>
    <w:rsid w:val="6E2342BB"/>
    <w:rsid w:val="6E260D4B"/>
    <w:rsid w:val="6E27A40E"/>
    <w:rsid w:val="6E2CCE51"/>
    <w:rsid w:val="6E3272DB"/>
    <w:rsid w:val="6E35A773"/>
    <w:rsid w:val="6E35C19C"/>
    <w:rsid w:val="6E36D558"/>
    <w:rsid w:val="6E390CAC"/>
    <w:rsid w:val="6E397855"/>
    <w:rsid w:val="6E3F6BF4"/>
    <w:rsid w:val="6E3FD04C"/>
    <w:rsid w:val="6E40BF9B"/>
    <w:rsid w:val="6E436F11"/>
    <w:rsid w:val="6E459803"/>
    <w:rsid w:val="6E484259"/>
    <w:rsid w:val="6E4F921C"/>
    <w:rsid w:val="6E5127CE"/>
    <w:rsid w:val="6E576FAA"/>
    <w:rsid w:val="6E5EC4BD"/>
    <w:rsid w:val="6E5EF528"/>
    <w:rsid w:val="6E60D94C"/>
    <w:rsid w:val="6E640A73"/>
    <w:rsid w:val="6E64F198"/>
    <w:rsid w:val="6E6749D9"/>
    <w:rsid w:val="6E6D7209"/>
    <w:rsid w:val="6E750395"/>
    <w:rsid w:val="6E7E54D9"/>
    <w:rsid w:val="6E878F36"/>
    <w:rsid w:val="6E87F7E3"/>
    <w:rsid w:val="6E888D1E"/>
    <w:rsid w:val="6E888F49"/>
    <w:rsid w:val="6E8A866F"/>
    <w:rsid w:val="6E9016C2"/>
    <w:rsid w:val="6E954FBF"/>
    <w:rsid w:val="6E9A2A4D"/>
    <w:rsid w:val="6EA34BA1"/>
    <w:rsid w:val="6EAA5924"/>
    <w:rsid w:val="6EB0F4BF"/>
    <w:rsid w:val="6EB19044"/>
    <w:rsid w:val="6EB46487"/>
    <w:rsid w:val="6EB7FB56"/>
    <w:rsid w:val="6EBA115C"/>
    <w:rsid w:val="6EBAB9C0"/>
    <w:rsid w:val="6EBFAE1B"/>
    <w:rsid w:val="6EC6902F"/>
    <w:rsid w:val="6ED8206B"/>
    <w:rsid w:val="6ED9220B"/>
    <w:rsid w:val="6EE1D48D"/>
    <w:rsid w:val="6EE6DCA0"/>
    <w:rsid w:val="6EE73DAC"/>
    <w:rsid w:val="6EE85066"/>
    <w:rsid w:val="6EEE09AE"/>
    <w:rsid w:val="6EEE39AB"/>
    <w:rsid w:val="6EEE5250"/>
    <w:rsid w:val="6EEFF1A5"/>
    <w:rsid w:val="6EF338C1"/>
    <w:rsid w:val="6EF4B9D8"/>
    <w:rsid w:val="6F002F03"/>
    <w:rsid w:val="6F08B6BF"/>
    <w:rsid w:val="6F0BBCCC"/>
    <w:rsid w:val="6F0EC1F3"/>
    <w:rsid w:val="6F12010B"/>
    <w:rsid w:val="6F14D232"/>
    <w:rsid w:val="6F15B01D"/>
    <w:rsid w:val="6F1DDC96"/>
    <w:rsid w:val="6F245A7B"/>
    <w:rsid w:val="6F25E82A"/>
    <w:rsid w:val="6F26A4F5"/>
    <w:rsid w:val="6F2B2968"/>
    <w:rsid w:val="6F334E1E"/>
    <w:rsid w:val="6F39091F"/>
    <w:rsid w:val="6F3C9619"/>
    <w:rsid w:val="6F3D1361"/>
    <w:rsid w:val="6F3E028C"/>
    <w:rsid w:val="6F3FA950"/>
    <w:rsid w:val="6F403B55"/>
    <w:rsid w:val="6F41A2C4"/>
    <w:rsid w:val="6F434CF3"/>
    <w:rsid w:val="6F483145"/>
    <w:rsid w:val="6F4D2571"/>
    <w:rsid w:val="6F4EDDF2"/>
    <w:rsid w:val="6F5016D7"/>
    <w:rsid w:val="6F514592"/>
    <w:rsid w:val="6F5204B5"/>
    <w:rsid w:val="6F530C7C"/>
    <w:rsid w:val="6F536DBC"/>
    <w:rsid w:val="6F5B57FD"/>
    <w:rsid w:val="6F5D9CE9"/>
    <w:rsid w:val="6F63C45C"/>
    <w:rsid w:val="6F63F523"/>
    <w:rsid w:val="6F67ED8A"/>
    <w:rsid w:val="6F703BEE"/>
    <w:rsid w:val="6F7CD0AB"/>
    <w:rsid w:val="6F87BFEA"/>
    <w:rsid w:val="6F886217"/>
    <w:rsid w:val="6F8C326C"/>
    <w:rsid w:val="6F8FEC95"/>
    <w:rsid w:val="6F919900"/>
    <w:rsid w:val="6F929056"/>
    <w:rsid w:val="6F9D02B2"/>
    <w:rsid w:val="6F9E6BD3"/>
    <w:rsid w:val="6FA0221C"/>
    <w:rsid w:val="6FA48CAE"/>
    <w:rsid w:val="6FA7A0AB"/>
    <w:rsid w:val="6FAE5D5A"/>
    <w:rsid w:val="6FB56BEF"/>
    <w:rsid w:val="6FB5C526"/>
    <w:rsid w:val="6FB65CE5"/>
    <w:rsid w:val="6FBAAF42"/>
    <w:rsid w:val="6FC4048C"/>
    <w:rsid w:val="6FCC89BC"/>
    <w:rsid w:val="6FD32C3E"/>
    <w:rsid w:val="6FD5400C"/>
    <w:rsid w:val="6FDBF5CA"/>
    <w:rsid w:val="6FE04AAB"/>
    <w:rsid w:val="6FE09CBD"/>
    <w:rsid w:val="6FE2833E"/>
    <w:rsid w:val="6FE8B8FD"/>
    <w:rsid w:val="6FEAB3CB"/>
    <w:rsid w:val="6FEAD479"/>
    <w:rsid w:val="6FEBEBBC"/>
    <w:rsid w:val="6FF59EC5"/>
    <w:rsid w:val="6FF5E5C9"/>
    <w:rsid w:val="6FF6D37C"/>
    <w:rsid w:val="6FF80E08"/>
    <w:rsid w:val="6FF8E79B"/>
    <w:rsid w:val="70035DFE"/>
    <w:rsid w:val="700DD218"/>
    <w:rsid w:val="7010774E"/>
    <w:rsid w:val="7012DD20"/>
    <w:rsid w:val="7012EC4B"/>
    <w:rsid w:val="7012F507"/>
    <w:rsid w:val="701BA277"/>
    <w:rsid w:val="701CA7FA"/>
    <w:rsid w:val="702115B0"/>
    <w:rsid w:val="7022A883"/>
    <w:rsid w:val="7029412C"/>
    <w:rsid w:val="702FFD6B"/>
    <w:rsid w:val="703212F3"/>
    <w:rsid w:val="7033684A"/>
    <w:rsid w:val="703418B3"/>
    <w:rsid w:val="70366198"/>
    <w:rsid w:val="7036973D"/>
    <w:rsid w:val="70393CF0"/>
    <w:rsid w:val="703FB50E"/>
    <w:rsid w:val="704EA238"/>
    <w:rsid w:val="70573643"/>
    <w:rsid w:val="705C864B"/>
    <w:rsid w:val="705D098D"/>
    <w:rsid w:val="706B8105"/>
    <w:rsid w:val="706D64B3"/>
    <w:rsid w:val="7072E283"/>
    <w:rsid w:val="70731554"/>
    <w:rsid w:val="7074E961"/>
    <w:rsid w:val="707661BB"/>
    <w:rsid w:val="707BDEFC"/>
    <w:rsid w:val="707CBAAF"/>
    <w:rsid w:val="707EF8B1"/>
    <w:rsid w:val="707FEE89"/>
    <w:rsid w:val="7081A9B7"/>
    <w:rsid w:val="70854AE9"/>
    <w:rsid w:val="708B0EC1"/>
    <w:rsid w:val="708D45A6"/>
    <w:rsid w:val="7091060E"/>
    <w:rsid w:val="70935E71"/>
    <w:rsid w:val="70A50A51"/>
    <w:rsid w:val="70A8F56D"/>
    <w:rsid w:val="70A9B1D0"/>
    <w:rsid w:val="70AA82ED"/>
    <w:rsid w:val="70B487FC"/>
    <w:rsid w:val="70B69FB1"/>
    <w:rsid w:val="70BB6A2C"/>
    <w:rsid w:val="70BCB503"/>
    <w:rsid w:val="70BFEC02"/>
    <w:rsid w:val="70C1F207"/>
    <w:rsid w:val="70C3C51B"/>
    <w:rsid w:val="70D37E57"/>
    <w:rsid w:val="70DCFF27"/>
    <w:rsid w:val="70DEE7A3"/>
    <w:rsid w:val="70DF4F7D"/>
    <w:rsid w:val="70E2FBEC"/>
    <w:rsid w:val="70E60531"/>
    <w:rsid w:val="70E93027"/>
    <w:rsid w:val="70EA9FE0"/>
    <w:rsid w:val="70EFE56C"/>
    <w:rsid w:val="70F60C95"/>
    <w:rsid w:val="70F9CABC"/>
    <w:rsid w:val="7103E6C9"/>
    <w:rsid w:val="71093164"/>
    <w:rsid w:val="710F5892"/>
    <w:rsid w:val="7110FD42"/>
    <w:rsid w:val="711199DD"/>
    <w:rsid w:val="71148A70"/>
    <w:rsid w:val="7117573C"/>
    <w:rsid w:val="7125BE0B"/>
    <w:rsid w:val="71261078"/>
    <w:rsid w:val="7129125C"/>
    <w:rsid w:val="712CD66F"/>
    <w:rsid w:val="71313F2C"/>
    <w:rsid w:val="713229B1"/>
    <w:rsid w:val="7140C158"/>
    <w:rsid w:val="71441D59"/>
    <w:rsid w:val="7148B6E4"/>
    <w:rsid w:val="714FF9D9"/>
    <w:rsid w:val="715283F5"/>
    <w:rsid w:val="71541BD2"/>
    <w:rsid w:val="7155140B"/>
    <w:rsid w:val="7157FBFA"/>
    <w:rsid w:val="71645D79"/>
    <w:rsid w:val="716E8A66"/>
    <w:rsid w:val="71755E85"/>
    <w:rsid w:val="7175F3D2"/>
    <w:rsid w:val="717AFDCA"/>
    <w:rsid w:val="717D6955"/>
    <w:rsid w:val="7185A99E"/>
    <w:rsid w:val="718CDB34"/>
    <w:rsid w:val="7190669A"/>
    <w:rsid w:val="7195FFC8"/>
    <w:rsid w:val="71974A6D"/>
    <w:rsid w:val="71A1C667"/>
    <w:rsid w:val="71A4F18F"/>
    <w:rsid w:val="71A709A2"/>
    <w:rsid w:val="71A95D43"/>
    <w:rsid w:val="71AACB84"/>
    <w:rsid w:val="71AEDDF1"/>
    <w:rsid w:val="71B737AC"/>
    <w:rsid w:val="71B7A1A5"/>
    <w:rsid w:val="71BC2F77"/>
    <w:rsid w:val="71D5AD7F"/>
    <w:rsid w:val="71D6FC7E"/>
    <w:rsid w:val="71DAC4F6"/>
    <w:rsid w:val="71DD4A14"/>
    <w:rsid w:val="71E04911"/>
    <w:rsid w:val="71E6A9D4"/>
    <w:rsid w:val="71ECBA3F"/>
    <w:rsid w:val="71ED5EEF"/>
    <w:rsid w:val="71EF426C"/>
    <w:rsid w:val="71F28B22"/>
    <w:rsid w:val="71F2CDA3"/>
    <w:rsid w:val="71F48986"/>
    <w:rsid w:val="71FB974A"/>
    <w:rsid w:val="71FD9BDB"/>
    <w:rsid w:val="72010880"/>
    <w:rsid w:val="72017D63"/>
    <w:rsid w:val="7203533E"/>
    <w:rsid w:val="7222B33F"/>
    <w:rsid w:val="72234265"/>
    <w:rsid w:val="722CB83B"/>
    <w:rsid w:val="722DEE36"/>
    <w:rsid w:val="7230BCA2"/>
    <w:rsid w:val="72311DFA"/>
    <w:rsid w:val="72340A2F"/>
    <w:rsid w:val="7235318C"/>
    <w:rsid w:val="723C6551"/>
    <w:rsid w:val="72401D16"/>
    <w:rsid w:val="7245AB1C"/>
    <w:rsid w:val="724F3E85"/>
    <w:rsid w:val="724FAD8B"/>
    <w:rsid w:val="7252FA33"/>
    <w:rsid w:val="725B4485"/>
    <w:rsid w:val="725B5F12"/>
    <w:rsid w:val="725EB3BA"/>
    <w:rsid w:val="726086F1"/>
    <w:rsid w:val="7261B0DA"/>
    <w:rsid w:val="72627497"/>
    <w:rsid w:val="72635369"/>
    <w:rsid w:val="7265DEA8"/>
    <w:rsid w:val="72697C4D"/>
    <w:rsid w:val="726AC67E"/>
    <w:rsid w:val="726BE7B2"/>
    <w:rsid w:val="726C3567"/>
    <w:rsid w:val="726DF51D"/>
    <w:rsid w:val="726EBFD6"/>
    <w:rsid w:val="72705267"/>
    <w:rsid w:val="7270D5C4"/>
    <w:rsid w:val="72714B06"/>
    <w:rsid w:val="7278D49B"/>
    <w:rsid w:val="727B1D3C"/>
    <w:rsid w:val="72860822"/>
    <w:rsid w:val="7291AD59"/>
    <w:rsid w:val="729371D6"/>
    <w:rsid w:val="72A10254"/>
    <w:rsid w:val="72ACD50F"/>
    <w:rsid w:val="72AFA729"/>
    <w:rsid w:val="72B2B6E6"/>
    <w:rsid w:val="72BBA894"/>
    <w:rsid w:val="72BED5DC"/>
    <w:rsid w:val="72C09B7E"/>
    <w:rsid w:val="72C97B1E"/>
    <w:rsid w:val="72CA4855"/>
    <w:rsid w:val="72D44403"/>
    <w:rsid w:val="72DBC8B2"/>
    <w:rsid w:val="72DE61FA"/>
    <w:rsid w:val="72E3795B"/>
    <w:rsid w:val="72EBCA02"/>
    <w:rsid w:val="72EBFD8F"/>
    <w:rsid w:val="72EF2401"/>
    <w:rsid w:val="72F40A3C"/>
    <w:rsid w:val="72F5858B"/>
    <w:rsid w:val="72F594D2"/>
    <w:rsid w:val="72F70735"/>
    <w:rsid w:val="72F9CCE3"/>
    <w:rsid w:val="72FCA61A"/>
    <w:rsid w:val="7302DAE0"/>
    <w:rsid w:val="730380DA"/>
    <w:rsid w:val="7304F662"/>
    <w:rsid w:val="7305A819"/>
    <w:rsid w:val="7305FC5E"/>
    <w:rsid w:val="730B5F7C"/>
    <w:rsid w:val="73181B25"/>
    <w:rsid w:val="7318A462"/>
    <w:rsid w:val="731A4382"/>
    <w:rsid w:val="731FA281"/>
    <w:rsid w:val="732059BF"/>
    <w:rsid w:val="73286992"/>
    <w:rsid w:val="7328AD28"/>
    <w:rsid w:val="732EA456"/>
    <w:rsid w:val="732F4FF0"/>
    <w:rsid w:val="7335B91F"/>
    <w:rsid w:val="7335F69E"/>
    <w:rsid w:val="733AB3EB"/>
    <w:rsid w:val="7345E28B"/>
    <w:rsid w:val="734EF09D"/>
    <w:rsid w:val="735A8E9E"/>
    <w:rsid w:val="735C4A6B"/>
    <w:rsid w:val="7363607C"/>
    <w:rsid w:val="73688274"/>
    <w:rsid w:val="736ED222"/>
    <w:rsid w:val="736F3B7B"/>
    <w:rsid w:val="73745AB2"/>
    <w:rsid w:val="73797F1C"/>
    <w:rsid w:val="7381A889"/>
    <w:rsid w:val="7384E12C"/>
    <w:rsid w:val="738A42FE"/>
    <w:rsid w:val="7392D571"/>
    <w:rsid w:val="73A3222F"/>
    <w:rsid w:val="73A3D9C7"/>
    <w:rsid w:val="73AB1824"/>
    <w:rsid w:val="73AF9B40"/>
    <w:rsid w:val="73B9377D"/>
    <w:rsid w:val="73BA64D9"/>
    <w:rsid w:val="73BF5D73"/>
    <w:rsid w:val="73C0D8D5"/>
    <w:rsid w:val="73C405B1"/>
    <w:rsid w:val="73C64388"/>
    <w:rsid w:val="73CD3B65"/>
    <w:rsid w:val="73D2D507"/>
    <w:rsid w:val="73DD987B"/>
    <w:rsid w:val="73E0F970"/>
    <w:rsid w:val="73E9CC51"/>
    <w:rsid w:val="73F35E13"/>
    <w:rsid w:val="73F6C810"/>
    <w:rsid w:val="73FCF22F"/>
    <w:rsid w:val="73FD4886"/>
    <w:rsid w:val="73FD4E86"/>
    <w:rsid w:val="73FF0167"/>
    <w:rsid w:val="73FFA5BE"/>
    <w:rsid w:val="7407C51A"/>
    <w:rsid w:val="7409560B"/>
    <w:rsid w:val="740B5352"/>
    <w:rsid w:val="740C0768"/>
    <w:rsid w:val="7411A5AF"/>
    <w:rsid w:val="74121A33"/>
    <w:rsid w:val="7418E3EE"/>
    <w:rsid w:val="742768ED"/>
    <w:rsid w:val="743460D6"/>
    <w:rsid w:val="74353829"/>
    <w:rsid w:val="743C2358"/>
    <w:rsid w:val="7442E432"/>
    <w:rsid w:val="7445FB98"/>
    <w:rsid w:val="7449B7F0"/>
    <w:rsid w:val="744A028B"/>
    <w:rsid w:val="744DDE43"/>
    <w:rsid w:val="744FEBCD"/>
    <w:rsid w:val="74567317"/>
    <w:rsid w:val="7462C849"/>
    <w:rsid w:val="7465606B"/>
    <w:rsid w:val="746F3180"/>
    <w:rsid w:val="74700F9C"/>
    <w:rsid w:val="747386B4"/>
    <w:rsid w:val="7479492C"/>
    <w:rsid w:val="747C5E44"/>
    <w:rsid w:val="74900B39"/>
    <w:rsid w:val="74918513"/>
    <w:rsid w:val="7494E2BC"/>
    <w:rsid w:val="7495B5AF"/>
    <w:rsid w:val="7499B88F"/>
    <w:rsid w:val="7499E21B"/>
    <w:rsid w:val="74A2A2CB"/>
    <w:rsid w:val="74A52CD2"/>
    <w:rsid w:val="74A5C66E"/>
    <w:rsid w:val="74ABCD2E"/>
    <w:rsid w:val="74AC932A"/>
    <w:rsid w:val="74AF03F5"/>
    <w:rsid w:val="74B083A2"/>
    <w:rsid w:val="74B0D35F"/>
    <w:rsid w:val="74B73E60"/>
    <w:rsid w:val="74BAF761"/>
    <w:rsid w:val="74C6425D"/>
    <w:rsid w:val="74D86DA3"/>
    <w:rsid w:val="74E63359"/>
    <w:rsid w:val="74EE1931"/>
    <w:rsid w:val="74F01292"/>
    <w:rsid w:val="74F1208C"/>
    <w:rsid w:val="74FE7AC1"/>
    <w:rsid w:val="7504A2CC"/>
    <w:rsid w:val="751103C9"/>
    <w:rsid w:val="75153839"/>
    <w:rsid w:val="75171129"/>
    <w:rsid w:val="75198928"/>
    <w:rsid w:val="751C93EA"/>
    <w:rsid w:val="751E80A0"/>
    <w:rsid w:val="751F259C"/>
    <w:rsid w:val="7521F7F9"/>
    <w:rsid w:val="752352C5"/>
    <w:rsid w:val="752C248E"/>
    <w:rsid w:val="7531E782"/>
    <w:rsid w:val="753243B6"/>
    <w:rsid w:val="75377C4C"/>
    <w:rsid w:val="7538BC18"/>
    <w:rsid w:val="753AA7C2"/>
    <w:rsid w:val="75409B86"/>
    <w:rsid w:val="754A34E6"/>
    <w:rsid w:val="754C67DE"/>
    <w:rsid w:val="754E3599"/>
    <w:rsid w:val="754F405F"/>
    <w:rsid w:val="75535600"/>
    <w:rsid w:val="755AABC1"/>
    <w:rsid w:val="755FA8D3"/>
    <w:rsid w:val="7560FA35"/>
    <w:rsid w:val="7563827C"/>
    <w:rsid w:val="756DB6EA"/>
    <w:rsid w:val="7571D4B4"/>
    <w:rsid w:val="7572CE0B"/>
    <w:rsid w:val="75854C48"/>
    <w:rsid w:val="7587F2DC"/>
    <w:rsid w:val="7588E203"/>
    <w:rsid w:val="758F6CB2"/>
    <w:rsid w:val="7592A7B2"/>
    <w:rsid w:val="75945199"/>
    <w:rsid w:val="759540FC"/>
    <w:rsid w:val="7597903B"/>
    <w:rsid w:val="75A1BD5C"/>
    <w:rsid w:val="75A3B207"/>
    <w:rsid w:val="75A44CA0"/>
    <w:rsid w:val="75A5CDE6"/>
    <w:rsid w:val="75A811BB"/>
    <w:rsid w:val="75AE3657"/>
    <w:rsid w:val="75AEB6C1"/>
    <w:rsid w:val="75B29566"/>
    <w:rsid w:val="75B722F5"/>
    <w:rsid w:val="75B90B6A"/>
    <w:rsid w:val="75BB18E8"/>
    <w:rsid w:val="75C32470"/>
    <w:rsid w:val="75D0760C"/>
    <w:rsid w:val="75D13D75"/>
    <w:rsid w:val="75E743F6"/>
    <w:rsid w:val="75F443FA"/>
    <w:rsid w:val="76010B70"/>
    <w:rsid w:val="7604C6EA"/>
    <w:rsid w:val="76060187"/>
    <w:rsid w:val="7606F10D"/>
    <w:rsid w:val="7616F389"/>
    <w:rsid w:val="761C3783"/>
    <w:rsid w:val="761D90D1"/>
    <w:rsid w:val="761DDA9C"/>
    <w:rsid w:val="762022A6"/>
    <w:rsid w:val="7626010B"/>
    <w:rsid w:val="76269A88"/>
    <w:rsid w:val="762B986D"/>
    <w:rsid w:val="762EF48E"/>
    <w:rsid w:val="7630A8B5"/>
    <w:rsid w:val="76312B69"/>
    <w:rsid w:val="76313315"/>
    <w:rsid w:val="7631C18A"/>
    <w:rsid w:val="7632716B"/>
    <w:rsid w:val="76328EAF"/>
    <w:rsid w:val="76380EED"/>
    <w:rsid w:val="7638A427"/>
    <w:rsid w:val="7638AFE7"/>
    <w:rsid w:val="7638FA2D"/>
    <w:rsid w:val="763AAE11"/>
    <w:rsid w:val="763BC5B9"/>
    <w:rsid w:val="76440460"/>
    <w:rsid w:val="7644566C"/>
    <w:rsid w:val="764653FB"/>
    <w:rsid w:val="76472453"/>
    <w:rsid w:val="7648C64A"/>
    <w:rsid w:val="764A4AB9"/>
    <w:rsid w:val="764CC723"/>
    <w:rsid w:val="764E33D3"/>
    <w:rsid w:val="7653F944"/>
    <w:rsid w:val="765680C9"/>
    <w:rsid w:val="7657FE53"/>
    <w:rsid w:val="765B0E50"/>
    <w:rsid w:val="765F1F67"/>
    <w:rsid w:val="76607F63"/>
    <w:rsid w:val="766B760C"/>
    <w:rsid w:val="766BFBFA"/>
    <w:rsid w:val="766CA5E1"/>
    <w:rsid w:val="766FE307"/>
    <w:rsid w:val="767645E4"/>
    <w:rsid w:val="768137AD"/>
    <w:rsid w:val="76854FE6"/>
    <w:rsid w:val="76860805"/>
    <w:rsid w:val="768AD85C"/>
    <w:rsid w:val="76914544"/>
    <w:rsid w:val="76947591"/>
    <w:rsid w:val="769B7F95"/>
    <w:rsid w:val="76A3CE9A"/>
    <w:rsid w:val="76A9839E"/>
    <w:rsid w:val="76AD24BF"/>
    <w:rsid w:val="76B085CB"/>
    <w:rsid w:val="76BFA44D"/>
    <w:rsid w:val="76D16162"/>
    <w:rsid w:val="76D29459"/>
    <w:rsid w:val="76D630D5"/>
    <w:rsid w:val="76D95A1B"/>
    <w:rsid w:val="76F34A74"/>
    <w:rsid w:val="7702848C"/>
    <w:rsid w:val="7707E64F"/>
    <w:rsid w:val="77092E23"/>
    <w:rsid w:val="770A2701"/>
    <w:rsid w:val="771116F6"/>
    <w:rsid w:val="7715809D"/>
    <w:rsid w:val="77179AF4"/>
    <w:rsid w:val="77212CAD"/>
    <w:rsid w:val="772D4D80"/>
    <w:rsid w:val="773BE572"/>
    <w:rsid w:val="77412A44"/>
    <w:rsid w:val="774E0BB8"/>
    <w:rsid w:val="77514DCB"/>
    <w:rsid w:val="7751553E"/>
    <w:rsid w:val="7753A1C5"/>
    <w:rsid w:val="7754C861"/>
    <w:rsid w:val="7757187A"/>
    <w:rsid w:val="77571C9B"/>
    <w:rsid w:val="775CE323"/>
    <w:rsid w:val="775F3523"/>
    <w:rsid w:val="775F36AB"/>
    <w:rsid w:val="77679BB1"/>
    <w:rsid w:val="776E2EB3"/>
    <w:rsid w:val="77752A91"/>
    <w:rsid w:val="7777DB18"/>
    <w:rsid w:val="77799598"/>
    <w:rsid w:val="7779EEA0"/>
    <w:rsid w:val="777DE6EE"/>
    <w:rsid w:val="77804416"/>
    <w:rsid w:val="7783D775"/>
    <w:rsid w:val="77846724"/>
    <w:rsid w:val="77862C8F"/>
    <w:rsid w:val="7787502D"/>
    <w:rsid w:val="7795ACE8"/>
    <w:rsid w:val="7797F5FF"/>
    <w:rsid w:val="779E2C48"/>
    <w:rsid w:val="77A36EA8"/>
    <w:rsid w:val="77A545E8"/>
    <w:rsid w:val="77A57BDF"/>
    <w:rsid w:val="77AF9173"/>
    <w:rsid w:val="77B11D6F"/>
    <w:rsid w:val="77B52996"/>
    <w:rsid w:val="77B8D782"/>
    <w:rsid w:val="77C2640D"/>
    <w:rsid w:val="77C670D8"/>
    <w:rsid w:val="77C87672"/>
    <w:rsid w:val="77CA2E5A"/>
    <w:rsid w:val="77CD2346"/>
    <w:rsid w:val="77CFC99A"/>
    <w:rsid w:val="77D14A7C"/>
    <w:rsid w:val="77D27BDF"/>
    <w:rsid w:val="77DC8F6B"/>
    <w:rsid w:val="77F1C446"/>
    <w:rsid w:val="77F353FE"/>
    <w:rsid w:val="77F6CA18"/>
    <w:rsid w:val="78082DBC"/>
    <w:rsid w:val="7810D4DD"/>
    <w:rsid w:val="7815F771"/>
    <w:rsid w:val="7817DBDF"/>
    <w:rsid w:val="781EDA46"/>
    <w:rsid w:val="7821BCC3"/>
    <w:rsid w:val="782D15A5"/>
    <w:rsid w:val="7833D534"/>
    <w:rsid w:val="78361331"/>
    <w:rsid w:val="783D2720"/>
    <w:rsid w:val="783ED19D"/>
    <w:rsid w:val="78410815"/>
    <w:rsid w:val="78446627"/>
    <w:rsid w:val="784B2BEF"/>
    <w:rsid w:val="78551A4C"/>
    <w:rsid w:val="785F0ED0"/>
    <w:rsid w:val="7866A49A"/>
    <w:rsid w:val="786CEC62"/>
    <w:rsid w:val="786F63A5"/>
    <w:rsid w:val="78717E3B"/>
    <w:rsid w:val="788546C9"/>
    <w:rsid w:val="78879D2C"/>
    <w:rsid w:val="788C210F"/>
    <w:rsid w:val="7890288D"/>
    <w:rsid w:val="7890B125"/>
    <w:rsid w:val="78A0C102"/>
    <w:rsid w:val="78A2212A"/>
    <w:rsid w:val="78AB9322"/>
    <w:rsid w:val="78ABBC3B"/>
    <w:rsid w:val="78ABFC03"/>
    <w:rsid w:val="78AF83D7"/>
    <w:rsid w:val="78B286D3"/>
    <w:rsid w:val="78B46A87"/>
    <w:rsid w:val="78B73AF7"/>
    <w:rsid w:val="78BD199B"/>
    <w:rsid w:val="78E3F821"/>
    <w:rsid w:val="78E4A447"/>
    <w:rsid w:val="78F246A2"/>
    <w:rsid w:val="78F404EE"/>
    <w:rsid w:val="78FF4B79"/>
    <w:rsid w:val="790D5B8B"/>
    <w:rsid w:val="790DA079"/>
    <w:rsid w:val="7912ABB6"/>
    <w:rsid w:val="791459C2"/>
    <w:rsid w:val="79205DD5"/>
    <w:rsid w:val="79217031"/>
    <w:rsid w:val="79266075"/>
    <w:rsid w:val="792ABEB0"/>
    <w:rsid w:val="792E9464"/>
    <w:rsid w:val="79351F16"/>
    <w:rsid w:val="7936D5D8"/>
    <w:rsid w:val="7937D61C"/>
    <w:rsid w:val="793AC97D"/>
    <w:rsid w:val="793CC14B"/>
    <w:rsid w:val="793DCC5A"/>
    <w:rsid w:val="793DD342"/>
    <w:rsid w:val="7942E043"/>
    <w:rsid w:val="794FED35"/>
    <w:rsid w:val="7957CC69"/>
    <w:rsid w:val="7960A176"/>
    <w:rsid w:val="7961D2B2"/>
    <w:rsid w:val="79718F1D"/>
    <w:rsid w:val="79746902"/>
    <w:rsid w:val="7975DE23"/>
    <w:rsid w:val="797A14AC"/>
    <w:rsid w:val="797A8FCB"/>
    <w:rsid w:val="797B1472"/>
    <w:rsid w:val="797BFD75"/>
    <w:rsid w:val="79815262"/>
    <w:rsid w:val="798702DF"/>
    <w:rsid w:val="79890512"/>
    <w:rsid w:val="7999B143"/>
    <w:rsid w:val="79A04874"/>
    <w:rsid w:val="79AB6DF1"/>
    <w:rsid w:val="79AEC408"/>
    <w:rsid w:val="79BCAD0A"/>
    <w:rsid w:val="79BFE86C"/>
    <w:rsid w:val="79C4FDFE"/>
    <w:rsid w:val="79C7ABB8"/>
    <w:rsid w:val="79CF5583"/>
    <w:rsid w:val="79D10AE7"/>
    <w:rsid w:val="79D1B669"/>
    <w:rsid w:val="79D78985"/>
    <w:rsid w:val="79D962C0"/>
    <w:rsid w:val="79EC2117"/>
    <w:rsid w:val="79EC99AA"/>
    <w:rsid w:val="79EF6C75"/>
    <w:rsid w:val="79F38403"/>
    <w:rsid w:val="79FA624F"/>
    <w:rsid w:val="79FD0FE4"/>
    <w:rsid w:val="79FEDF69"/>
    <w:rsid w:val="7A00922D"/>
    <w:rsid w:val="7A024CA5"/>
    <w:rsid w:val="7A046EAF"/>
    <w:rsid w:val="7A083F28"/>
    <w:rsid w:val="7A084C3C"/>
    <w:rsid w:val="7A0CA2A7"/>
    <w:rsid w:val="7A0D1A2C"/>
    <w:rsid w:val="7A0E856D"/>
    <w:rsid w:val="7A123CE5"/>
    <w:rsid w:val="7A1553D4"/>
    <w:rsid w:val="7A1D40FC"/>
    <w:rsid w:val="7A21A6BC"/>
    <w:rsid w:val="7A22E13F"/>
    <w:rsid w:val="7A285A16"/>
    <w:rsid w:val="7A3D9804"/>
    <w:rsid w:val="7A3DBBB1"/>
    <w:rsid w:val="7A40B64D"/>
    <w:rsid w:val="7A4858FF"/>
    <w:rsid w:val="7A48CBBB"/>
    <w:rsid w:val="7A4F59B2"/>
    <w:rsid w:val="7A4FB648"/>
    <w:rsid w:val="7A581780"/>
    <w:rsid w:val="7A5B4725"/>
    <w:rsid w:val="7A5CA9FA"/>
    <w:rsid w:val="7A5DCF76"/>
    <w:rsid w:val="7A63E57C"/>
    <w:rsid w:val="7A657334"/>
    <w:rsid w:val="7A6D4010"/>
    <w:rsid w:val="7A6FDF56"/>
    <w:rsid w:val="7A742BE7"/>
    <w:rsid w:val="7A77D67D"/>
    <w:rsid w:val="7A843156"/>
    <w:rsid w:val="7A8B4F69"/>
    <w:rsid w:val="7A91E78B"/>
    <w:rsid w:val="7AA20052"/>
    <w:rsid w:val="7AA66E4D"/>
    <w:rsid w:val="7AB12EE0"/>
    <w:rsid w:val="7AB20330"/>
    <w:rsid w:val="7AB98BD1"/>
    <w:rsid w:val="7ABEB04D"/>
    <w:rsid w:val="7AC69247"/>
    <w:rsid w:val="7AC99F60"/>
    <w:rsid w:val="7AD474F7"/>
    <w:rsid w:val="7ADACE8B"/>
    <w:rsid w:val="7ADDF4B4"/>
    <w:rsid w:val="7AE2AD1D"/>
    <w:rsid w:val="7AE715FF"/>
    <w:rsid w:val="7AE8DAD7"/>
    <w:rsid w:val="7AEC3FC3"/>
    <w:rsid w:val="7AEC91FF"/>
    <w:rsid w:val="7AEFFE7B"/>
    <w:rsid w:val="7AF57463"/>
    <w:rsid w:val="7AF6574A"/>
    <w:rsid w:val="7AF7758E"/>
    <w:rsid w:val="7AFFF52D"/>
    <w:rsid w:val="7B02F3C2"/>
    <w:rsid w:val="7B081EA2"/>
    <w:rsid w:val="7B0A1481"/>
    <w:rsid w:val="7B21ECBE"/>
    <w:rsid w:val="7B23D929"/>
    <w:rsid w:val="7B266F5A"/>
    <w:rsid w:val="7B29A4A5"/>
    <w:rsid w:val="7B2C1208"/>
    <w:rsid w:val="7B31C04C"/>
    <w:rsid w:val="7B33ECAC"/>
    <w:rsid w:val="7B3E23B1"/>
    <w:rsid w:val="7B3F562D"/>
    <w:rsid w:val="7B42FC16"/>
    <w:rsid w:val="7B45C01F"/>
    <w:rsid w:val="7B46039D"/>
    <w:rsid w:val="7B47CE5D"/>
    <w:rsid w:val="7B4AB074"/>
    <w:rsid w:val="7B58D34D"/>
    <w:rsid w:val="7B5C42E2"/>
    <w:rsid w:val="7B5CCF51"/>
    <w:rsid w:val="7B5EE4A6"/>
    <w:rsid w:val="7B5FC7F4"/>
    <w:rsid w:val="7B64B667"/>
    <w:rsid w:val="7B6835D4"/>
    <w:rsid w:val="7B717F3A"/>
    <w:rsid w:val="7B7443AD"/>
    <w:rsid w:val="7B842DEA"/>
    <w:rsid w:val="7B85DEF9"/>
    <w:rsid w:val="7B88ACCF"/>
    <w:rsid w:val="7B890A2B"/>
    <w:rsid w:val="7B930D07"/>
    <w:rsid w:val="7B938F03"/>
    <w:rsid w:val="7BAA553C"/>
    <w:rsid w:val="7BAADF0E"/>
    <w:rsid w:val="7BAF5CF3"/>
    <w:rsid w:val="7BB7E843"/>
    <w:rsid w:val="7BBD7A12"/>
    <w:rsid w:val="7BCF1E58"/>
    <w:rsid w:val="7BE4B066"/>
    <w:rsid w:val="7BF156B2"/>
    <w:rsid w:val="7BF7A2CE"/>
    <w:rsid w:val="7BFBE568"/>
    <w:rsid w:val="7BFF8394"/>
    <w:rsid w:val="7C0864DC"/>
    <w:rsid w:val="7C0CED0C"/>
    <w:rsid w:val="7C0FDD45"/>
    <w:rsid w:val="7C1128E9"/>
    <w:rsid w:val="7C1E351B"/>
    <w:rsid w:val="7C20EDF9"/>
    <w:rsid w:val="7C217E23"/>
    <w:rsid w:val="7C26B4A9"/>
    <w:rsid w:val="7C3C4CC9"/>
    <w:rsid w:val="7C3F9EBA"/>
    <w:rsid w:val="7C40748F"/>
    <w:rsid w:val="7C431934"/>
    <w:rsid w:val="7C45B4A6"/>
    <w:rsid w:val="7C468A06"/>
    <w:rsid w:val="7C52E1CC"/>
    <w:rsid w:val="7C53EA2D"/>
    <w:rsid w:val="7C57EF13"/>
    <w:rsid w:val="7C59397A"/>
    <w:rsid w:val="7C6B880F"/>
    <w:rsid w:val="7C846F14"/>
    <w:rsid w:val="7C99522D"/>
    <w:rsid w:val="7C9C4845"/>
    <w:rsid w:val="7C9FD64D"/>
    <w:rsid w:val="7CA0597E"/>
    <w:rsid w:val="7CA57E30"/>
    <w:rsid w:val="7CAA3B3D"/>
    <w:rsid w:val="7CB07B5A"/>
    <w:rsid w:val="7CB216BF"/>
    <w:rsid w:val="7CB2A69D"/>
    <w:rsid w:val="7CB58694"/>
    <w:rsid w:val="7CB75B95"/>
    <w:rsid w:val="7CB98ADB"/>
    <w:rsid w:val="7CBD4608"/>
    <w:rsid w:val="7CBFA7C8"/>
    <w:rsid w:val="7CC0C3F7"/>
    <w:rsid w:val="7CCC29F2"/>
    <w:rsid w:val="7CD54FBF"/>
    <w:rsid w:val="7CD77F7B"/>
    <w:rsid w:val="7CDA7661"/>
    <w:rsid w:val="7CDC2E90"/>
    <w:rsid w:val="7CDD979A"/>
    <w:rsid w:val="7CDEDE29"/>
    <w:rsid w:val="7CDF4020"/>
    <w:rsid w:val="7CE41C8B"/>
    <w:rsid w:val="7CE532DE"/>
    <w:rsid w:val="7CED2CFA"/>
    <w:rsid w:val="7CFCEBAB"/>
    <w:rsid w:val="7D040B0D"/>
    <w:rsid w:val="7D0B73E3"/>
    <w:rsid w:val="7D14F39A"/>
    <w:rsid w:val="7D16E140"/>
    <w:rsid w:val="7D186D07"/>
    <w:rsid w:val="7D1B665E"/>
    <w:rsid w:val="7D1BE287"/>
    <w:rsid w:val="7D1BE4CC"/>
    <w:rsid w:val="7D1CC439"/>
    <w:rsid w:val="7D1ECB55"/>
    <w:rsid w:val="7D26AD32"/>
    <w:rsid w:val="7D2D0956"/>
    <w:rsid w:val="7D2F9087"/>
    <w:rsid w:val="7D33C13A"/>
    <w:rsid w:val="7D356347"/>
    <w:rsid w:val="7D356E4F"/>
    <w:rsid w:val="7D37CBA7"/>
    <w:rsid w:val="7D3C50BF"/>
    <w:rsid w:val="7D413FB8"/>
    <w:rsid w:val="7D42256C"/>
    <w:rsid w:val="7D446DD3"/>
    <w:rsid w:val="7D4569C3"/>
    <w:rsid w:val="7D4B7874"/>
    <w:rsid w:val="7D4DF820"/>
    <w:rsid w:val="7D4ECD3F"/>
    <w:rsid w:val="7D503757"/>
    <w:rsid w:val="7D6039AB"/>
    <w:rsid w:val="7D61E0BB"/>
    <w:rsid w:val="7D6CC23F"/>
    <w:rsid w:val="7D7124D6"/>
    <w:rsid w:val="7D72814E"/>
    <w:rsid w:val="7D74C5E9"/>
    <w:rsid w:val="7D7ECA96"/>
    <w:rsid w:val="7D7FCCBA"/>
    <w:rsid w:val="7D94B656"/>
    <w:rsid w:val="7D9EF17B"/>
    <w:rsid w:val="7DA72A6D"/>
    <w:rsid w:val="7DA8073D"/>
    <w:rsid w:val="7DA94CCA"/>
    <w:rsid w:val="7DB69DD7"/>
    <w:rsid w:val="7DBB65D0"/>
    <w:rsid w:val="7DBDB444"/>
    <w:rsid w:val="7DBF5FAE"/>
    <w:rsid w:val="7DC5CED1"/>
    <w:rsid w:val="7DCA7C86"/>
    <w:rsid w:val="7DCFC4DE"/>
    <w:rsid w:val="7DDA6B4B"/>
    <w:rsid w:val="7DDA8BAB"/>
    <w:rsid w:val="7DEAFD88"/>
    <w:rsid w:val="7DED276F"/>
    <w:rsid w:val="7DEE09C3"/>
    <w:rsid w:val="7DEFDCFA"/>
    <w:rsid w:val="7DF5923D"/>
    <w:rsid w:val="7DF5E152"/>
    <w:rsid w:val="7DFA80D5"/>
    <w:rsid w:val="7DFD5F6B"/>
    <w:rsid w:val="7E021F35"/>
    <w:rsid w:val="7E03DA89"/>
    <w:rsid w:val="7E0469FB"/>
    <w:rsid w:val="7E06613F"/>
    <w:rsid w:val="7E1441DF"/>
    <w:rsid w:val="7E14BBCD"/>
    <w:rsid w:val="7E14BC9F"/>
    <w:rsid w:val="7E15EAAA"/>
    <w:rsid w:val="7E1B293E"/>
    <w:rsid w:val="7E1CA47B"/>
    <w:rsid w:val="7E1D71E7"/>
    <w:rsid w:val="7E216BB0"/>
    <w:rsid w:val="7E23EF68"/>
    <w:rsid w:val="7E2A3991"/>
    <w:rsid w:val="7E35ECA2"/>
    <w:rsid w:val="7E3EF082"/>
    <w:rsid w:val="7E3F1E73"/>
    <w:rsid w:val="7E46EEE9"/>
    <w:rsid w:val="7E4A1F2D"/>
    <w:rsid w:val="7E531E45"/>
    <w:rsid w:val="7E55EB80"/>
    <w:rsid w:val="7E5B9A86"/>
    <w:rsid w:val="7E5CDDE1"/>
    <w:rsid w:val="7E5D3A4F"/>
    <w:rsid w:val="7E659246"/>
    <w:rsid w:val="7E71CB32"/>
    <w:rsid w:val="7E7E0E77"/>
    <w:rsid w:val="7E7FDD89"/>
    <w:rsid w:val="7E853398"/>
    <w:rsid w:val="7E8AA9D1"/>
    <w:rsid w:val="7E8EBCD1"/>
    <w:rsid w:val="7E938FD1"/>
    <w:rsid w:val="7E945060"/>
    <w:rsid w:val="7E9772C5"/>
    <w:rsid w:val="7E979B9E"/>
    <w:rsid w:val="7EA0FAF1"/>
    <w:rsid w:val="7EA34C73"/>
    <w:rsid w:val="7EA3C632"/>
    <w:rsid w:val="7EA54209"/>
    <w:rsid w:val="7EAE51B1"/>
    <w:rsid w:val="7EAFB3B3"/>
    <w:rsid w:val="7EB18405"/>
    <w:rsid w:val="7EB7BEB7"/>
    <w:rsid w:val="7EB95974"/>
    <w:rsid w:val="7EBFAD24"/>
    <w:rsid w:val="7ECF0F34"/>
    <w:rsid w:val="7ED01BB3"/>
    <w:rsid w:val="7ED0A7AB"/>
    <w:rsid w:val="7ED6C7D9"/>
    <w:rsid w:val="7EDA5113"/>
    <w:rsid w:val="7EDC8CD8"/>
    <w:rsid w:val="7EE42FC5"/>
    <w:rsid w:val="7EE6FEA5"/>
    <w:rsid w:val="7EEB678C"/>
    <w:rsid w:val="7EF4FA86"/>
    <w:rsid w:val="7EF6E49D"/>
    <w:rsid w:val="7EF9002C"/>
    <w:rsid w:val="7EF95DB0"/>
    <w:rsid w:val="7EFAB16A"/>
    <w:rsid w:val="7EFBE250"/>
    <w:rsid w:val="7F01CC7C"/>
    <w:rsid w:val="7F021509"/>
    <w:rsid w:val="7F0824D9"/>
    <w:rsid w:val="7F0AC916"/>
    <w:rsid w:val="7F0DDEA0"/>
    <w:rsid w:val="7F1116B7"/>
    <w:rsid w:val="7F1D8023"/>
    <w:rsid w:val="7F20D207"/>
    <w:rsid w:val="7F25A231"/>
    <w:rsid w:val="7F27245F"/>
    <w:rsid w:val="7F3106A7"/>
    <w:rsid w:val="7F3137E6"/>
    <w:rsid w:val="7F385F6E"/>
    <w:rsid w:val="7F390DE3"/>
    <w:rsid w:val="7F3E0B9A"/>
    <w:rsid w:val="7F45301C"/>
    <w:rsid w:val="7F4A51C6"/>
    <w:rsid w:val="7F5804D8"/>
    <w:rsid w:val="7F582F59"/>
    <w:rsid w:val="7F5A0EB4"/>
    <w:rsid w:val="7F5CDFA5"/>
    <w:rsid w:val="7F5EC624"/>
    <w:rsid w:val="7F615A2F"/>
    <w:rsid w:val="7F687B79"/>
    <w:rsid w:val="7F69CA53"/>
    <w:rsid w:val="7F6F17EA"/>
    <w:rsid w:val="7F7E283D"/>
    <w:rsid w:val="7F7E2DFB"/>
    <w:rsid w:val="7F7FA9A2"/>
    <w:rsid w:val="7F88615B"/>
    <w:rsid w:val="7F8DEE47"/>
    <w:rsid w:val="7F983101"/>
    <w:rsid w:val="7F9B05D1"/>
    <w:rsid w:val="7F9CB2E1"/>
    <w:rsid w:val="7FA220A8"/>
    <w:rsid w:val="7FAE6D8C"/>
    <w:rsid w:val="7FAFEE8F"/>
    <w:rsid w:val="7FB00166"/>
    <w:rsid w:val="7FB13A36"/>
    <w:rsid w:val="7FB17535"/>
    <w:rsid w:val="7FCD12C0"/>
    <w:rsid w:val="7FCF1DFA"/>
    <w:rsid w:val="7FD04C7A"/>
    <w:rsid w:val="7FD72BA1"/>
    <w:rsid w:val="7FDA5024"/>
    <w:rsid w:val="7FE59940"/>
    <w:rsid w:val="7FEA4F0F"/>
    <w:rsid w:val="7FF12CFF"/>
    <w:rsid w:val="7FF15A7C"/>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1E2F8334-C95B-46E0-8129-0936DC9E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4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87"/>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55077E"/>
    <w:pPr>
      <w:tabs>
        <w:tab w:val="left" w:pos="360"/>
        <w:tab w:val="left" w:pos="720"/>
        <w:tab w:val="left" w:pos="1080"/>
        <w:tab w:val="left" w:pos="1440"/>
        <w:tab w:val="left" w:pos="1800"/>
        <w:tab w:val="left" w:pos="2160"/>
        <w:tab w:val="left" w:pos="2520"/>
        <w:tab w:val="left" w:pos="2880"/>
      </w:tabs>
      <w:ind w:right="3600"/>
      <w:outlineLvl w:val="0"/>
    </w:pPr>
    <w:rPr>
      <w:b/>
      <w:bCs/>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55077E"/>
    <w:pPr>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5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4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49"/>
    <w:rsid w:val="004A5568"/>
    <w:rPr>
      <w:rFonts w:asciiTheme="minorHAnsi" w:eastAsiaTheme="minorEastAsia" w:hAnsiTheme="minorHAnsi" w:cstheme="minorBidi"/>
      <w:sz w:val="18"/>
      <w:szCs w:val="22"/>
    </w:rPr>
  </w:style>
  <w:style w:type="character" w:styleId="FootnoteReference">
    <w:name w:val="footnote reference"/>
    <w:uiPriority w:val="4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numbering" w:customStyle="1" w:styleId="TableBulletList">
    <w:name w:val="Table Bullet List"/>
    <w:uiPriority w:val="99"/>
    <w:rsid w:val="0033262D"/>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55077E"/>
    <w:rPr>
      <w:rFonts w:asciiTheme="minorHAnsi" w:eastAsiaTheme="minorHAnsi" w:hAnsiTheme="minorHAnsi" w:cstheme="minorBidi"/>
      <w:b/>
      <w:bCs/>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4"/>
      </w:numPr>
    </w:pPr>
  </w:style>
  <w:style w:type="paragraph" w:customStyle="1" w:styleId="Bullet1">
    <w:name w:val="Bullet 1"/>
    <w:basedOn w:val="BodyText"/>
    <w:uiPriority w:val="2"/>
    <w:qFormat/>
    <w:rsid w:val="007D69BA"/>
    <w:pPr>
      <w:numPr>
        <w:numId w:val="4"/>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10"/>
      </w:numPr>
      <w:spacing w:before="40" w:after="40"/>
    </w:pPr>
    <w:rPr>
      <w:sz w:val="20"/>
    </w:rPr>
  </w:style>
  <w:style w:type="paragraph" w:customStyle="1" w:styleId="TableNumbering">
    <w:name w:val="Table Numbering"/>
    <w:basedOn w:val="TableText"/>
    <w:uiPriority w:val="7"/>
    <w:qFormat/>
    <w:rsid w:val="004A5568"/>
    <w:pPr>
      <w:numPr>
        <w:numId w:val="6"/>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4"/>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4"/>
      </w:numPr>
      <w:spacing w:before="60" w:after="6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4A5568"/>
    <w:pPr>
      <w:numPr>
        <w:numId w:val="5"/>
      </w:numPr>
      <w:spacing w:before="120" w:line="240" w:lineRule="auto"/>
    </w:pPr>
    <w:rPr>
      <w:rFonts w:eastAsia="Times New Roman" w:cs="Times New Roman"/>
      <w:sz w:val="24"/>
      <w:szCs w:val="24"/>
    </w:rPr>
  </w:style>
  <w:style w:type="paragraph" w:customStyle="1" w:styleId="TableBullet2">
    <w:name w:val="Table Bullet 2"/>
    <w:basedOn w:val="TableText"/>
    <w:uiPriority w:val="7"/>
    <w:qFormat/>
    <w:rsid w:val="004A5568"/>
    <w:pPr>
      <w:numPr>
        <w:ilvl w:val="1"/>
        <w:numId w:val="10"/>
      </w:numPr>
      <w:ind w:left="576" w:hanging="288"/>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2"/>
      </w:numPr>
    </w:pPr>
  </w:style>
  <w:style w:type="numbering" w:customStyle="1" w:styleId="Level2Bullet">
    <w:name w:val="Level 2 Bullet"/>
    <w:basedOn w:val="NoList"/>
    <w:rsid w:val="004A5568"/>
    <w:pPr>
      <w:numPr>
        <w:numId w:val="3"/>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paragraph" w:customStyle="1" w:styleId="CoverTopLogo">
    <w:name w:val="Cover Top Logo"/>
    <w:basedOn w:val="CoverSubtitle"/>
    <w:qFormat/>
    <w:rsid w:val="0033262D"/>
    <w:pPr>
      <w:spacing w:before="480"/>
      <w:ind w:left="-86"/>
    </w:pPr>
    <w:rPr>
      <w:i w:val="0"/>
      <w:iCs/>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iPriority w:val="99"/>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8"/>
      </w:numPr>
    </w:pPr>
  </w:style>
  <w:style w:type="numbering" w:customStyle="1" w:styleId="TableBulletList1">
    <w:name w:val="Table Bullet List1"/>
    <w:uiPriority w:val="99"/>
    <w:rsid w:val="00626272"/>
    <w:pPr>
      <w:numPr>
        <w:numId w:val="9"/>
      </w:numPr>
    </w:pPr>
  </w:style>
  <w:style w:type="numbering" w:customStyle="1" w:styleId="Level1Bullet1">
    <w:name w:val="Level 1 Bullet1"/>
    <w:basedOn w:val="NoList"/>
    <w:rsid w:val="00626272"/>
    <w:pPr>
      <w:numPr>
        <w:numId w:val="5"/>
      </w:numPr>
    </w:pPr>
  </w:style>
  <w:style w:type="numbering" w:customStyle="1" w:styleId="Level2Bullet1">
    <w:name w:val="Level 2 Bullet1"/>
    <w:basedOn w:val="NoList"/>
    <w:rsid w:val="00626272"/>
    <w:pPr>
      <w:numPr>
        <w:numId w:val="7"/>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paragraph" w:styleId="TableofFigures">
    <w:name w:val="table of figures"/>
    <w:basedOn w:val="Normal"/>
    <w:next w:val="Normal"/>
    <w:uiPriority w:val="99"/>
    <w:unhideWhenUsed/>
    <w:rsid w:val="00B607BD"/>
  </w:style>
  <w:style w:type="paragraph" w:customStyle="1" w:styleId="CoverDistrictName">
    <w:name w:val="Cover District Name"/>
    <w:basedOn w:val="CoverSubtitle"/>
    <w:qFormat/>
    <w:rsid w:val="0033262D"/>
    <w:pPr>
      <w:spacing w:before="1680"/>
      <w:ind w:left="4046"/>
    </w:pPr>
  </w:style>
  <w:style w:type="paragraph" w:customStyle="1" w:styleId="CoverBottomLogo">
    <w:name w:val="Cover Bottom Logo"/>
    <w:basedOn w:val="CoverDate"/>
    <w:qFormat/>
    <w:rsid w:val="0033262D"/>
    <w:pPr>
      <w:ind w:left="4032"/>
    </w:pPr>
  </w:style>
  <w:style w:type="paragraph" w:customStyle="1" w:styleId="TabletitleSectionE">
    <w:name w:val="Table title_Section E"/>
    <w:basedOn w:val="TableTitle0"/>
    <w:qFormat/>
    <w:rsid w:val="00B7722D"/>
  </w:style>
  <w:style w:type="character" w:customStyle="1" w:styleId="normaltextrun">
    <w:name w:val="normaltextrun"/>
    <w:basedOn w:val="DefaultParagraphFont"/>
    <w:rsid w:val="003C2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15250268">
      <w:bodyDiv w:val="1"/>
      <w:marLeft w:val="0"/>
      <w:marRight w:val="0"/>
      <w:marTop w:val="0"/>
      <w:marBottom w:val="0"/>
      <w:divBdr>
        <w:top w:val="none" w:sz="0" w:space="0" w:color="auto"/>
        <w:left w:val="none" w:sz="0" w:space="0" w:color="auto"/>
        <w:bottom w:val="none" w:sz="0" w:space="0" w:color="auto"/>
        <w:right w:val="none" w:sz="0" w:space="0" w:color="auto"/>
      </w:divBdr>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14348524">
      <w:bodyDiv w:val="1"/>
      <w:marLeft w:val="0"/>
      <w:marRight w:val="0"/>
      <w:marTop w:val="0"/>
      <w:marBottom w:val="0"/>
      <w:divBdr>
        <w:top w:val="none" w:sz="0" w:space="0" w:color="auto"/>
        <w:left w:val="none" w:sz="0" w:space="0" w:color="auto"/>
        <w:bottom w:val="none" w:sz="0" w:space="0" w:color="auto"/>
        <w:right w:val="none" w:sz="0" w:space="0" w:color="auto"/>
      </w:divBdr>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36858467">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63397725">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62060">
      <w:bodyDiv w:val="1"/>
      <w:marLeft w:val="0"/>
      <w:marRight w:val="0"/>
      <w:marTop w:val="0"/>
      <w:marBottom w:val="0"/>
      <w:divBdr>
        <w:top w:val="none" w:sz="0" w:space="0" w:color="auto"/>
        <w:left w:val="none" w:sz="0" w:space="0" w:color="auto"/>
        <w:bottom w:val="none" w:sz="0" w:space="0" w:color="auto"/>
        <w:right w:val="none" w:sz="0" w:space="0" w:color="auto"/>
      </w:divBdr>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https://profiles.doe.mass.edu/general/generalstate.aspx?topNavID=1&amp;leftNavId=100&amp;orgcode=00000000&amp;orgtypecode=0" TargetMode="External"/><Relationship Id="rId42" Type="http://schemas.openxmlformats.org/officeDocument/2006/relationships/hyperlink" Target="https://www.doe.mass.edu/research/success/" TargetMode="External"/><Relationship Id="rId47" Type="http://schemas.openxmlformats.org/officeDocument/2006/relationships/hyperlink" Target="https://www.doe.mass.edu/instruction/curate/default.html" TargetMode="External"/><Relationship Id="rId63" Type="http://schemas.openxmlformats.org/officeDocument/2006/relationships/hyperlink" Target="https://www.doe.mass.edu/instruction/screening-assessments.html" TargetMode="External"/><Relationship Id="rId68" Type="http://schemas.openxmlformats.org/officeDocument/2006/relationships/hyperlink" Target="https://www.doe.mass.edu/edeffectiveness/mentor/principal.html" TargetMode="External"/><Relationship Id="rId84" Type="http://schemas.openxmlformats.org/officeDocument/2006/relationships/hyperlink" Target="https://www.doe.mass.edu/ele/resources/immigrant-refugee.html" TargetMode="External"/><Relationship Id="rId89" Type="http://schemas.openxmlformats.org/officeDocument/2006/relationships/hyperlink" Target="https://www.doe.mass.edu/sfs/bullying/selguide.docx" TargetMode="External"/><Relationship Id="rId112" Type="http://schemas.openxmlformats.org/officeDocument/2006/relationships/footer" Target="footer14.xml"/><Relationship Id="rId16" Type="http://schemas.openxmlformats.org/officeDocument/2006/relationships/image" Target="media/image4.jpeg"/><Relationship Id="rId107" Type="http://schemas.openxmlformats.org/officeDocument/2006/relationships/hyperlink" Target="https://www.doe.mass.edu/finance/statistics/per-pupil-exp.xlsx" TargetMode="External"/><Relationship Id="rId11" Type="http://schemas.openxmlformats.org/officeDocument/2006/relationships/hyperlink" Target="http://www.doe.mass.edu" TargetMode="External"/><Relationship Id="rId32" Type="http://schemas.openxmlformats.org/officeDocument/2006/relationships/image" Target="media/image6.png"/><Relationship Id="rId37" Type="http://schemas.openxmlformats.org/officeDocument/2006/relationships/footer" Target="footer8.xml"/><Relationship Id="rId53" Type="http://schemas.openxmlformats.org/officeDocument/2006/relationships/hyperlink" Target="https://www.doe.mass.edu/ele/blueprint/default.html" TargetMode="External"/><Relationship Id="rId58" Type="http://schemas.openxmlformats.org/officeDocument/2006/relationships/hyperlink" Target="https://www.doe.mass.edu/instruction/culturally-sustaining/default.html" TargetMode="External"/><Relationship Id="rId74" Type="http://schemas.openxmlformats.org/officeDocument/2006/relationships/hyperlink" Target="https://www.doe.mass.edu/ele/prof-learning/wida/default.html" TargetMode="External"/><Relationship Id="rId79" Type="http://schemas.openxmlformats.org/officeDocument/2006/relationships/hyperlink" Target="https://www.doe.mass.edu/sfs/family-engagement-framework.pdf" TargetMode="External"/><Relationship Id="rId102" Type="http://schemas.openxmlformats.org/officeDocument/2006/relationships/hyperlink" Target="https://www.erstrategies.org/cms/files/2752-student-based-budgeting-guide.pdf),%20from%20Education%20Resource%20Strategies" TargetMode="External"/><Relationship Id="rId5" Type="http://schemas.openxmlformats.org/officeDocument/2006/relationships/numbering" Target="numbering.xml"/><Relationship Id="rId90" Type="http://schemas.openxmlformats.org/officeDocument/2006/relationships/hyperlink" Target="https://www.doe.mass.edu/sfs/earlylearning/resources/" TargetMode="External"/><Relationship Id="rId95" Type="http://schemas.openxmlformats.org/officeDocument/2006/relationships/hyperlink" Target="https://www.doe.mass.edu/federalgrants/resources/default.html" TargetMode="External"/><Relationship Id="rId22" Type="http://schemas.openxmlformats.org/officeDocument/2006/relationships/hyperlink" Target="https://profiles.doe.mass.edu/general/general.aspx?topNavID=1&amp;leftNavId=100&amp;orgcode=02230000&amp;orgtypecode=5" TargetMode="External"/><Relationship Id="rId27" Type="http://schemas.openxmlformats.org/officeDocument/2006/relationships/footer" Target="footer3.xml"/><Relationship Id="rId43" Type="http://schemas.openxmlformats.org/officeDocument/2006/relationships/hyperlink" Target="https://www.doe.mass.edu/csdp/guidebook/coherence-guidebook.pdf" TargetMode="External"/><Relationship Id="rId48" Type="http://schemas.openxmlformats.org/officeDocument/2006/relationships/hyperlink" Target="https://www.doe.mass.edu/stem/dlcs/curriculum-guide.pdf?v=4/12/2023" TargetMode="External"/><Relationship Id="rId64" Type="http://schemas.openxmlformats.org/officeDocument/2006/relationships/hyperlink" Target="https://www.doe.mass.edu/assessment/" TargetMode="External"/><Relationship Id="rId69" Type="http://schemas.openxmlformats.org/officeDocument/2006/relationships/hyperlink" Target="https://www.doe.mass.edu/mtel/" TargetMode="External"/><Relationship Id="rId113" Type="http://schemas.openxmlformats.org/officeDocument/2006/relationships/footer" Target="footer15.xml"/><Relationship Id="rId80" Type="http://schemas.openxmlformats.org/officeDocument/2006/relationships/hyperlink" Target="https://www.doe.mass.edu/highstandards/default.html" TargetMode="External"/><Relationship Id="rId85" Type="http://schemas.openxmlformats.org/officeDocument/2006/relationships/hyperlink" Target="https://www.sassma.org/" TargetMode="Externa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33" Type="http://schemas.openxmlformats.org/officeDocument/2006/relationships/footer" Target="footer7.xml"/><Relationship Id="rId38" Type="http://schemas.openxmlformats.org/officeDocument/2006/relationships/hyperlink" Target="http://www.teachstone.com/wp-content/uploads/2011/05/class-mtp-pk-12-brief.pdf" TargetMode="External"/><Relationship Id="rId59" Type="http://schemas.openxmlformats.org/officeDocument/2006/relationships/hyperlink" Target="https://view.officeapps.live.com/op/view.aspx?src=https%3A%2F%2Fwww.doe.mass.edu%2Fcsdp%2Fguidebook%2Fappendix-ilt-framework.docx&amp;wdOrigin=BROWSELINK" TargetMode="External"/><Relationship Id="rId103" Type="http://schemas.openxmlformats.org/officeDocument/2006/relationships/footer" Target="footer9.xml"/><Relationship Id="rId108" Type="http://schemas.openxmlformats.org/officeDocument/2006/relationships/hyperlink" Target="https://www.doe.mass.edu/finance/statistics/per-pupil-exp.xlsx" TargetMode="External"/><Relationship Id="rId54" Type="http://schemas.openxmlformats.org/officeDocument/2006/relationships/hyperlink" Target="https://sites.google.com/view/appleseedsk2/home" TargetMode="External"/><Relationship Id="rId70" Type="http://schemas.openxmlformats.org/officeDocument/2006/relationships/hyperlink" Target="https://www.ma-optic.com/" TargetMode="External"/><Relationship Id="rId75" Type="http://schemas.openxmlformats.org/officeDocument/2006/relationships/hyperlink" Target="https://www.doe.mass.edu/sfs/bullying/default.html" TargetMode="External"/><Relationship Id="rId91" Type="http://schemas.openxmlformats.org/officeDocument/2006/relationships/hyperlink" Target="https://www.doe.mass.edu/sfs/earlylearning/pli.html" TargetMode="External"/><Relationship Id="rId96" Type="http://schemas.openxmlformats.org/officeDocument/2006/relationships/hyperlink" Target="https://www.massfarmtoschool.org/announcement/grant-opportuniti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yperlink" Target="https://profiles.doe.mass.edu/general/general.aspx?topNavID=1&amp;leftNavId=100&amp;orgcode=02340000&amp;orgtypecode=5" TargetMode="External"/><Relationship Id="rId28" Type="http://schemas.openxmlformats.org/officeDocument/2006/relationships/footer" Target="footer4.xml"/><Relationship Id="rId36" Type="http://schemas.openxmlformats.org/officeDocument/2006/relationships/header" Target="header3.xml"/><Relationship Id="rId49" Type="http://schemas.openxmlformats.org/officeDocument/2006/relationships/hyperlink" Target="https://www.doe.mass.edu/ccte/ccr/ewis/" TargetMode="External"/><Relationship Id="rId57" Type="http://schemas.openxmlformats.org/officeDocument/2006/relationships/hyperlink" Target="https://www.doe.mass.edu/kaleidoscope/planning/default.html" TargetMode="External"/><Relationship Id="rId106" Type="http://schemas.openxmlformats.org/officeDocument/2006/relationships/hyperlink" Target="https://www.doe.mass.edu/finance/statistics/per-pupil-exp.xlsx"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5.png"/><Relationship Id="rId44" Type="http://schemas.openxmlformats.org/officeDocument/2006/relationships/hyperlink" Target="https://www.doe.mass.edu/frameworks/" TargetMode="External"/><Relationship Id="rId52" Type="http://schemas.openxmlformats.org/officeDocument/2006/relationships/hyperlink" Target="https://www.doe.mass.edu/massliteracy/" TargetMode="External"/><Relationship Id="rId60" Type="http://schemas.openxmlformats.org/officeDocument/2006/relationships/hyperlink" Target="https://www.doe.mass.edu/sfs/earlylearning/default.html" TargetMode="External"/><Relationship Id="rId65" Type="http://schemas.openxmlformats.org/officeDocument/2006/relationships/hyperlink" Target="https://www.doe.mass.edu/edprep/resources/early-literacy-observation.html" TargetMode="External"/><Relationship Id="rId73" Type="http://schemas.openxmlformats.org/officeDocument/2006/relationships/hyperlink" Target="https://www.doe.mass.edu/edeffectiveness/talent-guide/default.html" TargetMode="External"/><Relationship Id="rId78" Type="http://schemas.openxmlformats.org/officeDocument/2006/relationships/hyperlink" Target="https://www.doe.mass.edu/families/" TargetMode="External"/><Relationship Id="rId81" Type="http://schemas.openxmlformats.org/officeDocument/2006/relationships/hyperlink" Target="https://www.doe.mass.edu/sfs/discipline/updated-expectations.docx" TargetMode="External"/><Relationship Id="rId86" Type="http://schemas.openxmlformats.org/officeDocument/2006/relationships/hyperlink" Target="https://www.projectbread.org/resource-directory/breakfast-after-the-bell-resources" TargetMode="External"/><Relationship Id="rId94" Type="http://schemas.openxmlformats.org/officeDocument/2006/relationships/hyperlink" Target="https://www.doe.mass.edu/finance/statistics/default.html" TargetMode="External"/><Relationship Id="rId99" Type="http://schemas.openxmlformats.org/officeDocument/2006/relationships/hyperlink" Target="https://www.doe.mass.edu/research/radar/" TargetMode="External"/><Relationship Id="rId101" Type="http://schemas.openxmlformats.org/officeDocument/2006/relationships/hyperlink" Target="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hyperlink" Target="http://metproject.org/resources/CLASS_10_29_10.pdf" TargetMode="External"/><Relationship Id="rId109" Type="http://schemas.openxmlformats.org/officeDocument/2006/relationships/footer" Target="footer12.xml"/><Relationship Id="rId34" Type="http://schemas.openxmlformats.org/officeDocument/2006/relationships/image" Target="media/image7.png"/><Relationship Id="rId50" Type="http://schemas.openxmlformats.org/officeDocument/2006/relationships/hyperlink" Target="https://www.doe.mass.edu/edeval/guidebook/" TargetMode="External"/><Relationship Id="rId55" Type="http://schemas.openxmlformats.org/officeDocument/2006/relationships/hyperlink" Target="https://www.doe.mass.edu/investigatinghistory/" TargetMode="External"/><Relationship Id="rId76" Type="http://schemas.openxmlformats.org/officeDocument/2006/relationships/hyperlink" Target="https://rems.ed.gov/" TargetMode="External"/><Relationship Id="rId97" Type="http://schemas.openxmlformats.org/officeDocument/2006/relationships/hyperlink" Target="https://www.doe.mass.edu/cnp/" TargetMode="External"/><Relationship Id="rId104" Type="http://schemas.openxmlformats.org/officeDocument/2006/relationships/footer" Target="footer10.xml"/><Relationship Id="rId7" Type="http://schemas.openxmlformats.org/officeDocument/2006/relationships/settings" Target="settings.xml"/><Relationship Id="rId71" Type="http://schemas.openxmlformats.org/officeDocument/2006/relationships/hyperlink" Target="https://plpartnerguide.org/" TargetMode="External"/><Relationship Id="rId92" Type="http://schemas.openxmlformats.org/officeDocument/2006/relationships/hyperlink" Target="https://www.doe.mass.edu/sfs/sel/sel-all.docx" TargetMode="External"/><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hyperlink" Target="https://profiles.doe.mass.edu/general/general.aspx?topNavID=1&amp;leftNavId=100&amp;orgcode=07550000&amp;orgtypecode=5" TargetMode="External"/><Relationship Id="rId40" Type="http://schemas.openxmlformats.org/officeDocument/2006/relationships/hyperlink" Target="https://www.doe.mass.edu/csdp/guidebook/coherence-guidebook.pdf" TargetMode="External"/><Relationship Id="rId45" Type="http://schemas.openxmlformats.org/officeDocument/2006/relationships/hyperlink" Target="https://www.doe.mass.edu/instruction/impd/default.html" TargetMode="External"/><Relationship Id="rId66" Type="http://schemas.openxmlformats.org/officeDocument/2006/relationships/hyperlink" Target="https://www.doe.mass.edu/edeval/implementation/default.html" TargetMode="External"/><Relationship Id="rId87" Type="http://schemas.openxmlformats.org/officeDocument/2006/relationships/hyperlink" Target="https://massschoolwellness.org/" TargetMode="External"/><Relationship Id="rId110" Type="http://schemas.openxmlformats.org/officeDocument/2006/relationships/footer" Target="footer13.xml"/><Relationship Id="rId115" Type="http://schemas.openxmlformats.org/officeDocument/2006/relationships/theme" Target="theme/theme1.xml"/><Relationship Id="rId61" Type="http://schemas.openxmlformats.org/officeDocument/2006/relationships/hyperlink" Target="https://www.doe.mass.edu/acls/assessment/continuum.pdf" TargetMode="External"/><Relationship Id="rId82" Type="http://schemas.openxmlformats.org/officeDocument/2006/relationships/hyperlink" Target="https://www.doe.mass.edu/sfss/mtss/" TargetMode="External"/><Relationship Id="rId19" Type="http://schemas.openxmlformats.org/officeDocument/2006/relationships/footer" Target="footer1.xml"/><Relationship Id="rId14" Type="http://schemas.openxmlformats.org/officeDocument/2006/relationships/image" Target="media/image2.png"/><Relationship Id="rId30" Type="http://schemas.openxmlformats.org/officeDocument/2006/relationships/footer" Target="footer6.xml"/><Relationship Id="rId35" Type="http://schemas.openxmlformats.org/officeDocument/2006/relationships/hyperlink" Target="http://www.air.org" TargetMode="External"/><Relationship Id="rId56" Type="http://schemas.openxmlformats.org/officeDocument/2006/relationships/hyperlink" Target="https://www.doe.mass.edu/stem/ste/openscied.html" TargetMode="External"/><Relationship Id="rId77" Type="http://schemas.openxmlformats.org/officeDocument/2006/relationships/hyperlink" Target="https://www.doe.mass.edu/sfs/emergencyplan/default.html" TargetMode="External"/><Relationship Id="rId100" Type="http://schemas.openxmlformats.org/officeDocument/2006/relationships/hyperlink" Target="https://gtlcenter.org/products-resources/spending-money-wisely-getting-most-school-district-budgets" TargetMode="External"/><Relationship Id="rId105" Type="http://schemas.openxmlformats.org/officeDocument/2006/relationships/footer" Target="footer11.xml"/><Relationship Id="rId8" Type="http://schemas.openxmlformats.org/officeDocument/2006/relationships/webSettings" Target="webSettings.xml"/><Relationship Id="rId51" Type="http://schemas.openxmlformats.org/officeDocument/2006/relationships/hyperlink" Target="https://view.officeapps.live.com/op/view.aspx?src=https%3A%2F%2Fwww.doe.mass.edu%2Finstruction%2Farts%2Fdiverse-arts-guidebook.docx&amp;wdOrigin=BROWSELINK" TargetMode="External"/><Relationship Id="rId72" Type="http://schemas.openxmlformats.org/officeDocument/2006/relationships/hyperlink" Target="https://www.doe.mass.edu/frameworks/observation/" TargetMode="External"/><Relationship Id="rId93" Type="http://schemas.openxmlformats.org/officeDocument/2006/relationships/hyperlink" Target="https://www.doe.mass.edu/ele/slife/default.html" TargetMode="External"/><Relationship Id="rId98" Type="http://schemas.openxmlformats.org/officeDocument/2006/relationships/hyperlink" Target="https://www.doe.mass.edu/research/success/" TargetMode="External"/><Relationship Id="rId3" Type="http://schemas.openxmlformats.org/officeDocument/2006/relationships/customXml" Target="../customXml/item3.xml"/><Relationship Id="rId25" Type="http://schemas.openxmlformats.org/officeDocument/2006/relationships/hyperlink" Target="https://www.doe.mass.edu/edeffectiveness/mentor/components.html" TargetMode="External"/><Relationship Id="rId46" Type="http://schemas.openxmlformats.org/officeDocument/2006/relationships/hyperlink" Target="https://www.doe.mass.edu/instruction/impd/implement-ma.html" TargetMode="External"/><Relationship Id="rId67" Type="http://schemas.openxmlformats.org/officeDocument/2006/relationships/hyperlink" Target="https://www.doe.mass.edu/edeffectiveness/mentor/default.html" TargetMode="External"/><Relationship Id="rId116" Type="http://schemas.microsoft.com/office/2020/10/relationships/intelligence" Target="intelligence2.xml"/><Relationship Id="rId20" Type="http://schemas.openxmlformats.org/officeDocument/2006/relationships/footer" Target="footer2.xml"/><Relationship Id="rId41" Type="http://schemas.openxmlformats.org/officeDocument/2006/relationships/hyperlink" Target="https://www.doe.mass.edu/edeffectiveness/mentor/principal.html" TargetMode="External"/><Relationship Id="rId62" Type="http://schemas.openxmlformats.org/officeDocument/2006/relationships/hyperlink" Target="http://www.doe.mass.edu/accountability/toolkit/" TargetMode="External"/><Relationship Id="rId83" Type="http://schemas.openxmlformats.org/officeDocument/2006/relationships/hyperlink" Target="https://matoolsforschools.com/" TargetMode="External"/><Relationship Id="rId88" Type="http://schemas.openxmlformats.org/officeDocument/2006/relationships/hyperlink" Target="https://www.doe.mass.edu/sfs/earlylearning/resources/sel1-3/resources-g1-3.docx" TargetMode="External"/><Relationship Id="rId111"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accountability/district-review/district-standards-indicators.pdf" TargetMode="External"/><Relationship Id="rId2" Type="http://schemas.openxmlformats.org/officeDocument/2006/relationships/hyperlink" Target="https://teachstone.com/class/" TargetMode="External"/><Relationship Id="rId1" Type="http://schemas.openxmlformats.org/officeDocument/2006/relationships/hyperlink" Target="http://www.doe.mass.edu/accountability/district-review/district-standards-indicators.pdf" TargetMode="External"/><Relationship Id="rId4" Type="http://schemas.openxmlformats.org/officeDocument/2006/relationships/hyperlink" Target="https://www.doe.mass.edu/instruction/curate" TargetMode="External"/></Relationships>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SharingLinks.e6986122-4037-4e10-839e-9cc9e1b2e7f5.Flexible.1f636ddd-3f83-49aa-a88c-9cd8c828426a</DisplayName>
        <AccountId>55</AccountId>
        <AccountType/>
      </UserInfo>
      <UserInfo>
        <DisplayName>Gunning, William B. (EOTSS)</DisplayName>
        <AccountId>25</AccountId>
        <AccountType/>
      </UserInfo>
      <UserInfo>
        <DisplayName>EDU-SG-SPAdmin (MADOE)</DisplayName>
        <AccountId>12</AccountId>
        <AccountType/>
      </UserInfo>
      <UserInfo>
        <DisplayName>EDU-SG-SPAdmin (MSD)</DisplayName>
        <AccountId>14</AccountId>
        <AccountType/>
      </UserInfo>
      <UserInfo>
        <DisplayName>SharingLinks.7b0df000-e354-44d0-b12b-855985df241d.Flexible.705f5d28-3913-447f-ae6c-4147fb1a0784</DisplayName>
        <AccountId>223</AccountId>
        <AccountType/>
      </UserInfo>
      <UserInfo>
        <DisplayName>Everyone</DisplayName>
        <AccountId>10</AccountId>
        <AccountType/>
      </UserInfo>
      <UserInfo>
        <DisplayName>SharingLinks.2901c117-7d3e-4f31-aaa7-f275525a7d7e.Flexible.3df49876-3088-45f2-bc09-579bea23aafb</DisplayName>
        <AccountId>221</AccountId>
        <AccountType/>
      </UserInfo>
      <UserInfo>
        <DisplayName>SharingLinks.506eb105-3624-478d-8f4f-ed33696dedf7.Flexible.cd41c460-491f-4d1d-8c04-80a9d96e2262</DisplayName>
        <AccountId>222</AccountId>
        <AccountType/>
      </UserInfo>
      <UserInfo>
        <DisplayName>SharingLinks.14d6ee93-ce34-4f9f-8371-68043c1cbc5a.Flexible.2d0cc9d7-5c43-477d-b7ab-7b366c93b355</DisplayName>
        <AccountId>232</AccountId>
        <AccountType/>
      </UserInfo>
      <UserInfo>
        <DisplayName>Simon, Jeremy (DESE)</DisplayName>
        <AccountId>263</AccountId>
        <AccountType/>
      </UserInfo>
      <UserInfo>
        <DisplayName>doe-odrm Owners</DisplayName>
        <AccountId>7</AccountId>
        <AccountType/>
      </UserInfo>
      <UserInfo>
        <DisplayName>Daly, Kevin (DESE)</DisplayName>
        <AccountId>21</AccountId>
        <AccountType/>
      </UserInfo>
      <UserInfo>
        <DisplayName>Thomas, Corinne T. (DESE)</DisplayName>
        <AccountId>96</AccountId>
        <AccountType/>
      </UserInfo>
    </SharedWithUsers>
    <lcf76f155ced4ddcb4097134ff3c332f xmlns="68b45241-2e0a-4324-b6cd-9efd2f11b483">
      <Terms xmlns="http://schemas.microsoft.com/office/infopath/2007/PartnerControls"/>
    </lcf76f155ced4ddcb4097134ff3c332f>
    <TaxCatchAll xmlns="22602442-92ee-4d3a-8ce8-f0d739bf7d54" xsi:nil="true"/>
    <Lorraine_x0020_Test xmlns="68b45241-2e0a-4324-b6cd-9efd2f11b483">true</Lorraine_x0020_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5" ma:contentTypeDescription="Create a new document." ma:contentTypeScope="" ma:versionID="95a6a7b68e28fef166bebe07fc97fb55">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9a07da051c436c912aae5dc1c67e025e"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customXml/itemProps2.xml><?xml version="1.0" encoding="utf-8"?>
<ds:datastoreItem xmlns:ds="http://schemas.openxmlformats.org/officeDocument/2006/customXml" ds:itemID="{2B68E5E8-958F-48D8-B769-C97F3E1B8724}">
  <ds:schemaRefs>
    <ds:schemaRef ds:uri="http://schemas.microsoft.com/sharepoint/v3/contenttype/forms"/>
  </ds:schemaRefs>
</ds:datastoreItem>
</file>

<file path=customXml/itemProps3.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customXml/itemProps4.xml><?xml version="1.0" encoding="utf-8"?>
<ds:datastoreItem xmlns:ds="http://schemas.openxmlformats.org/officeDocument/2006/customXml" ds:itemID="{14A99064-7317-4BF1-A9A0-B1E21829C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117</Pages>
  <Words>42640</Words>
  <Characters>243049</Characters>
  <Application>Microsoft Office Word</Application>
  <DocSecurity>0</DocSecurity>
  <Lines>2025</Lines>
  <Paragraphs>570</Paragraphs>
  <ScaleCrop>false</ScaleCrop>
  <HeadingPairs>
    <vt:vector size="2" baseType="variant">
      <vt:variant>
        <vt:lpstr>Title</vt:lpstr>
      </vt:variant>
      <vt:variant>
        <vt:i4>1</vt:i4>
      </vt:variant>
    </vt:vector>
  </HeadingPairs>
  <TitlesOfParts>
    <vt:vector size="1" baseType="lpstr">
      <vt:lpstr>Ralph C Mahar and SU 73 District Review Report 2024</vt:lpstr>
    </vt:vector>
  </TitlesOfParts>
  <Company/>
  <LinksUpToDate>false</LinksUpToDate>
  <CharactersWithSpaces>285119</CharactersWithSpaces>
  <SharedDoc>false</SharedDoc>
  <HLinks>
    <vt:vector size="1152" baseType="variant">
      <vt:variant>
        <vt:i4>1048624</vt:i4>
      </vt:variant>
      <vt:variant>
        <vt:i4>794</vt:i4>
      </vt:variant>
      <vt:variant>
        <vt:i4>0</vt:i4>
      </vt:variant>
      <vt:variant>
        <vt:i4>5</vt:i4>
      </vt:variant>
      <vt:variant>
        <vt:lpwstr/>
      </vt:variant>
      <vt:variant>
        <vt:lpwstr>_Toc171685831</vt:lpwstr>
      </vt:variant>
      <vt:variant>
        <vt:i4>1048624</vt:i4>
      </vt:variant>
      <vt:variant>
        <vt:i4>788</vt:i4>
      </vt:variant>
      <vt:variant>
        <vt:i4>0</vt:i4>
      </vt:variant>
      <vt:variant>
        <vt:i4>5</vt:i4>
      </vt:variant>
      <vt:variant>
        <vt:lpwstr/>
      </vt:variant>
      <vt:variant>
        <vt:lpwstr>_Toc171685830</vt:lpwstr>
      </vt:variant>
      <vt:variant>
        <vt:i4>1114160</vt:i4>
      </vt:variant>
      <vt:variant>
        <vt:i4>782</vt:i4>
      </vt:variant>
      <vt:variant>
        <vt:i4>0</vt:i4>
      </vt:variant>
      <vt:variant>
        <vt:i4>5</vt:i4>
      </vt:variant>
      <vt:variant>
        <vt:lpwstr/>
      </vt:variant>
      <vt:variant>
        <vt:lpwstr>_Toc171685829</vt:lpwstr>
      </vt:variant>
      <vt:variant>
        <vt:i4>1114160</vt:i4>
      </vt:variant>
      <vt:variant>
        <vt:i4>776</vt:i4>
      </vt:variant>
      <vt:variant>
        <vt:i4>0</vt:i4>
      </vt:variant>
      <vt:variant>
        <vt:i4>5</vt:i4>
      </vt:variant>
      <vt:variant>
        <vt:lpwstr/>
      </vt:variant>
      <vt:variant>
        <vt:lpwstr>_Toc171685828</vt:lpwstr>
      </vt:variant>
      <vt:variant>
        <vt:i4>1114160</vt:i4>
      </vt:variant>
      <vt:variant>
        <vt:i4>770</vt:i4>
      </vt:variant>
      <vt:variant>
        <vt:i4>0</vt:i4>
      </vt:variant>
      <vt:variant>
        <vt:i4>5</vt:i4>
      </vt:variant>
      <vt:variant>
        <vt:lpwstr/>
      </vt:variant>
      <vt:variant>
        <vt:lpwstr>_Toc171685827</vt:lpwstr>
      </vt:variant>
      <vt:variant>
        <vt:i4>1114160</vt:i4>
      </vt:variant>
      <vt:variant>
        <vt:i4>764</vt:i4>
      </vt:variant>
      <vt:variant>
        <vt:i4>0</vt:i4>
      </vt:variant>
      <vt:variant>
        <vt:i4>5</vt:i4>
      </vt:variant>
      <vt:variant>
        <vt:lpwstr/>
      </vt:variant>
      <vt:variant>
        <vt:lpwstr>_Toc171685826</vt:lpwstr>
      </vt:variant>
      <vt:variant>
        <vt:i4>1114160</vt:i4>
      </vt:variant>
      <vt:variant>
        <vt:i4>758</vt:i4>
      </vt:variant>
      <vt:variant>
        <vt:i4>0</vt:i4>
      </vt:variant>
      <vt:variant>
        <vt:i4>5</vt:i4>
      </vt:variant>
      <vt:variant>
        <vt:lpwstr/>
      </vt:variant>
      <vt:variant>
        <vt:lpwstr>_Toc171685825</vt:lpwstr>
      </vt:variant>
      <vt:variant>
        <vt:i4>1114160</vt:i4>
      </vt:variant>
      <vt:variant>
        <vt:i4>752</vt:i4>
      </vt:variant>
      <vt:variant>
        <vt:i4>0</vt:i4>
      </vt:variant>
      <vt:variant>
        <vt:i4>5</vt:i4>
      </vt:variant>
      <vt:variant>
        <vt:lpwstr/>
      </vt:variant>
      <vt:variant>
        <vt:lpwstr>_Toc171685824</vt:lpwstr>
      </vt:variant>
      <vt:variant>
        <vt:i4>1114160</vt:i4>
      </vt:variant>
      <vt:variant>
        <vt:i4>746</vt:i4>
      </vt:variant>
      <vt:variant>
        <vt:i4>0</vt:i4>
      </vt:variant>
      <vt:variant>
        <vt:i4>5</vt:i4>
      </vt:variant>
      <vt:variant>
        <vt:lpwstr/>
      </vt:variant>
      <vt:variant>
        <vt:lpwstr>_Toc171685823</vt:lpwstr>
      </vt:variant>
      <vt:variant>
        <vt:i4>1114160</vt:i4>
      </vt:variant>
      <vt:variant>
        <vt:i4>740</vt:i4>
      </vt:variant>
      <vt:variant>
        <vt:i4>0</vt:i4>
      </vt:variant>
      <vt:variant>
        <vt:i4>5</vt:i4>
      </vt:variant>
      <vt:variant>
        <vt:lpwstr/>
      </vt:variant>
      <vt:variant>
        <vt:lpwstr>_Toc171685822</vt:lpwstr>
      </vt:variant>
      <vt:variant>
        <vt:i4>1114160</vt:i4>
      </vt:variant>
      <vt:variant>
        <vt:i4>734</vt:i4>
      </vt:variant>
      <vt:variant>
        <vt:i4>0</vt:i4>
      </vt:variant>
      <vt:variant>
        <vt:i4>5</vt:i4>
      </vt:variant>
      <vt:variant>
        <vt:lpwstr/>
      </vt:variant>
      <vt:variant>
        <vt:lpwstr>_Toc171685821</vt:lpwstr>
      </vt:variant>
      <vt:variant>
        <vt:i4>1114160</vt:i4>
      </vt:variant>
      <vt:variant>
        <vt:i4>728</vt:i4>
      </vt:variant>
      <vt:variant>
        <vt:i4>0</vt:i4>
      </vt:variant>
      <vt:variant>
        <vt:i4>5</vt:i4>
      </vt:variant>
      <vt:variant>
        <vt:lpwstr/>
      </vt:variant>
      <vt:variant>
        <vt:lpwstr>_Toc171685820</vt:lpwstr>
      </vt:variant>
      <vt:variant>
        <vt:i4>1179696</vt:i4>
      </vt:variant>
      <vt:variant>
        <vt:i4>722</vt:i4>
      </vt:variant>
      <vt:variant>
        <vt:i4>0</vt:i4>
      </vt:variant>
      <vt:variant>
        <vt:i4>5</vt:i4>
      </vt:variant>
      <vt:variant>
        <vt:lpwstr/>
      </vt:variant>
      <vt:variant>
        <vt:lpwstr>_Toc171685819</vt:lpwstr>
      </vt:variant>
      <vt:variant>
        <vt:i4>1179696</vt:i4>
      </vt:variant>
      <vt:variant>
        <vt:i4>716</vt:i4>
      </vt:variant>
      <vt:variant>
        <vt:i4>0</vt:i4>
      </vt:variant>
      <vt:variant>
        <vt:i4>5</vt:i4>
      </vt:variant>
      <vt:variant>
        <vt:lpwstr/>
      </vt:variant>
      <vt:variant>
        <vt:lpwstr>_Toc171685818</vt:lpwstr>
      </vt:variant>
      <vt:variant>
        <vt:i4>1179696</vt:i4>
      </vt:variant>
      <vt:variant>
        <vt:i4>710</vt:i4>
      </vt:variant>
      <vt:variant>
        <vt:i4>0</vt:i4>
      </vt:variant>
      <vt:variant>
        <vt:i4>5</vt:i4>
      </vt:variant>
      <vt:variant>
        <vt:lpwstr/>
      </vt:variant>
      <vt:variant>
        <vt:lpwstr>_Toc171685817</vt:lpwstr>
      </vt:variant>
      <vt:variant>
        <vt:i4>1179696</vt:i4>
      </vt:variant>
      <vt:variant>
        <vt:i4>704</vt:i4>
      </vt:variant>
      <vt:variant>
        <vt:i4>0</vt:i4>
      </vt:variant>
      <vt:variant>
        <vt:i4>5</vt:i4>
      </vt:variant>
      <vt:variant>
        <vt:lpwstr/>
      </vt:variant>
      <vt:variant>
        <vt:lpwstr>_Toc171685816</vt:lpwstr>
      </vt:variant>
      <vt:variant>
        <vt:i4>1179696</vt:i4>
      </vt:variant>
      <vt:variant>
        <vt:i4>698</vt:i4>
      </vt:variant>
      <vt:variant>
        <vt:i4>0</vt:i4>
      </vt:variant>
      <vt:variant>
        <vt:i4>5</vt:i4>
      </vt:variant>
      <vt:variant>
        <vt:lpwstr/>
      </vt:variant>
      <vt:variant>
        <vt:lpwstr>_Toc171685815</vt:lpwstr>
      </vt:variant>
      <vt:variant>
        <vt:i4>1179696</vt:i4>
      </vt:variant>
      <vt:variant>
        <vt:i4>692</vt:i4>
      </vt:variant>
      <vt:variant>
        <vt:i4>0</vt:i4>
      </vt:variant>
      <vt:variant>
        <vt:i4>5</vt:i4>
      </vt:variant>
      <vt:variant>
        <vt:lpwstr/>
      </vt:variant>
      <vt:variant>
        <vt:lpwstr>_Toc171685814</vt:lpwstr>
      </vt:variant>
      <vt:variant>
        <vt:i4>1179696</vt:i4>
      </vt:variant>
      <vt:variant>
        <vt:i4>686</vt:i4>
      </vt:variant>
      <vt:variant>
        <vt:i4>0</vt:i4>
      </vt:variant>
      <vt:variant>
        <vt:i4>5</vt:i4>
      </vt:variant>
      <vt:variant>
        <vt:lpwstr/>
      </vt:variant>
      <vt:variant>
        <vt:lpwstr>_Toc171685813</vt:lpwstr>
      </vt:variant>
      <vt:variant>
        <vt:i4>1179696</vt:i4>
      </vt:variant>
      <vt:variant>
        <vt:i4>680</vt:i4>
      </vt:variant>
      <vt:variant>
        <vt:i4>0</vt:i4>
      </vt:variant>
      <vt:variant>
        <vt:i4>5</vt:i4>
      </vt:variant>
      <vt:variant>
        <vt:lpwstr/>
      </vt:variant>
      <vt:variant>
        <vt:lpwstr>_Toc171685812</vt:lpwstr>
      </vt:variant>
      <vt:variant>
        <vt:i4>1179696</vt:i4>
      </vt:variant>
      <vt:variant>
        <vt:i4>674</vt:i4>
      </vt:variant>
      <vt:variant>
        <vt:i4>0</vt:i4>
      </vt:variant>
      <vt:variant>
        <vt:i4>5</vt:i4>
      </vt:variant>
      <vt:variant>
        <vt:lpwstr/>
      </vt:variant>
      <vt:variant>
        <vt:lpwstr>_Toc171685811</vt:lpwstr>
      </vt:variant>
      <vt:variant>
        <vt:i4>1179696</vt:i4>
      </vt:variant>
      <vt:variant>
        <vt:i4>668</vt:i4>
      </vt:variant>
      <vt:variant>
        <vt:i4>0</vt:i4>
      </vt:variant>
      <vt:variant>
        <vt:i4>5</vt:i4>
      </vt:variant>
      <vt:variant>
        <vt:lpwstr/>
      </vt:variant>
      <vt:variant>
        <vt:lpwstr>_Toc171685810</vt:lpwstr>
      </vt:variant>
      <vt:variant>
        <vt:i4>1245232</vt:i4>
      </vt:variant>
      <vt:variant>
        <vt:i4>662</vt:i4>
      </vt:variant>
      <vt:variant>
        <vt:i4>0</vt:i4>
      </vt:variant>
      <vt:variant>
        <vt:i4>5</vt:i4>
      </vt:variant>
      <vt:variant>
        <vt:lpwstr/>
      </vt:variant>
      <vt:variant>
        <vt:lpwstr>_Toc171685809</vt:lpwstr>
      </vt:variant>
      <vt:variant>
        <vt:i4>1245232</vt:i4>
      </vt:variant>
      <vt:variant>
        <vt:i4>656</vt:i4>
      </vt:variant>
      <vt:variant>
        <vt:i4>0</vt:i4>
      </vt:variant>
      <vt:variant>
        <vt:i4>5</vt:i4>
      </vt:variant>
      <vt:variant>
        <vt:lpwstr/>
      </vt:variant>
      <vt:variant>
        <vt:lpwstr>_Toc171685808</vt:lpwstr>
      </vt:variant>
      <vt:variant>
        <vt:i4>1245232</vt:i4>
      </vt:variant>
      <vt:variant>
        <vt:i4>650</vt:i4>
      </vt:variant>
      <vt:variant>
        <vt:i4>0</vt:i4>
      </vt:variant>
      <vt:variant>
        <vt:i4>5</vt:i4>
      </vt:variant>
      <vt:variant>
        <vt:lpwstr/>
      </vt:variant>
      <vt:variant>
        <vt:lpwstr>_Toc171685807</vt:lpwstr>
      </vt:variant>
      <vt:variant>
        <vt:i4>1245232</vt:i4>
      </vt:variant>
      <vt:variant>
        <vt:i4>644</vt:i4>
      </vt:variant>
      <vt:variant>
        <vt:i4>0</vt:i4>
      </vt:variant>
      <vt:variant>
        <vt:i4>5</vt:i4>
      </vt:variant>
      <vt:variant>
        <vt:lpwstr/>
      </vt:variant>
      <vt:variant>
        <vt:lpwstr>_Toc171685806</vt:lpwstr>
      </vt:variant>
      <vt:variant>
        <vt:i4>1245232</vt:i4>
      </vt:variant>
      <vt:variant>
        <vt:i4>638</vt:i4>
      </vt:variant>
      <vt:variant>
        <vt:i4>0</vt:i4>
      </vt:variant>
      <vt:variant>
        <vt:i4>5</vt:i4>
      </vt:variant>
      <vt:variant>
        <vt:lpwstr/>
      </vt:variant>
      <vt:variant>
        <vt:lpwstr>_Toc171685805</vt:lpwstr>
      </vt:variant>
      <vt:variant>
        <vt:i4>1245232</vt:i4>
      </vt:variant>
      <vt:variant>
        <vt:i4>632</vt:i4>
      </vt:variant>
      <vt:variant>
        <vt:i4>0</vt:i4>
      </vt:variant>
      <vt:variant>
        <vt:i4>5</vt:i4>
      </vt:variant>
      <vt:variant>
        <vt:lpwstr/>
      </vt:variant>
      <vt:variant>
        <vt:lpwstr>_Toc171685804</vt:lpwstr>
      </vt:variant>
      <vt:variant>
        <vt:i4>1245232</vt:i4>
      </vt:variant>
      <vt:variant>
        <vt:i4>626</vt:i4>
      </vt:variant>
      <vt:variant>
        <vt:i4>0</vt:i4>
      </vt:variant>
      <vt:variant>
        <vt:i4>5</vt:i4>
      </vt:variant>
      <vt:variant>
        <vt:lpwstr/>
      </vt:variant>
      <vt:variant>
        <vt:lpwstr>_Toc171685803</vt:lpwstr>
      </vt:variant>
      <vt:variant>
        <vt:i4>1245232</vt:i4>
      </vt:variant>
      <vt:variant>
        <vt:i4>620</vt:i4>
      </vt:variant>
      <vt:variant>
        <vt:i4>0</vt:i4>
      </vt:variant>
      <vt:variant>
        <vt:i4>5</vt:i4>
      </vt:variant>
      <vt:variant>
        <vt:lpwstr/>
      </vt:variant>
      <vt:variant>
        <vt:lpwstr>_Toc171685802</vt:lpwstr>
      </vt:variant>
      <vt:variant>
        <vt:i4>1245232</vt:i4>
      </vt:variant>
      <vt:variant>
        <vt:i4>614</vt:i4>
      </vt:variant>
      <vt:variant>
        <vt:i4>0</vt:i4>
      </vt:variant>
      <vt:variant>
        <vt:i4>5</vt:i4>
      </vt:variant>
      <vt:variant>
        <vt:lpwstr/>
      </vt:variant>
      <vt:variant>
        <vt:lpwstr>_Toc171685801</vt:lpwstr>
      </vt:variant>
      <vt:variant>
        <vt:i4>1245232</vt:i4>
      </vt:variant>
      <vt:variant>
        <vt:i4>608</vt:i4>
      </vt:variant>
      <vt:variant>
        <vt:i4>0</vt:i4>
      </vt:variant>
      <vt:variant>
        <vt:i4>5</vt:i4>
      </vt:variant>
      <vt:variant>
        <vt:lpwstr/>
      </vt:variant>
      <vt:variant>
        <vt:lpwstr>_Toc171685800</vt:lpwstr>
      </vt:variant>
      <vt:variant>
        <vt:i4>1703999</vt:i4>
      </vt:variant>
      <vt:variant>
        <vt:i4>602</vt:i4>
      </vt:variant>
      <vt:variant>
        <vt:i4>0</vt:i4>
      </vt:variant>
      <vt:variant>
        <vt:i4>5</vt:i4>
      </vt:variant>
      <vt:variant>
        <vt:lpwstr/>
      </vt:variant>
      <vt:variant>
        <vt:lpwstr>_Toc171685799</vt:lpwstr>
      </vt:variant>
      <vt:variant>
        <vt:i4>1703999</vt:i4>
      </vt:variant>
      <vt:variant>
        <vt:i4>596</vt:i4>
      </vt:variant>
      <vt:variant>
        <vt:i4>0</vt:i4>
      </vt:variant>
      <vt:variant>
        <vt:i4>5</vt:i4>
      </vt:variant>
      <vt:variant>
        <vt:lpwstr/>
      </vt:variant>
      <vt:variant>
        <vt:lpwstr>_Toc171685798</vt:lpwstr>
      </vt:variant>
      <vt:variant>
        <vt:i4>1703999</vt:i4>
      </vt:variant>
      <vt:variant>
        <vt:i4>590</vt:i4>
      </vt:variant>
      <vt:variant>
        <vt:i4>0</vt:i4>
      </vt:variant>
      <vt:variant>
        <vt:i4>5</vt:i4>
      </vt:variant>
      <vt:variant>
        <vt:lpwstr/>
      </vt:variant>
      <vt:variant>
        <vt:lpwstr>_Toc171685797</vt:lpwstr>
      </vt:variant>
      <vt:variant>
        <vt:i4>1703999</vt:i4>
      </vt:variant>
      <vt:variant>
        <vt:i4>584</vt:i4>
      </vt:variant>
      <vt:variant>
        <vt:i4>0</vt:i4>
      </vt:variant>
      <vt:variant>
        <vt:i4>5</vt:i4>
      </vt:variant>
      <vt:variant>
        <vt:lpwstr/>
      </vt:variant>
      <vt:variant>
        <vt:lpwstr>_Toc171685796</vt:lpwstr>
      </vt:variant>
      <vt:variant>
        <vt:i4>1703999</vt:i4>
      </vt:variant>
      <vt:variant>
        <vt:i4>578</vt:i4>
      </vt:variant>
      <vt:variant>
        <vt:i4>0</vt:i4>
      </vt:variant>
      <vt:variant>
        <vt:i4>5</vt:i4>
      </vt:variant>
      <vt:variant>
        <vt:lpwstr/>
      </vt:variant>
      <vt:variant>
        <vt:lpwstr>_Toc171685795</vt:lpwstr>
      </vt:variant>
      <vt:variant>
        <vt:i4>1703999</vt:i4>
      </vt:variant>
      <vt:variant>
        <vt:i4>572</vt:i4>
      </vt:variant>
      <vt:variant>
        <vt:i4>0</vt:i4>
      </vt:variant>
      <vt:variant>
        <vt:i4>5</vt:i4>
      </vt:variant>
      <vt:variant>
        <vt:lpwstr/>
      </vt:variant>
      <vt:variant>
        <vt:lpwstr>_Toc171685794</vt:lpwstr>
      </vt:variant>
      <vt:variant>
        <vt:i4>1703999</vt:i4>
      </vt:variant>
      <vt:variant>
        <vt:i4>566</vt:i4>
      </vt:variant>
      <vt:variant>
        <vt:i4>0</vt:i4>
      </vt:variant>
      <vt:variant>
        <vt:i4>5</vt:i4>
      </vt:variant>
      <vt:variant>
        <vt:lpwstr/>
      </vt:variant>
      <vt:variant>
        <vt:lpwstr>_Toc171685793</vt:lpwstr>
      </vt:variant>
      <vt:variant>
        <vt:i4>1703999</vt:i4>
      </vt:variant>
      <vt:variant>
        <vt:i4>560</vt:i4>
      </vt:variant>
      <vt:variant>
        <vt:i4>0</vt:i4>
      </vt:variant>
      <vt:variant>
        <vt:i4>5</vt:i4>
      </vt:variant>
      <vt:variant>
        <vt:lpwstr/>
      </vt:variant>
      <vt:variant>
        <vt:lpwstr>_Toc171685792</vt:lpwstr>
      </vt:variant>
      <vt:variant>
        <vt:i4>1703999</vt:i4>
      </vt:variant>
      <vt:variant>
        <vt:i4>554</vt:i4>
      </vt:variant>
      <vt:variant>
        <vt:i4>0</vt:i4>
      </vt:variant>
      <vt:variant>
        <vt:i4>5</vt:i4>
      </vt:variant>
      <vt:variant>
        <vt:lpwstr/>
      </vt:variant>
      <vt:variant>
        <vt:lpwstr>_Toc171685791</vt:lpwstr>
      </vt:variant>
      <vt:variant>
        <vt:i4>1703999</vt:i4>
      </vt:variant>
      <vt:variant>
        <vt:i4>548</vt:i4>
      </vt:variant>
      <vt:variant>
        <vt:i4>0</vt:i4>
      </vt:variant>
      <vt:variant>
        <vt:i4>5</vt:i4>
      </vt:variant>
      <vt:variant>
        <vt:lpwstr/>
      </vt:variant>
      <vt:variant>
        <vt:lpwstr>_Toc171685790</vt:lpwstr>
      </vt:variant>
      <vt:variant>
        <vt:i4>1769535</vt:i4>
      </vt:variant>
      <vt:variant>
        <vt:i4>542</vt:i4>
      </vt:variant>
      <vt:variant>
        <vt:i4>0</vt:i4>
      </vt:variant>
      <vt:variant>
        <vt:i4>5</vt:i4>
      </vt:variant>
      <vt:variant>
        <vt:lpwstr/>
      </vt:variant>
      <vt:variant>
        <vt:lpwstr>_Toc171685789</vt:lpwstr>
      </vt:variant>
      <vt:variant>
        <vt:i4>1769535</vt:i4>
      </vt:variant>
      <vt:variant>
        <vt:i4>536</vt:i4>
      </vt:variant>
      <vt:variant>
        <vt:i4>0</vt:i4>
      </vt:variant>
      <vt:variant>
        <vt:i4>5</vt:i4>
      </vt:variant>
      <vt:variant>
        <vt:lpwstr/>
      </vt:variant>
      <vt:variant>
        <vt:lpwstr>_Toc171685788</vt:lpwstr>
      </vt:variant>
      <vt:variant>
        <vt:i4>1769535</vt:i4>
      </vt:variant>
      <vt:variant>
        <vt:i4>530</vt:i4>
      </vt:variant>
      <vt:variant>
        <vt:i4>0</vt:i4>
      </vt:variant>
      <vt:variant>
        <vt:i4>5</vt:i4>
      </vt:variant>
      <vt:variant>
        <vt:lpwstr/>
      </vt:variant>
      <vt:variant>
        <vt:lpwstr>_Toc171685787</vt:lpwstr>
      </vt:variant>
      <vt:variant>
        <vt:i4>1769535</vt:i4>
      </vt:variant>
      <vt:variant>
        <vt:i4>524</vt:i4>
      </vt:variant>
      <vt:variant>
        <vt:i4>0</vt:i4>
      </vt:variant>
      <vt:variant>
        <vt:i4>5</vt:i4>
      </vt:variant>
      <vt:variant>
        <vt:lpwstr/>
      </vt:variant>
      <vt:variant>
        <vt:lpwstr>_Toc171685786</vt:lpwstr>
      </vt:variant>
      <vt:variant>
        <vt:i4>1769535</vt:i4>
      </vt:variant>
      <vt:variant>
        <vt:i4>518</vt:i4>
      </vt:variant>
      <vt:variant>
        <vt:i4>0</vt:i4>
      </vt:variant>
      <vt:variant>
        <vt:i4>5</vt:i4>
      </vt:variant>
      <vt:variant>
        <vt:lpwstr/>
      </vt:variant>
      <vt:variant>
        <vt:lpwstr>_Toc171685785</vt:lpwstr>
      </vt:variant>
      <vt:variant>
        <vt:i4>1769535</vt:i4>
      </vt:variant>
      <vt:variant>
        <vt:i4>512</vt:i4>
      </vt:variant>
      <vt:variant>
        <vt:i4>0</vt:i4>
      </vt:variant>
      <vt:variant>
        <vt:i4>5</vt:i4>
      </vt:variant>
      <vt:variant>
        <vt:lpwstr/>
      </vt:variant>
      <vt:variant>
        <vt:lpwstr>_Toc171685784</vt:lpwstr>
      </vt:variant>
      <vt:variant>
        <vt:i4>7340135</vt:i4>
      </vt:variant>
      <vt:variant>
        <vt:i4>507</vt:i4>
      </vt:variant>
      <vt:variant>
        <vt:i4>0</vt:i4>
      </vt:variant>
      <vt:variant>
        <vt:i4>5</vt:i4>
      </vt:variant>
      <vt:variant>
        <vt:lpwstr>https://www.doe.mass.edu/finance/statistics/per-pupil-exp.xlsx</vt:lpwstr>
      </vt:variant>
      <vt:variant>
        <vt:lpwstr/>
      </vt:variant>
      <vt:variant>
        <vt:i4>7340135</vt:i4>
      </vt:variant>
      <vt:variant>
        <vt:i4>504</vt:i4>
      </vt:variant>
      <vt:variant>
        <vt:i4>0</vt:i4>
      </vt:variant>
      <vt:variant>
        <vt:i4>5</vt:i4>
      </vt:variant>
      <vt:variant>
        <vt:lpwstr>https://www.doe.mass.edu/finance/statistics/per-pupil-exp.xlsx</vt:lpwstr>
      </vt:variant>
      <vt:variant>
        <vt:lpwstr/>
      </vt:variant>
      <vt:variant>
        <vt:i4>7340135</vt:i4>
      </vt:variant>
      <vt:variant>
        <vt:i4>501</vt:i4>
      </vt:variant>
      <vt:variant>
        <vt:i4>0</vt:i4>
      </vt:variant>
      <vt:variant>
        <vt:i4>5</vt:i4>
      </vt:variant>
      <vt:variant>
        <vt:lpwstr>https://www.doe.mass.edu/finance/statistics/per-pupil-exp.xlsx</vt:lpwstr>
      </vt:variant>
      <vt:variant>
        <vt:lpwstr/>
      </vt:variant>
      <vt:variant>
        <vt:i4>2228324</vt:i4>
      </vt:variant>
      <vt:variant>
        <vt:i4>498</vt:i4>
      </vt:variant>
      <vt:variant>
        <vt:i4>0</vt:i4>
      </vt:variant>
      <vt:variant>
        <vt:i4>5</vt:i4>
      </vt:variant>
      <vt:variant>
        <vt:lpwstr>https://www.erstrategies.org/cms/files/2752-student-based-budgeting-guide.pdf), from Education Resource Strategies</vt:lpwstr>
      </vt:variant>
      <vt:variant>
        <vt:lpwstr/>
      </vt:variant>
      <vt:variant>
        <vt:i4>5636162</vt:i4>
      </vt:variant>
      <vt:variant>
        <vt:i4>495</vt:i4>
      </vt:variant>
      <vt:variant>
        <vt:i4>0</vt:i4>
      </vt:variant>
      <vt:variant>
        <vt:i4>5</vt:i4>
      </vt:variant>
      <vt:variant>
        <vt:lpwstr>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vt:lpwstr>
      </vt:variant>
      <vt:variant>
        <vt:lpwstr/>
      </vt:variant>
      <vt:variant>
        <vt:i4>8126589</vt:i4>
      </vt:variant>
      <vt:variant>
        <vt:i4>492</vt:i4>
      </vt:variant>
      <vt:variant>
        <vt:i4>0</vt:i4>
      </vt:variant>
      <vt:variant>
        <vt:i4>5</vt:i4>
      </vt:variant>
      <vt:variant>
        <vt:lpwstr>https://gtlcenter.org/products-resources/spending-money-wisely-getting-most-school-district-budgets</vt:lpwstr>
      </vt:variant>
      <vt:variant>
        <vt:lpwstr/>
      </vt:variant>
      <vt:variant>
        <vt:i4>524356</vt:i4>
      </vt:variant>
      <vt:variant>
        <vt:i4>489</vt:i4>
      </vt:variant>
      <vt:variant>
        <vt:i4>0</vt:i4>
      </vt:variant>
      <vt:variant>
        <vt:i4>5</vt:i4>
      </vt:variant>
      <vt:variant>
        <vt:lpwstr>https://www.doe.mass.edu/research/radar/</vt:lpwstr>
      </vt:variant>
      <vt:variant>
        <vt:lpwstr/>
      </vt:variant>
      <vt:variant>
        <vt:i4>7143462</vt:i4>
      </vt:variant>
      <vt:variant>
        <vt:i4>486</vt:i4>
      </vt:variant>
      <vt:variant>
        <vt:i4>0</vt:i4>
      </vt:variant>
      <vt:variant>
        <vt:i4>5</vt:i4>
      </vt:variant>
      <vt:variant>
        <vt:lpwstr>https://www.doe.mass.edu/research/success/</vt:lpwstr>
      </vt:variant>
      <vt:variant>
        <vt:lpwstr/>
      </vt:variant>
      <vt:variant>
        <vt:i4>1572948</vt:i4>
      </vt:variant>
      <vt:variant>
        <vt:i4>483</vt:i4>
      </vt:variant>
      <vt:variant>
        <vt:i4>0</vt:i4>
      </vt:variant>
      <vt:variant>
        <vt:i4>5</vt:i4>
      </vt:variant>
      <vt:variant>
        <vt:lpwstr>https://www.doe.mass.edu/cnp/</vt:lpwstr>
      </vt:variant>
      <vt:variant>
        <vt:lpwstr/>
      </vt:variant>
      <vt:variant>
        <vt:i4>7209019</vt:i4>
      </vt:variant>
      <vt:variant>
        <vt:i4>480</vt:i4>
      </vt:variant>
      <vt:variant>
        <vt:i4>0</vt:i4>
      </vt:variant>
      <vt:variant>
        <vt:i4>5</vt:i4>
      </vt:variant>
      <vt:variant>
        <vt:lpwstr>https://www.massfarmtoschool.org/announcement/grant-opportunities/</vt:lpwstr>
      </vt:variant>
      <vt:variant>
        <vt:lpwstr/>
      </vt:variant>
      <vt:variant>
        <vt:i4>1703942</vt:i4>
      </vt:variant>
      <vt:variant>
        <vt:i4>477</vt:i4>
      </vt:variant>
      <vt:variant>
        <vt:i4>0</vt:i4>
      </vt:variant>
      <vt:variant>
        <vt:i4>5</vt:i4>
      </vt:variant>
      <vt:variant>
        <vt:lpwstr>https://www.doe.mass.edu/federalgrants/resources/default.html</vt:lpwstr>
      </vt:variant>
      <vt:variant>
        <vt:lpwstr/>
      </vt:variant>
      <vt:variant>
        <vt:i4>1376273</vt:i4>
      </vt:variant>
      <vt:variant>
        <vt:i4>474</vt:i4>
      </vt:variant>
      <vt:variant>
        <vt:i4>0</vt:i4>
      </vt:variant>
      <vt:variant>
        <vt:i4>5</vt:i4>
      </vt:variant>
      <vt:variant>
        <vt:lpwstr>https://www.doe.mass.edu/finance/statistics/default.html</vt:lpwstr>
      </vt:variant>
      <vt:variant>
        <vt:lpwstr/>
      </vt:variant>
      <vt:variant>
        <vt:i4>7471214</vt:i4>
      </vt:variant>
      <vt:variant>
        <vt:i4>471</vt:i4>
      </vt:variant>
      <vt:variant>
        <vt:i4>0</vt:i4>
      </vt:variant>
      <vt:variant>
        <vt:i4>5</vt:i4>
      </vt:variant>
      <vt:variant>
        <vt:lpwstr>https://www.doe.mass.edu/ele/slife/default.html</vt:lpwstr>
      </vt:variant>
      <vt:variant>
        <vt:lpwstr/>
      </vt:variant>
      <vt:variant>
        <vt:i4>65628</vt:i4>
      </vt:variant>
      <vt:variant>
        <vt:i4>468</vt:i4>
      </vt:variant>
      <vt:variant>
        <vt:i4>0</vt:i4>
      </vt:variant>
      <vt:variant>
        <vt:i4>5</vt:i4>
      </vt:variant>
      <vt:variant>
        <vt:lpwstr>https://www.doe.mass.edu/sfs/sel/sel-all.docx</vt:lpwstr>
      </vt:variant>
      <vt:variant>
        <vt:lpwstr/>
      </vt:variant>
      <vt:variant>
        <vt:i4>6291562</vt:i4>
      </vt:variant>
      <vt:variant>
        <vt:i4>465</vt:i4>
      </vt:variant>
      <vt:variant>
        <vt:i4>0</vt:i4>
      </vt:variant>
      <vt:variant>
        <vt:i4>5</vt:i4>
      </vt:variant>
      <vt:variant>
        <vt:lpwstr>https://www.doe.mass.edu/sfs/earlylearning/pli.html</vt:lpwstr>
      </vt:variant>
      <vt:variant>
        <vt:lpwstr/>
      </vt:variant>
      <vt:variant>
        <vt:i4>458821</vt:i4>
      </vt:variant>
      <vt:variant>
        <vt:i4>462</vt:i4>
      </vt:variant>
      <vt:variant>
        <vt:i4>0</vt:i4>
      </vt:variant>
      <vt:variant>
        <vt:i4>5</vt:i4>
      </vt:variant>
      <vt:variant>
        <vt:lpwstr>https://www.doe.mass.edu/sfs/earlylearning/resources/</vt:lpwstr>
      </vt:variant>
      <vt:variant>
        <vt:lpwstr>standards</vt:lpwstr>
      </vt:variant>
      <vt:variant>
        <vt:i4>3407915</vt:i4>
      </vt:variant>
      <vt:variant>
        <vt:i4>459</vt:i4>
      </vt:variant>
      <vt:variant>
        <vt:i4>0</vt:i4>
      </vt:variant>
      <vt:variant>
        <vt:i4>5</vt:i4>
      </vt:variant>
      <vt:variant>
        <vt:lpwstr>https://www.doe.mass.edu/sfs/bullying/selguide.docx</vt:lpwstr>
      </vt:variant>
      <vt:variant>
        <vt:lpwstr/>
      </vt:variant>
      <vt:variant>
        <vt:i4>3145830</vt:i4>
      </vt:variant>
      <vt:variant>
        <vt:i4>456</vt:i4>
      </vt:variant>
      <vt:variant>
        <vt:i4>0</vt:i4>
      </vt:variant>
      <vt:variant>
        <vt:i4>5</vt:i4>
      </vt:variant>
      <vt:variant>
        <vt:lpwstr>https://www.doe.mass.edu/sfs/earlylearning/resources/sel1-3/resources-g1-3.docx</vt:lpwstr>
      </vt:variant>
      <vt:variant>
        <vt:lpwstr/>
      </vt:variant>
      <vt:variant>
        <vt:i4>7602288</vt:i4>
      </vt:variant>
      <vt:variant>
        <vt:i4>453</vt:i4>
      </vt:variant>
      <vt:variant>
        <vt:i4>0</vt:i4>
      </vt:variant>
      <vt:variant>
        <vt:i4>5</vt:i4>
      </vt:variant>
      <vt:variant>
        <vt:lpwstr>https://massschoolwellness.org/</vt:lpwstr>
      </vt:variant>
      <vt:variant>
        <vt:lpwstr/>
      </vt:variant>
      <vt:variant>
        <vt:i4>6946913</vt:i4>
      </vt:variant>
      <vt:variant>
        <vt:i4>450</vt:i4>
      </vt:variant>
      <vt:variant>
        <vt:i4>0</vt:i4>
      </vt:variant>
      <vt:variant>
        <vt:i4>5</vt:i4>
      </vt:variant>
      <vt:variant>
        <vt:lpwstr>https://www.projectbread.org/resource-directory/breakfast-after-the-bell-resources</vt:lpwstr>
      </vt:variant>
      <vt:variant>
        <vt:lpwstr/>
      </vt:variant>
      <vt:variant>
        <vt:i4>3342449</vt:i4>
      </vt:variant>
      <vt:variant>
        <vt:i4>447</vt:i4>
      </vt:variant>
      <vt:variant>
        <vt:i4>0</vt:i4>
      </vt:variant>
      <vt:variant>
        <vt:i4>5</vt:i4>
      </vt:variant>
      <vt:variant>
        <vt:lpwstr>https://www.sassma.org/</vt:lpwstr>
      </vt:variant>
      <vt:variant>
        <vt:lpwstr/>
      </vt:variant>
      <vt:variant>
        <vt:i4>655441</vt:i4>
      </vt:variant>
      <vt:variant>
        <vt:i4>444</vt:i4>
      </vt:variant>
      <vt:variant>
        <vt:i4>0</vt:i4>
      </vt:variant>
      <vt:variant>
        <vt:i4>5</vt:i4>
      </vt:variant>
      <vt:variant>
        <vt:lpwstr>https://www.doe.mass.edu/ele/resources/immigrant-refugee.html</vt:lpwstr>
      </vt:variant>
      <vt:variant>
        <vt:lpwstr/>
      </vt:variant>
      <vt:variant>
        <vt:i4>6881315</vt:i4>
      </vt:variant>
      <vt:variant>
        <vt:i4>441</vt:i4>
      </vt:variant>
      <vt:variant>
        <vt:i4>0</vt:i4>
      </vt:variant>
      <vt:variant>
        <vt:i4>5</vt:i4>
      </vt:variant>
      <vt:variant>
        <vt:lpwstr>https://matoolsforschools.com/</vt:lpwstr>
      </vt:variant>
      <vt:variant>
        <vt:lpwstr/>
      </vt:variant>
      <vt:variant>
        <vt:i4>2293809</vt:i4>
      </vt:variant>
      <vt:variant>
        <vt:i4>438</vt:i4>
      </vt:variant>
      <vt:variant>
        <vt:i4>0</vt:i4>
      </vt:variant>
      <vt:variant>
        <vt:i4>5</vt:i4>
      </vt:variant>
      <vt:variant>
        <vt:lpwstr>https://www.doe.mass.edu/sfss/mtss/</vt:lpwstr>
      </vt:variant>
      <vt:variant>
        <vt:lpwstr/>
      </vt:variant>
      <vt:variant>
        <vt:i4>458837</vt:i4>
      </vt:variant>
      <vt:variant>
        <vt:i4>435</vt:i4>
      </vt:variant>
      <vt:variant>
        <vt:i4>0</vt:i4>
      </vt:variant>
      <vt:variant>
        <vt:i4>5</vt:i4>
      </vt:variant>
      <vt:variant>
        <vt:lpwstr>https://www.doe.mass.edu/sfs/discipline/updated-expectations.docx</vt:lpwstr>
      </vt:variant>
      <vt:variant>
        <vt:lpwstr/>
      </vt:variant>
      <vt:variant>
        <vt:i4>7667769</vt:i4>
      </vt:variant>
      <vt:variant>
        <vt:i4>432</vt:i4>
      </vt:variant>
      <vt:variant>
        <vt:i4>0</vt:i4>
      </vt:variant>
      <vt:variant>
        <vt:i4>5</vt:i4>
      </vt:variant>
      <vt:variant>
        <vt:lpwstr>https://www.doe.mass.edu/highstandards/default.html</vt:lpwstr>
      </vt:variant>
      <vt:variant>
        <vt:lpwstr/>
      </vt:variant>
      <vt:variant>
        <vt:i4>4849689</vt:i4>
      </vt:variant>
      <vt:variant>
        <vt:i4>429</vt:i4>
      </vt:variant>
      <vt:variant>
        <vt:i4>0</vt:i4>
      </vt:variant>
      <vt:variant>
        <vt:i4>5</vt:i4>
      </vt:variant>
      <vt:variant>
        <vt:lpwstr>https://www.doe.mass.edu/sfs/family-engagement-framework.pdf</vt:lpwstr>
      </vt:variant>
      <vt:variant>
        <vt:lpwstr/>
      </vt:variant>
      <vt:variant>
        <vt:i4>2490408</vt:i4>
      </vt:variant>
      <vt:variant>
        <vt:i4>426</vt:i4>
      </vt:variant>
      <vt:variant>
        <vt:i4>0</vt:i4>
      </vt:variant>
      <vt:variant>
        <vt:i4>5</vt:i4>
      </vt:variant>
      <vt:variant>
        <vt:lpwstr>https://www.doe.mass.edu/families/</vt:lpwstr>
      </vt:variant>
      <vt:variant>
        <vt:lpwstr/>
      </vt:variant>
      <vt:variant>
        <vt:i4>8323174</vt:i4>
      </vt:variant>
      <vt:variant>
        <vt:i4>423</vt:i4>
      </vt:variant>
      <vt:variant>
        <vt:i4>0</vt:i4>
      </vt:variant>
      <vt:variant>
        <vt:i4>5</vt:i4>
      </vt:variant>
      <vt:variant>
        <vt:lpwstr>https://www.doe.mass.edu/sfs/emergencyplan/default.html</vt:lpwstr>
      </vt:variant>
      <vt:variant>
        <vt:lpwstr/>
      </vt:variant>
      <vt:variant>
        <vt:i4>786436</vt:i4>
      </vt:variant>
      <vt:variant>
        <vt:i4>420</vt:i4>
      </vt:variant>
      <vt:variant>
        <vt:i4>0</vt:i4>
      </vt:variant>
      <vt:variant>
        <vt:i4>5</vt:i4>
      </vt:variant>
      <vt:variant>
        <vt:lpwstr>https://rems.ed.gov/</vt:lpwstr>
      </vt:variant>
      <vt:variant>
        <vt:lpwstr/>
      </vt:variant>
      <vt:variant>
        <vt:i4>6488162</vt:i4>
      </vt:variant>
      <vt:variant>
        <vt:i4>417</vt:i4>
      </vt:variant>
      <vt:variant>
        <vt:i4>0</vt:i4>
      </vt:variant>
      <vt:variant>
        <vt:i4>5</vt:i4>
      </vt:variant>
      <vt:variant>
        <vt:lpwstr>https://www.doe.mass.edu/sfs/bullying/default.html</vt:lpwstr>
      </vt:variant>
      <vt:variant>
        <vt:lpwstr/>
      </vt:variant>
      <vt:variant>
        <vt:i4>4325441</vt:i4>
      </vt:variant>
      <vt:variant>
        <vt:i4>414</vt:i4>
      </vt:variant>
      <vt:variant>
        <vt:i4>0</vt:i4>
      </vt:variant>
      <vt:variant>
        <vt:i4>5</vt:i4>
      </vt:variant>
      <vt:variant>
        <vt:lpwstr>https://www.doe.mass.edu/ele/prof-learning/wida/default.html</vt:lpwstr>
      </vt:variant>
      <vt:variant>
        <vt:lpwstr/>
      </vt:variant>
      <vt:variant>
        <vt:i4>3080304</vt:i4>
      </vt:variant>
      <vt:variant>
        <vt:i4>411</vt:i4>
      </vt:variant>
      <vt:variant>
        <vt:i4>0</vt:i4>
      </vt:variant>
      <vt:variant>
        <vt:i4>5</vt:i4>
      </vt:variant>
      <vt:variant>
        <vt:lpwstr>https://www.doe.mass.edu/edeffectiveness/talent-guide/default.html</vt:lpwstr>
      </vt:variant>
      <vt:variant>
        <vt:lpwstr/>
      </vt:variant>
      <vt:variant>
        <vt:i4>458843</vt:i4>
      </vt:variant>
      <vt:variant>
        <vt:i4>408</vt:i4>
      </vt:variant>
      <vt:variant>
        <vt:i4>0</vt:i4>
      </vt:variant>
      <vt:variant>
        <vt:i4>5</vt:i4>
      </vt:variant>
      <vt:variant>
        <vt:lpwstr>https://www.doe.mass.edu/frameworks/observation/</vt:lpwstr>
      </vt:variant>
      <vt:variant>
        <vt:lpwstr/>
      </vt:variant>
      <vt:variant>
        <vt:i4>7209059</vt:i4>
      </vt:variant>
      <vt:variant>
        <vt:i4>405</vt:i4>
      </vt:variant>
      <vt:variant>
        <vt:i4>0</vt:i4>
      </vt:variant>
      <vt:variant>
        <vt:i4>5</vt:i4>
      </vt:variant>
      <vt:variant>
        <vt:lpwstr>https://plpartnerguide.org/</vt:lpwstr>
      </vt:variant>
      <vt:variant>
        <vt:lpwstr/>
      </vt:variant>
      <vt:variant>
        <vt:i4>6226008</vt:i4>
      </vt:variant>
      <vt:variant>
        <vt:i4>402</vt:i4>
      </vt:variant>
      <vt:variant>
        <vt:i4>0</vt:i4>
      </vt:variant>
      <vt:variant>
        <vt:i4>5</vt:i4>
      </vt:variant>
      <vt:variant>
        <vt:lpwstr>https://www.ma-optic.com/</vt:lpwstr>
      </vt:variant>
      <vt:variant>
        <vt:lpwstr/>
      </vt:variant>
      <vt:variant>
        <vt:i4>2883618</vt:i4>
      </vt:variant>
      <vt:variant>
        <vt:i4>399</vt:i4>
      </vt:variant>
      <vt:variant>
        <vt:i4>0</vt:i4>
      </vt:variant>
      <vt:variant>
        <vt:i4>5</vt:i4>
      </vt:variant>
      <vt:variant>
        <vt:lpwstr>https://www.doe.mass.edu/mtel/</vt:lpwstr>
      </vt:variant>
      <vt:variant>
        <vt:lpwstr/>
      </vt:variant>
      <vt:variant>
        <vt:i4>7667821</vt:i4>
      </vt:variant>
      <vt:variant>
        <vt:i4>396</vt:i4>
      </vt:variant>
      <vt:variant>
        <vt:i4>0</vt:i4>
      </vt:variant>
      <vt:variant>
        <vt:i4>5</vt:i4>
      </vt:variant>
      <vt:variant>
        <vt:lpwstr>https://www.doe.mass.edu/edeffectiveness/mentor/principal.html</vt:lpwstr>
      </vt:variant>
      <vt:variant>
        <vt:lpwstr/>
      </vt:variant>
      <vt:variant>
        <vt:i4>589832</vt:i4>
      </vt:variant>
      <vt:variant>
        <vt:i4>393</vt:i4>
      </vt:variant>
      <vt:variant>
        <vt:i4>0</vt:i4>
      </vt:variant>
      <vt:variant>
        <vt:i4>5</vt:i4>
      </vt:variant>
      <vt:variant>
        <vt:lpwstr>https://www.doe.mass.edu/edeffectiveness/mentor/default.html</vt:lpwstr>
      </vt:variant>
      <vt:variant>
        <vt:lpwstr/>
      </vt:variant>
      <vt:variant>
        <vt:i4>2555951</vt:i4>
      </vt:variant>
      <vt:variant>
        <vt:i4>390</vt:i4>
      </vt:variant>
      <vt:variant>
        <vt:i4>0</vt:i4>
      </vt:variant>
      <vt:variant>
        <vt:i4>5</vt:i4>
      </vt:variant>
      <vt:variant>
        <vt:lpwstr>https://www.doe.mass.edu/edeval/implementation/default.html</vt:lpwstr>
      </vt:variant>
      <vt:variant>
        <vt:lpwstr/>
      </vt:variant>
      <vt:variant>
        <vt:i4>6225986</vt:i4>
      </vt:variant>
      <vt:variant>
        <vt:i4>387</vt:i4>
      </vt:variant>
      <vt:variant>
        <vt:i4>0</vt:i4>
      </vt:variant>
      <vt:variant>
        <vt:i4>5</vt:i4>
      </vt:variant>
      <vt:variant>
        <vt:lpwstr>https://www.doe.mass.edu/edprep/resources/early-literacy-observation.html</vt:lpwstr>
      </vt:variant>
      <vt:variant>
        <vt:lpwstr/>
      </vt:variant>
      <vt:variant>
        <vt:i4>4587598</vt:i4>
      </vt:variant>
      <vt:variant>
        <vt:i4>384</vt:i4>
      </vt:variant>
      <vt:variant>
        <vt:i4>0</vt:i4>
      </vt:variant>
      <vt:variant>
        <vt:i4>5</vt:i4>
      </vt:variant>
      <vt:variant>
        <vt:lpwstr>https://www.doe.mass.edu/assessment/</vt:lpwstr>
      </vt:variant>
      <vt:variant>
        <vt:lpwstr/>
      </vt:variant>
      <vt:variant>
        <vt:i4>7929956</vt:i4>
      </vt:variant>
      <vt:variant>
        <vt:i4>381</vt:i4>
      </vt:variant>
      <vt:variant>
        <vt:i4>0</vt:i4>
      </vt:variant>
      <vt:variant>
        <vt:i4>5</vt:i4>
      </vt:variant>
      <vt:variant>
        <vt:lpwstr>https://www.doe.mass.edu/instruction/screening-assessments.html</vt:lpwstr>
      </vt:variant>
      <vt:variant>
        <vt:lpwstr/>
      </vt:variant>
      <vt:variant>
        <vt:i4>3080239</vt:i4>
      </vt:variant>
      <vt:variant>
        <vt:i4>378</vt:i4>
      </vt:variant>
      <vt:variant>
        <vt:i4>0</vt:i4>
      </vt:variant>
      <vt:variant>
        <vt:i4>5</vt:i4>
      </vt:variant>
      <vt:variant>
        <vt:lpwstr>http://www.doe.mass.edu/accountability/toolkit/</vt:lpwstr>
      </vt:variant>
      <vt:variant>
        <vt:lpwstr/>
      </vt:variant>
      <vt:variant>
        <vt:i4>3604525</vt:i4>
      </vt:variant>
      <vt:variant>
        <vt:i4>375</vt:i4>
      </vt:variant>
      <vt:variant>
        <vt:i4>0</vt:i4>
      </vt:variant>
      <vt:variant>
        <vt:i4>5</vt:i4>
      </vt:variant>
      <vt:variant>
        <vt:lpwstr>https://www.doe.mass.edu/acls/assessment/continuum.pdf</vt:lpwstr>
      </vt:variant>
      <vt:variant>
        <vt:lpwstr/>
      </vt:variant>
      <vt:variant>
        <vt:i4>7995502</vt:i4>
      </vt:variant>
      <vt:variant>
        <vt:i4>372</vt:i4>
      </vt:variant>
      <vt:variant>
        <vt:i4>0</vt:i4>
      </vt:variant>
      <vt:variant>
        <vt:i4>5</vt:i4>
      </vt:variant>
      <vt:variant>
        <vt:lpwstr>https://www.doe.mass.edu/sfs/earlylearning/default.html</vt:lpwstr>
      </vt:variant>
      <vt:variant>
        <vt:lpwstr/>
      </vt:variant>
      <vt:variant>
        <vt:i4>5570580</vt:i4>
      </vt:variant>
      <vt:variant>
        <vt:i4>369</vt:i4>
      </vt:variant>
      <vt:variant>
        <vt:i4>0</vt:i4>
      </vt:variant>
      <vt:variant>
        <vt:i4>5</vt:i4>
      </vt:variant>
      <vt:variant>
        <vt:lpwstr>https://view.officeapps.live.com/op/view.aspx?src=https%3A%2F%2Fwww.doe.mass.edu%2Fcsdp%2Fguidebook%2Fappendix-ilt-framework.docx&amp;wdOrigin=BROWSELINK</vt:lpwstr>
      </vt:variant>
      <vt:variant>
        <vt:lpwstr/>
      </vt:variant>
      <vt:variant>
        <vt:i4>3997819</vt:i4>
      </vt:variant>
      <vt:variant>
        <vt:i4>366</vt:i4>
      </vt:variant>
      <vt:variant>
        <vt:i4>0</vt:i4>
      </vt:variant>
      <vt:variant>
        <vt:i4>5</vt:i4>
      </vt:variant>
      <vt:variant>
        <vt:lpwstr>https://www.doe.mass.edu/instruction/culturally-sustaining/default.html</vt:lpwstr>
      </vt:variant>
      <vt:variant>
        <vt:lpwstr/>
      </vt:variant>
      <vt:variant>
        <vt:i4>3932207</vt:i4>
      </vt:variant>
      <vt:variant>
        <vt:i4>363</vt:i4>
      </vt:variant>
      <vt:variant>
        <vt:i4>0</vt:i4>
      </vt:variant>
      <vt:variant>
        <vt:i4>5</vt:i4>
      </vt:variant>
      <vt:variant>
        <vt:lpwstr>https://www.doe.mass.edu/kaleidoscope/planning/default.html</vt:lpwstr>
      </vt:variant>
      <vt:variant>
        <vt:lpwstr/>
      </vt:variant>
      <vt:variant>
        <vt:i4>4653124</vt:i4>
      </vt:variant>
      <vt:variant>
        <vt:i4>360</vt:i4>
      </vt:variant>
      <vt:variant>
        <vt:i4>0</vt:i4>
      </vt:variant>
      <vt:variant>
        <vt:i4>5</vt:i4>
      </vt:variant>
      <vt:variant>
        <vt:lpwstr>https://www.doe.mass.edu/stem/ste/openscied.html</vt:lpwstr>
      </vt:variant>
      <vt:variant>
        <vt:lpwstr/>
      </vt:variant>
      <vt:variant>
        <vt:i4>2162741</vt:i4>
      </vt:variant>
      <vt:variant>
        <vt:i4>357</vt:i4>
      </vt:variant>
      <vt:variant>
        <vt:i4>0</vt:i4>
      </vt:variant>
      <vt:variant>
        <vt:i4>5</vt:i4>
      </vt:variant>
      <vt:variant>
        <vt:lpwstr>https://www.doe.mass.edu/investigatinghistory/</vt:lpwstr>
      </vt:variant>
      <vt:variant>
        <vt:lpwstr/>
      </vt:variant>
      <vt:variant>
        <vt:i4>2228350</vt:i4>
      </vt:variant>
      <vt:variant>
        <vt:i4>354</vt:i4>
      </vt:variant>
      <vt:variant>
        <vt:i4>0</vt:i4>
      </vt:variant>
      <vt:variant>
        <vt:i4>5</vt:i4>
      </vt:variant>
      <vt:variant>
        <vt:lpwstr>https://sites.google.com/view/appleseedsk2/home</vt:lpwstr>
      </vt:variant>
      <vt:variant>
        <vt:lpwstr/>
      </vt:variant>
      <vt:variant>
        <vt:i4>7798897</vt:i4>
      </vt:variant>
      <vt:variant>
        <vt:i4>351</vt:i4>
      </vt:variant>
      <vt:variant>
        <vt:i4>0</vt:i4>
      </vt:variant>
      <vt:variant>
        <vt:i4>5</vt:i4>
      </vt:variant>
      <vt:variant>
        <vt:lpwstr>https://www.doe.mass.edu/ele/blueprint/default.html</vt:lpwstr>
      </vt:variant>
      <vt:variant>
        <vt:lpwstr/>
      </vt:variant>
      <vt:variant>
        <vt:i4>3342396</vt:i4>
      </vt:variant>
      <vt:variant>
        <vt:i4>348</vt:i4>
      </vt:variant>
      <vt:variant>
        <vt:i4>0</vt:i4>
      </vt:variant>
      <vt:variant>
        <vt:i4>5</vt:i4>
      </vt:variant>
      <vt:variant>
        <vt:lpwstr>https://www.doe.mass.edu/massliteracy/</vt:lpwstr>
      </vt:variant>
      <vt:variant>
        <vt:lpwstr/>
      </vt:variant>
      <vt:variant>
        <vt:i4>6815805</vt:i4>
      </vt:variant>
      <vt:variant>
        <vt:i4>345</vt:i4>
      </vt:variant>
      <vt:variant>
        <vt:i4>0</vt:i4>
      </vt:variant>
      <vt:variant>
        <vt:i4>5</vt:i4>
      </vt:variant>
      <vt:variant>
        <vt:lpwstr>https://view.officeapps.live.com/op/view.aspx?src=https%3A%2F%2Fwww.doe.mass.edu%2Finstruction%2Farts%2Fdiverse-arts-guidebook.docx&amp;wdOrigin=BROWSELINK</vt:lpwstr>
      </vt:variant>
      <vt:variant>
        <vt:lpwstr/>
      </vt:variant>
      <vt:variant>
        <vt:i4>7733291</vt:i4>
      </vt:variant>
      <vt:variant>
        <vt:i4>342</vt:i4>
      </vt:variant>
      <vt:variant>
        <vt:i4>0</vt:i4>
      </vt:variant>
      <vt:variant>
        <vt:i4>5</vt:i4>
      </vt:variant>
      <vt:variant>
        <vt:lpwstr>https://www.doe.mass.edu/edeval/guidebook/</vt:lpwstr>
      </vt:variant>
      <vt:variant>
        <vt:lpwstr/>
      </vt:variant>
      <vt:variant>
        <vt:i4>8060961</vt:i4>
      </vt:variant>
      <vt:variant>
        <vt:i4>339</vt:i4>
      </vt:variant>
      <vt:variant>
        <vt:i4>0</vt:i4>
      </vt:variant>
      <vt:variant>
        <vt:i4>5</vt:i4>
      </vt:variant>
      <vt:variant>
        <vt:lpwstr>https://www.doe.mass.edu/ccte/ccr/ewis/</vt:lpwstr>
      </vt:variant>
      <vt:variant>
        <vt:lpwstr/>
      </vt:variant>
      <vt:variant>
        <vt:i4>3932287</vt:i4>
      </vt:variant>
      <vt:variant>
        <vt:i4>336</vt:i4>
      </vt:variant>
      <vt:variant>
        <vt:i4>0</vt:i4>
      </vt:variant>
      <vt:variant>
        <vt:i4>5</vt:i4>
      </vt:variant>
      <vt:variant>
        <vt:lpwstr>https://www.doe.mass.edu/stem/dlcs/curriculum-guide.pdf?v=4/12/2023</vt:lpwstr>
      </vt:variant>
      <vt:variant>
        <vt:lpwstr/>
      </vt:variant>
      <vt:variant>
        <vt:i4>1245206</vt:i4>
      </vt:variant>
      <vt:variant>
        <vt:i4>333</vt:i4>
      </vt:variant>
      <vt:variant>
        <vt:i4>0</vt:i4>
      </vt:variant>
      <vt:variant>
        <vt:i4>5</vt:i4>
      </vt:variant>
      <vt:variant>
        <vt:lpwstr>https://www.doe.mass.edu/instruction/curate/default.html</vt:lpwstr>
      </vt:variant>
      <vt:variant>
        <vt:lpwstr/>
      </vt:variant>
      <vt:variant>
        <vt:i4>7995442</vt:i4>
      </vt:variant>
      <vt:variant>
        <vt:i4>330</vt:i4>
      </vt:variant>
      <vt:variant>
        <vt:i4>0</vt:i4>
      </vt:variant>
      <vt:variant>
        <vt:i4>5</vt:i4>
      </vt:variant>
      <vt:variant>
        <vt:lpwstr>https://www.doe.mass.edu/instruction/impd/implement-ma.html</vt:lpwstr>
      </vt:variant>
      <vt:variant>
        <vt:lpwstr/>
      </vt:variant>
      <vt:variant>
        <vt:i4>7274606</vt:i4>
      </vt:variant>
      <vt:variant>
        <vt:i4>327</vt:i4>
      </vt:variant>
      <vt:variant>
        <vt:i4>0</vt:i4>
      </vt:variant>
      <vt:variant>
        <vt:i4>5</vt:i4>
      </vt:variant>
      <vt:variant>
        <vt:lpwstr>https://www.doe.mass.edu/instruction/impd/default.html</vt:lpwstr>
      </vt:variant>
      <vt:variant>
        <vt:lpwstr/>
      </vt:variant>
      <vt:variant>
        <vt:i4>4325459</vt:i4>
      </vt:variant>
      <vt:variant>
        <vt:i4>324</vt:i4>
      </vt:variant>
      <vt:variant>
        <vt:i4>0</vt:i4>
      </vt:variant>
      <vt:variant>
        <vt:i4>5</vt:i4>
      </vt:variant>
      <vt:variant>
        <vt:lpwstr>https://www.doe.mass.edu/frameworks/</vt:lpwstr>
      </vt:variant>
      <vt:variant>
        <vt:lpwstr/>
      </vt:variant>
      <vt:variant>
        <vt:i4>6750267</vt:i4>
      </vt:variant>
      <vt:variant>
        <vt:i4>321</vt:i4>
      </vt:variant>
      <vt:variant>
        <vt:i4>0</vt:i4>
      </vt:variant>
      <vt:variant>
        <vt:i4>5</vt:i4>
      </vt:variant>
      <vt:variant>
        <vt:lpwstr>https://www.doe.mass.edu/csdp/guidebook/coherence-guidebook.pdf</vt:lpwstr>
      </vt:variant>
      <vt:variant>
        <vt:lpwstr/>
      </vt:variant>
      <vt:variant>
        <vt:i4>7143462</vt:i4>
      </vt:variant>
      <vt:variant>
        <vt:i4>318</vt:i4>
      </vt:variant>
      <vt:variant>
        <vt:i4>0</vt:i4>
      </vt:variant>
      <vt:variant>
        <vt:i4>5</vt:i4>
      </vt:variant>
      <vt:variant>
        <vt:lpwstr>https://www.doe.mass.edu/research/success/</vt:lpwstr>
      </vt:variant>
      <vt:variant>
        <vt:lpwstr/>
      </vt:variant>
      <vt:variant>
        <vt:i4>7667821</vt:i4>
      </vt:variant>
      <vt:variant>
        <vt:i4>315</vt:i4>
      </vt:variant>
      <vt:variant>
        <vt:i4>0</vt:i4>
      </vt:variant>
      <vt:variant>
        <vt:i4>5</vt:i4>
      </vt:variant>
      <vt:variant>
        <vt:lpwstr>https://www.doe.mass.edu/edeffectiveness/mentor/principal.html</vt:lpwstr>
      </vt:variant>
      <vt:variant>
        <vt:lpwstr/>
      </vt:variant>
      <vt:variant>
        <vt:i4>6750267</vt:i4>
      </vt:variant>
      <vt:variant>
        <vt:i4>312</vt:i4>
      </vt:variant>
      <vt:variant>
        <vt:i4>0</vt:i4>
      </vt:variant>
      <vt:variant>
        <vt:i4>5</vt:i4>
      </vt:variant>
      <vt:variant>
        <vt:lpwstr>https://www.doe.mass.edu/csdp/guidebook/coherence-guidebook.pdf</vt:lpwstr>
      </vt:variant>
      <vt:variant>
        <vt:lpwstr/>
      </vt:variant>
      <vt:variant>
        <vt:i4>3342419</vt:i4>
      </vt:variant>
      <vt:variant>
        <vt:i4>309</vt:i4>
      </vt:variant>
      <vt:variant>
        <vt:i4>0</vt:i4>
      </vt:variant>
      <vt:variant>
        <vt:i4>5</vt:i4>
      </vt:variant>
      <vt:variant>
        <vt:lpwstr>http://metproject.org/resources/CLASS_10_29_10.pdf</vt:lpwstr>
      </vt:variant>
      <vt:variant>
        <vt:lpwstr/>
      </vt:variant>
      <vt:variant>
        <vt:i4>2359338</vt:i4>
      </vt:variant>
      <vt:variant>
        <vt:i4>306</vt:i4>
      </vt:variant>
      <vt:variant>
        <vt:i4>0</vt:i4>
      </vt:variant>
      <vt:variant>
        <vt:i4>5</vt:i4>
      </vt:variant>
      <vt:variant>
        <vt:lpwstr>http://www.teachstone.com/wp-content/uploads/2011/05/class-mtp-pk-12-brief.pdf</vt:lpwstr>
      </vt:variant>
      <vt:variant>
        <vt:lpwstr/>
      </vt:variant>
      <vt:variant>
        <vt:i4>2031675</vt:i4>
      </vt:variant>
      <vt:variant>
        <vt:i4>299</vt:i4>
      </vt:variant>
      <vt:variant>
        <vt:i4>0</vt:i4>
      </vt:variant>
      <vt:variant>
        <vt:i4>5</vt:i4>
      </vt:variant>
      <vt:variant>
        <vt:lpwstr/>
      </vt:variant>
      <vt:variant>
        <vt:lpwstr>_Toc92194271</vt:lpwstr>
      </vt:variant>
      <vt:variant>
        <vt:i4>1966139</vt:i4>
      </vt:variant>
      <vt:variant>
        <vt:i4>293</vt:i4>
      </vt:variant>
      <vt:variant>
        <vt:i4>0</vt:i4>
      </vt:variant>
      <vt:variant>
        <vt:i4>5</vt:i4>
      </vt:variant>
      <vt:variant>
        <vt:lpwstr/>
      </vt:variant>
      <vt:variant>
        <vt:lpwstr>_Toc92194270</vt:lpwstr>
      </vt:variant>
      <vt:variant>
        <vt:i4>1507386</vt:i4>
      </vt:variant>
      <vt:variant>
        <vt:i4>287</vt:i4>
      </vt:variant>
      <vt:variant>
        <vt:i4>0</vt:i4>
      </vt:variant>
      <vt:variant>
        <vt:i4>5</vt:i4>
      </vt:variant>
      <vt:variant>
        <vt:lpwstr/>
      </vt:variant>
      <vt:variant>
        <vt:lpwstr>_Toc92194269</vt:lpwstr>
      </vt:variant>
      <vt:variant>
        <vt:i4>1441850</vt:i4>
      </vt:variant>
      <vt:variant>
        <vt:i4>281</vt:i4>
      </vt:variant>
      <vt:variant>
        <vt:i4>0</vt:i4>
      </vt:variant>
      <vt:variant>
        <vt:i4>5</vt:i4>
      </vt:variant>
      <vt:variant>
        <vt:lpwstr/>
      </vt:variant>
      <vt:variant>
        <vt:lpwstr>_Toc92194268</vt:lpwstr>
      </vt:variant>
      <vt:variant>
        <vt:i4>1638458</vt:i4>
      </vt:variant>
      <vt:variant>
        <vt:i4>275</vt:i4>
      </vt:variant>
      <vt:variant>
        <vt:i4>0</vt:i4>
      </vt:variant>
      <vt:variant>
        <vt:i4>5</vt:i4>
      </vt:variant>
      <vt:variant>
        <vt:lpwstr/>
      </vt:variant>
      <vt:variant>
        <vt:lpwstr>_Toc92194267</vt:lpwstr>
      </vt:variant>
      <vt:variant>
        <vt:i4>1572922</vt:i4>
      </vt:variant>
      <vt:variant>
        <vt:i4>269</vt:i4>
      </vt:variant>
      <vt:variant>
        <vt:i4>0</vt:i4>
      </vt:variant>
      <vt:variant>
        <vt:i4>5</vt:i4>
      </vt:variant>
      <vt:variant>
        <vt:lpwstr/>
      </vt:variant>
      <vt:variant>
        <vt:lpwstr>_Toc92194266</vt:lpwstr>
      </vt:variant>
      <vt:variant>
        <vt:i4>1769530</vt:i4>
      </vt:variant>
      <vt:variant>
        <vt:i4>263</vt:i4>
      </vt:variant>
      <vt:variant>
        <vt:i4>0</vt:i4>
      </vt:variant>
      <vt:variant>
        <vt:i4>5</vt:i4>
      </vt:variant>
      <vt:variant>
        <vt:lpwstr/>
      </vt:variant>
      <vt:variant>
        <vt:lpwstr>_Toc92194265</vt:lpwstr>
      </vt:variant>
      <vt:variant>
        <vt:i4>1703994</vt:i4>
      </vt:variant>
      <vt:variant>
        <vt:i4>257</vt:i4>
      </vt:variant>
      <vt:variant>
        <vt:i4>0</vt:i4>
      </vt:variant>
      <vt:variant>
        <vt:i4>5</vt:i4>
      </vt:variant>
      <vt:variant>
        <vt:lpwstr/>
      </vt:variant>
      <vt:variant>
        <vt:lpwstr>_Toc92194264</vt:lpwstr>
      </vt:variant>
      <vt:variant>
        <vt:i4>1900602</vt:i4>
      </vt:variant>
      <vt:variant>
        <vt:i4>251</vt:i4>
      </vt:variant>
      <vt:variant>
        <vt:i4>0</vt:i4>
      </vt:variant>
      <vt:variant>
        <vt:i4>5</vt:i4>
      </vt:variant>
      <vt:variant>
        <vt:lpwstr/>
      </vt:variant>
      <vt:variant>
        <vt:lpwstr>_Toc92194263</vt:lpwstr>
      </vt:variant>
      <vt:variant>
        <vt:i4>1835066</vt:i4>
      </vt:variant>
      <vt:variant>
        <vt:i4>245</vt:i4>
      </vt:variant>
      <vt:variant>
        <vt:i4>0</vt:i4>
      </vt:variant>
      <vt:variant>
        <vt:i4>5</vt:i4>
      </vt:variant>
      <vt:variant>
        <vt:lpwstr/>
      </vt:variant>
      <vt:variant>
        <vt:lpwstr>_Toc92194262</vt:lpwstr>
      </vt:variant>
      <vt:variant>
        <vt:i4>2031674</vt:i4>
      </vt:variant>
      <vt:variant>
        <vt:i4>239</vt:i4>
      </vt:variant>
      <vt:variant>
        <vt:i4>0</vt:i4>
      </vt:variant>
      <vt:variant>
        <vt:i4>5</vt:i4>
      </vt:variant>
      <vt:variant>
        <vt:lpwstr/>
      </vt:variant>
      <vt:variant>
        <vt:lpwstr>_Toc92194261</vt:lpwstr>
      </vt:variant>
      <vt:variant>
        <vt:i4>1966138</vt:i4>
      </vt:variant>
      <vt:variant>
        <vt:i4>233</vt:i4>
      </vt:variant>
      <vt:variant>
        <vt:i4>0</vt:i4>
      </vt:variant>
      <vt:variant>
        <vt:i4>5</vt:i4>
      </vt:variant>
      <vt:variant>
        <vt:lpwstr/>
      </vt:variant>
      <vt:variant>
        <vt:lpwstr>_Toc92194260</vt:lpwstr>
      </vt:variant>
      <vt:variant>
        <vt:i4>1507385</vt:i4>
      </vt:variant>
      <vt:variant>
        <vt:i4>227</vt:i4>
      </vt:variant>
      <vt:variant>
        <vt:i4>0</vt:i4>
      </vt:variant>
      <vt:variant>
        <vt:i4>5</vt:i4>
      </vt:variant>
      <vt:variant>
        <vt:lpwstr/>
      </vt:variant>
      <vt:variant>
        <vt:lpwstr>_Toc92194259</vt:lpwstr>
      </vt:variant>
      <vt:variant>
        <vt:i4>1441849</vt:i4>
      </vt:variant>
      <vt:variant>
        <vt:i4>221</vt:i4>
      </vt:variant>
      <vt:variant>
        <vt:i4>0</vt:i4>
      </vt:variant>
      <vt:variant>
        <vt:i4>5</vt:i4>
      </vt:variant>
      <vt:variant>
        <vt:lpwstr/>
      </vt:variant>
      <vt:variant>
        <vt:lpwstr>_Toc92194258</vt:lpwstr>
      </vt:variant>
      <vt:variant>
        <vt:i4>1638457</vt:i4>
      </vt:variant>
      <vt:variant>
        <vt:i4>215</vt:i4>
      </vt:variant>
      <vt:variant>
        <vt:i4>0</vt:i4>
      </vt:variant>
      <vt:variant>
        <vt:i4>5</vt:i4>
      </vt:variant>
      <vt:variant>
        <vt:lpwstr/>
      </vt:variant>
      <vt:variant>
        <vt:lpwstr>_Toc92194257</vt:lpwstr>
      </vt:variant>
      <vt:variant>
        <vt:i4>1572921</vt:i4>
      </vt:variant>
      <vt:variant>
        <vt:i4>209</vt:i4>
      </vt:variant>
      <vt:variant>
        <vt:i4>0</vt:i4>
      </vt:variant>
      <vt:variant>
        <vt:i4>5</vt:i4>
      </vt:variant>
      <vt:variant>
        <vt:lpwstr/>
      </vt:variant>
      <vt:variant>
        <vt:lpwstr>_Toc92194256</vt:lpwstr>
      </vt:variant>
      <vt:variant>
        <vt:i4>1769529</vt:i4>
      </vt:variant>
      <vt:variant>
        <vt:i4>203</vt:i4>
      </vt:variant>
      <vt:variant>
        <vt:i4>0</vt:i4>
      </vt:variant>
      <vt:variant>
        <vt:i4>5</vt:i4>
      </vt:variant>
      <vt:variant>
        <vt:lpwstr/>
      </vt:variant>
      <vt:variant>
        <vt:lpwstr>_Toc92194255</vt:lpwstr>
      </vt:variant>
      <vt:variant>
        <vt:i4>1703993</vt:i4>
      </vt:variant>
      <vt:variant>
        <vt:i4>197</vt:i4>
      </vt:variant>
      <vt:variant>
        <vt:i4>0</vt:i4>
      </vt:variant>
      <vt:variant>
        <vt:i4>5</vt:i4>
      </vt:variant>
      <vt:variant>
        <vt:lpwstr/>
      </vt:variant>
      <vt:variant>
        <vt:lpwstr>_Toc92194254</vt:lpwstr>
      </vt:variant>
      <vt:variant>
        <vt:i4>1900601</vt:i4>
      </vt:variant>
      <vt:variant>
        <vt:i4>191</vt:i4>
      </vt:variant>
      <vt:variant>
        <vt:i4>0</vt:i4>
      </vt:variant>
      <vt:variant>
        <vt:i4>5</vt:i4>
      </vt:variant>
      <vt:variant>
        <vt:lpwstr/>
      </vt:variant>
      <vt:variant>
        <vt:lpwstr>_Toc92194253</vt:lpwstr>
      </vt:variant>
      <vt:variant>
        <vt:i4>3145829</vt:i4>
      </vt:variant>
      <vt:variant>
        <vt:i4>186</vt:i4>
      </vt:variant>
      <vt:variant>
        <vt:i4>0</vt:i4>
      </vt:variant>
      <vt:variant>
        <vt:i4>5</vt:i4>
      </vt:variant>
      <vt:variant>
        <vt:lpwstr>http://www.air.org/</vt:lpwstr>
      </vt:variant>
      <vt:variant>
        <vt:lpwstr/>
      </vt:variant>
      <vt:variant>
        <vt:i4>2818052</vt:i4>
      </vt:variant>
      <vt:variant>
        <vt:i4>183</vt:i4>
      </vt:variant>
      <vt:variant>
        <vt:i4>0</vt:i4>
      </vt:variant>
      <vt:variant>
        <vt:i4>5</vt:i4>
      </vt:variant>
      <vt:variant>
        <vt:lpwstr/>
      </vt:variant>
      <vt:variant>
        <vt:lpwstr>_Capital_Planning_and</vt:lpwstr>
      </vt:variant>
      <vt:variant>
        <vt:i4>5570619</vt:i4>
      </vt:variant>
      <vt:variant>
        <vt:i4>180</vt:i4>
      </vt:variant>
      <vt:variant>
        <vt:i4>0</vt:i4>
      </vt:variant>
      <vt:variant>
        <vt:i4>5</vt:i4>
      </vt:variant>
      <vt:variant>
        <vt:lpwstr/>
      </vt:variant>
      <vt:variant>
        <vt:lpwstr>_Financial_Tracking,_Forecasting,</vt:lpwstr>
      </vt:variant>
      <vt:variant>
        <vt:i4>3932205</vt:i4>
      </vt:variant>
      <vt:variant>
        <vt:i4>177</vt:i4>
      </vt:variant>
      <vt:variant>
        <vt:i4>0</vt:i4>
      </vt:variant>
      <vt:variant>
        <vt:i4>5</vt:i4>
      </vt:variant>
      <vt:variant>
        <vt:lpwstr/>
      </vt:variant>
      <vt:variant>
        <vt:lpwstr>_Adequate_Budget</vt:lpwstr>
      </vt:variant>
      <vt:variant>
        <vt:i4>1900602</vt:i4>
      </vt:variant>
      <vt:variant>
        <vt:i4>174</vt:i4>
      </vt:variant>
      <vt:variant>
        <vt:i4>0</vt:i4>
      </vt:variant>
      <vt:variant>
        <vt:i4>5</vt:i4>
      </vt:variant>
      <vt:variant>
        <vt:lpwstr/>
      </vt:variant>
      <vt:variant>
        <vt:lpwstr>_Budget_Documentation_and</vt:lpwstr>
      </vt:variant>
      <vt:variant>
        <vt:i4>7143490</vt:i4>
      </vt:variant>
      <vt:variant>
        <vt:i4>171</vt:i4>
      </vt:variant>
      <vt:variant>
        <vt:i4>0</vt:i4>
      </vt:variant>
      <vt:variant>
        <vt:i4>5</vt:i4>
      </vt:variant>
      <vt:variant>
        <vt:lpwstr/>
      </vt:variant>
      <vt:variant>
        <vt:lpwstr>_Family,_Student,_and</vt:lpwstr>
      </vt:variant>
      <vt:variant>
        <vt:i4>7471193</vt:i4>
      </vt:variant>
      <vt:variant>
        <vt:i4>168</vt:i4>
      </vt:variant>
      <vt:variant>
        <vt:i4>0</vt:i4>
      </vt:variant>
      <vt:variant>
        <vt:i4>5</vt:i4>
      </vt:variant>
      <vt:variant>
        <vt:lpwstr/>
      </vt:variant>
      <vt:variant>
        <vt:lpwstr>_Tiered_Systems_of</vt:lpwstr>
      </vt:variant>
      <vt:variant>
        <vt:i4>48</vt:i4>
      </vt:variant>
      <vt:variant>
        <vt:i4>165</vt:i4>
      </vt:variant>
      <vt:variant>
        <vt:i4>0</vt:i4>
      </vt:variant>
      <vt:variant>
        <vt:i4>5</vt:i4>
      </vt:variant>
      <vt:variant>
        <vt:lpwstr/>
      </vt:variant>
      <vt:variant>
        <vt:lpwstr>_Safe_and_Supportive</vt:lpwstr>
      </vt:variant>
      <vt:variant>
        <vt:i4>4063268</vt:i4>
      </vt:variant>
      <vt:variant>
        <vt:i4>162</vt:i4>
      </vt:variant>
      <vt:variant>
        <vt:i4>0</vt:i4>
      </vt:variant>
      <vt:variant>
        <vt:i4>5</vt:i4>
      </vt:variant>
      <vt:variant>
        <vt:lpwstr>https://www.doe.mass.edu/edeffectiveness/mentor/components.html</vt:lpwstr>
      </vt:variant>
      <vt:variant>
        <vt:lpwstr/>
      </vt:variant>
      <vt:variant>
        <vt:i4>3342413</vt:i4>
      </vt:variant>
      <vt:variant>
        <vt:i4>159</vt:i4>
      </vt:variant>
      <vt:variant>
        <vt:i4>0</vt:i4>
      </vt:variant>
      <vt:variant>
        <vt:i4>5</vt:i4>
      </vt:variant>
      <vt:variant>
        <vt:lpwstr/>
      </vt:variant>
      <vt:variant>
        <vt:lpwstr>_Recognition,_Leadership_Development</vt:lpwstr>
      </vt:variant>
      <vt:variant>
        <vt:i4>852014</vt:i4>
      </vt:variant>
      <vt:variant>
        <vt:i4>156</vt:i4>
      </vt:variant>
      <vt:variant>
        <vt:i4>0</vt:i4>
      </vt:variant>
      <vt:variant>
        <vt:i4>5</vt:i4>
      </vt:variant>
      <vt:variant>
        <vt:lpwstr/>
      </vt:variant>
      <vt:variant>
        <vt:lpwstr>_Supervision,_Evaluation,_and</vt:lpwstr>
      </vt:variant>
      <vt:variant>
        <vt:i4>524343</vt:i4>
      </vt:variant>
      <vt:variant>
        <vt:i4>153</vt:i4>
      </vt:variant>
      <vt:variant>
        <vt:i4>0</vt:i4>
      </vt:variant>
      <vt:variant>
        <vt:i4>5</vt:i4>
      </vt:variant>
      <vt:variant>
        <vt:lpwstr/>
      </vt:variant>
      <vt:variant>
        <vt:lpwstr>_Recruitment,_Hiring,_and</vt:lpwstr>
      </vt:variant>
      <vt:variant>
        <vt:i4>6881364</vt:i4>
      </vt:variant>
      <vt:variant>
        <vt:i4>150</vt:i4>
      </vt:variant>
      <vt:variant>
        <vt:i4>0</vt:i4>
      </vt:variant>
      <vt:variant>
        <vt:i4>5</vt:i4>
      </vt:variant>
      <vt:variant>
        <vt:lpwstr/>
      </vt:variant>
      <vt:variant>
        <vt:lpwstr>_Infrastructure</vt:lpwstr>
      </vt:variant>
      <vt:variant>
        <vt:i4>131088</vt:i4>
      </vt:variant>
      <vt:variant>
        <vt:i4>147</vt:i4>
      </vt:variant>
      <vt:variant>
        <vt:i4>0</vt:i4>
      </vt:variant>
      <vt:variant>
        <vt:i4>5</vt:i4>
      </vt:variant>
      <vt:variant>
        <vt:lpwstr/>
      </vt:variant>
      <vt:variant>
        <vt:lpwstr>_Sharing_Results</vt:lpwstr>
      </vt:variant>
      <vt:variant>
        <vt:i4>3932202</vt:i4>
      </vt:variant>
      <vt:variant>
        <vt:i4>144</vt:i4>
      </vt:variant>
      <vt:variant>
        <vt:i4>0</vt:i4>
      </vt:variant>
      <vt:variant>
        <vt:i4>5</vt:i4>
      </vt:variant>
      <vt:variant>
        <vt:lpwstr/>
      </vt:variant>
      <vt:variant>
        <vt:lpwstr>_Data_Use</vt:lpwstr>
      </vt:variant>
      <vt:variant>
        <vt:i4>655416</vt:i4>
      </vt:variant>
      <vt:variant>
        <vt:i4>141</vt:i4>
      </vt:variant>
      <vt:variant>
        <vt:i4>0</vt:i4>
      </vt:variant>
      <vt:variant>
        <vt:i4>5</vt:i4>
      </vt:variant>
      <vt:variant>
        <vt:lpwstr/>
      </vt:variant>
      <vt:variant>
        <vt:lpwstr>_Data_and_Assessment</vt:lpwstr>
      </vt:variant>
      <vt:variant>
        <vt:i4>5636223</vt:i4>
      </vt:variant>
      <vt:variant>
        <vt:i4>138</vt:i4>
      </vt:variant>
      <vt:variant>
        <vt:i4>0</vt:i4>
      </vt:variant>
      <vt:variant>
        <vt:i4>5</vt:i4>
      </vt:variant>
      <vt:variant>
        <vt:lpwstr/>
      </vt:variant>
      <vt:variant>
        <vt:lpwstr>_Student_Access_to</vt:lpwstr>
      </vt:variant>
      <vt:variant>
        <vt:i4>8323190</vt:i4>
      </vt:variant>
      <vt:variant>
        <vt:i4>135</vt:i4>
      </vt:variant>
      <vt:variant>
        <vt:i4>0</vt:i4>
      </vt:variant>
      <vt:variant>
        <vt:i4>5</vt:i4>
      </vt:variant>
      <vt:variant>
        <vt:lpwstr/>
      </vt:variant>
      <vt:variant>
        <vt:lpwstr>_Classroom_Instruction</vt:lpwstr>
      </vt:variant>
      <vt:variant>
        <vt:i4>852000</vt:i4>
      </vt:variant>
      <vt:variant>
        <vt:i4>132</vt:i4>
      </vt:variant>
      <vt:variant>
        <vt:i4>0</vt:i4>
      </vt:variant>
      <vt:variant>
        <vt:i4>5</vt:i4>
      </vt:variant>
      <vt:variant>
        <vt:lpwstr/>
      </vt:variant>
      <vt:variant>
        <vt:lpwstr>_Curriculum_Selection_and</vt:lpwstr>
      </vt:variant>
      <vt:variant>
        <vt:i4>5242962</vt:i4>
      </vt:variant>
      <vt:variant>
        <vt:i4>129</vt:i4>
      </vt:variant>
      <vt:variant>
        <vt:i4>0</vt:i4>
      </vt:variant>
      <vt:variant>
        <vt:i4>5</vt:i4>
      </vt:variant>
      <vt:variant>
        <vt:lpwstr/>
      </vt:variant>
      <vt:variant>
        <vt:lpwstr>_Budget_Development</vt:lpwstr>
      </vt:variant>
      <vt:variant>
        <vt:i4>3735665</vt:i4>
      </vt:variant>
      <vt:variant>
        <vt:i4>126</vt:i4>
      </vt:variant>
      <vt:variant>
        <vt:i4>0</vt:i4>
      </vt:variant>
      <vt:variant>
        <vt:i4>5</vt:i4>
      </vt:variant>
      <vt:variant>
        <vt:lpwstr/>
      </vt:variant>
      <vt:variant>
        <vt:lpwstr>_District_and_School_1</vt:lpwstr>
      </vt:variant>
      <vt:variant>
        <vt:i4>524334</vt:i4>
      </vt:variant>
      <vt:variant>
        <vt:i4>123</vt:i4>
      </vt:variant>
      <vt:variant>
        <vt:i4>0</vt:i4>
      </vt:variant>
      <vt:variant>
        <vt:i4>5</vt:i4>
      </vt:variant>
      <vt:variant>
        <vt:lpwstr/>
      </vt:variant>
      <vt:variant>
        <vt:lpwstr>_District_and_School</vt:lpwstr>
      </vt:variant>
      <vt:variant>
        <vt:i4>524328</vt:i4>
      </vt:variant>
      <vt:variant>
        <vt:i4>120</vt:i4>
      </vt:variant>
      <vt:variant>
        <vt:i4>0</vt:i4>
      </vt:variant>
      <vt:variant>
        <vt:i4>5</vt:i4>
      </vt:variant>
      <vt:variant>
        <vt:lpwstr/>
      </vt:variant>
      <vt:variant>
        <vt:lpwstr>_School_Committee_Governance</vt:lpwstr>
      </vt:variant>
      <vt:variant>
        <vt:i4>3014696</vt:i4>
      </vt:variant>
      <vt:variant>
        <vt:i4>117</vt:i4>
      </vt:variant>
      <vt:variant>
        <vt:i4>0</vt:i4>
      </vt:variant>
      <vt:variant>
        <vt:i4>5</vt:i4>
      </vt:variant>
      <vt:variant>
        <vt:lpwstr>https://profiles.doe.mass.edu/general/general.aspx?topNavID=1&amp;leftNavId=100&amp;orgcode=07550000&amp;orgtypecode=5</vt:lpwstr>
      </vt:variant>
      <vt:variant>
        <vt:lpwstr/>
      </vt:variant>
      <vt:variant>
        <vt:i4>2752558</vt:i4>
      </vt:variant>
      <vt:variant>
        <vt:i4>114</vt:i4>
      </vt:variant>
      <vt:variant>
        <vt:i4>0</vt:i4>
      </vt:variant>
      <vt:variant>
        <vt:i4>5</vt:i4>
      </vt:variant>
      <vt:variant>
        <vt:lpwstr>https://profiles.doe.mass.edu/general/general.aspx?topNavID=1&amp;leftNavId=100&amp;orgcode=02340000&amp;orgtypecode=5</vt:lpwstr>
      </vt:variant>
      <vt:variant>
        <vt:lpwstr/>
      </vt:variant>
      <vt:variant>
        <vt:i4>2949167</vt:i4>
      </vt:variant>
      <vt:variant>
        <vt:i4>111</vt:i4>
      </vt:variant>
      <vt:variant>
        <vt:i4>0</vt:i4>
      </vt:variant>
      <vt:variant>
        <vt:i4>5</vt:i4>
      </vt:variant>
      <vt:variant>
        <vt:lpwstr>https://profiles.doe.mass.edu/general/general.aspx?topNavID=1&amp;leftNavId=100&amp;orgcode=02230000&amp;orgtypecode=5</vt:lpwstr>
      </vt:variant>
      <vt:variant>
        <vt:lpwstr/>
      </vt:variant>
      <vt:variant>
        <vt:i4>2818152</vt:i4>
      </vt:variant>
      <vt:variant>
        <vt:i4>108</vt:i4>
      </vt:variant>
      <vt:variant>
        <vt:i4>0</vt:i4>
      </vt:variant>
      <vt:variant>
        <vt:i4>5</vt:i4>
      </vt:variant>
      <vt:variant>
        <vt:lpwstr>https://profiles.doe.mass.edu/general/generalstate.aspx?topNavID=1&amp;leftNavId=100&amp;orgcode=00000000&amp;orgtypecode=0</vt:lpwstr>
      </vt:variant>
      <vt:variant>
        <vt:lpwstr/>
      </vt:variant>
      <vt:variant>
        <vt:i4>45</vt:i4>
      </vt:variant>
      <vt:variant>
        <vt:i4>105</vt:i4>
      </vt:variant>
      <vt:variant>
        <vt:i4>0</vt:i4>
      </vt:variant>
      <vt:variant>
        <vt:i4>5</vt:i4>
      </vt:variant>
      <vt:variant>
        <vt:lpwstr/>
      </vt:variant>
      <vt:variant>
        <vt:lpwstr>_Financial_and_Asset</vt:lpwstr>
      </vt:variant>
      <vt:variant>
        <vt:i4>983049</vt:i4>
      </vt:variant>
      <vt:variant>
        <vt:i4>102</vt:i4>
      </vt:variant>
      <vt:variant>
        <vt:i4>0</vt:i4>
      </vt:variant>
      <vt:variant>
        <vt:i4>5</vt:i4>
      </vt:variant>
      <vt:variant>
        <vt:lpwstr/>
      </vt:variant>
      <vt:variant>
        <vt:lpwstr>_Student_Support</vt:lpwstr>
      </vt:variant>
      <vt:variant>
        <vt:i4>655416</vt:i4>
      </vt:variant>
      <vt:variant>
        <vt:i4>99</vt:i4>
      </vt:variant>
      <vt:variant>
        <vt:i4>0</vt:i4>
      </vt:variant>
      <vt:variant>
        <vt:i4>5</vt:i4>
      </vt:variant>
      <vt:variant>
        <vt:lpwstr/>
      </vt:variant>
      <vt:variant>
        <vt:lpwstr>_Human_Resources_and</vt:lpwstr>
      </vt:variant>
      <vt:variant>
        <vt:i4>6422623</vt:i4>
      </vt:variant>
      <vt:variant>
        <vt:i4>96</vt:i4>
      </vt:variant>
      <vt:variant>
        <vt:i4>0</vt:i4>
      </vt:variant>
      <vt:variant>
        <vt:i4>5</vt:i4>
      </vt:variant>
      <vt:variant>
        <vt:lpwstr/>
      </vt:variant>
      <vt:variant>
        <vt:lpwstr>_Assessment</vt:lpwstr>
      </vt:variant>
      <vt:variant>
        <vt:i4>6422621</vt:i4>
      </vt:variant>
      <vt:variant>
        <vt:i4>93</vt:i4>
      </vt:variant>
      <vt:variant>
        <vt:i4>0</vt:i4>
      </vt:variant>
      <vt:variant>
        <vt:i4>5</vt:i4>
      </vt:variant>
      <vt:variant>
        <vt:lpwstr/>
      </vt:variant>
      <vt:variant>
        <vt:lpwstr>_Curriculum_and_Instruction</vt:lpwstr>
      </vt:variant>
      <vt:variant>
        <vt:i4>7536720</vt:i4>
      </vt:variant>
      <vt:variant>
        <vt:i4>90</vt:i4>
      </vt:variant>
      <vt:variant>
        <vt:i4>0</vt:i4>
      </vt:variant>
      <vt:variant>
        <vt:i4>5</vt:i4>
      </vt:variant>
      <vt:variant>
        <vt:lpwstr/>
      </vt:variant>
      <vt:variant>
        <vt:lpwstr>_Leadership_and_Governance</vt:lpwstr>
      </vt:variant>
      <vt:variant>
        <vt:i4>5308435</vt:i4>
      </vt:variant>
      <vt:variant>
        <vt:i4>87</vt:i4>
      </vt:variant>
      <vt:variant>
        <vt:i4>0</vt:i4>
      </vt:variant>
      <vt:variant>
        <vt:i4>5</vt:i4>
      </vt:variant>
      <vt:variant>
        <vt:lpwstr>http://www.doe.mass.edu/</vt:lpwstr>
      </vt:variant>
      <vt:variant>
        <vt:lpwstr/>
      </vt:variant>
      <vt:variant>
        <vt:i4>1441853</vt:i4>
      </vt:variant>
      <vt:variant>
        <vt:i4>80</vt:i4>
      </vt:variant>
      <vt:variant>
        <vt:i4>0</vt:i4>
      </vt:variant>
      <vt:variant>
        <vt:i4>5</vt:i4>
      </vt:variant>
      <vt:variant>
        <vt:lpwstr/>
      </vt:variant>
      <vt:variant>
        <vt:lpwstr>_Toc170896587</vt:lpwstr>
      </vt:variant>
      <vt:variant>
        <vt:i4>1441853</vt:i4>
      </vt:variant>
      <vt:variant>
        <vt:i4>74</vt:i4>
      </vt:variant>
      <vt:variant>
        <vt:i4>0</vt:i4>
      </vt:variant>
      <vt:variant>
        <vt:i4>5</vt:i4>
      </vt:variant>
      <vt:variant>
        <vt:lpwstr/>
      </vt:variant>
      <vt:variant>
        <vt:lpwstr>_Toc170896586</vt:lpwstr>
      </vt:variant>
      <vt:variant>
        <vt:i4>1441853</vt:i4>
      </vt:variant>
      <vt:variant>
        <vt:i4>68</vt:i4>
      </vt:variant>
      <vt:variant>
        <vt:i4>0</vt:i4>
      </vt:variant>
      <vt:variant>
        <vt:i4>5</vt:i4>
      </vt:variant>
      <vt:variant>
        <vt:lpwstr/>
      </vt:variant>
      <vt:variant>
        <vt:lpwstr>_Toc170896585</vt:lpwstr>
      </vt:variant>
      <vt:variant>
        <vt:i4>1441853</vt:i4>
      </vt:variant>
      <vt:variant>
        <vt:i4>62</vt:i4>
      </vt:variant>
      <vt:variant>
        <vt:i4>0</vt:i4>
      </vt:variant>
      <vt:variant>
        <vt:i4>5</vt:i4>
      </vt:variant>
      <vt:variant>
        <vt:lpwstr/>
      </vt:variant>
      <vt:variant>
        <vt:lpwstr>_Toc170896584</vt:lpwstr>
      </vt:variant>
      <vt:variant>
        <vt:i4>1441853</vt:i4>
      </vt:variant>
      <vt:variant>
        <vt:i4>56</vt:i4>
      </vt:variant>
      <vt:variant>
        <vt:i4>0</vt:i4>
      </vt:variant>
      <vt:variant>
        <vt:i4>5</vt:i4>
      </vt:variant>
      <vt:variant>
        <vt:lpwstr/>
      </vt:variant>
      <vt:variant>
        <vt:lpwstr>_Toc170896583</vt:lpwstr>
      </vt:variant>
      <vt:variant>
        <vt:i4>1441853</vt:i4>
      </vt:variant>
      <vt:variant>
        <vt:i4>50</vt:i4>
      </vt:variant>
      <vt:variant>
        <vt:i4>0</vt:i4>
      </vt:variant>
      <vt:variant>
        <vt:i4>5</vt:i4>
      </vt:variant>
      <vt:variant>
        <vt:lpwstr/>
      </vt:variant>
      <vt:variant>
        <vt:lpwstr>_Toc170896582</vt:lpwstr>
      </vt:variant>
      <vt:variant>
        <vt:i4>1441853</vt:i4>
      </vt:variant>
      <vt:variant>
        <vt:i4>44</vt:i4>
      </vt:variant>
      <vt:variant>
        <vt:i4>0</vt:i4>
      </vt:variant>
      <vt:variant>
        <vt:i4>5</vt:i4>
      </vt:variant>
      <vt:variant>
        <vt:lpwstr/>
      </vt:variant>
      <vt:variant>
        <vt:lpwstr>_Toc170896581</vt:lpwstr>
      </vt:variant>
      <vt:variant>
        <vt:i4>1441853</vt:i4>
      </vt:variant>
      <vt:variant>
        <vt:i4>38</vt:i4>
      </vt:variant>
      <vt:variant>
        <vt:i4>0</vt:i4>
      </vt:variant>
      <vt:variant>
        <vt:i4>5</vt:i4>
      </vt:variant>
      <vt:variant>
        <vt:lpwstr/>
      </vt:variant>
      <vt:variant>
        <vt:lpwstr>_Toc170896580</vt:lpwstr>
      </vt:variant>
      <vt:variant>
        <vt:i4>1638461</vt:i4>
      </vt:variant>
      <vt:variant>
        <vt:i4>32</vt:i4>
      </vt:variant>
      <vt:variant>
        <vt:i4>0</vt:i4>
      </vt:variant>
      <vt:variant>
        <vt:i4>5</vt:i4>
      </vt:variant>
      <vt:variant>
        <vt:lpwstr/>
      </vt:variant>
      <vt:variant>
        <vt:lpwstr>_Toc170896579</vt:lpwstr>
      </vt:variant>
      <vt:variant>
        <vt:i4>1638461</vt:i4>
      </vt:variant>
      <vt:variant>
        <vt:i4>26</vt:i4>
      </vt:variant>
      <vt:variant>
        <vt:i4>0</vt:i4>
      </vt:variant>
      <vt:variant>
        <vt:i4>5</vt:i4>
      </vt:variant>
      <vt:variant>
        <vt:lpwstr/>
      </vt:variant>
      <vt:variant>
        <vt:lpwstr>_Toc170896578</vt:lpwstr>
      </vt:variant>
      <vt:variant>
        <vt:i4>1638461</vt:i4>
      </vt:variant>
      <vt:variant>
        <vt:i4>20</vt:i4>
      </vt:variant>
      <vt:variant>
        <vt:i4>0</vt:i4>
      </vt:variant>
      <vt:variant>
        <vt:i4>5</vt:i4>
      </vt:variant>
      <vt:variant>
        <vt:lpwstr/>
      </vt:variant>
      <vt:variant>
        <vt:lpwstr>_Toc170896577</vt:lpwstr>
      </vt:variant>
      <vt:variant>
        <vt:i4>1638461</vt:i4>
      </vt:variant>
      <vt:variant>
        <vt:i4>14</vt:i4>
      </vt:variant>
      <vt:variant>
        <vt:i4>0</vt:i4>
      </vt:variant>
      <vt:variant>
        <vt:i4>5</vt:i4>
      </vt:variant>
      <vt:variant>
        <vt:lpwstr/>
      </vt:variant>
      <vt:variant>
        <vt:lpwstr>_Toc170896576</vt:lpwstr>
      </vt:variant>
      <vt:variant>
        <vt:i4>1638461</vt:i4>
      </vt:variant>
      <vt:variant>
        <vt:i4>8</vt:i4>
      </vt:variant>
      <vt:variant>
        <vt:i4>0</vt:i4>
      </vt:variant>
      <vt:variant>
        <vt:i4>5</vt:i4>
      </vt:variant>
      <vt:variant>
        <vt:lpwstr/>
      </vt:variant>
      <vt:variant>
        <vt:lpwstr>_Toc170896575</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6422645</vt:i4>
      </vt:variant>
      <vt:variant>
        <vt:i4>9</vt:i4>
      </vt:variant>
      <vt:variant>
        <vt:i4>0</vt:i4>
      </vt:variant>
      <vt:variant>
        <vt:i4>5</vt:i4>
      </vt:variant>
      <vt:variant>
        <vt:lpwstr>https://www.doe.mass.edu/instruction/curate</vt:lpwstr>
      </vt:variant>
      <vt:variant>
        <vt:lpwstr/>
      </vt:variant>
      <vt:variant>
        <vt:i4>917598</vt:i4>
      </vt:variant>
      <vt:variant>
        <vt:i4>6</vt:i4>
      </vt:variant>
      <vt:variant>
        <vt:i4>0</vt:i4>
      </vt:variant>
      <vt:variant>
        <vt:i4>5</vt:i4>
      </vt:variant>
      <vt:variant>
        <vt:lpwstr>http://www.doe.mass.edu/accountability/district-review/district-standards-indicators.pdf</vt:lpwstr>
      </vt:variant>
      <vt:variant>
        <vt:lpwstr/>
      </vt:variant>
      <vt:variant>
        <vt:i4>1114198</vt:i4>
      </vt:variant>
      <vt:variant>
        <vt:i4>3</vt:i4>
      </vt:variant>
      <vt:variant>
        <vt:i4>0</vt:i4>
      </vt:variant>
      <vt:variant>
        <vt:i4>5</vt:i4>
      </vt:variant>
      <vt:variant>
        <vt:lpwstr>https://teachstone.com/class/</vt:lpwstr>
      </vt:variant>
      <vt:variant>
        <vt:lpwstr/>
      </vt:variant>
      <vt:variant>
        <vt:i4>917598</vt:i4>
      </vt:variant>
      <vt:variant>
        <vt:i4>0</vt:i4>
      </vt:variant>
      <vt:variant>
        <vt:i4>0</vt:i4>
      </vt:variant>
      <vt:variant>
        <vt:i4>5</vt:i4>
      </vt:variant>
      <vt:variant>
        <vt:lpwstr>http://www.doe.mass.edu/accountability/district-review/district-standards-indicators.pdf</vt:lpwstr>
      </vt:variant>
      <vt:variant>
        <vt:lpwstr/>
      </vt:variant>
      <vt:variant>
        <vt:i4>3473419</vt:i4>
      </vt:variant>
      <vt:variant>
        <vt:i4>9</vt:i4>
      </vt:variant>
      <vt:variant>
        <vt:i4>0</vt:i4>
      </vt:variant>
      <vt:variant>
        <vt:i4>5</vt:i4>
      </vt:variant>
      <vt:variant>
        <vt:lpwstr>mailto:corinne.t.thomas@mass.gov</vt:lpwstr>
      </vt:variant>
      <vt:variant>
        <vt:lpwstr/>
      </vt:variant>
      <vt:variant>
        <vt:i4>3473419</vt:i4>
      </vt:variant>
      <vt:variant>
        <vt:i4>6</vt:i4>
      </vt:variant>
      <vt:variant>
        <vt:i4>0</vt:i4>
      </vt:variant>
      <vt:variant>
        <vt:i4>5</vt:i4>
      </vt:variant>
      <vt:variant>
        <vt:lpwstr>mailto:corinne.t.thomas@mass.gov</vt:lpwstr>
      </vt:variant>
      <vt:variant>
        <vt:lpwstr/>
      </vt:variant>
      <vt:variant>
        <vt:i4>5111815</vt:i4>
      </vt:variant>
      <vt:variant>
        <vt:i4>3</vt:i4>
      </vt:variant>
      <vt:variant>
        <vt:i4>0</vt:i4>
      </vt:variant>
      <vt:variant>
        <vt:i4>5</vt:i4>
      </vt:variant>
      <vt:variant>
        <vt:lpwstr>https://www.rcmahar.org/School-Committee</vt:lpwstr>
      </vt:variant>
      <vt:variant>
        <vt:lpwstr/>
      </vt:variant>
      <vt:variant>
        <vt:i4>3473419</vt:i4>
      </vt:variant>
      <vt:variant>
        <vt:i4>0</vt:i4>
      </vt:variant>
      <vt:variant>
        <vt:i4>0</vt:i4>
      </vt:variant>
      <vt:variant>
        <vt:i4>5</vt:i4>
      </vt:variant>
      <vt:variant>
        <vt:lpwstr>mailto:corinne.t.thomas@mass.gov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Ralph C Mahar and SU 73 District Review Report 2024</dc:title>
  <dc:subject/>
  <dc:creator>DESE</dc:creator>
  <cp:keywords/>
  <cp:lastModifiedBy>Zou, Dong (EOE)</cp:lastModifiedBy>
  <cp:revision>54</cp:revision>
  <cp:lastPrinted>2022-09-23T06:45:00Z</cp:lastPrinted>
  <dcterms:created xsi:type="dcterms:W3CDTF">2024-09-12T20:08:00Z</dcterms:created>
  <dcterms:modified xsi:type="dcterms:W3CDTF">2024-09-16T13:43:00Z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16 2024 12:00AM</vt:lpwstr>
  </property>
</Properties>
</file>